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3761" w:rsidRPr="007D605C" w:rsidRDefault="00316A71" w:rsidP="00F049AB">
      <w:pPr>
        <w:pStyle w:val="Tytuinfomacjisygnalnej"/>
      </w:pPr>
      <w:r>
        <w:t xml:space="preserve">Wskaźniki cen produkcji budowlano-montażowej </w:t>
      </w:r>
      <w:r w:rsidRPr="003F006F">
        <w:t>w</w:t>
      </w:r>
      <w:r w:rsidR="00810784">
        <w:t> </w:t>
      </w:r>
      <w:r w:rsidR="00F80128">
        <w:t>lipcu</w:t>
      </w:r>
      <w:r w:rsidR="00AF7413">
        <w:t xml:space="preserve"> </w:t>
      </w:r>
      <w:r w:rsidR="005E2FD9">
        <w:t>2025</w:t>
      </w:r>
      <w:r w:rsidRPr="003F006F">
        <w:t xml:space="preserve"> r.</w:t>
      </w:r>
      <w:r w:rsidR="0082043D">
        <w:rPr>
          <w:rStyle w:val="Odwoanieprzypisudolnego"/>
        </w:rPr>
        <w:footnoteReference w:id="1"/>
      </w:r>
    </w:p>
    <w:p w:rsidR="00DE58F1" w:rsidRPr="001D1E21" w:rsidRDefault="00731D27" w:rsidP="00F049AB">
      <w:pPr>
        <w:pStyle w:val="Lead"/>
        <w:rPr>
          <w:rFonts w:eastAsia="Times New Roman" w:cs="Times New Roman"/>
          <w:bCs/>
          <w:noProof w:val="0"/>
          <w:spacing w:val="-4"/>
        </w:rPr>
      </w:pPr>
      <w:r w:rsidRPr="00587CEE">
        <w:rPr>
          <w:color w:val="001D77"/>
        </w:rPr>
        <mc:AlternateContent>
          <mc:Choice Requires="wps">
            <w:drawing>
              <wp:anchor distT="45720" distB="45720" distL="114300" distR="114300" simplePos="0" relativeHeight="251738112" behindDoc="0" locked="0" layoutInCell="1" allowOverlap="1" wp14:anchorId="31C735AA" wp14:editId="5A4B5B51">
                <wp:simplePos x="0" y="0"/>
                <wp:positionH relativeFrom="margin">
                  <wp:align>left</wp:align>
                </wp:positionH>
                <wp:positionV relativeFrom="paragraph">
                  <wp:posOffset>43180</wp:posOffset>
                </wp:positionV>
                <wp:extent cx="2101850" cy="1238250"/>
                <wp:effectExtent l="0" t="0" r="0" b="0"/>
                <wp:wrapSquare wrapText="bothSides"/>
                <wp:docPr id="6" name="Pole tekstowe 2" descr="3,2% - wzrost cen producentów &#10;w budownictwie w porównaniu z lipcem 2024 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238250"/>
                        </a:xfrm>
                        <a:prstGeom prst="roundRect">
                          <a:avLst/>
                        </a:prstGeom>
                        <a:solidFill>
                          <a:srgbClr val="001D77"/>
                        </a:solidFill>
                        <a:ln w="9525">
                          <a:noFill/>
                          <a:miter lim="800000"/>
                          <a:headEnd/>
                          <a:tailEnd/>
                        </a:ln>
                      </wps:spPr>
                      <wps:txbx>
                        <w:txbxContent>
                          <w:p w:rsidR="005C0CAC" w:rsidRPr="00FE7EA6" w:rsidRDefault="00DE6B58" w:rsidP="00CB6AD4">
                            <w:pPr>
                              <w:autoSpaceDE w:val="0"/>
                              <w:autoSpaceDN w:val="0"/>
                              <w:adjustRightInd w:val="0"/>
                              <w:spacing w:before="0" w:after="0" w:line="240" w:lineRule="auto"/>
                              <w:rPr>
                                <w:rFonts w:ascii="Fira Sans SemiBold" w:hAnsi="Fira Sans SemiBold"/>
                                <w:color w:val="FFFFFF" w:themeColor="background1"/>
                                <w:sz w:val="72"/>
                                <w:szCs w:val="72"/>
                              </w:rPr>
                            </w:pPr>
                            <w:r w:rsidRPr="00FE7EA6">
                              <w:rPr>
                                <w:rStyle w:val="IkonawskanikaZnak"/>
                                <w:sz w:val="72"/>
                                <w:szCs w:val="72"/>
                              </w:rPr>
                              <w:sym w:font="Wingdings" w:char="F0F1"/>
                            </w:r>
                            <w:r w:rsidR="00F80128">
                              <w:rPr>
                                <w:rStyle w:val="WartowskanikaZnak"/>
                                <w:sz w:val="72"/>
                                <w:szCs w:val="72"/>
                              </w:rPr>
                              <w:t>3,2</w:t>
                            </w:r>
                            <w:r w:rsidR="003A7D2B" w:rsidRPr="00FE7EA6">
                              <w:rPr>
                                <w:rStyle w:val="WartowskanikaZnak"/>
                                <w:sz w:val="72"/>
                                <w:szCs w:val="72"/>
                              </w:rPr>
                              <w:t>%</w:t>
                            </w:r>
                          </w:p>
                          <w:p w:rsidR="00B14BA6" w:rsidRDefault="00067C4B" w:rsidP="00316A71">
                            <w:pPr>
                              <w:pStyle w:val="tekstnaniebieskimtle"/>
                            </w:pPr>
                            <w:r>
                              <w:t>wzrost</w:t>
                            </w:r>
                            <w:r w:rsidR="00316A71">
                              <w:t xml:space="preserve"> </w:t>
                            </w:r>
                            <w:r w:rsidR="005744F9">
                              <w:t xml:space="preserve">cen producentów </w:t>
                            </w:r>
                          </w:p>
                          <w:p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AF7413">
                              <w:t xml:space="preserve">z </w:t>
                            </w:r>
                            <w:r w:rsidR="00F80128">
                              <w:t xml:space="preserve">lipcem </w:t>
                            </w:r>
                            <w:r w:rsidR="005E2FD9">
                              <w:t>2024</w:t>
                            </w:r>
                            <w:r w:rsidR="00CC5BE5">
                              <w:t xml:space="preserve"> r.</w:t>
                            </w:r>
                          </w:p>
                          <w:p w:rsidR="00316A71" w:rsidRPr="00EB6683" w:rsidRDefault="00B651AD" w:rsidP="00316A71">
                            <w:pPr>
                              <w:pStyle w:val="tekstnaniebieskimtle"/>
                              <w:rPr>
                                <w:color w:val="FFFFFF" w:themeColor="background1"/>
                                <w:sz w:val="18"/>
                                <w:szCs w:val="20"/>
                              </w:rPr>
                            </w:pPr>
                            <w:r>
                              <w:t xml:space="preserve"> poprzedniego roku</w:t>
                            </w:r>
                          </w:p>
                          <w:p w:rsidR="005C0CAC" w:rsidRPr="007D605C" w:rsidRDefault="005C0CAC" w:rsidP="00316A71">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1C735AA" id="Pole tekstowe 2" o:spid="_x0000_s1026" alt="3,2% - wzrost cen producentów &#10;w budownictwie w porównaniu z lipcem 2024 r.&#10;" style="position:absolute;margin-left:0;margin-top:3.4pt;width:165.5pt;height:97.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" fillcolor="#001d77" stroked="f">
                <v:stroke joinstyle="miter"/>
                <v:textbox>
                  <w:txbxContent>
                    <w:p w:rsidR="005C0CAC" w:rsidRPr="00FE7EA6" w:rsidRDefault="00DE6B58" w:rsidP="00CB6AD4">
                      <w:pPr>
                        <w:autoSpaceDE w:val="0"/>
                        <w:autoSpaceDN w:val="0"/>
                        <w:adjustRightInd w:val="0"/>
                        <w:spacing w:before="0" w:after="0" w:line="240" w:lineRule="auto"/>
                        <w:rPr>
                          <w:rFonts w:ascii="Fira Sans SemiBold" w:hAnsi="Fira Sans SemiBold"/>
                          <w:color w:val="FFFFFF" w:themeColor="background1"/>
                          <w:sz w:val="72"/>
                          <w:szCs w:val="72"/>
                        </w:rPr>
                      </w:pPr>
                      <w:r w:rsidRPr="00FE7EA6">
                        <w:rPr>
                          <w:rStyle w:val="IkonawskanikaZnak"/>
                          <w:sz w:val="72"/>
                          <w:szCs w:val="72"/>
                        </w:rPr>
                        <w:sym w:font="Wingdings" w:char="F0F1"/>
                      </w:r>
                      <w:r w:rsidR="00F80128">
                        <w:rPr>
                          <w:rStyle w:val="WartowskanikaZnak"/>
                          <w:sz w:val="72"/>
                          <w:szCs w:val="72"/>
                        </w:rPr>
                        <w:t>3,2</w:t>
                      </w:r>
                      <w:r w:rsidR="003A7D2B" w:rsidRPr="00FE7EA6">
                        <w:rPr>
                          <w:rStyle w:val="WartowskanikaZnak"/>
                          <w:sz w:val="72"/>
                          <w:szCs w:val="72"/>
                        </w:rPr>
                        <w:t>%</w:t>
                      </w:r>
                    </w:p>
                    <w:p w:rsidR="00B14BA6" w:rsidRDefault="00067C4B" w:rsidP="00316A71">
                      <w:pPr>
                        <w:pStyle w:val="tekstnaniebieskimtle"/>
                      </w:pPr>
                      <w:r>
                        <w:t>wzrost</w:t>
                      </w:r>
                      <w:r w:rsidR="00316A71">
                        <w:t xml:space="preserve"> </w:t>
                      </w:r>
                      <w:r w:rsidR="005744F9">
                        <w:t xml:space="preserve">cen producentów </w:t>
                      </w:r>
                    </w:p>
                    <w:p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AF7413">
                        <w:t xml:space="preserve">z </w:t>
                      </w:r>
                      <w:r w:rsidR="00F80128">
                        <w:t xml:space="preserve">lipcem </w:t>
                      </w:r>
                      <w:r w:rsidR="005E2FD9">
                        <w:t>2024</w:t>
                      </w:r>
                      <w:r w:rsidR="00CC5BE5">
                        <w:t xml:space="preserve"> r.</w:t>
                      </w:r>
                    </w:p>
                    <w:p w:rsidR="00316A71" w:rsidRPr="00EB6683" w:rsidRDefault="00B651AD" w:rsidP="00316A71">
                      <w:pPr>
                        <w:pStyle w:val="tekstnaniebieskimtle"/>
                        <w:rPr>
                          <w:color w:val="FFFFFF" w:themeColor="background1"/>
                          <w:sz w:val="18"/>
                          <w:szCs w:val="20"/>
                        </w:rPr>
                      </w:pPr>
                      <w:r>
                        <w:t xml:space="preserve"> poprzedniego roku</w:t>
                      </w:r>
                    </w:p>
                    <w:p w:rsidR="005C0CAC" w:rsidRPr="007D605C" w:rsidRDefault="005C0CAC" w:rsidP="00316A71">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E37E74" w:rsidRPr="00E37E74">
        <w:rPr>
          <w:shd w:val="clear" w:color="auto" w:fill="FFFFFF"/>
        </w:rPr>
        <w:t xml:space="preserve">Według wstępnych danych w </w:t>
      </w:r>
      <w:r w:rsidR="00E4224F">
        <w:rPr>
          <w:shd w:val="clear" w:color="auto" w:fill="FFFFFF"/>
        </w:rPr>
        <w:t>lipcu</w:t>
      </w:r>
      <w:r w:rsidR="000C6803">
        <w:rPr>
          <w:shd w:val="clear" w:color="auto" w:fill="FFFFFF"/>
        </w:rPr>
        <w:t xml:space="preserve"> </w:t>
      </w:r>
      <w:r w:rsidR="00E37E74" w:rsidRPr="00E37E74">
        <w:rPr>
          <w:shd w:val="clear" w:color="auto" w:fill="FFFFFF"/>
        </w:rPr>
        <w:t>2025 r. ceny produkcji budowlano-montażowej</w:t>
      </w:r>
      <w:r w:rsidR="00E37E74">
        <w:rPr>
          <w:shd w:val="clear" w:color="auto" w:fill="FFFFFF"/>
        </w:rPr>
        <w:t xml:space="preserve"> </w:t>
      </w:r>
      <w:r w:rsidR="00E4224F">
        <w:rPr>
          <w:shd w:val="clear" w:color="auto" w:fill="FFFFFF"/>
        </w:rPr>
        <w:t>wzrosły zarówno w porównaniu z</w:t>
      </w:r>
      <w:r w:rsidR="00351E14">
        <w:rPr>
          <w:shd w:val="clear" w:color="auto" w:fill="FFFFFF"/>
        </w:rPr>
        <w:t xml:space="preserve"> poprzednim miesiąc</w:t>
      </w:r>
      <w:r w:rsidR="00E4224F">
        <w:rPr>
          <w:shd w:val="clear" w:color="auto" w:fill="FFFFFF"/>
        </w:rPr>
        <w:t>em (o 0,5%)</w:t>
      </w:r>
      <w:r w:rsidR="00493048">
        <w:rPr>
          <w:shd w:val="clear" w:color="auto" w:fill="FFFFFF"/>
        </w:rPr>
        <w:t>,</w:t>
      </w:r>
      <w:r w:rsidR="00E37E74">
        <w:rPr>
          <w:shd w:val="clear" w:color="auto" w:fill="FFFFFF"/>
        </w:rPr>
        <w:t xml:space="preserve"> </w:t>
      </w:r>
      <w:r w:rsidR="00E4224F">
        <w:rPr>
          <w:shd w:val="clear" w:color="auto" w:fill="FFFFFF"/>
        </w:rPr>
        <w:t>jak również</w:t>
      </w:r>
      <w:r w:rsidR="00351E14">
        <w:rPr>
          <w:shd w:val="clear" w:color="auto" w:fill="FFFFFF"/>
        </w:rPr>
        <w:t xml:space="preserve"> z</w:t>
      </w:r>
      <w:r w:rsidR="00E37E74">
        <w:rPr>
          <w:shd w:val="clear" w:color="auto" w:fill="FFFFFF"/>
        </w:rPr>
        <w:t xml:space="preserve"> </w:t>
      </w:r>
      <w:r w:rsidR="00B71DC7">
        <w:rPr>
          <w:shd w:val="clear" w:color="auto" w:fill="FFFFFF"/>
        </w:rPr>
        <w:t>lipcem</w:t>
      </w:r>
      <w:r w:rsidR="00E37E74">
        <w:rPr>
          <w:shd w:val="clear" w:color="auto" w:fill="FFFFFF"/>
        </w:rPr>
        <w:t xml:space="preserve"> 2024</w:t>
      </w:r>
      <w:r w:rsidR="00B76B2B">
        <w:rPr>
          <w:shd w:val="clear" w:color="auto" w:fill="FFFFFF"/>
        </w:rPr>
        <w:t> </w:t>
      </w:r>
      <w:r w:rsidR="00E37E74">
        <w:rPr>
          <w:shd w:val="clear" w:color="auto" w:fill="FFFFFF"/>
        </w:rPr>
        <w:t xml:space="preserve">r. </w:t>
      </w:r>
      <w:r w:rsidR="00493048">
        <w:rPr>
          <w:shd w:val="clear" w:color="auto" w:fill="FFFFFF"/>
        </w:rPr>
        <w:t>(</w:t>
      </w:r>
      <w:r w:rsidR="00E37E74">
        <w:rPr>
          <w:shd w:val="clear" w:color="auto" w:fill="FFFFFF"/>
        </w:rPr>
        <w:t xml:space="preserve">o </w:t>
      </w:r>
      <w:r w:rsidR="00E4224F">
        <w:rPr>
          <w:shd w:val="clear" w:color="auto" w:fill="FFFFFF"/>
        </w:rPr>
        <w:t>3,2</w:t>
      </w:r>
      <w:r w:rsidR="00E37E74">
        <w:rPr>
          <w:shd w:val="clear" w:color="auto" w:fill="FFFFFF"/>
        </w:rPr>
        <w:t>%</w:t>
      </w:r>
      <w:r w:rsidR="00493048">
        <w:rPr>
          <w:shd w:val="clear" w:color="auto" w:fill="FFFFFF"/>
        </w:rPr>
        <w:t>)</w:t>
      </w:r>
      <w:r w:rsidR="00E37E74">
        <w:rPr>
          <w:shd w:val="clear" w:color="auto" w:fill="FFFFFF"/>
        </w:rPr>
        <w:t>.</w:t>
      </w:r>
    </w:p>
    <w:p w:rsidR="00E95B8E" w:rsidRDefault="00CB6AD4" w:rsidP="00E95B8E">
      <w:pPr>
        <w:pStyle w:val="Nagwek1"/>
        <w:rPr>
          <w:rFonts w:ascii="Fira Sans" w:hAnsi="Fira Sans"/>
          <w:b/>
          <w:szCs w:val="19"/>
        </w:rPr>
      </w:pPr>
      <w:r w:rsidRPr="00E231AB">
        <w:rPr>
          <w:shd w:val="clear" w:color="auto" w:fill="FFFFFF"/>
        </w:rPr>
        <w:br/>
      </w:r>
    </w:p>
    <w:p w:rsidR="007A226F" w:rsidRDefault="007A226F" w:rsidP="001578AB">
      <w:pPr>
        <w:jc w:val="both"/>
        <w:rPr>
          <w:shd w:val="clear" w:color="auto" w:fill="FFFFFF"/>
        </w:rPr>
      </w:pPr>
    </w:p>
    <w:p w:rsidR="001578AB" w:rsidRPr="009B7A1C" w:rsidRDefault="00985B42" w:rsidP="001578AB">
      <w:pPr>
        <w:jc w:val="both"/>
        <w:rPr>
          <w:shd w:val="clear" w:color="auto" w:fill="FFFFFF"/>
        </w:rPr>
      </w:pPr>
      <w:r>
        <w:rPr>
          <w:shd w:val="clear" w:color="auto" w:fill="FFFFFF"/>
        </w:rPr>
        <w:t xml:space="preserve">W </w:t>
      </w:r>
      <w:r w:rsidR="00E4224F">
        <w:rPr>
          <w:shd w:val="clear" w:color="auto" w:fill="FFFFFF"/>
        </w:rPr>
        <w:t>lipcu</w:t>
      </w:r>
      <w:r w:rsidR="00470779">
        <w:rPr>
          <w:shd w:val="clear" w:color="auto" w:fill="FFFFFF"/>
        </w:rPr>
        <w:t xml:space="preserve"> </w:t>
      </w:r>
      <w:r w:rsidR="001578AB" w:rsidRPr="001857EF">
        <w:rPr>
          <w:shd w:val="clear" w:color="auto" w:fill="FFFFFF"/>
        </w:rPr>
        <w:t>202</w:t>
      </w:r>
      <w:r w:rsidR="005E2FD9">
        <w:rPr>
          <w:shd w:val="clear" w:color="auto" w:fill="FFFFFF"/>
        </w:rPr>
        <w:t>5</w:t>
      </w:r>
      <w:r w:rsidR="000E6EA7">
        <w:rPr>
          <w:shd w:val="clear" w:color="auto" w:fill="FFFFFF"/>
        </w:rPr>
        <w:t> </w:t>
      </w:r>
      <w:r w:rsidR="001578AB" w:rsidRPr="001857EF">
        <w:rPr>
          <w:shd w:val="clear" w:color="auto" w:fill="FFFFFF"/>
        </w:rPr>
        <w:t>r.</w:t>
      </w:r>
      <w:r w:rsidR="001578AB" w:rsidRPr="00EE2C6C">
        <w:rPr>
          <w:shd w:val="clear" w:color="auto" w:fill="FFFFFF"/>
        </w:rPr>
        <w:t xml:space="preserve"> w stosunku do </w:t>
      </w:r>
      <w:r w:rsidR="00B0698C">
        <w:rPr>
          <w:shd w:val="clear" w:color="auto" w:fill="FFFFFF"/>
        </w:rPr>
        <w:t>poprzedniego miesiąca</w:t>
      </w:r>
      <w:r w:rsidR="00EE4384">
        <w:rPr>
          <w:shd w:val="clear" w:color="auto" w:fill="FFFFFF"/>
        </w:rPr>
        <w:t xml:space="preserve"> </w:t>
      </w:r>
      <w:r w:rsidR="005D68D7">
        <w:rPr>
          <w:shd w:val="clear" w:color="auto" w:fill="FFFFFF"/>
        </w:rPr>
        <w:t xml:space="preserve">ceny </w:t>
      </w:r>
      <w:r w:rsidR="00351E14">
        <w:rPr>
          <w:shd w:val="clear" w:color="auto" w:fill="FFFFFF"/>
        </w:rPr>
        <w:t xml:space="preserve">robót </w:t>
      </w:r>
      <w:r w:rsidR="00351E14" w:rsidRPr="009B7A1C">
        <w:rPr>
          <w:shd w:val="clear" w:color="auto" w:fill="FFFFFF"/>
        </w:rPr>
        <w:t>obiektów inżynierii lądowej</w:t>
      </w:r>
      <w:r w:rsidR="00351E14">
        <w:rPr>
          <w:shd w:val="clear" w:color="auto" w:fill="FFFFFF"/>
        </w:rPr>
        <w:t xml:space="preserve"> </w:t>
      </w:r>
      <w:r w:rsidR="00351E14" w:rsidRPr="00C264A5">
        <w:rPr>
          <w:shd w:val="clear" w:color="auto" w:fill="FFFFFF"/>
        </w:rPr>
        <w:t>i </w:t>
      </w:r>
      <w:r w:rsidR="00351E14" w:rsidRPr="00B74669">
        <w:rPr>
          <w:shd w:val="clear" w:color="auto" w:fill="FFFFFF"/>
        </w:rPr>
        <w:t>wodne</w:t>
      </w:r>
      <w:r w:rsidR="00351E14">
        <w:rPr>
          <w:shd w:val="clear" w:color="auto" w:fill="FFFFFF"/>
        </w:rPr>
        <w:t xml:space="preserve">j </w:t>
      </w:r>
      <w:r w:rsidR="00A41E61">
        <w:rPr>
          <w:shd w:val="clear" w:color="auto" w:fill="FFFFFF"/>
        </w:rPr>
        <w:t xml:space="preserve">oraz robót </w:t>
      </w:r>
      <w:r w:rsidR="00A41E61" w:rsidRPr="009B7A1C">
        <w:rPr>
          <w:shd w:val="clear" w:color="auto" w:fill="FFFFFF"/>
        </w:rPr>
        <w:t xml:space="preserve">budowlanych </w:t>
      </w:r>
      <w:r w:rsidR="00A41E61" w:rsidRPr="00BE7526">
        <w:rPr>
          <w:shd w:val="clear" w:color="auto" w:fill="FFFFFF"/>
        </w:rPr>
        <w:t>specjalistycznych</w:t>
      </w:r>
      <w:r w:rsidR="00A41E61">
        <w:rPr>
          <w:shd w:val="clear" w:color="auto" w:fill="FFFFFF"/>
        </w:rPr>
        <w:t xml:space="preserve"> </w:t>
      </w:r>
      <w:r w:rsidR="007614E8">
        <w:rPr>
          <w:shd w:val="clear" w:color="auto" w:fill="FFFFFF"/>
        </w:rPr>
        <w:t>wzrosły o</w:t>
      </w:r>
      <w:r w:rsidR="00351E14" w:rsidRPr="00BB0728">
        <w:rPr>
          <w:shd w:val="clear" w:color="auto" w:fill="FFFFFF"/>
        </w:rPr>
        <w:t xml:space="preserve"> 0</w:t>
      </w:r>
      <w:r w:rsidR="00A41E61">
        <w:rPr>
          <w:shd w:val="clear" w:color="auto" w:fill="FFFFFF"/>
        </w:rPr>
        <w:t>,6</w:t>
      </w:r>
      <w:r w:rsidR="00351E14" w:rsidRPr="00BB0728">
        <w:rPr>
          <w:shd w:val="clear" w:color="auto" w:fill="FFFFFF"/>
        </w:rPr>
        <w:t>%</w:t>
      </w:r>
      <w:r w:rsidR="00351E14">
        <w:rPr>
          <w:shd w:val="clear" w:color="auto" w:fill="FFFFFF"/>
        </w:rPr>
        <w:t xml:space="preserve">, a ceny </w:t>
      </w:r>
      <w:r w:rsidR="002758A3">
        <w:rPr>
          <w:shd w:val="clear" w:color="auto" w:fill="FFFFFF"/>
        </w:rPr>
        <w:t xml:space="preserve">budowy budynków </w:t>
      </w:r>
      <w:r w:rsidR="00A41E61">
        <w:rPr>
          <w:shd w:val="clear" w:color="auto" w:fill="FFFFFF"/>
        </w:rPr>
        <w:t>o 0,4%</w:t>
      </w:r>
      <w:r w:rsidR="00B71DC7">
        <w:rPr>
          <w:shd w:val="clear" w:color="auto" w:fill="FFFFFF"/>
        </w:rPr>
        <w:t>.</w:t>
      </w:r>
      <w:r w:rsidR="00A41E61">
        <w:rPr>
          <w:shd w:val="clear" w:color="auto" w:fill="FFFFFF"/>
        </w:rPr>
        <w:t xml:space="preserve"> </w:t>
      </w:r>
    </w:p>
    <w:p w:rsidR="001578AB" w:rsidRDefault="001578AB" w:rsidP="001578AB">
      <w:pPr>
        <w:jc w:val="both"/>
        <w:rPr>
          <w:shd w:val="clear" w:color="auto" w:fill="FFFFFF"/>
        </w:rPr>
      </w:pPr>
      <w:r w:rsidRPr="001E7DD5">
        <w:rPr>
          <w:shd w:val="clear" w:color="auto" w:fill="FFFFFF"/>
        </w:rPr>
        <w:t xml:space="preserve">W porównaniu </w:t>
      </w:r>
      <w:r w:rsidR="00B0698C">
        <w:rPr>
          <w:shd w:val="clear" w:color="auto" w:fill="FFFFFF"/>
        </w:rPr>
        <w:t xml:space="preserve">z </w:t>
      </w:r>
      <w:r w:rsidR="00A41E61">
        <w:rPr>
          <w:shd w:val="clear" w:color="auto" w:fill="FFFFFF"/>
        </w:rPr>
        <w:t>lipcem</w:t>
      </w:r>
      <w:r w:rsidR="00B0698C">
        <w:rPr>
          <w:shd w:val="clear" w:color="auto" w:fill="FFFFFF"/>
        </w:rPr>
        <w:t xml:space="preserve"> 202</w:t>
      </w:r>
      <w:r w:rsidR="00204830">
        <w:rPr>
          <w:shd w:val="clear" w:color="auto" w:fill="FFFFFF"/>
        </w:rPr>
        <w:t>4</w:t>
      </w:r>
      <w:r w:rsidR="005D4AA9">
        <w:rPr>
          <w:shd w:val="clear" w:color="auto" w:fill="FFFFFF"/>
        </w:rPr>
        <w:t xml:space="preserve"> </w:t>
      </w:r>
      <w:r w:rsidRPr="00484223">
        <w:rPr>
          <w:shd w:val="clear" w:color="auto" w:fill="FFFFFF"/>
        </w:rPr>
        <w:t>r.</w:t>
      </w:r>
      <w:r w:rsidRPr="001D2F4B">
        <w:rPr>
          <w:shd w:val="clear" w:color="auto" w:fill="FFFFFF"/>
        </w:rPr>
        <w:t xml:space="preserve"> </w:t>
      </w:r>
      <w:r w:rsidR="007614E8">
        <w:rPr>
          <w:shd w:val="clear" w:color="auto" w:fill="FFFFFF"/>
        </w:rPr>
        <w:t xml:space="preserve">odnotowano wzrost </w:t>
      </w:r>
      <w:r>
        <w:rPr>
          <w:shd w:val="clear" w:color="auto" w:fill="FFFFFF"/>
        </w:rPr>
        <w:t>cen</w:t>
      </w:r>
      <w:r w:rsidRPr="00AC14C9">
        <w:rPr>
          <w:shd w:val="clear" w:color="auto" w:fill="FFFFFF"/>
        </w:rPr>
        <w:t xml:space="preserve"> </w:t>
      </w:r>
      <w:r w:rsidR="00AB1612">
        <w:rPr>
          <w:shd w:val="clear" w:color="auto" w:fill="FFFFFF"/>
        </w:rPr>
        <w:t xml:space="preserve">budowy obiektów </w:t>
      </w:r>
      <w:r w:rsidR="00AB1612" w:rsidRPr="00AC14C9">
        <w:rPr>
          <w:shd w:val="clear" w:color="auto" w:fill="FFFFFF"/>
        </w:rPr>
        <w:t>in</w:t>
      </w:r>
      <w:r w:rsidR="00AB1612">
        <w:rPr>
          <w:shd w:val="clear" w:color="auto" w:fill="FFFFFF"/>
        </w:rPr>
        <w:t>żynierii lądowej i</w:t>
      </w:r>
      <w:r w:rsidR="001D40F0">
        <w:rPr>
          <w:shd w:val="clear" w:color="auto" w:fill="FFFFFF"/>
        </w:rPr>
        <w:t> </w:t>
      </w:r>
      <w:r w:rsidR="00AB1612" w:rsidRPr="00256333">
        <w:rPr>
          <w:shd w:val="clear" w:color="auto" w:fill="FFFFFF"/>
        </w:rPr>
        <w:t xml:space="preserve">wodnej </w:t>
      </w:r>
      <w:r w:rsidR="00351E14">
        <w:rPr>
          <w:shd w:val="clear" w:color="auto" w:fill="FFFFFF"/>
        </w:rPr>
        <w:t>(o 3,</w:t>
      </w:r>
      <w:r w:rsidR="00A41E61">
        <w:rPr>
          <w:shd w:val="clear" w:color="auto" w:fill="FFFFFF"/>
        </w:rPr>
        <w:t>3</w:t>
      </w:r>
      <w:r w:rsidR="00351E14">
        <w:rPr>
          <w:shd w:val="clear" w:color="auto" w:fill="FFFFFF"/>
        </w:rPr>
        <w:t>%),</w:t>
      </w:r>
      <w:r w:rsidR="00A41E61" w:rsidRPr="00A41E61">
        <w:rPr>
          <w:shd w:val="clear" w:color="auto" w:fill="FFFFFF"/>
        </w:rPr>
        <w:t xml:space="preserve"> </w:t>
      </w:r>
      <w:r w:rsidR="00A41E61" w:rsidRPr="00B50F19">
        <w:rPr>
          <w:shd w:val="clear" w:color="auto" w:fill="FFFFFF"/>
        </w:rPr>
        <w:t xml:space="preserve">robót budowlanych </w:t>
      </w:r>
      <w:r w:rsidR="00A41E61" w:rsidRPr="005F760E">
        <w:rPr>
          <w:shd w:val="clear" w:color="auto" w:fill="FFFFFF"/>
        </w:rPr>
        <w:t>specjalistycznych</w:t>
      </w:r>
      <w:r w:rsidR="00A41E61">
        <w:rPr>
          <w:shd w:val="clear" w:color="auto" w:fill="FFFFFF"/>
        </w:rPr>
        <w:t xml:space="preserve"> (o 3,1%)</w:t>
      </w:r>
      <w:r w:rsidR="000E25BD">
        <w:rPr>
          <w:shd w:val="clear" w:color="auto" w:fill="FFFFFF"/>
        </w:rPr>
        <w:t>, a także</w:t>
      </w:r>
      <w:r w:rsidR="00A41E61" w:rsidRPr="00A41E61">
        <w:rPr>
          <w:shd w:val="clear" w:color="auto" w:fill="FFFFFF"/>
        </w:rPr>
        <w:t xml:space="preserve"> </w:t>
      </w:r>
      <w:r w:rsidR="00A41E61" w:rsidRPr="00AC14C9">
        <w:rPr>
          <w:shd w:val="clear" w:color="auto" w:fill="FFFFFF"/>
        </w:rPr>
        <w:t xml:space="preserve">budowy </w:t>
      </w:r>
      <w:r w:rsidR="00A41E61" w:rsidRPr="004F3870">
        <w:rPr>
          <w:shd w:val="clear" w:color="auto" w:fill="FFFFFF"/>
        </w:rPr>
        <w:t>budynków</w:t>
      </w:r>
      <w:r w:rsidR="00A41E61">
        <w:rPr>
          <w:shd w:val="clear" w:color="auto" w:fill="FFFFFF"/>
        </w:rPr>
        <w:t xml:space="preserve"> (o 3,0%)</w:t>
      </w:r>
      <w:r w:rsidR="00B0698C">
        <w:rPr>
          <w:shd w:val="clear" w:color="auto" w:fill="FFFFFF"/>
        </w:rPr>
        <w:t>.</w:t>
      </w:r>
    </w:p>
    <w:p w:rsidR="005F0A89" w:rsidRDefault="005F0A89" w:rsidP="001578AB">
      <w:pPr>
        <w:jc w:val="both"/>
        <w:rPr>
          <w:shd w:val="clear" w:color="auto" w:fill="FFFFFF"/>
        </w:rPr>
      </w:pPr>
      <w:bookmarkStart w:id="0" w:name="_GoBack"/>
      <w:bookmarkEnd w:id="0"/>
    </w:p>
    <w:p w:rsidR="00D308D5" w:rsidRDefault="00D308D5" w:rsidP="00667416">
      <w:pPr>
        <w:pStyle w:val="Tytutablicy"/>
        <w:spacing w:before="120" w:after="0"/>
        <w:rPr>
          <w:shd w:val="clear" w:color="auto" w:fill="FFFFFF"/>
        </w:rPr>
      </w:pPr>
      <w:r>
        <w:rPr>
          <w:shd w:val="clear" w:color="auto" w:fill="FFFFFF"/>
        </w:rPr>
        <w:t xml:space="preserve">Tablica 1. </w:t>
      </w:r>
      <w:r w:rsidRPr="00D308D5">
        <w:rPr>
          <w:shd w:val="clear" w:color="auto" w:fill="FFFFFF"/>
        </w:rPr>
        <w:t xml:space="preserve">Wskaźniki cen produkcji budowlano-montażowej </w:t>
      </w:r>
    </w:p>
    <w:tbl>
      <w:tblPr>
        <w:tblStyle w:val="Tabela-Siatka"/>
        <w:tblpPr w:leftFromText="141" w:rightFromText="141" w:vertAnchor="text" w:horzAnchor="margin" w:tblpY="182"/>
        <w:tblW w:w="7636"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budowlano-montażowej"/>
        <w:tblDescription w:val="Wskaźniki cen produkcji budowlano-montażowej w różnych okresach odniesienia: czerwiec 2025 r. do maja 2025 r., czerwiec 2025 r. do analogicznego okresu  ubiegłego roku tj. czerwca 2024 r., lipiec 2025 r. do analogicznego okresu ubiegłego roku, tj. do lipca 2024 r., lipiec 2025 r. do czerwca 2025 r., lipiec 2025 r. do grudnia 2024 r., narastająco styczeń - lipiec 2025 r. do stycznia - lipca 2024 r."/>
      </w:tblPr>
      <w:tblGrid>
        <w:gridCol w:w="2193"/>
        <w:gridCol w:w="907"/>
        <w:gridCol w:w="907"/>
        <w:gridCol w:w="907"/>
        <w:gridCol w:w="907"/>
        <w:gridCol w:w="907"/>
        <w:gridCol w:w="908"/>
      </w:tblGrid>
      <w:tr w:rsidR="00DD65FD" w:rsidRPr="007A5D6D" w:rsidTr="00900E1E">
        <w:tc>
          <w:tcPr>
            <w:tcW w:w="2193" w:type="dxa"/>
            <w:vMerge w:val="restart"/>
            <w:tcBorders>
              <w:top w:val="single" w:sz="4" w:space="0" w:color="auto"/>
            </w:tcBorders>
            <w:vAlign w:val="center"/>
          </w:tcPr>
          <w:p w:rsidR="00DD65FD" w:rsidRPr="007A5D6D" w:rsidRDefault="006E189F" w:rsidP="00853262">
            <w:pPr>
              <w:jc w:val="center"/>
              <w:rPr>
                <w:sz w:val="16"/>
                <w:szCs w:val="16"/>
                <w:shd w:val="clear" w:color="auto" w:fill="FFFFFF"/>
              </w:rPr>
            </w:pPr>
            <w:r w:rsidRPr="007A5D6D">
              <w:rPr>
                <w:rFonts w:cs="Arial"/>
                <w:color w:val="000000" w:themeColor="text1"/>
                <w:sz w:val="16"/>
                <w:szCs w:val="16"/>
              </w:rPr>
              <w:t>W</w:t>
            </w:r>
            <w:r>
              <w:rPr>
                <w:rFonts w:cs="Arial"/>
                <w:color w:val="000000" w:themeColor="text1"/>
                <w:sz w:val="16"/>
                <w:szCs w:val="16"/>
              </w:rPr>
              <w:t>yszczególnienie</w:t>
            </w:r>
          </w:p>
        </w:tc>
        <w:tc>
          <w:tcPr>
            <w:tcW w:w="1814" w:type="dxa"/>
            <w:gridSpan w:val="2"/>
            <w:tcBorders>
              <w:top w:val="single" w:sz="4" w:space="0" w:color="auto"/>
              <w:bottom w:val="single" w:sz="4" w:space="0" w:color="001D77"/>
            </w:tcBorders>
          </w:tcPr>
          <w:p w:rsidR="00DD65FD" w:rsidRPr="007A5D6D" w:rsidRDefault="00DD65FD" w:rsidP="00853262">
            <w:pPr>
              <w:jc w:val="center"/>
              <w:rPr>
                <w:sz w:val="16"/>
                <w:szCs w:val="16"/>
                <w:shd w:val="clear" w:color="auto" w:fill="FFFFFF"/>
              </w:rPr>
            </w:pPr>
            <w:r>
              <w:rPr>
                <w:color w:val="000000" w:themeColor="text1"/>
                <w:sz w:val="16"/>
                <w:szCs w:val="16"/>
              </w:rPr>
              <w:t>0</w:t>
            </w:r>
            <w:r w:rsidR="00E4224F">
              <w:rPr>
                <w:color w:val="000000" w:themeColor="text1"/>
                <w:sz w:val="16"/>
                <w:szCs w:val="16"/>
              </w:rPr>
              <w:t>6</w:t>
            </w:r>
            <w:r w:rsidRPr="007A5D6D">
              <w:rPr>
                <w:color w:val="000000" w:themeColor="text1"/>
                <w:sz w:val="16"/>
                <w:szCs w:val="16"/>
              </w:rPr>
              <w:t xml:space="preserve"> 202</w:t>
            </w:r>
            <w:r>
              <w:rPr>
                <w:color w:val="000000" w:themeColor="text1"/>
                <w:sz w:val="16"/>
                <w:szCs w:val="16"/>
              </w:rPr>
              <w:t>5</w:t>
            </w:r>
          </w:p>
        </w:tc>
        <w:tc>
          <w:tcPr>
            <w:tcW w:w="2721" w:type="dxa"/>
            <w:gridSpan w:val="3"/>
            <w:tcBorders>
              <w:top w:val="single" w:sz="4" w:space="0" w:color="auto"/>
              <w:bottom w:val="single" w:sz="4" w:space="0" w:color="001D77"/>
            </w:tcBorders>
          </w:tcPr>
          <w:p w:rsidR="00DD65FD" w:rsidRPr="007A5D6D" w:rsidRDefault="00DD65FD" w:rsidP="00853262">
            <w:pPr>
              <w:jc w:val="center"/>
              <w:rPr>
                <w:color w:val="000000" w:themeColor="text1"/>
                <w:sz w:val="16"/>
                <w:szCs w:val="16"/>
              </w:rPr>
            </w:pPr>
            <w:r w:rsidRPr="007A5D6D">
              <w:rPr>
                <w:color w:val="000000" w:themeColor="text1"/>
                <w:sz w:val="16"/>
                <w:szCs w:val="16"/>
              </w:rPr>
              <w:t>0</w:t>
            </w:r>
            <w:r w:rsidR="00E4224F">
              <w:rPr>
                <w:color w:val="000000" w:themeColor="text1"/>
                <w:sz w:val="16"/>
                <w:szCs w:val="16"/>
              </w:rPr>
              <w:t>7</w:t>
            </w:r>
            <w:r w:rsidRPr="007A5D6D">
              <w:rPr>
                <w:color w:val="000000" w:themeColor="text1"/>
                <w:sz w:val="16"/>
                <w:szCs w:val="16"/>
              </w:rPr>
              <w:t xml:space="preserve"> 202</w:t>
            </w:r>
            <w:r>
              <w:rPr>
                <w:color w:val="000000" w:themeColor="text1"/>
                <w:sz w:val="16"/>
                <w:szCs w:val="16"/>
              </w:rPr>
              <w:t>5</w:t>
            </w:r>
          </w:p>
        </w:tc>
        <w:tc>
          <w:tcPr>
            <w:tcW w:w="908" w:type="dxa"/>
            <w:tcBorders>
              <w:top w:val="single" w:sz="4" w:space="0" w:color="auto"/>
              <w:bottom w:val="single" w:sz="4" w:space="0" w:color="001D77"/>
            </w:tcBorders>
          </w:tcPr>
          <w:p w:rsidR="00DD65FD" w:rsidRPr="007A5D6D" w:rsidRDefault="00DD65FD" w:rsidP="00853262">
            <w:pPr>
              <w:jc w:val="center"/>
              <w:rPr>
                <w:color w:val="000000" w:themeColor="text1"/>
                <w:sz w:val="16"/>
                <w:szCs w:val="16"/>
              </w:rPr>
            </w:pPr>
            <w:r w:rsidRPr="007A5D6D">
              <w:rPr>
                <w:color w:val="000000" w:themeColor="text1"/>
                <w:sz w:val="16"/>
                <w:szCs w:val="16"/>
              </w:rPr>
              <w:t>01</w:t>
            </w:r>
            <w:r w:rsidR="002953E6">
              <w:rPr>
                <w:color w:val="000000" w:themeColor="text1"/>
                <w:sz w:val="16"/>
                <w:szCs w:val="16"/>
              </w:rPr>
              <w:t>‒</w:t>
            </w:r>
            <w:r>
              <w:rPr>
                <w:color w:val="000000" w:themeColor="text1"/>
                <w:sz w:val="16"/>
                <w:szCs w:val="16"/>
              </w:rPr>
              <w:t>0</w:t>
            </w:r>
            <w:r w:rsidR="00E4224F">
              <w:rPr>
                <w:color w:val="000000" w:themeColor="text1"/>
                <w:sz w:val="16"/>
                <w:szCs w:val="16"/>
              </w:rPr>
              <w:t>7</w:t>
            </w:r>
            <w:r w:rsidRPr="007A5D6D">
              <w:rPr>
                <w:color w:val="000000" w:themeColor="text1"/>
                <w:sz w:val="16"/>
                <w:szCs w:val="16"/>
              </w:rPr>
              <w:t xml:space="preserve"> 202</w:t>
            </w:r>
            <w:r>
              <w:rPr>
                <w:color w:val="000000" w:themeColor="text1"/>
                <w:sz w:val="16"/>
                <w:szCs w:val="16"/>
              </w:rPr>
              <w:t>5</w:t>
            </w:r>
          </w:p>
        </w:tc>
      </w:tr>
      <w:tr w:rsidR="000C6803" w:rsidRPr="007A5D6D" w:rsidTr="00481D94">
        <w:tc>
          <w:tcPr>
            <w:tcW w:w="2193" w:type="dxa"/>
            <w:vMerge/>
            <w:tcBorders>
              <w:bottom w:val="single" w:sz="12" w:space="0" w:color="001D77"/>
            </w:tcBorders>
          </w:tcPr>
          <w:p w:rsidR="000C6803" w:rsidRPr="007A5D6D" w:rsidRDefault="000C6803" w:rsidP="000C6803">
            <w:pPr>
              <w:jc w:val="center"/>
              <w:rPr>
                <w:sz w:val="16"/>
                <w:szCs w:val="16"/>
                <w:shd w:val="clear" w:color="auto" w:fill="FFFFFF"/>
              </w:rPr>
            </w:pPr>
          </w:p>
        </w:tc>
        <w:tc>
          <w:tcPr>
            <w:tcW w:w="907" w:type="dxa"/>
            <w:tcBorders>
              <w:top w:val="single" w:sz="4" w:space="0" w:color="001D77"/>
              <w:bottom w:val="single" w:sz="12" w:space="0" w:color="001D77"/>
            </w:tcBorders>
            <w:vAlign w:val="center"/>
          </w:tcPr>
          <w:p w:rsidR="000C6803" w:rsidRPr="007A5D6D" w:rsidRDefault="000C6803" w:rsidP="000C6803">
            <w:pPr>
              <w:jc w:val="center"/>
              <w:rPr>
                <w:color w:val="000000" w:themeColor="text1"/>
                <w:spacing w:val="-12"/>
                <w:sz w:val="16"/>
                <w:szCs w:val="16"/>
              </w:rPr>
            </w:pPr>
            <w:r>
              <w:rPr>
                <w:color w:val="000000" w:themeColor="text1"/>
                <w:spacing w:val="-12"/>
                <w:sz w:val="16"/>
                <w:szCs w:val="16"/>
              </w:rPr>
              <w:t>0</w:t>
            </w:r>
            <w:r w:rsidR="00E4224F">
              <w:rPr>
                <w:color w:val="000000" w:themeColor="text1"/>
                <w:spacing w:val="-12"/>
                <w:sz w:val="16"/>
                <w:szCs w:val="16"/>
              </w:rPr>
              <w:t xml:space="preserve">5 </w:t>
            </w:r>
            <w:r>
              <w:rPr>
                <w:color w:val="000000" w:themeColor="text1"/>
                <w:spacing w:val="-12"/>
                <w:sz w:val="16"/>
                <w:szCs w:val="16"/>
              </w:rPr>
              <w:t>2025=100</w:t>
            </w:r>
          </w:p>
        </w:tc>
        <w:tc>
          <w:tcPr>
            <w:tcW w:w="1814" w:type="dxa"/>
            <w:gridSpan w:val="2"/>
            <w:tcBorders>
              <w:top w:val="single" w:sz="4" w:space="0" w:color="001D77"/>
              <w:bottom w:val="single" w:sz="12" w:space="0" w:color="001D77"/>
            </w:tcBorders>
          </w:tcPr>
          <w:p w:rsidR="000C6803" w:rsidRPr="007A5D6D" w:rsidRDefault="000C6803" w:rsidP="000C6803">
            <w:pPr>
              <w:jc w:val="center"/>
              <w:rPr>
                <w:color w:val="000000" w:themeColor="text1"/>
                <w:spacing w:val="-12"/>
                <w:sz w:val="16"/>
                <w:szCs w:val="16"/>
              </w:rPr>
            </w:pPr>
            <w:r w:rsidRPr="007A5D6D">
              <w:rPr>
                <w:color w:val="000000" w:themeColor="text1"/>
                <w:sz w:val="16"/>
                <w:szCs w:val="16"/>
              </w:rPr>
              <w:t>analogiczny okres</w:t>
            </w:r>
            <w:r>
              <w:rPr>
                <w:color w:val="000000" w:themeColor="text1"/>
                <w:sz w:val="16"/>
                <w:szCs w:val="16"/>
              </w:rPr>
              <w:t xml:space="preserve"> </w:t>
            </w:r>
            <w:r w:rsidRPr="007A5D6D">
              <w:rPr>
                <w:color w:val="000000" w:themeColor="text1"/>
                <w:sz w:val="16"/>
                <w:szCs w:val="16"/>
              </w:rPr>
              <w:t>202</w:t>
            </w:r>
            <w:r>
              <w:rPr>
                <w:color w:val="000000" w:themeColor="text1"/>
                <w:sz w:val="16"/>
                <w:szCs w:val="16"/>
              </w:rPr>
              <w:t>4</w:t>
            </w:r>
            <w:r w:rsidRPr="007A5D6D">
              <w:rPr>
                <w:color w:val="000000" w:themeColor="text1"/>
                <w:sz w:val="16"/>
                <w:szCs w:val="16"/>
              </w:rPr>
              <w:t>=100</w:t>
            </w:r>
          </w:p>
        </w:tc>
        <w:tc>
          <w:tcPr>
            <w:tcW w:w="907" w:type="dxa"/>
            <w:tcBorders>
              <w:top w:val="single" w:sz="4" w:space="0" w:color="001D77"/>
              <w:bottom w:val="single" w:sz="12" w:space="0" w:color="001D77"/>
            </w:tcBorders>
            <w:vAlign w:val="center"/>
          </w:tcPr>
          <w:p w:rsidR="000C6803" w:rsidRPr="007A5D6D" w:rsidRDefault="000C6803" w:rsidP="000C6803">
            <w:pPr>
              <w:jc w:val="center"/>
              <w:rPr>
                <w:color w:val="000000" w:themeColor="text1"/>
                <w:spacing w:val="-12"/>
                <w:sz w:val="16"/>
                <w:szCs w:val="16"/>
              </w:rPr>
            </w:pPr>
            <w:r>
              <w:rPr>
                <w:color w:val="000000" w:themeColor="text1"/>
                <w:spacing w:val="-12"/>
                <w:sz w:val="16"/>
                <w:szCs w:val="16"/>
              </w:rPr>
              <w:t>0</w:t>
            </w:r>
            <w:r w:rsidR="00E4224F">
              <w:rPr>
                <w:color w:val="000000" w:themeColor="text1"/>
                <w:spacing w:val="-12"/>
                <w:sz w:val="16"/>
                <w:szCs w:val="16"/>
              </w:rPr>
              <w:t>6</w:t>
            </w:r>
            <w:r>
              <w:rPr>
                <w:color w:val="000000" w:themeColor="text1"/>
                <w:spacing w:val="-12"/>
                <w:sz w:val="16"/>
                <w:szCs w:val="16"/>
              </w:rPr>
              <w:t xml:space="preserve"> 2025=100</w:t>
            </w:r>
          </w:p>
        </w:tc>
        <w:tc>
          <w:tcPr>
            <w:tcW w:w="907" w:type="dxa"/>
            <w:tcBorders>
              <w:top w:val="single" w:sz="4" w:space="0" w:color="001D77"/>
              <w:bottom w:val="single" w:sz="12" w:space="0" w:color="001D77"/>
            </w:tcBorders>
            <w:vAlign w:val="center"/>
          </w:tcPr>
          <w:p w:rsidR="000C6803" w:rsidRPr="00094D3C" w:rsidRDefault="000C6803" w:rsidP="000C6803">
            <w:pPr>
              <w:jc w:val="center"/>
              <w:rPr>
                <w:color w:val="000000" w:themeColor="text1"/>
                <w:sz w:val="16"/>
                <w:szCs w:val="16"/>
              </w:rPr>
            </w:pPr>
            <w:r w:rsidRPr="00094D3C">
              <w:rPr>
                <w:color w:val="000000" w:themeColor="text1"/>
                <w:spacing w:val="-12"/>
                <w:sz w:val="16"/>
                <w:szCs w:val="16"/>
              </w:rPr>
              <w:t>12 2024=100</w:t>
            </w:r>
          </w:p>
        </w:tc>
        <w:tc>
          <w:tcPr>
            <w:tcW w:w="908" w:type="dxa"/>
            <w:tcBorders>
              <w:top w:val="single" w:sz="4" w:space="0" w:color="001D77"/>
              <w:bottom w:val="single" w:sz="12" w:space="0" w:color="001D77"/>
            </w:tcBorders>
          </w:tcPr>
          <w:p w:rsidR="000C6803" w:rsidRPr="007A5D6D" w:rsidRDefault="000C6803" w:rsidP="000C6803">
            <w:pPr>
              <w:jc w:val="center"/>
              <w:rPr>
                <w:color w:val="000000" w:themeColor="text1"/>
                <w:sz w:val="16"/>
                <w:szCs w:val="16"/>
              </w:rPr>
            </w:pPr>
            <w:r>
              <w:rPr>
                <w:color w:val="000000" w:themeColor="text1"/>
                <w:sz w:val="16"/>
                <w:szCs w:val="16"/>
              </w:rPr>
              <w:t>01‒0</w:t>
            </w:r>
            <w:r w:rsidR="00E4224F">
              <w:rPr>
                <w:color w:val="000000" w:themeColor="text1"/>
                <w:sz w:val="16"/>
                <w:szCs w:val="16"/>
              </w:rPr>
              <w:t>7</w:t>
            </w:r>
            <w:r w:rsidRPr="007A5D6D">
              <w:rPr>
                <w:color w:val="000000" w:themeColor="text1"/>
                <w:sz w:val="16"/>
                <w:szCs w:val="16"/>
              </w:rPr>
              <w:t xml:space="preserve"> 202</w:t>
            </w:r>
            <w:r>
              <w:rPr>
                <w:color w:val="000000" w:themeColor="text1"/>
                <w:sz w:val="16"/>
                <w:szCs w:val="16"/>
              </w:rPr>
              <w:t>4</w:t>
            </w:r>
            <w:r w:rsidRPr="007A5D6D">
              <w:rPr>
                <w:color w:val="000000" w:themeColor="text1"/>
                <w:sz w:val="16"/>
                <w:szCs w:val="16"/>
              </w:rPr>
              <w:t>=100</w:t>
            </w:r>
          </w:p>
        </w:tc>
      </w:tr>
      <w:tr w:rsidR="00E4224F" w:rsidRPr="00A6799C" w:rsidTr="007B4A23">
        <w:tc>
          <w:tcPr>
            <w:tcW w:w="2193" w:type="dxa"/>
          </w:tcPr>
          <w:p w:rsidR="00E4224F" w:rsidRPr="00532A18" w:rsidRDefault="00E4224F" w:rsidP="00E4224F">
            <w:pPr>
              <w:rPr>
                <w:b/>
                <w:sz w:val="16"/>
                <w:szCs w:val="16"/>
                <w:shd w:val="clear" w:color="auto" w:fill="FFFFFF"/>
              </w:rPr>
            </w:pPr>
            <w:r w:rsidRPr="00532A18">
              <w:rPr>
                <w:b/>
                <w:color w:val="000000" w:themeColor="text1"/>
                <w:sz w:val="16"/>
                <w:szCs w:val="16"/>
              </w:rPr>
              <w:t>Ogółem</w:t>
            </w:r>
          </w:p>
        </w:tc>
        <w:tc>
          <w:tcPr>
            <w:tcW w:w="907" w:type="dxa"/>
            <w:vAlign w:val="center"/>
          </w:tcPr>
          <w:p w:rsidR="00E4224F" w:rsidRPr="00020112" w:rsidRDefault="00E4224F" w:rsidP="00E4224F">
            <w:pPr>
              <w:jc w:val="right"/>
              <w:rPr>
                <w:rFonts w:cs="Arial"/>
                <w:b/>
                <w:color w:val="000000" w:themeColor="text1"/>
                <w:sz w:val="16"/>
                <w:szCs w:val="16"/>
              </w:rPr>
            </w:pPr>
            <w:r>
              <w:rPr>
                <w:rFonts w:cs="Arial"/>
                <w:b/>
                <w:color w:val="000000" w:themeColor="text1"/>
                <w:sz w:val="16"/>
                <w:szCs w:val="16"/>
              </w:rPr>
              <w:t>100,1*</w:t>
            </w:r>
          </w:p>
        </w:tc>
        <w:tc>
          <w:tcPr>
            <w:tcW w:w="907" w:type="dxa"/>
            <w:vAlign w:val="center"/>
          </w:tcPr>
          <w:p w:rsidR="00E4224F" w:rsidRPr="00020112" w:rsidRDefault="00E4224F" w:rsidP="00E4224F">
            <w:pPr>
              <w:jc w:val="right"/>
              <w:rPr>
                <w:rFonts w:cs="Arial"/>
                <w:b/>
                <w:color w:val="000000" w:themeColor="text1"/>
                <w:sz w:val="16"/>
                <w:szCs w:val="16"/>
              </w:rPr>
            </w:pPr>
            <w:r>
              <w:rPr>
                <w:rFonts w:cs="Arial"/>
                <w:b/>
                <w:color w:val="000000" w:themeColor="text1"/>
                <w:sz w:val="16"/>
                <w:szCs w:val="16"/>
              </w:rPr>
              <w:t>103,0*</w:t>
            </w:r>
          </w:p>
        </w:tc>
        <w:tc>
          <w:tcPr>
            <w:tcW w:w="907" w:type="dxa"/>
            <w:vAlign w:val="center"/>
          </w:tcPr>
          <w:p w:rsidR="00E4224F" w:rsidRPr="00020112" w:rsidRDefault="00E4224F" w:rsidP="00E4224F">
            <w:pPr>
              <w:jc w:val="right"/>
              <w:rPr>
                <w:rFonts w:cs="Arial"/>
                <w:b/>
                <w:color w:val="000000" w:themeColor="text1"/>
                <w:sz w:val="16"/>
                <w:szCs w:val="16"/>
              </w:rPr>
            </w:pPr>
            <w:r>
              <w:rPr>
                <w:rFonts w:cs="Arial"/>
                <w:b/>
                <w:color w:val="000000" w:themeColor="text1"/>
                <w:sz w:val="16"/>
                <w:szCs w:val="16"/>
              </w:rPr>
              <w:t>103,2</w:t>
            </w:r>
          </w:p>
        </w:tc>
        <w:tc>
          <w:tcPr>
            <w:tcW w:w="907" w:type="dxa"/>
            <w:vAlign w:val="center"/>
          </w:tcPr>
          <w:p w:rsidR="00E4224F" w:rsidRPr="00020112" w:rsidRDefault="00E4224F" w:rsidP="00E4224F">
            <w:pPr>
              <w:jc w:val="right"/>
              <w:rPr>
                <w:rFonts w:cs="Arial"/>
                <w:b/>
                <w:color w:val="000000" w:themeColor="text1"/>
                <w:sz w:val="16"/>
                <w:szCs w:val="16"/>
              </w:rPr>
            </w:pPr>
            <w:r>
              <w:rPr>
                <w:rFonts w:cs="Arial"/>
                <w:b/>
                <w:color w:val="000000" w:themeColor="text1"/>
                <w:sz w:val="16"/>
                <w:szCs w:val="16"/>
              </w:rPr>
              <w:t>100,5</w:t>
            </w:r>
          </w:p>
        </w:tc>
        <w:tc>
          <w:tcPr>
            <w:tcW w:w="907" w:type="dxa"/>
            <w:vAlign w:val="center"/>
          </w:tcPr>
          <w:p w:rsidR="00E4224F" w:rsidRPr="008525F0" w:rsidRDefault="00E4224F" w:rsidP="00E4224F">
            <w:pPr>
              <w:jc w:val="right"/>
              <w:rPr>
                <w:rFonts w:cs="Arial"/>
                <w:b/>
                <w:color w:val="000000" w:themeColor="text1"/>
                <w:sz w:val="16"/>
                <w:szCs w:val="16"/>
              </w:rPr>
            </w:pPr>
            <w:r>
              <w:rPr>
                <w:rFonts w:cs="Arial"/>
                <w:b/>
                <w:color w:val="000000" w:themeColor="text1"/>
                <w:sz w:val="16"/>
                <w:szCs w:val="16"/>
              </w:rPr>
              <w:t>101,9</w:t>
            </w:r>
          </w:p>
        </w:tc>
        <w:tc>
          <w:tcPr>
            <w:tcW w:w="908" w:type="dxa"/>
            <w:vAlign w:val="center"/>
          </w:tcPr>
          <w:p w:rsidR="00E4224F" w:rsidRPr="008525F0" w:rsidRDefault="00E4224F" w:rsidP="00E4224F">
            <w:pPr>
              <w:jc w:val="right"/>
              <w:rPr>
                <w:rFonts w:cs="Arial"/>
                <w:b/>
                <w:color w:val="000000" w:themeColor="text1"/>
                <w:sz w:val="16"/>
                <w:szCs w:val="16"/>
              </w:rPr>
            </w:pPr>
            <w:r>
              <w:rPr>
                <w:rFonts w:cs="Arial"/>
                <w:b/>
                <w:color w:val="000000" w:themeColor="text1"/>
                <w:sz w:val="16"/>
                <w:szCs w:val="16"/>
              </w:rPr>
              <w:t>103,4</w:t>
            </w:r>
          </w:p>
        </w:tc>
      </w:tr>
      <w:tr w:rsidR="00E4224F" w:rsidRPr="00A6799C" w:rsidTr="007B4A23">
        <w:tc>
          <w:tcPr>
            <w:tcW w:w="2193" w:type="dxa"/>
          </w:tcPr>
          <w:p w:rsidR="00E4224F" w:rsidRPr="007A5D6D" w:rsidRDefault="00E4224F" w:rsidP="00E4224F">
            <w:pPr>
              <w:rPr>
                <w:sz w:val="16"/>
                <w:szCs w:val="16"/>
                <w:shd w:val="clear" w:color="auto" w:fill="FFFFFF"/>
              </w:rPr>
            </w:pPr>
            <w:r w:rsidRPr="007A5D6D">
              <w:rPr>
                <w:sz w:val="16"/>
                <w:szCs w:val="16"/>
              </w:rPr>
              <w:t xml:space="preserve">Budowa </w:t>
            </w:r>
            <w:proofErr w:type="spellStart"/>
            <w:r w:rsidRPr="007A5D6D">
              <w:rPr>
                <w:sz w:val="16"/>
                <w:szCs w:val="16"/>
              </w:rPr>
              <w:t>budynków</w:t>
            </w:r>
            <w:r w:rsidRPr="008525F0">
              <w:rPr>
                <w:rFonts w:cstheme="majorBidi"/>
                <w:color w:val="000000" w:themeColor="text1"/>
                <w:sz w:val="16"/>
                <w:szCs w:val="16"/>
                <w:vertAlign w:val="superscript"/>
              </w:rPr>
              <w:t>a</w:t>
            </w:r>
            <w:proofErr w:type="spellEnd"/>
          </w:p>
        </w:tc>
        <w:tc>
          <w:tcPr>
            <w:tcW w:w="907" w:type="dxa"/>
            <w:vAlign w:val="center"/>
          </w:tcPr>
          <w:p w:rsidR="00E4224F" w:rsidRPr="00770DB6" w:rsidRDefault="00E4224F" w:rsidP="00E4224F">
            <w:pPr>
              <w:jc w:val="right"/>
              <w:rPr>
                <w:rFonts w:cs="Arial"/>
                <w:color w:val="000000" w:themeColor="text1"/>
                <w:sz w:val="16"/>
                <w:szCs w:val="16"/>
              </w:rPr>
            </w:pPr>
            <w:r>
              <w:rPr>
                <w:rFonts w:cs="Arial"/>
                <w:color w:val="000000" w:themeColor="text1"/>
                <w:sz w:val="16"/>
                <w:szCs w:val="16"/>
              </w:rPr>
              <w:t>100,1*</w:t>
            </w:r>
          </w:p>
        </w:tc>
        <w:tc>
          <w:tcPr>
            <w:tcW w:w="907" w:type="dxa"/>
            <w:vAlign w:val="center"/>
          </w:tcPr>
          <w:p w:rsidR="00E4224F" w:rsidRPr="00770DB6" w:rsidRDefault="00E4224F" w:rsidP="00E4224F">
            <w:pPr>
              <w:jc w:val="right"/>
              <w:rPr>
                <w:rFonts w:cs="Arial"/>
                <w:color w:val="000000" w:themeColor="text1"/>
                <w:sz w:val="16"/>
                <w:szCs w:val="16"/>
              </w:rPr>
            </w:pPr>
            <w:r>
              <w:rPr>
                <w:rFonts w:cs="Arial"/>
                <w:color w:val="000000" w:themeColor="text1"/>
                <w:sz w:val="16"/>
                <w:szCs w:val="16"/>
              </w:rPr>
              <w:t>103,0*</w:t>
            </w:r>
          </w:p>
        </w:tc>
        <w:tc>
          <w:tcPr>
            <w:tcW w:w="907" w:type="dxa"/>
            <w:vAlign w:val="center"/>
          </w:tcPr>
          <w:p w:rsidR="00E4224F" w:rsidRPr="00770DB6" w:rsidRDefault="00E4224F" w:rsidP="00E4224F">
            <w:pPr>
              <w:jc w:val="right"/>
              <w:rPr>
                <w:rFonts w:cs="Arial"/>
                <w:color w:val="000000" w:themeColor="text1"/>
                <w:sz w:val="16"/>
                <w:szCs w:val="16"/>
              </w:rPr>
            </w:pPr>
            <w:r>
              <w:rPr>
                <w:rFonts w:cs="Arial"/>
                <w:color w:val="000000" w:themeColor="text1"/>
                <w:sz w:val="16"/>
                <w:szCs w:val="16"/>
              </w:rPr>
              <w:t>103,0</w:t>
            </w:r>
          </w:p>
        </w:tc>
        <w:tc>
          <w:tcPr>
            <w:tcW w:w="907" w:type="dxa"/>
            <w:vAlign w:val="center"/>
          </w:tcPr>
          <w:p w:rsidR="00E4224F" w:rsidRPr="00770DB6" w:rsidRDefault="00E4224F" w:rsidP="00E4224F">
            <w:pPr>
              <w:jc w:val="right"/>
              <w:rPr>
                <w:rFonts w:cs="Arial"/>
                <w:color w:val="000000" w:themeColor="text1"/>
                <w:sz w:val="16"/>
                <w:szCs w:val="16"/>
              </w:rPr>
            </w:pPr>
            <w:r>
              <w:rPr>
                <w:rFonts w:cs="Arial"/>
                <w:color w:val="000000" w:themeColor="text1"/>
                <w:sz w:val="16"/>
                <w:szCs w:val="16"/>
              </w:rPr>
              <w:t>100,4</w:t>
            </w:r>
          </w:p>
        </w:tc>
        <w:tc>
          <w:tcPr>
            <w:tcW w:w="907" w:type="dxa"/>
            <w:vAlign w:val="center"/>
          </w:tcPr>
          <w:p w:rsidR="00E4224F" w:rsidRDefault="00E4224F" w:rsidP="00E4224F">
            <w:pPr>
              <w:jc w:val="right"/>
              <w:rPr>
                <w:rFonts w:cs="Arial"/>
                <w:color w:val="000000" w:themeColor="text1"/>
                <w:sz w:val="16"/>
                <w:szCs w:val="16"/>
              </w:rPr>
            </w:pPr>
            <w:r>
              <w:rPr>
                <w:rFonts w:cs="Arial"/>
                <w:color w:val="000000" w:themeColor="text1"/>
                <w:sz w:val="16"/>
                <w:szCs w:val="16"/>
              </w:rPr>
              <w:t>101,8</w:t>
            </w:r>
          </w:p>
        </w:tc>
        <w:tc>
          <w:tcPr>
            <w:tcW w:w="908" w:type="dxa"/>
            <w:vAlign w:val="center"/>
          </w:tcPr>
          <w:p w:rsidR="00E4224F" w:rsidRPr="00770DB6" w:rsidRDefault="00E4224F" w:rsidP="00E4224F">
            <w:pPr>
              <w:jc w:val="right"/>
              <w:rPr>
                <w:rFonts w:cs="Arial"/>
                <w:color w:val="000000" w:themeColor="text1"/>
                <w:sz w:val="16"/>
                <w:szCs w:val="16"/>
              </w:rPr>
            </w:pPr>
            <w:r>
              <w:rPr>
                <w:rFonts w:cs="Arial"/>
                <w:color w:val="000000" w:themeColor="text1"/>
                <w:sz w:val="16"/>
                <w:szCs w:val="16"/>
              </w:rPr>
              <w:t>103,4</w:t>
            </w:r>
          </w:p>
        </w:tc>
      </w:tr>
      <w:tr w:rsidR="00E4224F" w:rsidRPr="00A6799C" w:rsidTr="004D28F4">
        <w:tc>
          <w:tcPr>
            <w:tcW w:w="2193" w:type="dxa"/>
          </w:tcPr>
          <w:p w:rsidR="00E4224F" w:rsidRPr="007A5D6D" w:rsidRDefault="00E4224F" w:rsidP="00E4224F">
            <w:pPr>
              <w:rPr>
                <w:sz w:val="16"/>
                <w:szCs w:val="16"/>
                <w:shd w:val="clear" w:color="auto" w:fill="FFFFFF"/>
              </w:rPr>
            </w:pPr>
            <w:r w:rsidRPr="007A5D6D">
              <w:rPr>
                <w:color w:val="000000" w:themeColor="text1"/>
                <w:sz w:val="16"/>
                <w:szCs w:val="16"/>
              </w:rPr>
              <w:t>Budowa obiektów inżynierii lądowej i</w:t>
            </w:r>
            <w:r>
              <w:rPr>
                <w:color w:val="000000" w:themeColor="text1"/>
                <w:sz w:val="16"/>
                <w:szCs w:val="16"/>
              </w:rPr>
              <w:t> </w:t>
            </w:r>
            <w:proofErr w:type="spellStart"/>
            <w:r w:rsidRPr="007A5D6D">
              <w:rPr>
                <w:color w:val="000000" w:themeColor="text1"/>
                <w:sz w:val="16"/>
                <w:szCs w:val="16"/>
              </w:rPr>
              <w:t>wodnej</w:t>
            </w:r>
            <w:r w:rsidRPr="008525F0">
              <w:rPr>
                <w:rFonts w:cstheme="majorBidi"/>
                <w:color w:val="000000" w:themeColor="text1"/>
                <w:sz w:val="16"/>
                <w:szCs w:val="16"/>
                <w:vertAlign w:val="superscript"/>
              </w:rPr>
              <w:t>a</w:t>
            </w:r>
            <w:proofErr w:type="spellEnd"/>
          </w:p>
        </w:tc>
        <w:tc>
          <w:tcPr>
            <w:tcW w:w="907" w:type="dxa"/>
            <w:shd w:val="clear" w:color="auto" w:fill="auto"/>
            <w:vAlign w:val="center"/>
          </w:tcPr>
          <w:p w:rsidR="00E4224F" w:rsidRPr="00770DB6" w:rsidRDefault="00E4224F" w:rsidP="00E4224F">
            <w:pPr>
              <w:jc w:val="right"/>
              <w:rPr>
                <w:rFonts w:cs="Arial"/>
                <w:color w:val="000000" w:themeColor="text1"/>
                <w:sz w:val="16"/>
                <w:szCs w:val="16"/>
              </w:rPr>
            </w:pPr>
            <w:r>
              <w:rPr>
                <w:rFonts w:cs="Arial"/>
                <w:color w:val="000000" w:themeColor="text1"/>
                <w:sz w:val="16"/>
                <w:szCs w:val="16"/>
              </w:rPr>
              <w:t>100,1</w:t>
            </w:r>
          </w:p>
        </w:tc>
        <w:tc>
          <w:tcPr>
            <w:tcW w:w="907" w:type="dxa"/>
            <w:vAlign w:val="center"/>
          </w:tcPr>
          <w:p w:rsidR="00E4224F" w:rsidRPr="00770DB6" w:rsidRDefault="00E4224F" w:rsidP="00E4224F">
            <w:pPr>
              <w:jc w:val="right"/>
              <w:rPr>
                <w:rFonts w:cs="Arial"/>
                <w:color w:val="000000" w:themeColor="text1"/>
                <w:sz w:val="16"/>
                <w:szCs w:val="16"/>
              </w:rPr>
            </w:pPr>
            <w:r>
              <w:rPr>
                <w:rFonts w:cs="Arial"/>
                <w:color w:val="000000" w:themeColor="text1"/>
                <w:sz w:val="16"/>
                <w:szCs w:val="16"/>
              </w:rPr>
              <w:t>103,1</w:t>
            </w:r>
          </w:p>
        </w:tc>
        <w:tc>
          <w:tcPr>
            <w:tcW w:w="907" w:type="dxa"/>
            <w:vAlign w:val="center"/>
          </w:tcPr>
          <w:p w:rsidR="00E4224F" w:rsidRPr="00770DB6" w:rsidRDefault="00E4224F" w:rsidP="00E4224F">
            <w:pPr>
              <w:jc w:val="right"/>
              <w:rPr>
                <w:rFonts w:cs="Arial"/>
                <w:color w:val="000000" w:themeColor="text1"/>
                <w:sz w:val="16"/>
                <w:szCs w:val="16"/>
              </w:rPr>
            </w:pPr>
            <w:r>
              <w:rPr>
                <w:rFonts w:cs="Arial"/>
                <w:color w:val="000000" w:themeColor="text1"/>
                <w:sz w:val="16"/>
                <w:szCs w:val="16"/>
              </w:rPr>
              <w:t>103,3</w:t>
            </w:r>
          </w:p>
        </w:tc>
        <w:tc>
          <w:tcPr>
            <w:tcW w:w="907" w:type="dxa"/>
            <w:shd w:val="clear" w:color="auto" w:fill="auto"/>
            <w:vAlign w:val="center"/>
          </w:tcPr>
          <w:p w:rsidR="00E4224F" w:rsidRPr="00770DB6" w:rsidRDefault="00E4224F" w:rsidP="00E4224F">
            <w:pPr>
              <w:jc w:val="right"/>
              <w:rPr>
                <w:rFonts w:cs="Arial"/>
                <w:color w:val="000000" w:themeColor="text1"/>
                <w:sz w:val="16"/>
                <w:szCs w:val="16"/>
              </w:rPr>
            </w:pPr>
            <w:r>
              <w:rPr>
                <w:rFonts w:cs="Arial"/>
                <w:color w:val="000000" w:themeColor="text1"/>
                <w:sz w:val="16"/>
                <w:szCs w:val="16"/>
              </w:rPr>
              <w:t>100,6</w:t>
            </w:r>
          </w:p>
        </w:tc>
        <w:tc>
          <w:tcPr>
            <w:tcW w:w="907" w:type="dxa"/>
            <w:vAlign w:val="center"/>
          </w:tcPr>
          <w:p w:rsidR="00E4224F" w:rsidRDefault="00E4224F" w:rsidP="00E4224F">
            <w:pPr>
              <w:jc w:val="right"/>
              <w:rPr>
                <w:rFonts w:cs="Arial"/>
                <w:color w:val="000000" w:themeColor="text1"/>
                <w:sz w:val="16"/>
                <w:szCs w:val="16"/>
              </w:rPr>
            </w:pPr>
            <w:r>
              <w:rPr>
                <w:rFonts w:cs="Arial"/>
                <w:color w:val="000000" w:themeColor="text1"/>
                <w:sz w:val="16"/>
                <w:szCs w:val="16"/>
              </w:rPr>
              <w:t>102,1</w:t>
            </w:r>
          </w:p>
        </w:tc>
        <w:tc>
          <w:tcPr>
            <w:tcW w:w="908" w:type="dxa"/>
            <w:shd w:val="clear" w:color="auto" w:fill="auto"/>
            <w:vAlign w:val="center"/>
          </w:tcPr>
          <w:p w:rsidR="00E4224F" w:rsidRPr="00770DB6" w:rsidRDefault="00E4224F" w:rsidP="00E4224F">
            <w:pPr>
              <w:jc w:val="right"/>
              <w:rPr>
                <w:rFonts w:cs="Arial"/>
                <w:color w:val="000000" w:themeColor="text1"/>
                <w:sz w:val="16"/>
                <w:szCs w:val="16"/>
              </w:rPr>
            </w:pPr>
            <w:r>
              <w:rPr>
                <w:rFonts w:cs="Arial"/>
                <w:color w:val="000000" w:themeColor="text1"/>
                <w:sz w:val="16"/>
                <w:szCs w:val="16"/>
              </w:rPr>
              <w:t>103,5</w:t>
            </w:r>
          </w:p>
        </w:tc>
      </w:tr>
      <w:tr w:rsidR="00E4224F" w:rsidRPr="00A6799C" w:rsidTr="007B4A23">
        <w:tc>
          <w:tcPr>
            <w:tcW w:w="2193" w:type="dxa"/>
          </w:tcPr>
          <w:p w:rsidR="00E4224F" w:rsidRPr="007A5D6D" w:rsidRDefault="00E4224F" w:rsidP="00E4224F">
            <w:pPr>
              <w:rPr>
                <w:sz w:val="16"/>
                <w:szCs w:val="16"/>
                <w:shd w:val="clear" w:color="auto" w:fill="FFFFFF"/>
              </w:rPr>
            </w:pPr>
            <w:r w:rsidRPr="007A5D6D">
              <w:rPr>
                <w:color w:val="000000" w:themeColor="text1"/>
                <w:sz w:val="16"/>
                <w:szCs w:val="16"/>
              </w:rPr>
              <w:t>Roboty budowlane specjalistyczne</w:t>
            </w:r>
          </w:p>
        </w:tc>
        <w:tc>
          <w:tcPr>
            <w:tcW w:w="907" w:type="dxa"/>
            <w:vAlign w:val="center"/>
          </w:tcPr>
          <w:p w:rsidR="00E4224F" w:rsidRPr="00770DB6" w:rsidRDefault="00E4224F" w:rsidP="00E4224F">
            <w:pPr>
              <w:jc w:val="right"/>
              <w:rPr>
                <w:rFonts w:cs="Arial"/>
                <w:color w:val="000000" w:themeColor="text1"/>
                <w:sz w:val="16"/>
                <w:szCs w:val="16"/>
              </w:rPr>
            </w:pPr>
            <w:r>
              <w:rPr>
                <w:rFonts w:cs="Arial"/>
                <w:color w:val="000000" w:themeColor="text1"/>
                <w:sz w:val="16"/>
                <w:szCs w:val="16"/>
              </w:rPr>
              <w:t>100,1*</w:t>
            </w:r>
          </w:p>
        </w:tc>
        <w:tc>
          <w:tcPr>
            <w:tcW w:w="907" w:type="dxa"/>
            <w:vAlign w:val="center"/>
          </w:tcPr>
          <w:p w:rsidR="00E4224F" w:rsidRPr="00770DB6" w:rsidRDefault="00E4224F" w:rsidP="00E4224F">
            <w:pPr>
              <w:jc w:val="right"/>
              <w:rPr>
                <w:rFonts w:cs="Arial"/>
                <w:color w:val="000000" w:themeColor="text1"/>
                <w:sz w:val="16"/>
                <w:szCs w:val="16"/>
              </w:rPr>
            </w:pPr>
            <w:r>
              <w:rPr>
                <w:rFonts w:cs="Arial"/>
                <w:color w:val="000000" w:themeColor="text1"/>
                <w:sz w:val="16"/>
                <w:szCs w:val="16"/>
              </w:rPr>
              <w:t>102,9*</w:t>
            </w:r>
          </w:p>
        </w:tc>
        <w:tc>
          <w:tcPr>
            <w:tcW w:w="907" w:type="dxa"/>
            <w:vAlign w:val="center"/>
          </w:tcPr>
          <w:p w:rsidR="00E4224F" w:rsidRPr="00770DB6" w:rsidRDefault="00E4224F" w:rsidP="00E4224F">
            <w:pPr>
              <w:jc w:val="right"/>
              <w:rPr>
                <w:rFonts w:cs="Arial"/>
                <w:color w:val="000000" w:themeColor="text1"/>
                <w:sz w:val="16"/>
                <w:szCs w:val="16"/>
              </w:rPr>
            </w:pPr>
            <w:r>
              <w:rPr>
                <w:rFonts w:cs="Arial"/>
                <w:color w:val="000000" w:themeColor="text1"/>
                <w:sz w:val="16"/>
                <w:szCs w:val="16"/>
              </w:rPr>
              <w:t>103,1</w:t>
            </w:r>
          </w:p>
        </w:tc>
        <w:tc>
          <w:tcPr>
            <w:tcW w:w="907" w:type="dxa"/>
            <w:vAlign w:val="center"/>
          </w:tcPr>
          <w:p w:rsidR="00E4224F" w:rsidRPr="00770DB6" w:rsidRDefault="00E4224F" w:rsidP="00E4224F">
            <w:pPr>
              <w:jc w:val="right"/>
              <w:rPr>
                <w:rFonts w:cs="Arial"/>
                <w:color w:val="000000" w:themeColor="text1"/>
                <w:sz w:val="16"/>
                <w:szCs w:val="16"/>
              </w:rPr>
            </w:pPr>
            <w:r>
              <w:rPr>
                <w:rFonts w:cs="Arial"/>
                <w:color w:val="000000" w:themeColor="text1"/>
                <w:sz w:val="16"/>
                <w:szCs w:val="16"/>
              </w:rPr>
              <w:t>100,6</w:t>
            </w:r>
          </w:p>
        </w:tc>
        <w:tc>
          <w:tcPr>
            <w:tcW w:w="907" w:type="dxa"/>
            <w:vAlign w:val="center"/>
          </w:tcPr>
          <w:p w:rsidR="00E4224F" w:rsidRDefault="00E4224F" w:rsidP="00E4224F">
            <w:pPr>
              <w:jc w:val="right"/>
              <w:rPr>
                <w:rFonts w:cs="Arial"/>
                <w:color w:val="000000" w:themeColor="text1"/>
                <w:sz w:val="16"/>
                <w:szCs w:val="16"/>
              </w:rPr>
            </w:pPr>
            <w:r>
              <w:rPr>
                <w:rFonts w:cs="Arial"/>
                <w:color w:val="000000" w:themeColor="text1"/>
                <w:sz w:val="16"/>
                <w:szCs w:val="16"/>
              </w:rPr>
              <w:t>101,8</w:t>
            </w:r>
          </w:p>
        </w:tc>
        <w:tc>
          <w:tcPr>
            <w:tcW w:w="908" w:type="dxa"/>
            <w:shd w:val="clear" w:color="auto" w:fill="auto"/>
            <w:vAlign w:val="center"/>
          </w:tcPr>
          <w:p w:rsidR="00E4224F" w:rsidRPr="00770DB6" w:rsidRDefault="00E4224F" w:rsidP="00E4224F">
            <w:pPr>
              <w:jc w:val="right"/>
              <w:rPr>
                <w:rFonts w:cs="Arial"/>
                <w:color w:val="000000" w:themeColor="text1"/>
                <w:sz w:val="16"/>
                <w:szCs w:val="16"/>
              </w:rPr>
            </w:pPr>
            <w:r>
              <w:rPr>
                <w:rFonts w:cs="Arial"/>
                <w:color w:val="000000" w:themeColor="text1"/>
                <w:sz w:val="16"/>
                <w:szCs w:val="16"/>
              </w:rPr>
              <w:t>103,3</w:t>
            </w:r>
          </w:p>
        </w:tc>
      </w:tr>
    </w:tbl>
    <w:p w:rsidR="00003BD1" w:rsidRDefault="00003BD1" w:rsidP="00967374">
      <w:pPr>
        <w:rPr>
          <w:b/>
          <w:shd w:val="clear" w:color="auto" w:fill="FFFFFF"/>
        </w:rPr>
      </w:pPr>
    </w:p>
    <w:p w:rsidR="001578AB" w:rsidRPr="006E7CDD" w:rsidRDefault="00B0698C" w:rsidP="00DF4DB7">
      <w:pPr>
        <w:pStyle w:val="Przypis"/>
        <w:rPr>
          <w:lang w:val="pl-PL"/>
        </w:rPr>
      </w:pPr>
      <w:r w:rsidRPr="00532A18">
        <w:rPr>
          <w:lang w:val="pl-PL"/>
        </w:rPr>
        <w:t>a</w:t>
      </w:r>
      <w:r w:rsidR="001578AB" w:rsidRPr="006E7CDD">
        <w:rPr>
          <w:lang w:val="pl-PL"/>
        </w:rPr>
        <w:t xml:space="preserve"> Nazwa skrócona według PKD 2007</w:t>
      </w:r>
      <w:r w:rsidR="00822DE1">
        <w:rPr>
          <w:lang w:val="pl-PL"/>
        </w:rPr>
        <w:t>.</w:t>
      </w:r>
    </w:p>
    <w:p w:rsidR="001578AB" w:rsidRPr="006E7CDD" w:rsidRDefault="001578AB" w:rsidP="00DF4DB7">
      <w:pPr>
        <w:pStyle w:val="Przypis"/>
        <w:rPr>
          <w:lang w:val="pl-PL"/>
        </w:rPr>
      </w:pPr>
      <w:r w:rsidRPr="006E7CDD">
        <w:rPr>
          <w:lang w:val="pl-PL"/>
        </w:rPr>
        <w:t>* Dane zmienione w stosunku do wcześniej opublikowanych.</w:t>
      </w:r>
    </w:p>
    <w:p w:rsidR="001578AB" w:rsidRDefault="001578AB" w:rsidP="00966C9A">
      <w:pPr>
        <w:pStyle w:val="Tablicanotka"/>
      </w:pPr>
    </w:p>
    <w:p w:rsidR="001578AB" w:rsidRDefault="001578AB" w:rsidP="00966C9A">
      <w:pPr>
        <w:pStyle w:val="Tablicanotka"/>
      </w:pPr>
    </w:p>
    <w:p w:rsidR="009A7FCD" w:rsidRDefault="009A7FCD" w:rsidP="00966C9A">
      <w:pPr>
        <w:pStyle w:val="Tablicanotka"/>
      </w:pPr>
    </w:p>
    <w:p w:rsidR="003977D0" w:rsidRDefault="003977D0" w:rsidP="00966C9A">
      <w:pPr>
        <w:pStyle w:val="Tablicanotka"/>
      </w:pPr>
    </w:p>
    <w:p w:rsidR="001578AB" w:rsidRPr="00094D3C" w:rsidRDefault="00E956D2" w:rsidP="00094D3C">
      <w:pPr>
        <w:spacing w:line="288" w:lineRule="auto"/>
        <w:ind w:left="851" w:hanging="851"/>
        <w:rPr>
          <w:rFonts w:ascii="Fira Sans SemiBold" w:eastAsia="Times New Roman" w:hAnsi="Fira Sans SemiBold" w:cs="Times New Roman"/>
          <w:b/>
          <w:bCs/>
          <w:noProof/>
          <w:sz w:val="18"/>
          <w:szCs w:val="18"/>
          <w:lang w:eastAsia="pl-PL"/>
        </w:rPr>
      </w:pPr>
      <w:r w:rsidRPr="00E956D2">
        <w:rPr>
          <w:rFonts w:ascii="Fira Sans SemiBold" w:eastAsia="Times New Roman" w:hAnsi="Fira Sans SemiBold" w:cs="Times New Roman"/>
          <w:b/>
          <w:bCs/>
          <w:noProof/>
          <w:sz w:val="18"/>
          <w:szCs w:val="18"/>
          <w:lang w:eastAsia="pl-PL"/>
        </w:rPr>
        <w:lastRenderedPageBreak/>
        <mc:AlternateContent>
          <mc:Choice Requires="wps">
            <w:drawing>
              <wp:anchor distT="45720" distB="45720" distL="114300" distR="114300" simplePos="0" relativeHeight="251932672" behindDoc="0" locked="0" layoutInCell="1" allowOverlap="1" wp14:anchorId="2B518890" wp14:editId="71F0C4EA">
                <wp:simplePos x="0" y="0"/>
                <wp:positionH relativeFrom="margin">
                  <wp:align>left</wp:align>
                </wp:positionH>
                <wp:positionV relativeFrom="paragraph">
                  <wp:posOffset>459740</wp:posOffset>
                </wp:positionV>
                <wp:extent cx="259080" cy="251460"/>
                <wp:effectExtent l="0" t="0" r="7620" b="0"/>
                <wp:wrapSquare wrapText="bothSides"/>
                <wp:docPr id="217" name="Pole tekstowe 2" descr="Wykres 1. Zmiany cen produkcji budowlano-montażowej w stosunku do poprzedniego miesiąc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51460"/>
                        </a:xfrm>
                        <a:prstGeom prst="rect">
                          <a:avLst/>
                        </a:prstGeom>
                        <a:solidFill>
                          <a:srgbClr val="FFFFFF"/>
                        </a:solidFill>
                        <a:ln w="9525">
                          <a:noFill/>
                          <a:miter lim="800000"/>
                          <a:headEnd/>
                          <a:tailEnd/>
                        </a:ln>
                      </wps:spPr>
                      <wps:txbx>
                        <w:txbxContent>
                          <w:p w:rsidR="00E956D2" w:rsidRPr="00E956D2" w:rsidRDefault="00E956D2" w:rsidP="00E956D2">
                            <w:pPr>
                              <w:spacing w:before="0" w:after="0"/>
                              <w:rPr>
                                <w:sz w:val="18"/>
                                <w:szCs w:val="18"/>
                              </w:rPr>
                            </w:pPr>
                            <w:r w:rsidRPr="00E956D2">
                              <w:rPr>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518890" id="_x0000_t202" coordsize="21600,21600" o:spt="202" path="m,l,21600r21600,l21600,xe">
                <v:stroke joinstyle="miter"/>
                <v:path gradientshapeok="t" o:connecttype="rect"/>
              </v:shapetype>
              <v:shape id="_x0000_s1027" type="#_x0000_t202" alt="Wykres 1. Zmiany cen produkcji budowlano-montażowej w stosunku do poprzedniego miesiąca" style="position:absolute;left:0;text-align:left;margin-left:0;margin-top:36.2pt;width:20.4pt;height:19.8pt;z-index:251932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" stroked="f">
                <v:textbox>
                  <w:txbxContent>
                    <w:p w:rsidR="00E956D2" w:rsidRPr="00E956D2" w:rsidRDefault="00E956D2" w:rsidP="00E956D2">
                      <w:pPr>
                        <w:spacing w:before="0" w:after="0"/>
                        <w:rPr>
                          <w:sz w:val="18"/>
                          <w:szCs w:val="18"/>
                        </w:rPr>
                      </w:pPr>
                      <w:r w:rsidRPr="00E956D2">
                        <w:rPr>
                          <w:sz w:val="18"/>
                          <w:szCs w:val="18"/>
                        </w:rPr>
                        <w:t>%</w:t>
                      </w:r>
                    </w:p>
                  </w:txbxContent>
                </v:textbox>
                <w10:wrap type="square" anchorx="margin"/>
              </v:shape>
            </w:pict>
          </mc:Fallback>
        </mc:AlternateContent>
      </w:r>
      <w:r>
        <w:rPr>
          <w:rFonts w:ascii="Fira Sans SemiBold" w:eastAsia="Times New Roman" w:hAnsi="Fira Sans SemiBold" w:cs="Times New Roman"/>
          <w:b/>
          <w:bCs/>
          <w:noProof/>
          <w:sz w:val="18"/>
          <w:szCs w:val="18"/>
          <w:lang w:eastAsia="pl-PL"/>
        </w:rPr>
        <w:drawing>
          <wp:anchor distT="0" distB="0" distL="114300" distR="114300" simplePos="0" relativeHeight="251928576" behindDoc="0" locked="0" layoutInCell="1" allowOverlap="1" wp14:anchorId="3CBF4596" wp14:editId="42F475B1">
            <wp:simplePos x="0" y="0"/>
            <wp:positionH relativeFrom="margin">
              <wp:align>right</wp:align>
            </wp:positionH>
            <wp:positionV relativeFrom="paragraph">
              <wp:posOffset>429260</wp:posOffset>
            </wp:positionV>
            <wp:extent cx="5122545" cy="2912745"/>
            <wp:effectExtent l="0" t="0" r="0" b="0"/>
            <wp:wrapTopAndBottom/>
            <wp:docPr id="3" name="Wykres 3" descr="Wykres 1. Zmiany cen produkcji budowlano-montażowej &#10;w stosunku do poprzedniego miesiąca"/>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V relativeFrom="margin">
              <wp14:pctHeight>0</wp14:pctHeight>
            </wp14:sizeRelV>
          </wp:anchor>
        </w:drawing>
      </w:r>
      <w:r w:rsidR="00C2119C" w:rsidRPr="008D0278">
        <w:rPr>
          <w:rFonts w:ascii="Fira Sans SemiBold" w:eastAsia="Times New Roman" w:hAnsi="Fira Sans SemiBold" w:cs="Times New Roman"/>
          <w:b/>
          <w:bCs/>
          <w:noProof/>
          <w:sz w:val="18"/>
          <w:szCs w:val="18"/>
          <w:lang w:eastAsia="pl-PL"/>
        </w:rPr>
        <w:t xml:space="preserve">Wykres 1. Zmiany cen produkcji budowlano-montażowej </w:t>
      </w:r>
      <w:r w:rsidR="004A7566">
        <w:rPr>
          <w:rFonts w:ascii="Fira Sans SemiBold" w:eastAsia="Times New Roman" w:hAnsi="Fira Sans SemiBold" w:cs="Times New Roman"/>
          <w:b/>
          <w:bCs/>
          <w:noProof/>
          <w:sz w:val="18"/>
          <w:szCs w:val="18"/>
          <w:lang w:eastAsia="pl-PL"/>
        </w:rPr>
        <w:t>w stosunku do poprzedniego miesiąc</w:t>
      </w:r>
      <w:r w:rsidR="00094D3C">
        <w:rPr>
          <w:rFonts w:ascii="Fira Sans SemiBold" w:eastAsia="Times New Roman" w:hAnsi="Fira Sans SemiBold" w:cs="Times New Roman"/>
          <w:b/>
          <w:bCs/>
          <w:noProof/>
          <w:sz w:val="18"/>
          <w:szCs w:val="18"/>
          <w:lang w:eastAsia="pl-PL"/>
        </w:rPr>
        <w:t>a</w:t>
      </w:r>
    </w:p>
    <w:p w:rsidR="001578AB" w:rsidRDefault="007B4A23" w:rsidP="00966C9A">
      <w:pPr>
        <w:pStyle w:val="Tablicanotka"/>
      </w:pPr>
      <w:r w:rsidRPr="008D0278">
        <w:rPr>
          <w:sz w:val="18"/>
          <w:szCs w:val="18"/>
          <w:lang w:eastAsia="pl-PL"/>
        </w:rPr>
        <mc:AlternateContent>
          <mc:Choice Requires="wps">
            <w:drawing>
              <wp:anchor distT="0" distB="0" distL="114300" distR="114300" simplePos="0" relativeHeight="251759616" behindDoc="0" locked="0" layoutInCell="1" allowOverlap="1" wp14:anchorId="16C4D3BA" wp14:editId="0F452D2D">
                <wp:simplePos x="0" y="0"/>
                <wp:positionH relativeFrom="page">
                  <wp:posOffset>5707626</wp:posOffset>
                </wp:positionH>
                <wp:positionV relativeFrom="paragraph">
                  <wp:posOffset>302158</wp:posOffset>
                </wp:positionV>
                <wp:extent cx="1773140" cy="1017638"/>
                <wp:effectExtent l="0" t="0" r="0" b="0"/>
                <wp:wrapNone/>
                <wp:docPr id="25" name="Pole tekstowe 25" descr="Ceny produkcji budowlano-montażowej w lipcu 2025 r. wzrosły w porównaniu do poprzedniego miesiąca o 0,5%"/>
                <wp:cNvGraphicFramePr/>
                <a:graphic xmlns:a="http://schemas.openxmlformats.org/drawingml/2006/main">
                  <a:graphicData uri="http://schemas.microsoft.com/office/word/2010/wordprocessingShape">
                    <wps:wsp>
                      <wps:cNvSpPr txBox="1"/>
                      <wps:spPr>
                        <a:xfrm>
                          <a:off x="0" y="0"/>
                          <a:ext cx="1773140" cy="1017638"/>
                        </a:xfrm>
                        <a:prstGeom prst="rect">
                          <a:avLst/>
                        </a:prstGeom>
                        <a:noFill/>
                        <a:ln w="6350">
                          <a:noFill/>
                        </a:ln>
                        <a:effectLst/>
                      </wps:spPr>
                      <wps:txbx>
                        <w:txbxContent>
                          <w:p w:rsidR="001578AB" w:rsidRPr="00E15CF4" w:rsidRDefault="00207EFC" w:rsidP="00E40475">
                            <w:pPr>
                              <w:pStyle w:val="tekstzboku"/>
                              <w:rPr>
                                <w:strike/>
                              </w:rPr>
                            </w:pPr>
                            <w:r>
                              <w:t xml:space="preserve">Ceny produkcji budowlano-montażowej w </w:t>
                            </w:r>
                            <w:r w:rsidR="00A41E61">
                              <w:t>lipcu</w:t>
                            </w:r>
                            <w:r>
                              <w:t xml:space="preserve"> 2025</w:t>
                            </w:r>
                            <w:r w:rsidRPr="00BB423E">
                              <w:t xml:space="preserve"> r</w:t>
                            </w:r>
                            <w:r w:rsidR="00CE2FAC">
                              <w:t>.</w:t>
                            </w:r>
                            <w:r w:rsidRPr="00413BA4">
                              <w:t xml:space="preserve"> </w:t>
                            </w:r>
                            <w:r w:rsidR="00A41E61">
                              <w:t>wzrosły w porównaniu do poprzedniego miesiąca o 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C4D3BA" id="Pole tekstowe 25" o:spid="_x0000_s1028" type="#_x0000_t202" alt="Ceny produkcji budowlano-montażowej w lipcu 2025 r. wzrosły w porównaniu do poprzedniego miesiąca o 0,5%" style="position:absolute;margin-left:449.4pt;margin-top:23.8pt;width:139.6pt;height:80.15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" filled="f" stroked="f" strokeweight=".5pt">
                <v:textbox>
                  <w:txbxContent>
                    <w:p w:rsidR="001578AB" w:rsidRPr="00E15CF4" w:rsidRDefault="00207EFC" w:rsidP="00E40475">
                      <w:pPr>
                        <w:pStyle w:val="tekstzboku"/>
                        <w:rPr>
                          <w:strike/>
                        </w:rPr>
                      </w:pPr>
                      <w:r>
                        <w:t xml:space="preserve">Ceny produkcji budowlano-montażowej w </w:t>
                      </w:r>
                      <w:r w:rsidR="00A41E61">
                        <w:t>lipcu</w:t>
                      </w:r>
                      <w:r>
                        <w:t xml:space="preserve"> 2025</w:t>
                      </w:r>
                      <w:r w:rsidRPr="00BB423E">
                        <w:t xml:space="preserve"> r</w:t>
                      </w:r>
                      <w:r w:rsidR="00CE2FAC">
                        <w:t>.</w:t>
                      </w:r>
                      <w:r w:rsidRPr="00413BA4">
                        <w:t xml:space="preserve"> </w:t>
                      </w:r>
                      <w:r w:rsidR="00A41E61">
                        <w:t>wzrosły w porównaniu do poprzedniego miesiąca o 0,5%</w:t>
                      </w:r>
                    </w:p>
                  </w:txbxContent>
                </v:textbox>
                <w10:wrap anchorx="page"/>
              </v:shape>
            </w:pict>
          </mc:Fallback>
        </mc:AlternateContent>
      </w:r>
    </w:p>
    <w:p w:rsidR="00664AFD" w:rsidRPr="005B4590" w:rsidRDefault="00664AFD" w:rsidP="005B4590">
      <w:pPr>
        <w:pStyle w:val="Tablicanotka"/>
      </w:pPr>
    </w:p>
    <w:p w:rsidR="005B4590" w:rsidRPr="005B4590" w:rsidRDefault="005B4590" w:rsidP="005B4590">
      <w:pPr>
        <w:pStyle w:val="Tablicanotka"/>
      </w:pPr>
    </w:p>
    <w:p w:rsidR="006E7CDD" w:rsidRPr="005B4590" w:rsidRDefault="006E7CDD" w:rsidP="005B4590">
      <w:pPr>
        <w:pStyle w:val="Tablicanotka"/>
      </w:pPr>
    </w:p>
    <w:p w:rsidR="00DE4A46" w:rsidRDefault="001E038C" w:rsidP="00094D3C">
      <w:pPr>
        <w:spacing w:line="288" w:lineRule="auto"/>
        <w:ind w:left="851" w:hanging="851"/>
        <w:rPr>
          <w:rFonts w:ascii="Fira Sans SemiBold" w:eastAsia="Times New Roman" w:hAnsi="Fira Sans SemiBold" w:cs="Times New Roman"/>
          <w:b/>
          <w:bCs/>
          <w:noProof/>
          <w:sz w:val="18"/>
          <w:szCs w:val="18"/>
          <w:lang w:eastAsia="pl-PL"/>
        </w:rPr>
      </w:pPr>
      <w:r w:rsidRPr="00127824">
        <w:rPr>
          <w:noProof/>
          <w:lang w:eastAsia="pl-PL"/>
        </w:rPr>
        <mc:AlternateContent>
          <mc:Choice Requires="wps">
            <w:drawing>
              <wp:anchor distT="0" distB="0" distL="114300" distR="114300" simplePos="0" relativeHeight="251769856" behindDoc="0" locked="0" layoutInCell="1" allowOverlap="1" wp14:anchorId="2038BEA2" wp14:editId="10AA5E1F">
                <wp:simplePos x="0" y="0"/>
                <wp:positionH relativeFrom="page">
                  <wp:posOffset>5825613</wp:posOffset>
                </wp:positionH>
                <wp:positionV relativeFrom="paragraph">
                  <wp:posOffset>1197630</wp:posOffset>
                </wp:positionV>
                <wp:extent cx="1684020" cy="943897"/>
                <wp:effectExtent l="0" t="0" r="0" b="0"/>
                <wp:wrapNone/>
                <wp:docPr id="15" name="Pole tekstowe 15" descr="W lipcu 2025 r. wzrost cen produkcji budowlano-montażowej w skali roku wyniósł 3,2%"/>
                <wp:cNvGraphicFramePr/>
                <a:graphic xmlns:a="http://schemas.openxmlformats.org/drawingml/2006/main">
                  <a:graphicData uri="http://schemas.microsoft.com/office/word/2010/wordprocessingShape">
                    <wps:wsp>
                      <wps:cNvSpPr txBox="1"/>
                      <wps:spPr>
                        <a:xfrm>
                          <a:off x="0" y="0"/>
                          <a:ext cx="1684020" cy="943897"/>
                        </a:xfrm>
                        <a:prstGeom prst="rect">
                          <a:avLst/>
                        </a:prstGeom>
                        <a:noFill/>
                        <a:ln w="6350">
                          <a:noFill/>
                        </a:ln>
                        <a:effectLst/>
                      </wps:spPr>
                      <wps:txbx>
                        <w:txbxContent>
                          <w:p w:rsidR="00BB1006" w:rsidRDefault="00207EFC" w:rsidP="00BB1006">
                            <w:pPr>
                              <w:pStyle w:val="tekstzboku"/>
                            </w:pPr>
                            <w:r>
                              <w:rPr>
                                <w:bCs w:val="0"/>
                              </w:rPr>
                              <w:t xml:space="preserve">W </w:t>
                            </w:r>
                            <w:r w:rsidR="00A41E61">
                              <w:rPr>
                                <w:bCs w:val="0"/>
                              </w:rPr>
                              <w:t>lipcu</w:t>
                            </w:r>
                            <w:r>
                              <w:rPr>
                                <w:bCs w:val="0"/>
                              </w:rPr>
                              <w:t xml:space="preserve"> 2025 r. wzrost cen produkcji budowlano-montażowej w skali roku </w:t>
                            </w:r>
                            <w:r w:rsidR="00A41E61">
                              <w:rPr>
                                <w:bCs w:val="0"/>
                              </w:rPr>
                              <w:t>wyniósł 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38BEA2" id="Pole tekstowe 15" o:spid="_x0000_s1029" type="#_x0000_t202" alt="W lipcu 2025 r. wzrost cen produkcji budowlano-montażowej w skali roku wyniósł 3,2%" style="position:absolute;left:0;text-align:left;margin-left:458.7pt;margin-top:94.3pt;width:132.6pt;height:74.3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" filled="f" stroked="f" strokeweight=".5pt">
                <v:textbox>
                  <w:txbxContent>
                    <w:p w:rsidR="00BB1006" w:rsidRDefault="00207EFC" w:rsidP="00BB1006">
                      <w:pPr>
                        <w:pStyle w:val="tekstzboku"/>
                      </w:pPr>
                      <w:r>
                        <w:rPr>
                          <w:bCs w:val="0"/>
                        </w:rPr>
                        <w:t xml:space="preserve">W </w:t>
                      </w:r>
                      <w:r w:rsidR="00A41E61">
                        <w:rPr>
                          <w:bCs w:val="0"/>
                        </w:rPr>
                        <w:t>lipcu</w:t>
                      </w:r>
                      <w:r>
                        <w:rPr>
                          <w:bCs w:val="0"/>
                        </w:rPr>
                        <w:t xml:space="preserve"> 2025 r. wzrost cen produkcji budowlano-montażowej w skali roku </w:t>
                      </w:r>
                      <w:r w:rsidR="00A41E61">
                        <w:rPr>
                          <w:bCs w:val="0"/>
                        </w:rPr>
                        <w:t>wyniósł 3,2%</w:t>
                      </w:r>
                    </w:p>
                  </w:txbxContent>
                </v:textbox>
                <w10:wrap anchorx="page"/>
              </v:shape>
            </w:pict>
          </mc:Fallback>
        </mc:AlternateContent>
      </w:r>
      <w:r w:rsidR="00DE4A46" w:rsidRPr="008D0278">
        <w:rPr>
          <w:rFonts w:ascii="Fira Sans SemiBold" w:eastAsia="Times New Roman" w:hAnsi="Fira Sans SemiBold" w:cs="Times New Roman"/>
          <w:b/>
          <w:bCs/>
          <w:noProof/>
          <w:sz w:val="18"/>
          <w:szCs w:val="18"/>
          <w:lang w:eastAsia="pl-PL"/>
        </w:rPr>
        <w:t xml:space="preserve">Wykres 2. Zmiany cen produkcji budowlano-montażowej </w:t>
      </w:r>
      <w:r w:rsidR="00094D3C">
        <w:rPr>
          <w:rFonts w:ascii="Fira Sans SemiBold" w:eastAsia="Times New Roman" w:hAnsi="Fira Sans SemiBold" w:cs="Times New Roman"/>
          <w:b/>
          <w:bCs/>
          <w:noProof/>
          <w:sz w:val="18"/>
          <w:szCs w:val="18"/>
          <w:lang w:eastAsia="pl-PL"/>
        </w:rPr>
        <w:t>w stosunku do</w:t>
      </w:r>
      <w:r w:rsidR="005B4590">
        <w:rPr>
          <w:noProof/>
          <w:lang w:eastAsia="pl-PL"/>
        </w:rPr>
        <mc:AlternateContent>
          <mc:Choice Requires="wps">
            <w:drawing>
              <wp:anchor distT="45720" distB="45720" distL="114300" distR="114300" simplePos="0" relativeHeight="251934720" behindDoc="0" locked="0" layoutInCell="1" allowOverlap="1" wp14:anchorId="67326B4A" wp14:editId="144AE574">
                <wp:simplePos x="0" y="0"/>
                <wp:positionH relativeFrom="column">
                  <wp:posOffset>78877</wp:posOffset>
                </wp:positionH>
                <wp:positionV relativeFrom="paragraph">
                  <wp:posOffset>356544</wp:posOffset>
                </wp:positionV>
                <wp:extent cx="243840" cy="243840"/>
                <wp:effectExtent l="0" t="0" r="0" b="3810"/>
                <wp:wrapSquare wrapText="bothSides"/>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 cy="243840"/>
                        </a:xfrm>
                        <a:prstGeom prst="rect">
                          <a:avLst/>
                        </a:prstGeom>
                        <a:noFill/>
                        <a:ln w="9525">
                          <a:noFill/>
                          <a:miter lim="800000"/>
                          <a:headEnd/>
                          <a:tailEnd/>
                        </a:ln>
                      </wps:spPr>
                      <wps:txbx>
                        <w:txbxContent>
                          <w:p w:rsidR="008A3D1F" w:rsidRPr="008A3D1F" w:rsidRDefault="008A3D1F" w:rsidP="008A3D1F">
                            <w:pPr>
                              <w:spacing w:before="0" w:after="0"/>
                              <w:rPr>
                                <w:color w:val="0D0D0D" w:themeColor="text1" w:themeTint="F2"/>
                                <w:sz w:val="18"/>
                                <w:szCs w:val="18"/>
                              </w:rPr>
                            </w:pPr>
                            <w:r w:rsidRPr="008A3D1F">
                              <w:rPr>
                                <w:color w:val="0D0D0D" w:themeColor="text1" w:themeTint="F2"/>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326B4A" id="_x0000_s1030" type="#_x0000_t202" style="position:absolute;left:0;text-align:left;margin-left:6.2pt;margin-top:28.05pt;width:19.2pt;height:19.2pt;z-index:251934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" filled="f" stroked="f">
                <v:textbox>
                  <w:txbxContent>
                    <w:p w:rsidR="008A3D1F" w:rsidRPr="008A3D1F" w:rsidRDefault="008A3D1F" w:rsidP="008A3D1F">
                      <w:pPr>
                        <w:spacing w:before="0" w:after="0"/>
                        <w:rPr>
                          <w:color w:val="0D0D0D" w:themeColor="text1" w:themeTint="F2"/>
                          <w:sz w:val="18"/>
                          <w:szCs w:val="18"/>
                        </w:rPr>
                      </w:pPr>
                      <w:r w:rsidRPr="008A3D1F">
                        <w:rPr>
                          <w:color w:val="0D0D0D" w:themeColor="text1" w:themeTint="F2"/>
                          <w:sz w:val="18"/>
                          <w:szCs w:val="18"/>
                        </w:rPr>
                        <w:t>%</w:t>
                      </w:r>
                    </w:p>
                  </w:txbxContent>
                </v:textbox>
                <w10:wrap type="square"/>
              </v:shape>
            </w:pict>
          </mc:Fallback>
        </mc:AlternateContent>
      </w:r>
      <w:r w:rsidR="005B4590">
        <w:rPr>
          <w:rFonts w:ascii="Fira Sans SemiBold" w:eastAsia="Times New Roman" w:hAnsi="Fira Sans SemiBold" w:cs="Times New Roman"/>
          <w:b/>
          <w:bCs/>
          <w:noProof/>
          <w:sz w:val="18"/>
          <w:szCs w:val="18"/>
          <w:lang w:eastAsia="pl-PL"/>
        </w:rPr>
        <w:drawing>
          <wp:anchor distT="0" distB="0" distL="114300" distR="114300" simplePos="0" relativeHeight="251929600" behindDoc="0" locked="0" layoutInCell="1" allowOverlap="1" wp14:anchorId="18515861" wp14:editId="6E08BDE1">
            <wp:simplePos x="0" y="0"/>
            <wp:positionH relativeFrom="margin">
              <wp:align>left</wp:align>
            </wp:positionH>
            <wp:positionV relativeFrom="paragraph">
              <wp:posOffset>323061</wp:posOffset>
            </wp:positionV>
            <wp:extent cx="5122545" cy="2620645"/>
            <wp:effectExtent l="0" t="0" r="1905" b="8255"/>
            <wp:wrapTopAndBottom/>
            <wp:docPr id="16" name="Wykres 16" descr="Wykres 2. Zmiany cen produkcji budowlano-montażowej w stosunku do analogicznego okresu rok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V relativeFrom="margin">
              <wp14:pctHeight>0</wp14:pctHeight>
            </wp14:sizeRelV>
          </wp:anchor>
        </w:drawing>
      </w:r>
      <w:r w:rsidR="00094D3C">
        <w:rPr>
          <w:rFonts w:ascii="Fira Sans SemiBold" w:eastAsia="Times New Roman" w:hAnsi="Fira Sans SemiBold" w:cs="Times New Roman"/>
          <w:b/>
          <w:bCs/>
          <w:noProof/>
          <w:sz w:val="18"/>
          <w:szCs w:val="18"/>
          <w:lang w:eastAsia="pl-PL"/>
        </w:rPr>
        <w:t xml:space="preserve"> </w:t>
      </w:r>
      <w:r w:rsidR="00DE4A46" w:rsidRPr="008D0278">
        <w:rPr>
          <w:rFonts w:ascii="Fira Sans SemiBold" w:eastAsia="Times New Roman" w:hAnsi="Fira Sans SemiBold" w:cs="Times New Roman"/>
          <w:b/>
          <w:bCs/>
          <w:noProof/>
          <w:sz w:val="18"/>
          <w:szCs w:val="18"/>
          <w:lang w:eastAsia="pl-PL"/>
        </w:rPr>
        <w:t>analogiczn</w:t>
      </w:r>
      <w:r w:rsidR="00094D3C">
        <w:rPr>
          <w:rFonts w:ascii="Fira Sans SemiBold" w:eastAsia="Times New Roman" w:hAnsi="Fira Sans SemiBold" w:cs="Times New Roman"/>
          <w:b/>
          <w:bCs/>
          <w:noProof/>
          <w:sz w:val="18"/>
          <w:szCs w:val="18"/>
          <w:lang w:eastAsia="pl-PL"/>
        </w:rPr>
        <w:t>ego</w:t>
      </w:r>
      <w:r w:rsidR="00DE4A46" w:rsidRPr="008D0278">
        <w:rPr>
          <w:rFonts w:ascii="Fira Sans SemiBold" w:eastAsia="Times New Roman" w:hAnsi="Fira Sans SemiBold" w:cs="Times New Roman"/>
          <w:b/>
          <w:bCs/>
          <w:noProof/>
          <w:sz w:val="18"/>
          <w:szCs w:val="18"/>
          <w:lang w:eastAsia="pl-PL"/>
        </w:rPr>
        <w:t xml:space="preserve"> okres</w:t>
      </w:r>
      <w:r w:rsidR="00094D3C">
        <w:rPr>
          <w:rFonts w:ascii="Fira Sans SemiBold" w:eastAsia="Times New Roman" w:hAnsi="Fira Sans SemiBold" w:cs="Times New Roman"/>
          <w:b/>
          <w:bCs/>
          <w:noProof/>
          <w:sz w:val="18"/>
          <w:szCs w:val="18"/>
          <w:lang w:eastAsia="pl-PL"/>
        </w:rPr>
        <w:t>u</w:t>
      </w:r>
      <w:r w:rsidR="00DE4A46" w:rsidRPr="008D0278">
        <w:rPr>
          <w:rFonts w:ascii="Fira Sans SemiBold" w:eastAsia="Times New Roman" w:hAnsi="Fira Sans SemiBold" w:cs="Times New Roman"/>
          <w:b/>
          <w:bCs/>
          <w:noProof/>
          <w:sz w:val="18"/>
          <w:szCs w:val="18"/>
          <w:lang w:eastAsia="pl-PL"/>
        </w:rPr>
        <w:t xml:space="preserve"> roku poprzedniego</w:t>
      </w:r>
    </w:p>
    <w:p w:rsidR="00A910E6" w:rsidRDefault="00A910E6">
      <w:pPr>
        <w:spacing w:before="0" w:after="160" w:line="259" w:lineRule="auto"/>
        <w:rPr>
          <w:rFonts w:ascii="Fira Sans SemiBold" w:eastAsia="Times New Roman" w:hAnsi="Fira Sans SemiBold" w:cs="Times New Roman"/>
          <w:b/>
          <w:bCs/>
          <w:noProof/>
          <w:sz w:val="18"/>
          <w:szCs w:val="18"/>
          <w:lang w:eastAsia="pl-PL"/>
        </w:rPr>
      </w:pPr>
      <w:r>
        <w:rPr>
          <w:rFonts w:ascii="Fira Sans SemiBold" w:eastAsia="Times New Roman" w:hAnsi="Fira Sans SemiBold" w:cs="Times New Roman"/>
          <w:b/>
          <w:bCs/>
          <w:noProof/>
          <w:sz w:val="18"/>
          <w:szCs w:val="18"/>
          <w:lang w:eastAsia="pl-PL"/>
        </w:rPr>
        <w:br w:type="page"/>
      </w:r>
    </w:p>
    <w:p w:rsidR="00BB1006" w:rsidRDefault="00BB1006" w:rsidP="00D72003">
      <w:pPr>
        <w:spacing w:line="288" w:lineRule="auto"/>
        <w:ind w:left="851" w:hanging="851"/>
        <w:rPr>
          <w:rFonts w:ascii="Fira Sans SemiBold" w:eastAsia="Times New Roman" w:hAnsi="Fira Sans SemiBold" w:cs="Times New Roman"/>
          <w:b/>
          <w:bCs/>
          <w:noProof/>
          <w:sz w:val="18"/>
          <w:szCs w:val="18"/>
          <w:lang w:eastAsia="pl-PL"/>
        </w:rPr>
      </w:pPr>
      <w:r w:rsidRPr="004510EC">
        <w:rPr>
          <w:rFonts w:ascii="Fira Sans SemiBold" w:eastAsia="Times New Roman" w:hAnsi="Fira Sans SemiBold" w:cs="Times New Roman"/>
          <w:b/>
          <w:bCs/>
          <w:noProof/>
          <w:sz w:val="18"/>
          <w:szCs w:val="18"/>
          <w:lang w:eastAsia="pl-PL"/>
        </w:rPr>
        <w:lastRenderedPageBreak/>
        <w:t xml:space="preserve">Wykres 3. Zmiany cen produkcji budowlano-montażowej według działów PKD </w:t>
      </w:r>
      <w:r w:rsidR="00594F52">
        <w:rPr>
          <w:rFonts w:ascii="Fira Sans SemiBold" w:eastAsia="Times New Roman" w:hAnsi="Fira Sans SemiBold" w:cs="Times New Roman"/>
          <w:b/>
          <w:bCs/>
          <w:noProof/>
          <w:sz w:val="18"/>
          <w:szCs w:val="18"/>
          <w:lang w:eastAsia="pl-PL"/>
        </w:rPr>
        <w:t>w stosunku do</w:t>
      </w:r>
      <w:r w:rsidR="00D72003">
        <w:rPr>
          <w:rFonts w:ascii="Fira Sans SemiBold" w:eastAsia="Times New Roman" w:hAnsi="Fira Sans SemiBold" w:cs="Times New Roman"/>
          <w:b/>
          <w:bCs/>
          <w:noProof/>
          <w:sz w:val="18"/>
          <w:szCs w:val="18"/>
          <w:lang w:eastAsia="pl-PL"/>
        </w:rPr>
        <w:t xml:space="preserve"> </w:t>
      </w:r>
      <w:r w:rsidR="002F4F22">
        <w:rPr>
          <w:rFonts w:ascii="Fira Sans SemiBold" w:eastAsia="Times New Roman" w:hAnsi="Fira Sans SemiBold" w:cs="Times New Roman"/>
          <w:b/>
          <w:bCs/>
          <w:noProof/>
          <w:sz w:val="18"/>
          <w:szCs w:val="18"/>
          <w:lang w:eastAsia="pl-PL"/>
        </w:rPr>
        <w:t>grud</w:t>
      </w:r>
      <w:r w:rsidR="00594F52">
        <w:rPr>
          <w:rFonts w:ascii="Fira Sans SemiBold" w:eastAsia="Times New Roman" w:hAnsi="Fira Sans SemiBold" w:cs="Times New Roman"/>
          <w:b/>
          <w:bCs/>
          <w:noProof/>
          <w:sz w:val="18"/>
          <w:szCs w:val="18"/>
          <w:lang w:eastAsia="pl-PL"/>
        </w:rPr>
        <w:t>nia</w:t>
      </w:r>
      <w:r w:rsidRPr="004510EC">
        <w:rPr>
          <w:rFonts w:ascii="Fira Sans SemiBold" w:eastAsia="Times New Roman" w:hAnsi="Fira Sans SemiBold" w:cs="Times New Roman"/>
          <w:b/>
          <w:bCs/>
          <w:noProof/>
          <w:sz w:val="18"/>
          <w:szCs w:val="18"/>
          <w:lang w:eastAsia="pl-PL"/>
        </w:rPr>
        <w:t xml:space="preserve"> 20</w:t>
      </w:r>
      <w:r w:rsidR="00DA7D9B">
        <w:rPr>
          <w:rFonts w:ascii="Fira Sans SemiBold" w:eastAsia="Times New Roman" w:hAnsi="Fira Sans SemiBold" w:cs="Times New Roman"/>
          <w:b/>
          <w:bCs/>
          <w:noProof/>
          <w:sz w:val="18"/>
          <w:szCs w:val="18"/>
          <w:lang w:eastAsia="pl-PL"/>
        </w:rPr>
        <w:t>2</w:t>
      </w:r>
      <w:r w:rsidR="000A26D7">
        <w:rPr>
          <w:rFonts w:ascii="Fira Sans SemiBold" w:eastAsia="Times New Roman" w:hAnsi="Fira Sans SemiBold" w:cs="Times New Roman"/>
          <w:b/>
          <w:bCs/>
          <w:noProof/>
          <w:sz w:val="18"/>
          <w:szCs w:val="18"/>
          <w:lang w:eastAsia="pl-PL"/>
        </w:rPr>
        <w:t>3</w:t>
      </w:r>
      <w:r w:rsidR="00594F52">
        <w:rPr>
          <w:rFonts w:ascii="Fira Sans SemiBold" w:eastAsia="Times New Roman" w:hAnsi="Fira Sans SemiBold" w:cs="Times New Roman"/>
          <w:b/>
          <w:bCs/>
          <w:noProof/>
          <w:sz w:val="18"/>
          <w:szCs w:val="18"/>
          <w:lang w:eastAsia="pl-PL"/>
        </w:rPr>
        <w:t xml:space="preserve"> r.</w:t>
      </w:r>
    </w:p>
    <w:p w:rsidR="00664AFD" w:rsidRDefault="007B4A23" w:rsidP="005B4590">
      <w:pPr>
        <w:rPr>
          <w:noProof/>
          <w:lang w:eastAsia="pl-PL"/>
        </w:rPr>
      </w:pPr>
      <w:r w:rsidRPr="00127824">
        <w:rPr>
          <w:noProof/>
          <w:lang w:eastAsia="pl-PL"/>
        </w:rPr>
        <mc:AlternateContent>
          <mc:Choice Requires="wps">
            <w:drawing>
              <wp:anchor distT="0" distB="0" distL="114300" distR="114300" simplePos="0" relativeHeight="251767808" behindDoc="0" locked="0" layoutInCell="1" allowOverlap="1" wp14:anchorId="4BD9AD04" wp14:editId="448B0F1F">
                <wp:simplePos x="0" y="0"/>
                <wp:positionH relativeFrom="page">
                  <wp:posOffset>5715000</wp:posOffset>
                </wp:positionH>
                <wp:positionV relativeFrom="paragraph">
                  <wp:posOffset>458470</wp:posOffset>
                </wp:positionV>
                <wp:extent cx="1833880" cy="1249680"/>
                <wp:effectExtent l="0" t="0" r="0" b="7620"/>
                <wp:wrapNone/>
                <wp:docPr id="13" name="Pole tekstowe 13" descr="Spośród działów budownictwa w czerwcu 2025 r. w porównaniu z grudniem 2023 r. najbardziej wzrosły ceny w dziale budowa obiektów inżynierii lądowej i wodnej (o 6,3%)"/>
                <wp:cNvGraphicFramePr/>
                <a:graphic xmlns:a="http://schemas.openxmlformats.org/drawingml/2006/main">
                  <a:graphicData uri="http://schemas.microsoft.com/office/word/2010/wordprocessingShape">
                    <wps:wsp>
                      <wps:cNvSpPr txBox="1"/>
                      <wps:spPr>
                        <a:xfrm>
                          <a:off x="0" y="0"/>
                          <a:ext cx="1833880" cy="1249680"/>
                        </a:xfrm>
                        <a:prstGeom prst="rect">
                          <a:avLst/>
                        </a:prstGeom>
                        <a:noFill/>
                        <a:ln w="6350">
                          <a:noFill/>
                        </a:ln>
                        <a:effectLst/>
                      </wps:spPr>
                      <wps:txbx>
                        <w:txbxContent>
                          <w:p w:rsidR="009C644C" w:rsidRDefault="009C644C" w:rsidP="00BB1006">
                            <w:pPr>
                              <w:pStyle w:val="tekstzboku"/>
                            </w:pPr>
                            <w:r>
                              <w:rPr>
                                <w:bCs w:val="0"/>
                              </w:rPr>
                              <w:t>Spośród działów budownictwa</w:t>
                            </w:r>
                            <w:r w:rsidR="00622749">
                              <w:rPr>
                                <w:bCs w:val="0"/>
                              </w:rPr>
                              <w:t xml:space="preserve"> </w:t>
                            </w:r>
                            <w:r>
                              <w:rPr>
                                <w:bCs w:val="0"/>
                              </w:rPr>
                              <w:t>w</w:t>
                            </w:r>
                            <w:r w:rsidR="00622749">
                              <w:rPr>
                                <w:bCs w:val="0"/>
                              </w:rPr>
                              <w:t> </w:t>
                            </w:r>
                            <w:r w:rsidR="00C342EF">
                              <w:rPr>
                                <w:bCs w:val="0"/>
                              </w:rPr>
                              <w:t>lipc</w:t>
                            </w:r>
                            <w:r w:rsidR="000C6803">
                              <w:rPr>
                                <w:bCs w:val="0"/>
                              </w:rPr>
                              <w:t>u</w:t>
                            </w:r>
                            <w:r>
                              <w:rPr>
                                <w:bCs w:val="0"/>
                              </w:rPr>
                              <w:t xml:space="preserve"> 2025 r. w</w:t>
                            </w:r>
                            <w:r w:rsidR="001E038C">
                              <w:rPr>
                                <w:bCs w:val="0"/>
                              </w:rPr>
                              <w:t> </w:t>
                            </w:r>
                            <w:r>
                              <w:rPr>
                                <w:bCs w:val="0"/>
                              </w:rPr>
                              <w:t>porównaniu</w:t>
                            </w:r>
                            <w:r w:rsidR="00622749">
                              <w:rPr>
                                <w:bCs w:val="0"/>
                              </w:rPr>
                              <w:t xml:space="preserve"> </w:t>
                            </w:r>
                            <w:r w:rsidR="00832944">
                              <w:rPr>
                                <w:bCs w:val="0"/>
                              </w:rPr>
                              <w:t>z </w:t>
                            </w:r>
                            <w:r w:rsidR="00207EFC">
                              <w:rPr>
                                <w:bCs w:val="0"/>
                              </w:rPr>
                              <w:t>grudniem 202</w:t>
                            </w:r>
                            <w:r w:rsidR="000A26D7">
                              <w:rPr>
                                <w:bCs w:val="0"/>
                              </w:rPr>
                              <w:t>3</w:t>
                            </w:r>
                            <w:r w:rsidR="001E038C">
                              <w:rPr>
                                <w:bCs w:val="0"/>
                              </w:rPr>
                              <w:t> </w:t>
                            </w:r>
                            <w:r w:rsidR="00207EFC">
                              <w:rPr>
                                <w:bCs w:val="0"/>
                              </w:rPr>
                              <w:t>r</w:t>
                            </w:r>
                            <w:r w:rsidR="002F4F22">
                              <w:rPr>
                                <w:bCs w:val="0"/>
                              </w:rPr>
                              <w:t>.</w:t>
                            </w:r>
                            <w:r w:rsidRPr="00946821">
                              <w:rPr>
                                <w:bCs w:val="0"/>
                              </w:rPr>
                              <w:t xml:space="preserve"> najbardziej </w:t>
                            </w:r>
                            <w:r w:rsidRPr="004130B5">
                              <w:rPr>
                                <w:bCs w:val="0"/>
                              </w:rPr>
                              <w:t>wzrosły ceny</w:t>
                            </w:r>
                            <w:r>
                              <w:rPr>
                                <w:bCs w:val="0"/>
                              </w:rPr>
                              <w:t xml:space="preserve"> w</w:t>
                            </w:r>
                            <w:r w:rsidR="001E038C">
                              <w:rPr>
                                <w:bCs w:val="0"/>
                              </w:rPr>
                              <w:t> </w:t>
                            </w:r>
                            <w:r>
                              <w:rPr>
                                <w:bCs w:val="0"/>
                              </w:rPr>
                              <w:t xml:space="preserve">dziale </w:t>
                            </w:r>
                            <w:r w:rsidRPr="004130B5">
                              <w:rPr>
                                <w:bCs w:val="0"/>
                              </w:rPr>
                              <w:t>budow</w:t>
                            </w:r>
                            <w:r>
                              <w:rPr>
                                <w:bCs w:val="0"/>
                              </w:rPr>
                              <w:t>a</w:t>
                            </w:r>
                            <w:r w:rsidRPr="00B1379F">
                              <w:rPr>
                                <w:bCs w:val="0"/>
                              </w:rPr>
                              <w:t xml:space="preserve"> </w:t>
                            </w:r>
                            <w:r w:rsidRPr="004130B5">
                              <w:rPr>
                                <w:bCs w:val="0"/>
                              </w:rPr>
                              <w:t>obiektów inżynierii lądowej i</w:t>
                            </w:r>
                            <w:r w:rsidR="00900E1E">
                              <w:rPr>
                                <w:bCs w:val="0"/>
                              </w:rPr>
                              <w:t> </w:t>
                            </w:r>
                            <w:r w:rsidRPr="004130B5">
                              <w:rPr>
                                <w:bCs w:val="0"/>
                              </w:rPr>
                              <w:t>wodnej</w:t>
                            </w:r>
                            <w:r>
                              <w:rPr>
                                <w:bCs w:val="0"/>
                              </w:rPr>
                              <w:t xml:space="preserve"> (o</w:t>
                            </w:r>
                            <w:r w:rsidR="001E038C">
                              <w:rPr>
                                <w:bCs w:val="0"/>
                              </w:rPr>
                              <w:t> </w:t>
                            </w:r>
                            <w:r w:rsidR="00C342EF">
                              <w:rPr>
                                <w:bCs w:val="0"/>
                              </w:rPr>
                              <w:t>6,3</w:t>
                            </w:r>
                            <w:r>
                              <w:rPr>
                                <w:bCs w:val="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D9AD04" id="Pole tekstowe 13" o:spid="_x0000_s1031" type="#_x0000_t202" alt="Spośród działów budownictwa w czerwcu 2025 r. w porównaniu z grudniem 2023 r. najbardziej wzrosły ceny w dziale budowa obiektów inżynierii lądowej i wodnej (o 6,3%)" style="position:absolute;margin-left:450pt;margin-top:36.1pt;width:144.4pt;height:98.4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" filled="f" stroked="f" strokeweight=".5pt">
                <v:textbox>
                  <w:txbxContent>
                    <w:p w:rsidR="009C644C" w:rsidRDefault="009C644C" w:rsidP="00BB1006">
                      <w:pPr>
                        <w:pStyle w:val="tekstzboku"/>
                      </w:pPr>
                      <w:r>
                        <w:rPr>
                          <w:bCs w:val="0"/>
                        </w:rPr>
                        <w:t>Spośród działów budownictwa</w:t>
                      </w:r>
                      <w:r w:rsidR="00622749">
                        <w:rPr>
                          <w:bCs w:val="0"/>
                        </w:rPr>
                        <w:t xml:space="preserve"> </w:t>
                      </w:r>
                      <w:r>
                        <w:rPr>
                          <w:bCs w:val="0"/>
                        </w:rPr>
                        <w:t>w</w:t>
                      </w:r>
                      <w:r w:rsidR="00622749">
                        <w:rPr>
                          <w:bCs w:val="0"/>
                        </w:rPr>
                        <w:t> </w:t>
                      </w:r>
                      <w:r w:rsidR="00C342EF">
                        <w:rPr>
                          <w:bCs w:val="0"/>
                        </w:rPr>
                        <w:t>lipc</w:t>
                      </w:r>
                      <w:r w:rsidR="000C6803">
                        <w:rPr>
                          <w:bCs w:val="0"/>
                        </w:rPr>
                        <w:t>u</w:t>
                      </w:r>
                      <w:r>
                        <w:rPr>
                          <w:bCs w:val="0"/>
                        </w:rPr>
                        <w:t xml:space="preserve"> 2025 r. w</w:t>
                      </w:r>
                      <w:r w:rsidR="001E038C">
                        <w:rPr>
                          <w:bCs w:val="0"/>
                        </w:rPr>
                        <w:t> </w:t>
                      </w:r>
                      <w:r>
                        <w:rPr>
                          <w:bCs w:val="0"/>
                        </w:rPr>
                        <w:t>porównaniu</w:t>
                      </w:r>
                      <w:r w:rsidR="00622749">
                        <w:rPr>
                          <w:bCs w:val="0"/>
                        </w:rPr>
                        <w:t xml:space="preserve"> </w:t>
                      </w:r>
                      <w:r w:rsidR="00832944">
                        <w:rPr>
                          <w:bCs w:val="0"/>
                        </w:rPr>
                        <w:t>z </w:t>
                      </w:r>
                      <w:r w:rsidR="00207EFC">
                        <w:rPr>
                          <w:bCs w:val="0"/>
                        </w:rPr>
                        <w:t>grudniem 202</w:t>
                      </w:r>
                      <w:r w:rsidR="000A26D7">
                        <w:rPr>
                          <w:bCs w:val="0"/>
                        </w:rPr>
                        <w:t>3</w:t>
                      </w:r>
                      <w:r w:rsidR="001E038C">
                        <w:rPr>
                          <w:bCs w:val="0"/>
                        </w:rPr>
                        <w:t> </w:t>
                      </w:r>
                      <w:r w:rsidR="00207EFC">
                        <w:rPr>
                          <w:bCs w:val="0"/>
                        </w:rPr>
                        <w:t>r</w:t>
                      </w:r>
                      <w:r w:rsidR="002F4F22">
                        <w:rPr>
                          <w:bCs w:val="0"/>
                        </w:rPr>
                        <w:t>.</w:t>
                      </w:r>
                      <w:r w:rsidRPr="00946821">
                        <w:rPr>
                          <w:bCs w:val="0"/>
                        </w:rPr>
                        <w:t xml:space="preserve"> najbardziej </w:t>
                      </w:r>
                      <w:r w:rsidRPr="004130B5">
                        <w:rPr>
                          <w:bCs w:val="0"/>
                        </w:rPr>
                        <w:t>wzrosły ceny</w:t>
                      </w:r>
                      <w:r>
                        <w:rPr>
                          <w:bCs w:val="0"/>
                        </w:rPr>
                        <w:t xml:space="preserve"> w</w:t>
                      </w:r>
                      <w:r w:rsidR="001E038C">
                        <w:rPr>
                          <w:bCs w:val="0"/>
                        </w:rPr>
                        <w:t> </w:t>
                      </w:r>
                      <w:r>
                        <w:rPr>
                          <w:bCs w:val="0"/>
                        </w:rPr>
                        <w:t xml:space="preserve">dziale </w:t>
                      </w:r>
                      <w:r w:rsidRPr="004130B5">
                        <w:rPr>
                          <w:bCs w:val="0"/>
                        </w:rPr>
                        <w:t>budow</w:t>
                      </w:r>
                      <w:r>
                        <w:rPr>
                          <w:bCs w:val="0"/>
                        </w:rPr>
                        <w:t>a</w:t>
                      </w:r>
                      <w:r w:rsidRPr="00B1379F">
                        <w:rPr>
                          <w:bCs w:val="0"/>
                        </w:rPr>
                        <w:t xml:space="preserve"> </w:t>
                      </w:r>
                      <w:r w:rsidRPr="004130B5">
                        <w:rPr>
                          <w:bCs w:val="0"/>
                        </w:rPr>
                        <w:t>obiektów inżynierii lądowej i</w:t>
                      </w:r>
                      <w:r w:rsidR="00900E1E">
                        <w:rPr>
                          <w:bCs w:val="0"/>
                        </w:rPr>
                        <w:t> </w:t>
                      </w:r>
                      <w:r w:rsidRPr="004130B5">
                        <w:rPr>
                          <w:bCs w:val="0"/>
                        </w:rPr>
                        <w:t>wodnej</w:t>
                      </w:r>
                      <w:r>
                        <w:rPr>
                          <w:bCs w:val="0"/>
                        </w:rPr>
                        <w:t xml:space="preserve"> (o</w:t>
                      </w:r>
                      <w:r w:rsidR="001E038C">
                        <w:rPr>
                          <w:bCs w:val="0"/>
                        </w:rPr>
                        <w:t> </w:t>
                      </w:r>
                      <w:r w:rsidR="00C342EF">
                        <w:rPr>
                          <w:bCs w:val="0"/>
                        </w:rPr>
                        <w:t>6,3</w:t>
                      </w:r>
                      <w:r>
                        <w:rPr>
                          <w:bCs w:val="0"/>
                        </w:rPr>
                        <w:t>%)</w:t>
                      </w:r>
                    </w:p>
                  </w:txbxContent>
                </v:textbox>
                <w10:wrap anchorx="page"/>
              </v:shape>
            </w:pict>
          </mc:Fallback>
        </mc:AlternateContent>
      </w:r>
      <w:r w:rsidR="005B4590">
        <w:rPr>
          <w:rFonts w:ascii="Fira Sans SemiBold" w:eastAsia="Times New Roman" w:hAnsi="Fira Sans SemiBold" w:cs="Times New Roman"/>
          <w:b/>
          <w:bCs/>
          <w:noProof/>
          <w:sz w:val="18"/>
          <w:szCs w:val="18"/>
          <w:lang w:eastAsia="pl-PL"/>
        </w:rPr>
        <w:drawing>
          <wp:anchor distT="0" distB="0" distL="114300" distR="114300" simplePos="0" relativeHeight="251930624" behindDoc="0" locked="0" layoutInCell="1" allowOverlap="1" wp14:anchorId="43BFEA24" wp14:editId="5B4367DF">
            <wp:simplePos x="0" y="0"/>
            <wp:positionH relativeFrom="margin">
              <wp:align>left</wp:align>
            </wp:positionH>
            <wp:positionV relativeFrom="paragraph">
              <wp:posOffset>157249</wp:posOffset>
            </wp:positionV>
            <wp:extent cx="5222875" cy="3772535"/>
            <wp:effectExtent l="0" t="0" r="0" b="0"/>
            <wp:wrapTopAndBottom/>
            <wp:docPr id="17" name="Wykres 17" descr="Wykres 3. Zmiany cen produkcji budowlano-montażowej według działów PKD w stosunku do grudnia 2023 r.&#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rsidR="004130B5" w:rsidRDefault="004130B5" w:rsidP="005B4590">
      <w:pPr>
        <w:rPr>
          <w:noProof/>
          <w:lang w:eastAsia="pl-PL"/>
        </w:rPr>
      </w:pPr>
    </w:p>
    <w:p w:rsidR="004818A7" w:rsidRDefault="004818A7" w:rsidP="005B4590">
      <w:pPr>
        <w:rPr>
          <w:noProof/>
          <w:lang w:eastAsia="pl-PL"/>
        </w:rPr>
      </w:pPr>
    </w:p>
    <w:p w:rsidR="00765293" w:rsidRDefault="00765293" w:rsidP="005B4590">
      <w:pPr>
        <w:rPr>
          <w:noProof/>
          <w:lang w:eastAsia="pl-PL"/>
        </w:rPr>
      </w:pPr>
    </w:p>
    <w:p w:rsidR="004130B5" w:rsidRDefault="004130B5" w:rsidP="005B4590">
      <w:pPr>
        <w:rPr>
          <w:noProof/>
          <w:lang w:eastAsia="pl-PL"/>
        </w:rPr>
      </w:pPr>
    </w:p>
    <w:p w:rsidR="00BB1006" w:rsidRDefault="00317455" w:rsidP="00BB1006">
      <w:pPr>
        <w:rPr>
          <w:rFonts w:ascii="Calibri" w:hAnsi="Calibri"/>
          <w:sz w:val="22"/>
        </w:rPr>
      </w:pPr>
      <w:r w:rsidRPr="00317455">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rsidR="00BB1006" w:rsidRDefault="00BB1006" w:rsidP="00DA331D">
      <w:pPr>
        <w:spacing w:before="360"/>
        <w:rPr>
          <w:sz w:val="18"/>
        </w:rPr>
      </w:pPr>
    </w:p>
    <w:p w:rsidR="007B63D4" w:rsidRDefault="007B63D4" w:rsidP="00DA331D">
      <w:pPr>
        <w:spacing w:before="360"/>
        <w:rPr>
          <w:sz w:val="18"/>
        </w:rPr>
      </w:pPr>
    </w:p>
    <w:p w:rsidR="007B63D4" w:rsidRDefault="007B63D4" w:rsidP="00DA331D">
      <w:pPr>
        <w:spacing w:before="360"/>
        <w:rPr>
          <w:sz w:val="18"/>
        </w:rPr>
      </w:pPr>
    </w:p>
    <w:p w:rsidR="007B63D4" w:rsidRPr="00001C5B" w:rsidRDefault="007B63D4" w:rsidP="00DA331D">
      <w:pPr>
        <w:spacing w:before="360"/>
        <w:rPr>
          <w:sz w:val="18"/>
        </w:rPr>
        <w:sectPr w:rsidR="007B63D4"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317455" w:rsidTr="00B84C43">
        <w:trPr>
          <w:trHeight w:val="1626"/>
        </w:trPr>
        <w:tc>
          <w:tcPr>
            <w:tcW w:w="4926" w:type="dxa"/>
          </w:tcPr>
          <w:p w:rsidR="00317455" w:rsidRPr="004A1D19" w:rsidRDefault="00317455" w:rsidP="00317455">
            <w:pPr>
              <w:spacing w:before="0" w:after="0" w:line="276" w:lineRule="auto"/>
              <w:rPr>
                <w:rFonts w:cs="Arial"/>
                <w:sz w:val="20"/>
              </w:rPr>
            </w:pPr>
            <w:r w:rsidRPr="004A1D19">
              <w:rPr>
                <w:rFonts w:cs="Arial"/>
                <w:sz w:val="20"/>
              </w:rPr>
              <w:lastRenderedPageBreak/>
              <w:t>Opracowanie merytoryczne:</w:t>
            </w:r>
          </w:p>
          <w:p w:rsidR="00317455" w:rsidRPr="008925F0" w:rsidRDefault="00317455" w:rsidP="00317455">
            <w:pPr>
              <w:spacing w:before="0" w:line="276" w:lineRule="auto"/>
              <w:rPr>
                <w:rFonts w:cs="Arial"/>
                <w:b/>
                <w:color w:val="000000" w:themeColor="text1"/>
                <w:sz w:val="20"/>
              </w:rPr>
            </w:pPr>
            <w:r w:rsidRPr="008925F0">
              <w:rPr>
                <w:rFonts w:cs="Arial"/>
                <w:b/>
                <w:color w:val="000000" w:themeColor="text1"/>
                <w:sz w:val="20"/>
              </w:rPr>
              <w:t xml:space="preserve">Departament </w:t>
            </w:r>
            <w:r>
              <w:rPr>
                <w:rFonts w:cs="Arial"/>
                <w:b/>
                <w:color w:val="000000" w:themeColor="text1"/>
                <w:sz w:val="20"/>
              </w:rPr>
              <w:t>Handlu i Usług</w:t>
            </w:r>
          </w:p>
          <w:p w:rsidR="00317455" w:rsidRPr="00DE2400" w:rsidRDefault="00317455" w:rsidP="00317455">
            <w:pPr>
              <w:spacing w:before="0" w:after="0" w:line="276" w:lineRule="auto"/>
              <w:rPr>
                <w:b/>
                <w:lang w:val="fi-FI"/>
              </w:rPr>
            </w:pPr>
            <w:r w:rsidRPr="00DE2400">
              <w:rPr>
                <w:b/>
                <w:lang w:val="fi-FI"/>
              </w:rPr>
              <w:t xml:space="preserve">Dyrektor </w:t>
            </w:r>
            <w:r>
              <w:rPr>
                <w:rFonts w:cs="Arial"/>
                <w:b/>
                <w:color w:val="000000" w:themeColor="text1"/>
                <w:sz w:val="20"/>
                <w:szCs w:val="28"/>
              </w:rPr>
              <w:t>Ewa Adach-Stankiewicz</w:t>
            </w:r>
          </w:p>
          <w:p w:rsidR="00317455" w:rsidRPr="00AB24E4" w:rsidRDefault="00317455" w:rsidP="00317455">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Pr>
                <w:rFonts w:ascii="Fira Sans" w:hAnsi="Fira Sans" w:cs="Arial"/>
                <w:color w:val="000000" w:themeColor="text1"/>
                <w:sz w:val="20"/>
                <w:lang w:val="fi-FI"/>
              </w:rPr>
              <w:t>22</w:t>
            </w:r>
            <w:r w:rsidRPr="00AC6DB5">
              <w:rPr>
                <w:rFonts w:ascii="Fira Sans" w:hAnsi="Fira Sans" w:cs="Arial"/>
                <w:color w:val="000000" w:themeColor="text1"/>
                <w:sz w:val="20"/>
                <w:lang w:val="fi-FI"/>
              </w:rPr>
              <w:t> 608 3</w:t>
            </w:r>
            <w:r>
              <w:rPr>
                <w:rFonts w:ascii="Fira Sans" w:hAnsi="Fira Sans" w:cs="Arial"/>
                <w:color w:val="000000" w:themeColor="text1"/>
                <w:sz w:val="20"/>
                <w:lang w:val="fi-FI"/>
              </w:rPr>
              <w:t>1 24</w:t>
            </w:r>
          </w:p>
        </w:tc>
        <w:tc>
          <w:tcPr>
            <w:tcW w:w="4927" w:type="dxa"/>
          </w:tcPr>
          <w:p w:rsidR="00A64DDF" w:rsidRDefault="00A64DDF" w:rsidP="00A64DDF">
            <w:pPr>
              <w:spacing w:before="0" w:line="276" w:lineRule="auto"/>
              <w:rPr>
                <w:rFonts w:cs="Arial"/>
                <w:b/>
                <w:sz w:val="20"/>
              </w:rPr>
            </w:pPr>
            <w:r w:rsidRPr="004A1D19">
              <w:rPr>
                <w:rFonts w:cs="Arial"/>
                <w:sz w:val="20"/>
              </w:rPr>
              <w:t>Rozpowszechnianie:</w:t>
            </w:r>
            <w:r w:rsidRPr="004A1D19">
              <w:rPr>
                <w:rFonts w:cs="Arial"/>
                <w:sz w:val="20"/>
              </w:rPr>
              <w:br/>
            </w:r>
            <w:r>
              <w:rPr>
                <w:rFonts w:cs="Arial"/>
                <w:b/>
                <w:sz w:val="20"/>
              </w:rPr>
              <w:t>Wydział Współpracy z Mediami</w:t>
            </w:r>
          </w:p>
          <w:p w:rsidR="00A64DDF" w:rsidRDefault="00A64DDF" w:rsidP="00A64DDF">
            <w:r>
              <w:t>Tel. komórkowy: +48 695 255 032</w:t>
            </w:r>
          </w:p>
          <w:p w:rsidR="00A64DDF" w:rsidRDefault="00A64DDF" w:rsidP="00A64DDF">
            <w:pPr>
              <w:ind w:left="1494" w:hanging="1494"/>
            </w:pPr>
            <w:r>
              <w:t>Tel. stacjonarne: +48 22 608 38 04, +48 22 449 41 45,     +48 22 608 30 09</w:t>
            </w:r>
          </w:p>
          <w:p w:rsidR="00317455" w:rsidRDefault="00A64DDF" w:rsidP="00A64DDF">
            <w:pPr>
              <w:pStyle w:val="Nagwek3"/>
              <w:spacing w:before="0" w:after="120" w:line="276" w:lineRule="auto"/>
              <w:outlineLvl w:val="2"/>
              <w:rPr>
                <w:rStyle w:val="Hipercze"/>
                <w:rFonts w:cs="Arial"/>
                <w:b/>
                <w:color w:val="auto"/>
                <w:sz w:val="20"/>
                <w:szCs w:val="20"/>
              </w:rPr>
            </w:pPr>
            <w:r w:rsidRPr="00532A18">
              <w:rPr>
                <w:b/>
                <w:color w:val="auto"/>
                <w:sz w:val="20"/>
              </w:rPr>
              <w:t>e-mail:</w:t>
            </w:r>
            <w:r w:rsidRPr="00532A18">
              <w:rPr>
                <w:color w:val="auto"/>
                <w:sz w:val="20"/>
              </w:rPr>
              <w:t xml:space="preserve"> </w:t>
            </w:r>
            <w:hyperlink r:id="rId17" w:history="1">
              <w:r w:rsidRPr="00610ED9">
                <w:rPr>
                  <w:rStyle w:val="Hipercze"/>
                  <w:rFonts w:cs="Arial"/>
                  <w:b/>
                  <w:color w:val="auto"/>
                  <w:sz w:val="20"/>
                  <w:szCs w:val="20"/>
                </w:rPr>
                <w:t>obslugaprasowa@stat.gov.pl</w:t>
              </w:r>
            </w:hyperlink>
          </w:p>
          <w:p w:rsidR="00206C20" w:rsidRPr="00206C20" w:rsidRDefault="00206C20" w:rsidP="00206C20"/>
        </w:tc>
      </w:tr>
      <w:tr w:rsidR="00317455" w:rsidTr="00B84C43">
        <w:trPr>
          <w:trHeight w:val="418"/>
        </w:trPr>
        <w:tc>
          <w:tcPr>
            <w:tcW w:w="4926" w:type="dxa"/>
            <w:vMerge w:val="restart"/>
          </w:tcPr>
          <w:p w:rsidR="00317455" w:rsidRPr="00F05FC7" w:rsidRDefault="00317455" w:rsidP="00317455">
            <w:pPr>
              <w:rPr>
                <w:sz w:val="18"/>
                <w:lang w:val="en-US"/>
              </w:rPr>
            </w:pPr>
          </w:p>
        </w:tc>
        <w:tc>
          <w:tcPr>
            <w:tcW w:w="4927" w:type="dxa"/>
            <w:vAlign w:val="center"/>
          </w:tcPr>
          <w:p w:rsidR="00317455" w:rsidRDefault="00317455" w:rsidP="00317455">
            <w:pPr>
              <w:ind w:firstLine="680"/>
              <w:rPr>
                <w:sz w:val="18"/>
              </w:rPr>
            </w:pPr>
            <w:r>
              <w:rPr>
                <w:noProof/>
                <w:sz w:val="20"/>
                <w:lang w:eastAsia="pl-PL"/>
              </w:rPr>
              <w:drawing>
                <wp:anchor distT="0" distB="0" distL="114300" distR="114300" simplePos="0" relativeHeight="251885568" behindDoc="0" locked="0" layoutInCell="1" allowOverlap="1" wp14:anchorId="1F6F3249" wp14:editId="07E8D125">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18"/>
              </w:rPr>
              <w:t xml:space="preserve">      </w:t>
            </w:r>
          </w:p>
        </w:tc>
      </w:tr>
      <w:tr w:rsidR="00317455" w:rsidTr="00B84C43">
        <w:trPr>
          <w:trHeight w:val="418"/>
        </w:trPr>
        <w:tc>
          <w:tcPr>
            <w:tcW w:w="4926" w:type="dxa"/>
            <w:vMerge/>
          </w:tcPr>
          <w:p w:rsidR="00317455" w:rsidRPr="00C91687" w:rsidRDefault="00317455" w:rsidP="00317455">
            <w:pPr>
              <w:rPr>
                <w:b/>
                <w:sz w:val="20"/>
              </w:rPr>
            </w:pPr>
          </w:p>
        </w:tc>
        <w:tc>
          <w:tcPr>
            <w:tcW w:w="4927" w:type="dxa"/>
            <w:vAlign w:val="center"/>
          </w:tcPr>
          <w:p w:rsidR="00317455" w:rsidRDefault="00317455" w:rsidP="00317455">
            <w:pPr>
              <w:ind w:firstLine="680"/>
              <w:rPr>
                <w:sz w:val="18"/>
              </w:rPr>
            </w:pPr>
            <w:r>
              <w:rPr>
                <w:noProof/>
                <w:sz w:val="20"/>
                <w:lang w:eastAsia="pl-PL"/>
              </w:rPr>
              <w:drawing>
                <wp:anchor distT="0" distB="0" distL="114300" distR="114300" simplePos="0" relativeHeight="251886592" behindDoc="0" locked="0" layoutInCell="1" allowOverlap="1" wp14:anchorId="09AC3BE1" wp14:editId="2F81EC7F">
                  <wp:simplePos x="0" y="0"/>
                  <wp:positionH relativeFrom="column">
                    <wp:posOffset>79375</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@GUS_STAT</w:t>
            </w:r>
            <w:r>
              <w:rPr>
                <w:noProof/>
                <w:sz w:val="20"/>
                <w:lang w:eastAsia="pl-PL"/>
              </w:rPr>
              <w:t xml:space="preserve"> </w:t>
            </w:r>
          </w:p>
        </w:tc>
      </w:tr>
      <w:tr w:rsidR="00317455" w:rsidTr="00B84C43">
        <w:trPr>
          <w:trHeight w:val="476"/>
        </w:trPr>
        <w:tc>
          <w:tcPr>
            <w:tcW w:w="4926" w:type="dxa"/>
            <w:vMerge/>
          </w:tcPr>
          <w:p w:rsidR="00317455" w:rsidRPr="00C91687" w:rsidRDefault="00317455" w:rsidP="00317455">
            <w:pPr>
              <w:rPr>
                <w:b/>
                <w:sz w:val="20"/>
              </w:rPr>
            </w:pPr>
          </w:p>
        </w:tc>
        <w:tc>
          <w:tcPr>
            <w:tcW w:w="4927" w:type="dxa"/>
          </w:tcPr>
          <w:p w:rsidR="00317455" w:rsidRDefault="00317455" w:rsidP="00317455">
            <w:pPr>
              <w:ind w:firstLine="680"/>
              <w:rPr>
                <w:sz w:val="18"/>
              </w:rPr>
            </w:pPr>
            <w:r>
              <w:rPr>
                <w:noProof/>
                <w:sz w:val="20"/>
                <w:lang w:eastAsia="pl-PL"/>
              </w:rPr>
              <w:drawing>
                <wp:anchor distT="0" distB="0" distL="114300" distR="114300" simplePos="0" relativeHeight="251887616" behindDoc="0" locked="0" layoutInCell="1" allowOverlap="1" wp14:anchorId="265AA219" wp14:editId="7E096A60">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317455" w:rsidTr="00B84C43">
        <w:trPr>
          <w:trHeight w:val="426"/>
        </w:trPr>
        <w:tc>
          <w:tcPr>
            <w:tcW w:w="4926" w:type="dxa"/>
          </w:tcPr>
          <w:p w:rsidR="00317455" w:rsidRPr="00C91687" w:rsidRDefault="00317455" w:rsidP="00317455">
            <w:pPr>
              <w:rPr>
                <w:b/>
                <w:sz w:val="20"/>
              </w:rPr>
            </w:pPr>
          </w:p>
        </w:tc>
        <w:tc>
          <w:tcPr>
            <w:tcW w:w="4927" w:type="dxa"/>
          </w:tcPr>
          <w:p w:rsidR="00317455" w:rsidRDefault="00317455" w:rsidP="00317455">
            <w:pPr>
              <w:ind w:firstLine="680"/>
              <w:rPr>
                <w:noProof/>
                <w:sz w:val="20"/>
                <w:lang w:eastAsia="pl-PL"/>
              </w:rPr>
            </w:pPr>
            <w:r>
              <w:rPr>
                <w:noProof/>
                <w:sz w:val="20"/>
                <w:lang w:eastAsia="pl-PL"/>
              </w:rPr>
              <w:drawing>
                <wp:anchor distT="0" distB="0" distL="114300" distR="114300" simplePos="0" relativeHeight="251888640" behindDoc="0" locked="0" layoutInCell="1" allowOverlap="1" wp14:anchorId="4A42E826" wp14:editId="03D0DCA4">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317455" w:rsidTr="00B84C43">
        <w:trPr>
          <w:trHeight w:val="504"/>
        </w:trPr>
        <w:tc>
          <w:tcPr>
            <w:tcW w:w="4926" w:type="dxa"/>
          </w:tcPr>
          <w:p w:rsidR="00317455" w:rsidRPr="00C91687" w:rsidRDefault="00317455" w:rsidP="00317455">
            <w:pPr>
              <w:rPr>
                <w:b/>
                <w:sz w:val="20"/>
              </w:rPr>
            </w:pPr>
          </w:p>
        </w:tc>
        <w:tc>
          <w:tcPr>
            <w:tcW w:w="4927" w:type="dxa"/>
          </w:tcPr>
          <w:p w:rsidR="00317455" w:rsidRDefault="00317455" w:rsidP="00317455">
            <w:pPr>
              <w:ind w:firstLine="680"/>
              <w:rPr>
                <w:noProof/>
                <w:sz w:val="20"/>
                <w:lang w:eastAsia="pl-PL"/>
              </w:rPr>
            </w:pPr>
            <w:r>
              <w:rPr>
                <w:noProof/>
                <w:sz w:val="20"/>
                <w:lang w:eastAsia="pl-PL"/>
              </w:rPr>
              <w:drawing>
                <wp:anchor distT="0" distB="0" distL="114300" distR="114300" simplePos="0" relativeHeight="251889664" behindDoc="0" locked="0" layoutInCell="1" allowOverlap="1" wp14:anchorId="7EAD2317" wp14:editId="53282D4E">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317455" w:rsidTr="00B84C43">
        <w:trPr>
          <w:trHeight w:val="1546"/>
        </w:trPr>
        <w:tc>
          <w:tcPr>
            <w:tcW w:w="4926" w:type="dxa"/>
          </w:tcPr>
          <w:p w:rsidR="00317455" w:rsidRPr="00C91687" w:rsidRDefault="00317455" w:rsidP="00317455">
            <w:pPr>
              <w:rPr>
                <w:b/>
                <w:sz w:val="20"/>
              </w:rPr>
            </w:pPr>
          </w:p>
        </w:tc>
        <w:tc>
          <w:tcPr>
            <w:tcW w:w="4927" w:type="dxa"/>
          </w:tcPr>
          <w:p w:rsidR="00317455" w:rsidRDefault="00317455" w:rsidP="00317455">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890688" behindDoc="0" locked="0" layoutInCell="1" allowOverlap="1" wp14:anchorId="475EDE3B" wp14:editId="1D804F8F">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rsidTr="00B84C43">
        <w:trPr>
          <w:trHeight w:val="4114"/>
        </w:trPr>
        <w:tc>
          <w:tcPr>
            <w:tcW w:w="9853" w:type="dxa"/>
            <w:gridSpan w:val="2"/>
            <w:shd w:val="clear" w:color="auto" w:fill="D9D9D9" w:themeFill="background1" w:themeFillShade="D9"/>
          </w:tcPr>
          <w:p w:rsidR="00531873" w:rsidRPr="00876479" w:rsidRDefault="00531873" w:rsidP="00531873">
            <w:pPr>
              <w:shd w:val="clear" w:color="auto" w:fill="D9D9D9" w:themeFill="background1" w:themeFillShade="D9"/>
              <w:rPr>
                <w:b/>
              </w:rPr>
            </w:pPr>
            <w:r w:rsidRPr="00210B1C">
              <w:rPr>
                <w:b/>
              </w:rPr>
              <w:t>Powiązane opracowania</w:t>
            </w:r>
          </w:p>
          <w:p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begin"/>
            </w:r>
            <w:r w:rsidR="004B2D17">
              <w:rPr>
                <w:color w:val="001381"/>
                <w:sz w:val="18"/>
                <w:szCs w:val="18"/>
              </w:rPr>
              <w:instrText>HYPERLINK "https://stat.gov.pl/obszary-tematyczne/inne-opracowania/informacje-o-sytuacji-spoleczno-gospodarczej/biuletyn-statystyczny-nr-62025,4,163.html" \o "Link do publikacji  Biuletyn Statystyczny"</w:instrText>
            </w:r>
            <w:r w:rsidRPr="008F2660">
              <w:rPr>
                <w:color w:val="001381"/>
                <w:sz w:val="18"/>
                <w:szCs w:val="18"/>
              </w:rPr>
              <w:fldChar w:fldCharType="separate"/>
            </w:r>
            <w:r w:rsidRPr="008F2660">
              <w:rPr>
                <w:rStyle w:val="Hipercze"/>
                <w:rFonts w:cstheme="minorBidi"/>
                <w:color w:val="001381"/>
                <w:sz w:val="18"/>
                <w:szCs w:val="18"/>
              </w:rPr>
              <w:t>Biuletyn Statystyczny</w:t>
            </w:r>
          </w:p>
          <w:p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end"/>
            </w:r>
            <w:r>
              <w:rPr>
                <w:sz w:val="18"/>
                <w:szCs w:val="18"/>
              </w:rPr>
              <w:fldChar w:fldCharType="begin"/>
            </w:r>
            <w:r w:rsidR="00974795">
              <w:rPr>
                <w:sz w:val="18"/>
                <w:szCs w:val="18"/>
              </w:rPr>
              <w:instrText>HYPERLINK "http://stat.gov.pl/sygnalne/informacje-sygnalne/" \o "Link do publikacji Informacje Sygnalne"</w:instrText>
            </w:r>
            <w:r>
              <w:rPr>
                <w:sz w:val="18"/>
                <w:szCs w:val="18"/>
              </w:rPr>
              <w:fldChar w:fldCharType="separate"/>
            </w:r>
            <w:r w:rsidRPr="008F2660">
              <w:rPr>
                <w:rStyle w:val="Hipercze"/>
                <w:rFonts w:cstheme="minorBidi"/>
                <w:color w:val="001381"/>
                <w:sz w:val="18"/>
                <w:szCs w:val="18"/>
              </w:rPr>
              <w:t>Informacje sygnalne</w:t>
            </w:r>
          </w:p>
          <w:p w:rsidR="007A4583" w:rsidRPr="003B13E6" w:rsidRDefault="0015476B" w:rsidP="0015476B">
            <w:pPr>
              <w:jc w:val="both"/>
              <w:rPr>
                <w:rStyle w:val="Hipercze"/>
                <w:rFonts w:cstheme="minorBidi"/>
                <w:color w:val="001381"/>
                <w:sz w:val="18"/>
                <w:szCs w:val="18"/>
              </w:rPr>
            </w:pPr>
            <w:r>
              <w:rPr>
                <w:sz w:val="18"/>
                <w:szCs w:val="18"/>
              </w:rPr>
              <w:fldChar w:fldCharType="end"/>
            </w:r>
            <w:hyperlink r:id="rId24" w:history="1">
              <w:r w:rsidR="003B13E6" w:rsidRPr="003B13E6">
                <w:rPr>
                  <w:rStyle w:val="Hipercze"/>
                  <w:rFonts w:cstheme="minorBidi"/>
                  <w:color w:val="001381"/>
                  <w:sz w:val="18"/>
                  <w:szCs w:val="18"/>
                </w:rPr>
                <w:t>Sytuacja społeczno-gospodarcza kraju</w:t>
              </w:r>
            </w:hyperlink>
          </w:p>
          <w:p w:rsidR="003B13E6" w:rsidRDefault="003B13E6" w:rsidP="0015476B">
            <w:pPr>
              <w:jc w:val="both"/>
              <w:rPr>
                <w:b/>
                <w:color w:val="000000" w:themeColor="text1"/>
                <w:szCs w:val="24"/>
              </w:rPr>
            </w:pPr>
          </w:p>
          <w:p w:rsidR="00531873" w:rsidRPr="00694D63" w:rsidRDefault="00531873" w:rsidP="0015476B">
            <w:pPr>
              <w:jc w:val="both"/>
              <w:rPr>
                <w:b/>
                <w:color w:val="000000" w:themeColor="text1"/>
                <w:szCs w:val="24"/>
              </w:rPr>
            </w:pPr>
            <w:r>
              <w:rPr>
                <w:b/>
                <w:color w:val="000000" w:themeColor="text1"/>
                <w:szCs w:val="24"/>
              </w:rPr>
              <w:t>Temat dostępny w bazach danych</w:t>
            </w:r>
          </w:p>
          <w:p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8B1614">
              <w:rPr>
                <w:rStyle w:val="Hipercze"/>
                <w:rFonts w:cstheme="minorBidi"/>
                <w:color w:val="001381"/>
                <w:sz w:val="18"/>
                <w:szCs w:val="18"/>
              </w:rPr>
              <w:instrText>HYPERLINK "https://dbw.stat.gov.pl/" \o "Link do Dziedzinowej Bazy Wiedzy Ceny"</w:instrText>
            </w:r>
            <w:r w:rsidRPr="008F2660">
              <w:rPr>
                <w:rStyle w:val="Hipercze"/>
                <w:rFonts w:cstheme="minorBidi"/>
                <w:color w:val="001381"/>
                <w:sz w:val="18"/>
                <w:szCs w:val="18"/>
              </w:rPr>
              <w:fldChar w:fldCharType="separate"/>
            </w:r>
            <w:r w:rsidR="00E767DC" w:rsidRPr="008F2660">
              <w:rPr>
                <w:rStyle w:val="Hipercze"/>
                <w:rFonts w:cstheme="minorBidi"/>
                <w:color w:val="001381"/>
                <w:sz w:val="18"/>
                <w:szCs w:val="18"/>
              </w:rPr>
              <w:t>Dziedzinowa Baza Wiedzy Ceny</w:t>
            </w:r>
          </w:p>
          <w:p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92073A"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"http://bdm.stat.gov.pl/" \o "Link do Banku Danych Makroekonomicznych"</w:instrText>
            </w:r>
            <w:r w:rsidR="0092073A" w:rsidRPr="008F2660">
              <w:rPr>
                <w:rStyle w:val="Hipercze"/>
                <w:rFonts w:cstheme="minorBidi"/>
                <w:color w:val="001381"/>
                <w:sz w:val="18"/>
                <w:szCs w:val="18"/>
              </w:rPr>
              <w:fldChar w:fldCharType="separate"/>
            </w:r>
            <w:r w:rsidR="001D1E21" w:rsidRPr="008F2660">
              <w:rPr>
                <w:rStyle w:val="Hipercze"/>
                <w:rFonts w:cstheme="minorBidi"/>
                <w:color w:val="001381"/>
                <w:sz w:val="18"/>
                <w:szCs w:val="18"/>
              </w:rPr>
              <w:t xml:space="preserve">Bank </w:t>
            </w:r>
            <w:r w:rsidR="00D46D60" w:rsidRPr="008F2660">
              <w:rPr>
                <w:rStyle w:val="Hipercze"/>
                <w:rFonts w:cstheme="minorBidi"/>
                <w:color w:val="001381"/>
                <w:sz w:val="18"/>
                <w:szCs w:val="18"/>
              </w:rPr>
              <w:t>Danych Makroekonomicznych</w:t>
            </w:r>
          </w:p>
          <w:p w:rsidR="00531873" w:rsidRPr="007A4583" w:rsidRDefault="0092073A"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E767DC" w:rsidRPr="007A4583">
              <w:rPr>
                <w:rStyle w:val="Hipercze"/>
                <w:rFonts w:cstheme="minorBidi"/>
                <w:color w:val="001381"/>
                <w:sz w:val="18"/>
                <w:szCs w:val="18"/>
              </w:rPr>
              <w:t>Wskaźniki cen (Obszary tematyczne: Ceny, Handel)</w:t>
            </w:r>
          </w:p>
          <w:p w:rsidR="00531873" w:rsidRPr="007A4583" w:rsidRDefault="00531873" w:rsidP="00531873">
            <w:pPr>
              <w:rPr>
                <w:rStyle w:val="Hipercze"/>
                <w:rFonts w:cstheme="minorBidi"/>
                <w:color w:val="auto"/>
                <w:u w:val="none"/>
              </w:rPr>
            </w:pPr>
            <w:r w:rsidRPr="007A4583">
              <w:rPr>
                <w:rStyle w:val="Hipercze"/>
                <w:rFonts w:cstheme="minorBidi"/>
                <w:color w:val="auto"/>
                <w:u w:val="none"/>
              </w:rPr>
              <w:fldChar w:fldCharType="begin"/>
            </w:r>
            <w:r w:rsidRPr="007A4583">
              <w:rPr>
                <w:rStyle w:val="Hipercze"/>
                <w:rFonts w:cstheme="minorBidi"/>
                <w:color w:val="auto"/>
                <w:u w:val="none"/>
              </w:rPr>
              <w:instrText xml:space="preserve"> HYPERLINK "https://stat.gov.pl/" \o "Link do danych w bazie..." </w:instrText>
            </w:r>
            <w:r w:rsidRPr="007A4583">
              <w:rPr>
                <w:rStyle w:val="Hipercze"/>
                <w:rFonts w:cstheme="minorBidi"/>
                <w:color w:val="auto"/>
                <w:u w:val="none"/>
              </w:rPr>
              <w:fldChar w:fldCharType="separate"/>
            </w:r>
          </w:p>
          <w:p w:rsidR="00531873" w:rsidRPr="00694D63" w:rsidRDefault="00531873" w:rsidP="007A4583">
            <w:pPr>
              <w:rPr>
                <w:b/>
                <w:color w:val="000000" w:themeColor="text1"/>
                <w:szCs w:val="24"/>
              </w:rPr>
            </w:pPr>
            <w:r w:rsidRPr="007A4583">
              <w:rPr>
                <w:rStyle w:val="Hipercze"/>
                <w:rFonts w:cstheme="minorBidi"/>
                <w:color w:val="auto"/>
                <w:u w:val="none"/>
              </w:rPr>
              <w:fldChar w:fldCharType="end"/>
            </w:r>
            <w:r w:rsidRPr="00694D63">
              <w:rPr>
                <w:b/>
                <w:color w:val="000000" w:themeColor="text1"/>
                <w:szCs w:val="24"/>
              </w:rPr>
              <w:t>Ważniejsze pojęcia dostępne w słowniku</w:t>
            </w:r>
          </w:p>
          <w:p w:rsidR="006C58C2" w:rsidRPr="008F2660" w:rsidRDefault="00D46D60" w:rsidP="006C58C2">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"http://stat.gov.pl/metainformacje/slownik-pojec/pojecia-stosowane-w-statystyce-publicznej/709,pojecie.html" \o "Link do definicji pojęcia Wskaźnik cen produkcji budowlano-montażowej"</w:instrText>
            </w:r>
            <w:r w:rsidRPr="008F2660">
              <w:rPr>
                <w:rStyle w:val="Hipercze"/>
                <w:rFonts w:cstheme="minorBidi"/>
                <w:color w:val="001381"/>
                <w:sz w:val="18"/>
                <w:szCs w:val="18"/>
              </w:rPr>
              <w:fldChar w:fldCharType="separate"/>
            </w:r>
            <w:r w:rsidR="006C58C2" w:rsidRPr="008F2660">
              <w:rPr>
                <w:rStyle w:val="Hipercze"/>
                <w:rFonts w:cstheme="minorBidi"/>
                <w:color w:val="001381"/>
                <w:sz w:val="18"/>
                <w:szCs w:val="18"/>
              </w:rPr>
              <w:t>Wskaźnik cen produkcji budowlano-montażowej</w:t>
            </w:r>
          </w:p>
          <w:p w:rsidR="00531873" w:rsidRPr="00B16871" w:rsidRDefault="00D46D60" w:rsidP="00531873">
            <w:pPr>
              <w:rPr>
                <w:rStyle w:val="Hipercze"/>
                <w:rFonts w:cstheme="minorBidi"/>
                <w:color w:val="auto"/>
                <w:u w:val="none"/>
              </w:rPr>
            </w:pPr>
            <w:r w:rsidRPr="008F2660">
              <w:rPr>
                <w:rStyle w:val="Hipercze"/>
                <w:rFonts w:cstheme="minorBidi"/>
                <w:color w:val="001381"/>
                <w:sz w:val="18"/>
                <w:szCs w:val="18"/>
              </w:rPr>
              <w:fldChar w:fldCharType="end"/>
            </w:r>
          </w:p>
          <w:p w:rsidR="00531873" w:rsidRPr="007A4583" w:rsidRDefault="00531873" w:rsidP="00531873">
            <w:pPr>
              <w:rPr>
                <w:rStyle w:val="Hipercze"/>
                <w:rFonts w:cstheme="minorBidi"/>
                <w:color w:val="auto"/>
                <w:u w:val="none"/>
              </w:rPr>
            </w:pPr>
          </w:p>
          <w:p w:rsidR="00531873" w:rsidRPr="007A4583" w:rsidRDefault="00531873" w:rsidP="00531873">
            <w:pPr>
              <w:rPr>
                <w:rStyle w:val="Hipercze"/>
                <w:rFonts w:cstheme="minorBidi"/>
                <w:color w:val="auto"/>
                <w:u w:val="none"/>
              </w:rPr>
            </w:pPr>
          </w:p>
          <w:p w:rsidR="00531873" w:rsidRPr="007A4583" w:rsidRDefault="00531873" w:rsidP="00531873">
            <w:pPr>
              <w:rPr>
                <w:rStyle w:val="Hipercze"/>
                <w:rFonts w:cstheme="minorBidi"/>
                <w:color w:val="auto"/>
                <w:u w:val="none"/>
              </w:rPr>
            </w:pPr>
          </w:p>
          <w:p w:rsidR="00531873" w:rsidRPr="007B63D4" w:rsidRDefault="00531873" w:rsidP="00531873">
            <w:pPr>
              <w:rPr>
                <w:b/>
                <w:color w:val="000000" w:themeColor="text1"/>
                <w:szCs w:val="24"/>
              </w:rPr>
            </w:pPr>
          </w:p>
        </w:tc>
      </w:tr>
    </w:tbl>
    <w:p w:rsidR="000470AA" w:rsidRDefault="000470AA" w:rsidP="000470AA">
      <w:pPr>
        <w:rPr>
          <w:sz w:val="18"/>
        </w:rPr>
      </w:pPr>
    </w:p>
    <w:p w:rsidR="00D261A2" w:rsidRPr="00001C5B" w:rsidRDefault="00D261A2" w:rsidP="00AD0E56">
      <w:pPr>
        <w:rPr>
          <w:sz w:val="18"/>
        </w:rPr>
      </w:pPr>
    </w:p>
    <w:sectPr w:rsidR="00D261A2" w:rsidRPr="00001C5B"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796D" w:rsidRDefault="0055796D" w:rsidP="000662E2">
      <w:pPr>
        <w:spacing w:after="0" w:line="240" w:lineRule="auto"/>
      </w:pPr>
      <w:r>
        <w:separator/>
      </w:r>
    </w:p>
  </w:endnote>
  <w:endnote w:type="continuationSeparator" w:id="0">
    <w:p w:rsidR="0055796D" w:rsidRDefault="0055796D"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D6F7D797-8239-4FCD-AD68-329F3D317138}"/>
    <w:embedBold r:id="rId2" w:fontKey="{A0774F08-A11B-4411-9D5F-296BC88141CE}"/>
  </w:font>
  <w:font w:name="Fira Sans Light">
    <w:panose1 w:val="020B0403050000020004"/>
    <w:charset w:val="EE"/>
    <w:family w:val="swiss"/>
    <w:pitch w:val="variable"/>
    <w:sig w:usb0="600002FF" w:usb1="02000001" w:usb2="00000000" w:usb3="00000000" w:csb0="0000019F" w:csb1="00000000"/>
    <w:embedRegular r:id="rId3" w:fontKey="{953853CD-DDE9-4103-BF7B-513961BED9B7}"/>
    <w:embedBold r:id="rId4" w:fontKey="{B72D7A4F-15A2-440B-9EA0-25BE5DE11D2E}"/>
  </w:font>
  <w:font w:name="Fira Sans SemiBold">
    <w:panose1 w:val="020B0603050000020004"/>
    <w:charset w:val="EE"/>
    <w:family w:val="swiss"/>
    <w:pitch w:val="variable"/>
    <w:sig w:usb0="600002FF" w:usb1="02000001" w:usb2="00000000" w:usb3="00000000" w:csb0="0000019F" w:csb1="00000000"/>
    <w:embedRegular r:id="rId5" w:fontKey="{5118154A-D0D0-4BB6-BF9B-4AF49A4F8AF7}"/>
    <w:embedBold r:id="rId6" w:fontKey="{4B2209ED-C986-4C60-A4A5-23F5F24BF25C}"/>
  </w:font>
  <w:font w:name="Fira Sans Medium">
    <w:panose1 w:val="020B0603050000020004"/>
    <w:charset w:val="EE"/>
    <w:family w:val="swiss"/>
    <w:pitch w:val="variable"/>
    <w:sig w:usb0="600002FF" w:usb1="02000001" w:usb2="00000000" w:usb3="00000000" w:csb0="0000019F" w:csb1="00000000"/>
    <w:embedRegular r:id="rId7" w:fontKey="{B9840F47-2DA6-4A6E-AD2C-32062A12D102}"/>
    <w:embedBold r:id="rId8" w:fontKey="{40686222-F46E-40D1-B0FC-7FF288218917}"/>
    <w:embedItalic r:id="rId9" w:fontKey="{63B2A49E-79F5-43F9-9315-00A161028289}"/>
  </w:font>
  <w:font w:name="Segoe UI">
    <w:panose1 w:val="020B0502040204020203"/>
    <w:charset w:val="EE"/>
    <w:family w:val="swiss"/>
    <w:pitch w:val="variable"/>
    <w:sig w:usb0="E4002EFF" w:usb1="C000E47F" w:usb2="00000009" w:usb3="00000000" w:csb0="000001FF" w:csb1="00000000"/>
    <w:embedRegular r:id="rId10" w:fontKey="{D8811DC1-3D43-4F4A-B96B-C1D72F99058C}"/>
  </w:font>
  <w:font w:name="Fira Sans Extra Condensed SemiB">
    <w:panose1 w:val="020B0603050000020004"/>
    <w:charset w:val="EE"/>
    <w:family w:val="swiss"/>
    <w:pitch w:val="variable"/>
    <w:sig w:usb0="600002FF" w:usb1="00000001" w:usb2="00000000" w:usb3="00000000" w:csb0="0000019F" w:csb1="00000000"/>
    <w:embedRegular r:id="rId11" w:fontKey="{FC9347B0-F347-4ECD-B1E5-05AE6CFB7FA8}"/>
  </w:font>
  <w:font w:name="Calibri">
    <w:panose1 w:val="020F0502020204030204"/>
    <w:charset w:val="EE"/>
    <w:family w:val="swiss"/>
    <w:pitch w:val="variable"/>
    <w:sig w:usb0="E4002EFF" w:usb1="C200247B" w:usb2="00000009" w:usb3="00000000" w:csb0="000001FF" w:csb1="00000000"/>
    <w:embedRegular r:id="rId12" w:fontKey="{E5A28CC5-B061-46C8-8B91-0A22FF38CFB9}"/>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8837E4">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4B54B3">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rsidR="003B18B6" w:rsidRDefault="003B18B6" w:rsidP="003B18B6">
        <w:pPr>
          <w:pStyle w:val="Stopka"/>
          <w:jc w:val="center"/>
        </w:pPr>
        <w:r>
          <w:fldChar w:fldCharType="begin"/>
        </w:r>
        <w:r>
          <w:instrText>PAGE   \* MERGEFORMAT</w:instrText>
        </w:r>
        <w:r>
          <w:fldChar w:fldCharType="separate"/>
        </w:r>
        <w:r w:rsidR="004B54B3">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796D" w:rsidRDefault="0055796D" w:rsidP="000662E2">
      <w:pPr>
        <w:spacing w:after="0" w:line="240" w:lineRule="auto"/>
      </w:pPr>
      <w:r>
        <w:separator/>
      </w:r>
    </w:p>
  </w:footnote>
  <w:footnote w:type="continuationSeparator" w:id="0">
    <w:p w:rsidR="0055796D" w:rsidRDefault="0055796D" w:rsidP="000662E2">
      <w:pPr>
        <w:spacing w:after="0" w:line="240" w:lineRule="auto"/>
      </w:pPr>
      <w:r>
        <w:continuationSeparator/>
      </w:r>
    </w:p>
  </w:footnote>
  <w:footnote w:id="1">
    <w:p w:rsidR="0082043D" w:rsidRDefault="0082043D">
      <w:pPr>
        <w:pStyle w:val="Tekstprzypisudolnego"/>
      </w:pPr>
      <w:r>
        <w:rPr>
          <w:rStyle w:val="Odwoanieprzypisudolnego"/>
        </w:rPr>
        <w:footnoteRef/>
      </w:r>
      <w:r>
        <w:t xml:space="preserve"> </w:t>
      </w:r>
      <w:r w:rsidRPr="00826CCF">
        <w:rPr>
          <w:rStyle w:val="PrzypisZnak"/>
          <w:lang w:val="pl-PL"/>
        </w:rPr>
        <w:t>Dane wstępne za lipiec 2025 r., dane ostateczne za czerwiec 2025 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481941DD" wp14:editId="0C00941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CE4D9C"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0D3D801C" wp14:editId="0B687888">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10;&#10;">
            <a:hlinkClick xmlns:a="http://schemas.openxmlformats.org/drawingml/2006/main" r:id="rId1" tooltip="Logo GU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Logo Głównego Urzędu Statystycznego&#10;&#10;">
                    <a:hlinkClick r:id="rId1" tooltip="Logo GUS"/>
                  </pic:cNvPr>
                  <pic:cNvPicPr/>
                </pic:nvPicPr>
                <pic:blipFill rotWithShape="1">
                  <a:blip r:embed="rId2"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41E4C263" wp14:editId="000226A9">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E4C263" id="Schemat blokowy: opóźnienie 6" o:spid="_x0000_s1032" alt="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C9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wSJq3OKS0pU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OntAL1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p>
  <w:p w:rsidR="00540C5C" w:rsidRDefault="00410FA5">
    <w:pPr>
      <w:pStyle w:val="Nagwek"/>
      <w:rPr>
        <w:noProof/>
        <w:lang w:eastAsia="pl-PL"/>
      </w:rPr>
    </w:pPr>
    <w:r>
      <w:rPr>
        <w:noProof/>
        <w:lang w:eastAsia="pl-PL"/>
      </w:rPr>
      <mc:AlternateContent>
        <mc:Choice Requires="wps">
          <w:drawing>
            <wp:anchor distT="0" distB="0" distL="114300" distR="114300" simplePos="0" relativeHeight="251666432" behindDoc="1" locked="0" layoutInCell="1" allowOverlap="1" wp14:anchorId="6D91DAF0" wp14:editId="0F891636">
              <wp:simplePos x="0" y="0"/>
              <wp:positionH relativeFrom="page">
                <wp:align>right</wp:align>
              </wp:positionH>
              <wp:positionV relativeFrom="paragraph">
                <wp:posOffset>243205</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50841F" id="Prostokąt 10" o:spid="_x0000_s1026" style="position:absolute;margin-left:96.2pt;margin-top:19.15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" fillcolor="#f2f2f2" stroked="f" strokeweight="1pt">
              <w10:wrap type="tight" anchorx="page"/>
            </v:rect>
          </w:pict>
        </mc:Fallback>
      </mc:AlternateContent>
    </w:r>
  </w:p>
  <w:p w:rsidR="00540C5C" w:rsidRDefault="00540C5C">
    <w:pPr>
      <w:pStyle w:val="Nagwek"/>
      <w:rPr>
        <w:noProof/>
        <w:lang w:eastAsia="pl-PL"/>
      </w:rPr>
    </w:pPr>
  </w:p>
  <w:p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1925E1F9" wp14:editId="4B9D20AD">
              <wp:simplePos x="0" y="0"/>
              <wp:positionH relativeFrom="column">
                <wp:posOffset>5287976</wp:posOffset>
              </wp:positionH>
              <wp:positionV relativeFrom="paragraph">
                <wp:posOffset>266065</wp:posOffset>
              </wp:positionV>
              <wp:extent cx="1432293" cy="336589"/>
              <wp:effectExtent l="0" t="0" r="0" b="6350"/>
              <wp:wrapNone/>
              <wp:docPr id="8" name="Pole tekstowe 2" descr="21.08.2025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F37172" w:rsidRPr="00A01B40" w:rsidRDefault="000C6803" w:rsidP="00F049AB">
                          <w:pPr>
                            <w:pStyle w:val="Datainformacjisygnalnej"/>
                          </w:pPr>
                          <w:r>
                            <w:t>21.0</w:t>
                          </w:r>
                          <w:r w:rsidR="00F80128">
                            <w:t>8</w:t>
                          </w:r>
                          <w:r w:rsidR="000E6EA7">
                            <w:t>.</w:t>
                          </w:r>
                          <w:r w:rsidR="00316A71">
                            <w:t>202</w:t>
                          </w:r>
                          <w:r w:rsidR="007D0CEC">
                            <w:t>5</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25E1F9" id="_x0000_t202" coordsize="21600,21600" o:spt="202" path="m,l,21600r21600,l21600,xe">
              <v:stroke joinstyle="miter"/>
              <v:path gradientshapeok="t" o:connecttype="rect"/>
            </v:shapetype>
            <v:shape id="_x0000_s1033" type="#_x0000_t202" alt="21.08.2025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&#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IXW/lyACAAAUBAAADgAAAAAAAAAAAAAAAAAuAgAAZHJzL2Uyb0RvYy54bWxQ&#10;SwECLQAUAAYACAAAACEAtMlX394AAAAKAQAADwAAAAAAAAAAAAAAAAB6BAAAZHJzL2Rvd25yZXYu&#10;eG1sUEsFBgAAAAAEAAQA8wAAAIUFAAAAAA==&#10;" filled="f" stroked="f">
              <v:textbox>
                <w:txbxContent>
                  <w:p w:rsidR="00F37172" w:rsidRPr="00A01B40" w:rsidRDefault="000C6803" w:rsidP="00F049AB">
                    <w:pPr>
                      <w:pStyle w:val="Datainformacjisygnalnej"/>
                    </w:pPr>
                    <w:r>
                      <w:t>21.0</w:t>
                    </w:r>
                    <w:r w:rsidR="00F80128">
                      <w:t>8</w:t>
                    </w:r>
                    <w:r w:rsidR="000E6EA7">
                      <w:t>.</w:t>
                    </w:r>
                    <w:r w:rsidR="00316A71">
                      <w:t>202</w:t>
                    </w:r>
                    <w:r w:rsidR="007D0CEC">
                      <w:t>5</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23pt;height:123pt;visibility:visible" o:bullet="t">
        <v:imagedata r:id="rId1" o:title=""/>
      </v:shape>
    </w:pict>
  </w:numPicBullet>
  <w:numPicBullet w:numPicBulletId="1">
    <w:pict>
      <v:shape id="_x0000_i1041" type="#_x0000_t75" style="width:123pt;height:123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2A2C"/>
    <w:rsid w:val="00002B07"/>
    <w:rsid w:val="00003437"/>
    <w:rsid w:val="00003BD1"/>
    <w:rsid w:val="00004010"/>
    <w:rsid w:val="00004FD8"/>
    <w:rsid w:val="000066E7"/>
    <w:rsid w:val="00006A33"/>
    <w:rsid w:val="00006DAB"/>
    <w:rsid w:val="0000709F"/>
    <w:rsid w:val="00007311"/>
    <w:rsid w:val="0001027E"/>
    <w:rsid w:val="000108B8"/>
    <w:rsid w:val="00010DF6"/>
    <w:rsid w:val="000121F6"/>
    <w:rsid w:val="00014098"/>
    <w:rsid w:val="00014331"/>
    <w:rsid w:val="00014470"/>
    <w:rsid w:val="000152F5"/>
    <w:rsid w:val="00015458"/>
    <w:rsid w:val="0001585A"/>
    <w:rsid w:val="0001623A"/>
    <w:rsid w:val="00020112"/>
    <w:rsid w:val="00020673"/>
    <w:rsid w:val="00022780"/>
    <w:rsid w:val="0002374D"/>
    <w:rsid w:val="00024043"/>
    <w:rsid w:val="000245D6"/>
    <w:rsid w:val="00025823"/>
    <w:rsid w:val="00027A6B"/>
    <w:rsid w:val="00027DEE"/>
    <w:rsid w:val="00027E94"/>
    <w:rsid w:val="000308F4"/>
    <w:rsid w:val="00031C74"/>
    <w:rsid w:val="00033194"/>
    <w:rsid w:val="00033429"/>
    <w:rsid w:val="00034499"/>
    <w:rsid w:val="0003538A"/>
    <w:rsid w:val="00037EBF"/>
    <w:rsid w:val="00037F75"/>
    <w:rsid w:val="000402B5"/>
    <w:rsid w:val="000403CB"/>
    <w:rsid w:val="00040959"/>
    <w:rsid w:val="00041491"/>
    <w:rsid w:val="0004197F"/>
    <w:rsid w:val="0004248F"/>
    <w:rsid w:val="00042F5F"/>
    <w:rsid w:val="0004386F"/>
    <w:rsid w:val="00043B26"/>
    <w:rsid w:val="00044115"/>
    <w:rsid w:val="000441DE"/>
    <w:rsid w:val="0004513F"/>
    <w:rsid w:val="0004582E"/>
    <w:rsid w:val="00046A89"/>
    <w:rsid w:val="00046AB3"/>
    <w:rsid w:val="00046B51"/>
    <w:rsid w:val="00046F3E"/>
    <w:rsid w:val="000470AA"/>
    <w:rsid w:val="0005781E"/>
    <w:rsid w:val="00057CA1"/>
    <w:rsid w:val="000606C9"/>
    <w:rsid w:val="00061FC5"/>
    <w:rsid w:val="000647A9"/>
    <w:rsid w:val="000654CD"/>
    <w:rsid w:val="00065ED4"/>
    <w:rsid w:val="000662E2"/>
    <w:rsid w:val="00066883"/>
    <w:rsid w:val="00066C6B"/>
    <w:rsid w:val="000672A9"/>
    <w:rsid w:val="0006797B"/>
    <w:rsid w:val="00067C4B"/>
    <w:rsid w:val="000706CC"/>
    <w:rsid w:val="00070D26"/>
    <w:rsid w:val="0007189A"/>
    <w:rsid w:val="00071B36"/>
    <w:rsid w:val="00071B39"/>
    <w:rsid w:val="00073683"/>
    <w:rsid w:val="00074411"/>
    <w:rsid w:val="00074DD8"/>
    <w:rsid w:val="00075759"/>
    <w:rsid w:val="00076686"/>
    <w:rsid w:val="00077136"/>
    <w:rsid w:val="0008048A"/>
    <w:rsid w:val="000806F7"/>
    <w:rsid w:val="00080CA8"/>
    <w:rsid w:val="00081FA7"/>
    <w:rsid w:val="00082198"/>
    <w:rsid w:val="00082CB5"/>
    <w:rsid w:val="00083A72"/>
    <w:rsid w:val="00084B03"/>
    <w:rsid w:val="000855E0"/>
    <w:rsid w:val="00085B85"/>
    <w:rsid w:val="000866BB"/>
    <w:rsid w:val="00086F52"/>
    <w:rsid w:val="00087A60"/>
    <w:rsid w:val="0009054F"/>
    <w:rsid w:val="00091BEF"/>
    <w:rsid w:val="0009371D"/>
    <w:rsid w:val="0009449E"/>
    <w:rsid w:val="00094D3C"/>
    <w:rsid w:val="00094F94"/>
    <w:rsid w:val="00097840"/>
    <w:rsid w:val="00097C73"/>
    <w:rsid w:val="000A0246"/>
    <w:rsid w:val="000A025E"/>
    <w:rsid w:val="000A11C7"/>
    <w:rsid w:val="000A26D7"/>
    <w:rsid w:val="000A4AA2"/>
    <w:rsid w:val="000A4D74"/>
    <w:rsid w:val="000A4FBB"/>
    <w:rsid w:val="000A5834"/>
    <w:rsid w:val="000A5E05"/>
    <w:rsid w:val="000B0727"/>
    <w:rsid w:val="000B0860"/>
    <w:rsid w:val="000B2C5B"/>
    <w:rsid w:val="000B2DC1"/>
    <w:rsid w:val="000B3531"/>
    <w:rsid w:val="000B37B5"/>
    <w:rsid w:val="000B4245"/>
    <w:rsid w:val="000B4C20"/>
    <w:rsid w:val="000B503D"/>
    <w:rsid w:val="000B5273"/>
    <w:rsid w:val="000B5AC2"/>
    <w:rsid w:val="000B65CF"/>
    <w:rsid w:val="000B68A7"/>
    <w:rsid w:val="000B718D"/>
    <w:rsid w:val="000C135D"/>
    <w:rsid w:val="000C3FA9"/>
    <w:rsid w:val="000C5CD1"/>
    <w:rsid w:val="000C6803"/>
    <w:rsid w:val="000D12D2"/>
    <w:rsid w:val="000D1BED"/>
    <w:rsid w:val="000D1D43"/>
    <w:rsid w:val="000D225C"/>
    <w:rsid w:val="000D2A5C"/>
    <w:rsid w:val="000D39F0"/>
    <w:rsid w:val="000D5152"/>
    <w:rsid w:val="000D79AE"/>
    <w:rsid w:val="000E0918"/>
    <w:rsid w:val="000E11AF"/>
    <w:rsid w:val="000E2275"/>
    <w:rsid w:val="000E25BD"/>
    <w:rsid w:val="000E50A2"/>
    <w:rsid w:val="000E50CA"/>
    <w:rsid w:val="000E64D1"/>
    <w:rsid w:val="000E66B7"/>
    <w:rsid w:val="000E67D0"/>
    <w:rsid w:val="000E6EA7"/>
    <w:rsid w:val="000E791F"/>
    <w:rsid w:val="000E79A9"/>
    <w:rsid w:val="000F0276"/>
    <w:rsid w:val="000F189F"/>
    <w:rsid w:val="000F1A2F"/>
    <w:rsid w:val="000F223E"/>
    <w:rsid w:val="000F2820"/>
    <w:rsid w:val="000F4066"/>
    <w:rsid w:val="000F55A6"/>
    <w:rsid w:val="000F67FA"/>
    <w:rsid w:val="000F6EFD"/>
    <w:rsid w:val="000F7BBB"/>
    <w:rsid w:val="00101051"/>
    <w:rsid w:val="001011C3"/>
    <w:rsid w:val="001025AC"/>
    <w:rsid w:val="00102C45"/>
    <w:rsid w:val="00106461"/>
    <w:rsid w:val="00106DA3"/>
    <w:rsid w:val="001078C4"/>
    <w:rsid w:val="00107ACA"/>
    <w:rsid w:val="00110214"/>
    <w:rsid w:val="00110352"/>
    <w:rsid w:val="0011043D"/>
    <w:rsid w:val="00110D87"/>
    <w:rsid w:val="00111FB6"/>
    <w:rsid w:val="00112399"/>
    <w:rsid w:val="00113471"/>
    <w:rsid w:val="00113E6D"/>
    <w:rsid w:val="00114DB9"/>
    <w:rsid w:val="00116087"/>
    <w:rsid w:val="001166A1"/>
    <w:rsid w:val="00117711"/>
    <w:rsid w:val="00120162"/>
    <w:rsid w:val="001219CA"/>
    <w:rsid w:val="00122C1B"/>
    <w:rsid w:val="00122DF8"/>
    <w:rsid w:val="001233CF"/>
    <w:rsid w:val="001238F1"/>
    <w:rsid w:val="00123D0E"/>
    <w:rsid w:val="001249DC"/>
    <w:rsid w:val="00130296"/>
    <w:rsid w:val="00131A41"/>
    <w:rsid w:val="00133770"/>
    <w:rsid w:val="00133CC7"/>
    <w:rsid w:val="00134145"/>
    <w:rsid w:val="00136736"/>
    <w:rsid w:val="00136740"/>
    <w:rsid w:val="00136D67"/>
    <w:rsid w:val="00137268"/>
    <w:rsid w:val="00137708"/>
    <w:rsid w:val="001423B6"/>
    <w:rsid w:val="0014482E"/>
    <w:rsid w:val="001448A7"/>
    <w:rsid w:val="00146621"/>
    <w:rsid w:val="00146F54"/>
    <w:rsid w:val="00147109"/>
    <w:rsid w:val="001508E9"/>
    <w:rsid w:val="00150A84"/>
    <w:rsid w:val="00150E30"/>
    <w:rsid w:val="00152B4F"/>
    <w:rsid w:val="00152D6A"/>
    <w:rsid w:val="001535BD"/>
    <w:rsid w:val="00153880"/>
    <w:rsid w:val="0015476B"/>
    <w:rsid w:val="00156065"/>
    <w:rsid w:val="001578AB"/>
    <w:rsid w:val="00157BEB"/>
    <w:rsid w:val="001617E3"/>
    <w:rsid w:val="00162325"/>
    <w:rsid w:val="00162D92"/>
    <w:rsid w:val="00164170"/>
    <w:rsid w:val="00164D8C"/>
    <w:rsid w:val="00165E0B"/>
    <w:rsid w:val="0016633B"/>
    <w:rsid w:val="00166FC2"/>
    <w:rsid w:val="0017002B"/>
    <w:rsid w:val="00172DE1"/>
    <w:rsid w:val="00173157"/>
    <w:rsid w:val="00175717"/>
    <w:rsid w:val="001757C9"/>
    <w:rsid w:val="001759C9"/>
    <w:rsid w:val="0017663A"/>
    <w:rsid w:val="00176AAA"/>
    <w:rsid w:val="00176AE3"/>
    <w:rsid w:val="00180798"/>
    <w:rsid w:val="00181FB6"/>
    <w:rsid w:val="0018247D"/>
    <w:rsid w:val="00182AF1"/>
    <w:rsid w:val="00183273"/>
    <w:rsid w:val="001876F3"/>
    <w:rsid w:val="00190708"/>
    <w:rsid w:val="00191CE8"/>
    <w:rsid w:val="00193678"/>
    <w:rsid w:val="00194B9A"/>
    <w:rsid w:val="001950EF"/>
    <w:rsid w:val="001951DA"/>
    <w:rsid w:val="00197102"/>
    <w:rsid w:val="00197897"/>
    <w:rsid w:val="00197946"/>
    <w:rsid w:val="00197EA9"/>
    <w:rsid w:val="001A1C52"/>
    <w:rsid w:val="001A3E19"/>
    <w:rsid w:val="001A7DBA"/>
    <w:rsid w:val="001B053D"/>
    <w:rsid w:val="001B2EE7"/>
    <w:rsid w:val="001B32C7"/>
    <w:rsid w:val="001B58F4"/>
    <w:rsid w:val="001B67CD"/>
    <w:rsid w:val="001B7CB1"/>
    <w:rsid w:val="001C3269"/>
    <w:rsid w:val="001C4A5D"/>
    <w:rsid w:val="001C73CE"/>
    <w:rsid w:val="001D171B"/>
    <w:rsid w:val="001D19B6"/>
    <w:rsid w:val="001D1DB4"/>
    <w:rsid w:val="001D1E21"/>
    <w:rsid w:val="001D23F1"/>
    <w:rsid w:val="001D25F9"/>
    <w:rsid w:val="001D40F0"/>
    <w:rsid w:val="001D5A5D"/>
    <w:rsid w:val="001D5CE4"/>
    <w:rsid w:val="001D61ED"/>
    <w:rsid w:val="001D622F"/>
    <w:rsid w:val="001E038C"/>
    <w:rsid w:val="001E10B0"/>
    <w:rsid w:val="001E44FC"/>
    <w:rsid w:val="001E5B2D"/>
    <w:rsid w:val="001E5ECD"/>
    <w:rsid w:val="001E6750"/>
    <w:rsid w:val="001E727A"/>
    <w:rsid w:val="001E7F5F"/>
    <w:rsid w:val="001F1EAC"/>
    <w:rsid w:val="001F3E4C"/>
    <w:rsid w:val="001F3EC4"/>
    <w:rsid w:val="001F4582"/>
    <w:rsid w:val="001F6A86"/>
    <w:rsid w:val="00200701"/>
    <w:rsid w:val="0020156C"/>
    <w:rsid w:val="002044BC"/>
    <w:rsid w:val="00204830"/>
    <w:rsid w:val="00204F07"/>
    <w:rsid w:val="002069CA"/>
    <w:rsid w:val="00206A07"/>
    <w:rsid w:val="00206C20"/>
    <w:rsid w:val="00206D5A"/>
    <w:rsid w:val="00207C9E"/>
    <w:rsid w:val="00207EFC"/>
    <w:rsid w:val="00207F7D"/>
    <w:rsid w:val="00207FD2"/>
    <w:rsid w:val="002100D6"/>
    <w:rsid w:val="002108A4"/>
    <w:rsid w:val="002108B2"/>
    <w:rsid w:val="00210F3D"/>
    <w:rsid w:val="00211473"/>
    <w:rsid w:val="002118BB"/>
    <w:rsid w:val="0021248C"/>
    <w:rsid w:val="0021521B"/>
    <w:rsid w:val="002157C7"/>
    <w:rsid w:val="002159FB"/>
    <w:rsid w:val="00215FDD"/>
    <w:rsid w:val="00216378"/>
    <w:rsid w:val="0021651C"/>
    <w:rsid w:val="00216634"/>
    <w:rsid w:val="002179FC"/>
    <w:rsid w:val="00220E18"/>
    <w:rsid w:val="002216B8"/>
    <w:rsid w:val="00223F14"/>
    <w:rsid w:val="00224917"/>
    <w:rsid w:val="00224E82"/>
    <w:rsid w:val="0022506B"/>
    <w:rsid w:val="0022538F"/>
    <w:rsid w:val="00225585"/>
    <w:rsid w:val="00225B35"/>
    <w:rsid w:val="002262CF"/>
    <w:rsid w:val="00230FC4"/>
    <w:rsid w:val="00232169"/>
    <w:rsid w:val="00233013"/>
    <w:rsid w:val="00233338"/>
    <w:rsid w:val="00234F76"/>
    <w:rsid w:val="00235715"/>
    <w:rsid w:val="00235F19"/>
    <w:rsid w:val="00236916"/>
    <w:rsid w:val="00236B89"/>
    <w:rsid w:val="002372CA"/>
    <w:rsid w:val="00237AB4"/>
    <w:rsid w:val="00237ADB"/>
    <w:rsid w:val="002407D9"/>
    <w:rsid w:val="00241724"/>
    <w:rsid w:val="00241DEB"/>
    <w:rsid w:val="00242236"/>
    <w:rsid w:val="00242D31"/>
    <w:rsid w:val="00242F8C"/>
    <w:rsid w:val="002447C8"/>
    <w:rsid w:val="00245554"/>
    <w:rsid w:val="00245D40"/>
    <w:rsid w:val="00246C3E"/>
    <w:rsid w:val="00247269"/>
    <w:rsid w:val="002546C8"/>
    <w:rsid w:val="0025481E"/>
    <w:rsid w:val="00254DE9"/>
    <w:rsid w:val="00255AA8"/>
    <w:rsid w:val="00256061"/>
    <w:rsid w:val="00256333"/>
    <w:rsid w:val="00256667"/>
    <w:rsid w:val="00256AA8"/>
    <w:rsid w:val="002574F9"/>
    <w:rsid w:val="002577AB"/>
    <w:rsid w:val="002619B7"/>
    <w:rsid w:val="00262B61"/>
    <w:rsid w:val="00262CC6"/>
    <w:rsid w:val="00263A11"/>
    <w:rsid w:val="00263E08"/>
    <w:rsid w:val="00264AA1"/>
    <w:rsid w:val="002651B3"/>
    <w:rsid w:val="00265F5F"/>
    <w:rsid w:val="00266582"/>
    <w:rsid w:val="002716CD"/>
    <w:rsid w:val="00271F45"/>
    <w:rsid w:val="0027264D"/>
    <w:rsid w:val="00272D92"/>
    <w:rsid w:val="00272DFC"/>
    <w:rsid w:val="00273C79"/>
    <w:rsid w:val="00273DB3"/>
    <w:rsid w:val="00274B2A"/>
    <w:rsid w:val="002758A3"/>
    <w:rsid w:val="00276811"/>
    <w:rsid w:val="00276A47"/>
    <w:rsid w:val="00276EF9"/>
    <w:rsid w:val="00280764"/>
    <w:rsid w:val="00280900"/>
    <w:rsid w:val="00280AF0"/>
    <w:rsid w:val="00280F47"/>
    <w:rsid w:val="00282699"/>
    <w:rsid w:val="00282892"/>
    <w:rsid w:val="002829DB"/>
    <w:rsid w:val="00282C80"/>
    <w:rsid w:val="002844C2"/>
    <w:rsid w:val="00284CA5"/>
    <w:rsid w:val="00286335"/>
    <w:rsid w:val="002870CA"/>
    <w:rsid w:val="00290070"/>
    <w:rsid w:val="00290187"/>
    <w:rsid w:val="00291B1D"/>
    <w:rsid w:val="00292262"/>
    <w:rsid w:val="00292553"/>
    <w:rsid w:val="002926DF"/>
    <w:rsid w:val="00293215"/>
    <w:rsid w:val="0029344C"/>
    <w:rsid w:val="002952A4"/>
    <w:rsid w:val="002952DF"/>
    <w:rsid w:val="002953E6"/>
    <w:rsid w:val="00295994"/>
    <w:rsid w:val="00296697"/>
    <w:rsid w:val="0029678E"/>
    <w:rsid w:val="00296C96"/>
    <w:rsid w:val="002A2C50"/>
    <w:rsid w:val="002A7FAD"/>
    <w:rsid w:val="002B0472"/>
    <w:rsid w:val="002B0698"/>
    <w:rsid w:val="002B2CAE"/>
    <w:rsid w:val="002B3E03"/>
    <w:rsid w:val="002B3ED1"/>
    <w:rsid w:val="002B499B"/>
    <w:rsid w:val="002B557F"/>
    <w:rsid w:val="002B6B12"/>
    <w:rsid w:val="002B6E13"/>
    <w:rsid w:val="002B762A"/>
    <w:rsid w:val="002B7A94"/>
    <w:rsid w:val="002B7B88"/>
    <w:rsid w:val="002C071A"/>
    <w:rsid w:val="002C21F0"/>
    <w:rsid w:val="002C2266"/>
    <w:rsid w:val="002C71CA"/>
    <w:rsid w:val="002D01DF"/>
    <w:rsid w:val="002D3E7D"/>
    <w:rsid w:val="002D4214"/>
    <w:rsid w:val="002D4402"/>
    <w:rsid w:val="002E1606"/>
    <w:rsid w:val="002E38C5"/>
    <w:rsid w:val="002E3EB3"/>
    <w:rsid w:val="002E47AF"/>
    <w:rsid w:val="002E57E3"/>
    <w:rsid w:val="002E5BF6"/>
    <w:rsid w:val="002E5E93"/>
    <w:rsid w:val="002E6025"/>
    <w:rsid w:val="002E6140"/>
    <w:rsid w:val="002E6985"/>
    <w:rsid w:val="002E6B1E"/>
    <w:rsid w:val="002E71B6"/>
    <w:rsid w:val="002F212C"/>
    <w:rsid w:val="002F35F6"/>
    <w:rsid w:val="002F3A87"/>
    <w:rsid w:val="002F403F"/>
    <w:rsid w:val="002F4BAA"/>
    <w:rsid w:val="002F4DB5"/>
    <w:rsid w:val="002F4F22"/>
    <w:rsid w:val="002F5167"/>
    <w:rsid w:val="002F56F8"/>
    <w:rsid w:val="002F77C8"/>
    <w:rsid w:val="00300FDB"/>
    <w:rsid w:val="0030110D"/>
    <w:rsid w:val="00302072"/>
    <w:rsid w:val="00302534"/>
    <w:rsid w:val="00302877"/>
    <w:rsid w:val="00304F22"/>
    <w:rsid w:val="00306C7C"/>
    <w:rsid w:val="00307822"/>
    <w:rsid w:val="00307A89"/>
    <w:rsid w:val="00310468"/>
    <w:rsid w:val="0031059E"/>
    <w:rsid w:val="00310B62"/>
    <w:rsid w:val="003115A0"/>
    <w:rsid w:val="00312281"/>
    <w:rsid w:val="00313833"/>
    <w:rsid w:val="00314B4E"/>
    <w:rsid w:val="00314B8F"/>
    <w:rsid w:val="00314F86"/>
    <w:rsid w:val="00316A71"/>
    <w:rsid w:val="0031717F"/>
    <w:rsid w:val="00317455"/>
    <w:rsid w:val="00317F4D"/>
    <w:rsid w:val="00320B0F"/>
    <w:rsid w:val="00320C2A"/>
    <w:rsid w:val="00320DA3"/>
    <w:rsid w:val="00321872"/>
    <w:rsid w:val="00321B29"/>
    <w:rsid w:val="00321FA4"/>
    <w:rsid w:val="00322EDD"/>
    <w:rsid w:val="00324ECD"/>
    <w:rsid w:val="00325621"/>
    <w:rsid w:val="00325D16"/>
    <w:rsid w:val="003268BA"/>
    <w:rsid w:val="00326DE0"/>
    <w:rsid w:val="00326EA5"/>
    <w:rsid w:val="003309FA"/>
    <w:rsid w:val="00331B40"/>
    <w:rsid w:val="00332320"/>
    <w:rsid w:val="0033434E"/>
    <w:rsid w:val="00335EB2"/>
    <w:rsid w:val="00337D45"/>
    <w:rsid w:val="00340947"/>
    <w:rsid w:val="00340999"/>
    <w:rsid w:val="003416CF"/>
    <w:rsid w:val="0034178B"/>
    <w:rsid w:val="0034225B"/>
    <w:rsid w:val="0034274F"/>
    <w:rsid w:val="00342BFD"/>
    <w:rsid w:val="00343D10"/>
    <w:rsid w:val="003448EC"/>
    <w:rsid w:val="00345943"/>
    <w:rsid w:val="00345B4D"/>
    <w:rsid w:val="00347786"/>
    <w:rsid w:val="003479AF"/>
    <w:rsid w:val="00347D72"/>
    <w:rsid w:val="00350C93"/>
    <w:rsid w:val="00350DC8"/>
    <w:rsid w:val="00351E14"/>
    <w:rsid w:val="00352073"/>
    <w:rsid w:val="003520FA"/>
    <w:rsid w:val="00352F37"/>
    <w:rsid w:val="003535C2"/>
    <w:rsid w:val="00353F45"/>
    <w:rsid w:val="003541B9"/>
    <w:rsid w:val="00354624"/>
    <w:rsid w:val="00356A1A"/>
    <w:rsid w:val="0035744A"/>
    <w:rsid w:val="00357611"/>
    <w:rsid w:val="00357668"/>
    <w:rsid w:val="00360A52"/>
    <w:rsid w:val="00360C2A"/>
    <w:rsid w:val="003613EE"/>
    <w:rsid w:val="00361653"/>
    <w:rsid w:val="00362777"/>
    <w:rsid w:val="00362F2B"/>
    <w:rsid w:val="0036432A"/>
    <w:rsid w:val="00364798"/>
    <w:rsid w:val="00364AF9"/>
    <w:rsid w:val="0036566B"/>
    <w:rsid w:val="00367237"/>
    <w:rsid w:val="0037077F"/>
    <w:rsid w:val="00370802"/>
    <w:rsid w:val="003714CD"/>
    <w:rsid w:val="00372411"/>
    <w:rsid w:val="0037250A"/>
    <w:rsid w:val="00373829"/>
    <w:rsid w:val="00373882"/>
    <w:rsid w:val="00373D8D"/>
    <w:rsid w:val="00374698"/>
    <w:rsid w:val="00374CED"/>
    <w:rsid w:val="003769D3"/>
    <w:rsid w:val="00377105"/>
    <w:rsid w:val="003821A7"/>
    <w:rsid w:val="0038379C"/>
    <w:rsid w:val="003843DB"/>
    <w:rsid w:val="00384A50"/>
    <w:rsid w:val="00384CCB"/>
    <w:rsid w:val="00385352"/>
    <w:rsid w:val="00385579"/>
    <w:rsid w:val="003860FA"/>
    <w:rsid w:val="00390517"/>
    <w:rsid w:val="00390628"/>
    <w:rsid w:val="003909F9"/>
    <w:rsid w:val="0039322C"/>
    <w:rsid w:val="00393761"/>
    <w:rsid w:val="00394E26"/>
    <w:rsid w:val="00395D67"/>
    <w:rsid w:val="00396691"/>
    <w:rsid w:val="00396CF9"/>
    <w:rsid w:val="003974E7"/>
    <w:rsid w:val="003977D0"/>
    <w:rsid w:val="00397D18"/>
    <w:rsid w:val="003A0EE2"/>
    <w:rsid w:val="003A1B36"/>
    <w:rsid w:val="003A217C"/>
    <w:rsid w:val="003A26DC"/>
    <w:rsid w:val="003A2DE7"/>
    <w:rsid w:val="003A5394"/>
    <w:rsid w:val="003A6500"/>
    <w:rsid w:val="003A7D2B"/>
    <w:rsid w:val="003B13E6"/>
    <w:rsid w:val="003B1454"/>
    <w:rsid w:val="003B18B6"/>
    <w:rsid w:val="003B2EAC"/>
    <w:rsid w:val="003B4685"/>
    <w:rsid w:val="003B5E06"/>
    <w:rsid w:val="003B5EBB"/>
    <w:rsid w:val="003B6EA4"/>
    <w:rsid w:val="003B7B59"/>
    <w:rsid w:val="003C1363"/>
    <w:rsid w:val="003C161B"/>
    <w:rsid w:val="003C16A2"/>
    <w:rsid w:val="003C1882"/>
    <w:rsid w:val="003C19ED"/>
    <w:rsid w:val="003C1C18"/>
    <w:rsid w:val="003C2024"/>
    <w:rsid w:val="003C2394"/>
    <w:rsid w:val="003C3AB2"/>
    <w:rsid w:val="003C4CFE"/>
    <w:rsid w:val="003C4E19"/>
    <w:rsid w:val="003C59E0"/>
    <w:rsid w:val="003C69C9"/>
    <w:rsid w:val="003C6C8D"/>
    <w:rsid w:val="003D1DAE"/>
    <w:rsid w:val="003D2656"/>
    <w:rsid w:val="003D340A"/>
    <w:rsid w:val="003D3585"/>
    <w:rsid w:val="003D4F95"/>
    <w:rsid w:val="003D5F42"/>
    <w:rsid w:val="003D60A9"/>
    <w:rsid w:val="003D6573"/>
    <w:rsid w:val="003D72AA"/>
    <w:rsid w:val="003E1779"/>
    <w:rsid w:val="003E4367"/>
    <w:rsid w:val="003E4466"/>
    <w:rsid w:val="003E527C"/>
    <w:rsid w:val="003E5E46"/>
    <w:rsid w:val="003E5E8B"/>
    <w:rsid w:val="003E66D6"/>
    <w:rsid w:val="003E71A2"/>
    <w:rsid w:val="003E7AEF"/>
    <w:rsid w:val="003F0414"/>
    <w:rsid w:val="003F331C"/>
    <w:rsid w:val="003F36ED"/>
    <w:rsid w:val="003F4C97"/>
    <w:rsid w:val="003F54BC"/>
    <w:rsid w:val="003F666D"/>
    <w:rsid w:val="003F724C"/>
    <w:rsid w:val="003F7FE6"/>
    <w:rsid w:val="00400193"/>
    <w:rsid w:val="00401434"/>
    <w:rsid w:val="004023AC"/>
    <w:rsid w:val="00403160"/>
    <w:rsid w:val="00403F79"/>
    <w:rsid w:val="004041B2"/>
    <w:rsid w:val="00404BD1"/>
    <w:rsid w:val="00410D85"/>
    <w:rsid w:val="00410FA5"/>
    <w:rsid w:val="00411623"/>
    <w:rsid w:val="00411D20"/>
    <w:rsid w:val="00412205"/>
    <w:rsid w:val="004130B5"/>
    <w:rsid w:val="004137AF"/>
    <w:rsid w:val="00413B71"/>
    <w:rsid w:val="00413BA4"/>
    <w:rsid w:val="00413E74"/>
    <w:rsid w:val="00414887"/>
    <w:rsid w:val="00416EAF"/>
    <w:rsid w:val="00417923"/>
    <w:rsid w:val="004212E7"/>
    <w:rsid w:val="0042253E"/>
    <w:rsid w:val="00422D9D"/>
    <w:rsid w:val="00422F22"/>
    <w:rsid w:val="00423C88"/>
    <w:rsid w:val="0042446D"/>
    <w:rsid w:val="00425436"/>
    <w:rsid w:val="00427BF8"/>
    <w:rsid w:val="00431C02"/>
    <w:rsid w:val="004324D5"/>
    <w:rsid w:val="00432E68"/>
    <w:rsid w:val="00433A14"/>
    <w:rsid w:val="00435867"/>
    <w:rsid w:val="00435979"/>
    <w:rsid w:val="00437395"/>
    <w:rsid w:val="004405D9"/>
    <w:rsid w:val="00441144"/>
    <w:rsid w:val="004419D1"/>
    <w:rsid w:val="00445047"/>
    <w:rsid w:val="00446749"/>
    <w:rsid w:val="00447F94"/>
    <w:rsid w:val="004510EC"/>
    <w:rsid w:val="00453EB7"/>
    <w:rsid w:val="0045423F"/>
    <w:rsid w:val="00455709"/>
    <w:rsid w:val="004560F7"/>
    <w:rsid w:val="004565FB"/>
    <w:rsid w:val="00456C5C"/>
    <w:rsid w:val="0045772E"/>
    <w:rsid w:val="0046266D"/>
    <w:rsid w:val="00462E92"/>
    <w:rsid w:val="0046352B"/>
    <w:rsid w:val="00463574"/>
    <w:rsid w:val="00463E39"/>
    <w:rsid w:val="00464A28"/>
    <w:rsid w:val="004657FC"/>
    <w:rsid w:val="00466C69"/>
    <w:rsid w:val="004704A9"/>
    <w:rsid w:val="00470779"/>
    <w:rsid w:val="00470802"/>
    <w:rsid w:val="004712CA"/>
    <w:rsid w:val="004733F6"/>
    <w:rsid w:val="00474E69"/>
    <w:rsid w:val="004759A1"/>
    <w:rsid w:val="0047615C"/>
    <w:rsid w:val="004770F8"/>
    <w:rsid w:val="00477A43"/>
    <w:rsid w:val="00480879"/>
    <w:rsid w:val="00481081"/>
    <w:rsid w:val="0048115F"/>
    <w:rsid w:val="00481884"/>
    <w:rsid w:val="004818A7"/>
    <w:rsid w:val="004829C2"/>
    <w:rsid w:val="00482B8E"/>
    <w:rsid w:val="0048309E"/>
    <w:rsid w:val="00483E9F"/>
    <w:rsid w:val="00484223"/>
    <w:rsid w:val="004845DD"/>
    <w:rsid w:val="00485708"/>
    <w:rsid w:val="00485A2C"/>
    <w:rsid w:val="00485F55"/>
    <w:rsid w:val="00486DB1"/>
    <w:rsid w:val="00491A62"/>
    <w:rsid w:val="00491BD3"/>
    <w:rsid w:val="00491BEA"/>
    <w:rsid w:val="00493048"/>
    <w:rsid w:val="00495001"/>
    <w:rsid w:val="00495887"/>
    <w:rsid w:val="004958E7"/>
    <w:rsid w:val="00495C0A"/>
    <w:rsid w:val="0049621B"/>
    <w:rsid w:val="004971B4"/>
    <w:rsid w:val="004A0543"/>
    <w:rsid w:val="004A0846"/>
    <w:rsid w:val="004A1469"/>
    <w:rsid w:val="004A1717"/>
    <w:rsid w:val="004A1C47"/>
    <w:rsid w:val="004A1D19"/>
    <w:rsid w:val="004A2086"/>
    <w:rsid w:val="004A24B0"/>
    <w:rsid w:val="004A4326"/>
    <w:rsid w:val="004A4599"/>
    <w:rsid w:val="004A5007"/>
    <w:rsid w:val="004A64E1"/>
    <w:rsid w:val="004A68F7"/>
    <w:rsid w:val="004A6B20"/>
    <w:rsid w:val="004A6FC0"/>
    <w:rsid w:val="004A721E"/>
    <w:rsid w:val="004A72B9"/>
    <w:rsid w:val="004A746F"/>
    <w:rsid w:val="004A7566"/>
    <w:rsid w:val="004A7A1C"/>
    <w:rsid w:val="004B2D17"/>
    <w:rsid w:val="004B3273"/>
    <w:rsid w:val="004B36A5"/>
    <w:rsid w:val="004B4D60"/>
    <w:rsid w:val="004B54B3"/>
    <w:rsid w:val="004B73BD"/>
    <w:rsid w:val="004C037E"/>
    <w:rsid w:val="004C0C40"/>
    <w:rsid w:val="004C1895"/>
    <w:rsid w:val="004C1897"/>
    <w:rsid w:val="004C1E5D"/>
    <w:rsid w:val="004C2364"/>
    <w:rsid w:val="004C2EFE"/>
    <w:rsid w:val="004C408F"/>
    <w:rsid w:val="004C4282"/>
    <w:rsid w:val="004C42F1"/>
    <w:rsid w:val="004C5271"/>
    <w:rsid w:val="004C6B67"/>
    <w:rsid w:val="004C6D40"/>
    <w:rsid w:val="004C7819"/>
    <w:rsid w:val="004C7B0A"/>
    <w:rsid w:val="004D043E"/>
    <w:rsid w:val="004D0AED"/>
    <w:rsid w:val="004D1641"/>
    <w:rsid w:val="004D32BB"/>
    <w:rsid w:val="004D3F2D"/>
    <w:rsid w:val="004D5566"/>
    <w:rsid w:val="004E349E"/>
    <w:rsid w:val="004E58DC"/>
    <w:rsid w:val="004E6AA8"/>
    <w:rsid w:val="004E7251"/>
    <w:rsid w:val="004F0246"/>
    <w:rsid w:val="004F0C3C"/>
    <w:rsid w:val="004F1326"/>
    <w:rsid w:val="004F2280"/>
    <w:rsid w:val="004F23BB"/>
    <w:rsid w:val="004F23F0"/>
    <w:rsid w:val="004F34E9"/>
    <w:rsid w:val="004F3870"/>
    <w:rsid w:val="004F41C8"/>
    <w:rsid w:val="004F4D76"/>
    <w:rsid w:val="004F63FC"/>
    <w:rsid w:val="0050217C"/>
    <w:rsid w:val="00505315"/>
    <w:rsid w:val="0050555D"/>
    <w:rsid w:val="00505A92"/>
    <w:rsid w:val="005072FB"/>
    <w:rsid w:val="00507587"/>
    <w:rsid w:val="00510158"/>
    <w:rsid w:val="00513AB7"/>
    <w:rsid w:val="00516534"/>
    <w:rsid w:val="0052004D"/>
    <w:rsid w:val="005203F1"/>
    <w:rsid w:val="0052088E"/>
    <w:rsid w:val="00521BC3"/>
    <w:rsid w:val="005221EB"/>
    <w:rsid w:val="0052251B"/>
    <w:rsid w:val="00523AC4"/>
    <w:rsid w:val="00523E7A"/>
    <w:rsid w:val="00524B76"/>
    <w:rsid w:val="00524F7A"/>
    <w:rsid w:val="0052623B"/>
    <w:rsid w:val="00526654"/>
    <w:rsid w:val="0052721B"/>
    <w:rsid w:val="0053015B"/>
    <w:rsid w:val="00530785"/>
    <w:rsid w:val="00531873"/>
    <w:rsid w:val="00532A18"/>
    <w:rsid w:val="00532E05"/>
    <w:rsid w:val="0053307D"/>
    <w:rsid w:val="00533632"/>
    <w:rsid w:val="0053396F"/>
    <w:rsid w:val="00533D4A"/>
    <w:rsid w:val="00534013"/>
    <w:rsid w:val="00534ED3"/>
    <w:rsid w:val="00537033"/>
    <w:rsid w:val="00537181"/>
    <w:rsid w:val="00537CD7"/>
    <w:rsid w:val="0054058E"/>
    <w:rsid w:val="005405F5"/>
    <w:rsid w:val="0054095E"/>
    <w:rsid w:val="00540C5C"/>
    <w:rsid w:val="00541E6E"/>
    <w:rsid w:val="0054251F"/>
    <w:rsid w:val="00546BCF"/>
    <w:rsid w:val="00547819"/>
    <w:rsid w:val="00550EB3"/>
    <w:rsid w:val="005511B7"/>
    <w:rsid w:val="005511F1"/>
    <w:rsid w:val="005515DB"/>
    <w:rsid w:val="00551D3D"/>
    <w:rsid w:val="005520D8"/>
    <w:rsid w:val="0055275E"/>
    <w:rsid w:val="00552CEE"/>
    <w:rsid w:val="00553344"/>
    <w:rsid w:val="00553F5E"/>
    <w:rsid w:val="00555548"/>
    <w:rsid w:val="00555CFB"/>
    <w:rsid w:val="00556A03"/>
    <w:rsid w:val="00556ADB"/>
    <w:rsid w:val="00556CF1"/>
    <w:rsid w:val="00556E2D"/>
    <w:rsid w:val="0055796D"/>
    <w:rsid w:val="00557B02"/>
    <w:rsid w:val="0056057E"/>
    <w:rsid w:val="0056061B"/>
    <w:rsid w:val="0056098D"/>
    <w:rsid w:val="00560DBE"/>
    <w:rsid w:val="00561466"/>
    <w:rsid w:val="005625F6"/>
    <w:rsid w:val="005626F0"/>
    <w:rsid w:val="00565C9D"/>
    <w:rsid w:val="00566158"/>
    <w:rsid w:val="00566F9E"/>
    <w:rsid w:val="005677FD"/>
    <w:rsid w:val="00571A95"/>
    <w:rsid w:val="005737D3"/>
    <w:rsid w:val="005744F9"/>
    <w:rsid w:val="00575136"/>
    <w:rsid w:val="005762A7"/>
    <w:rsid w:val="005769A3"/>
    <w:rsid w:val="005773C1"/>
    <w:rsid w:val="00580565"/>
    <w:rsid w:val="005821D9"/>
    <w:rsid w:val="00582561"/>
    <w:rsid w:val="005826C5"/>
    <w:rsid w:val="00582984"/>
    <w:rsid w:val="00583940"/>
    <w:rsid w:val="005844FC"/>
    <w:rsid w:val="00584794"/>
    <w:rsid w:val="005850AC"/>
    <w:rsid w:val="00585E96"/>
    <w:rsid w:val="005870EC"/>
    <w:rsid w:val="0058782F"/>
    <w:rsid w:val="00587C86"/>
    <w:rsid w:val="00587CEE"/>
    <w:rsid w:val="00590B84"/>
    <w:rsid w:val="005916D7"/>
    <w:rsid w:val="00591F70"/>
    <w:rsid w:val="00591FA4"/>
    <w:rsid w:val="00592661"/>
    <w:rsid w:val="005932DC"/>
    <w:rsid w:val="0059427F"/>
    <w:rsid w:val="00594DDF"/>
    <w:rsid w:val="00594F52"/>
    <w:rsid w:val="005975B8"/>
    <w:rsid w:val="00597DE2"/>
    <w:rsid w:val="005A3221"/>
    <w:rsid w:val="005A3338"/>
    <w:rsid w:val="005A5FB9"/>
    <w:rsid w:val="005A60DF"/>
    <w:rsid w:val="005A6572"/>
    <w:rsid w:val="005A6896"/>
    <w:rsid w:val="005A698C"/>
    <w:rsid w:val="005B099C"/>
    <w:rsid w:val="005B1799"/>
    <w:rsid w:val="005B2965"/>
    <w:rsid w:val="005B3273"/>
    <w:rsid w:val="005B3F84"/>
    <w:rsid w:val="005B4347"/>
    <w:rsid w:val="005B4590"/>
    <w:rsid w:val="005B4CAD"/>
    <w:rsid w:val="005B5C42"/>
    <w:rsid w:val="005B71A4"/>
    <w:rsid w:val="005C0CAC"/>
    <w:rsid w:val="005C3190"/>
    <w:rsid w:val="005C43BC"/>
    <w:rsid w:val="005C567C"/>
    <w:rsid w:val="005D04B2"/>
    <w:rsid w:val="005D062E"/>
    <w:rsid w:val="005D2F6B"/>
    <w:rsid w:val="005D41EF"/>
    <w:rsid w:val="005D4AA9"/>
    <w:rsid w:val="005D4DE5"/>
    <w:rsid w:val="005D4FDC"/>
    <w:rsid w:val="005D68D7"/>
    <w:rsid w:val="005D72D8"/>
    <w:rsid w:val="005E0060"/>
    <w:rsid w:val="005E0799"/>
    <w:rsid w:val="005E07DC"/>
    <w:rsid w:val="005E0E58"/>
    <w:rsid w:val="005E10F9"/>
    <w:rsid w:val="005E1200"/>
    <w:rsid w:val="005E12BF"/>
    <w:rsid w:val="005E2FD9"/>
    <w:rsid w:val="005E3A4A"/>
    <w:rsid w:val="005E75A0"/>
    <w:rsid w:val="005F0A89"/>
    <w:rsid w:val="005F0AE0"/>
    <w:rsid w:val="005F16C4"/>
    <w:rsid w:val="005F1968"/>
    <w:rsid w:val="005F1DB8"/>
    <w:rsid w:val="005F45EE"/>
    <w:rsid w:val="005F5A80"/>
    <w:rsid w:val="005F7049"/>
    <w:rsid w:val="005F760E"/>
    <w:rsid w:val="0060064B"/>
    <w:rsid w:val="00600CAF"/>
    <w:rsid w:val="006044FF"/>
    <w:rsid w:val="0060483A"/>
    <w:rsid w:val="0060556A"/>
    <w:rsid w:val="00605A95"/>
    <w:rsid w:val="00607A34"/>
    <w:rsid w:val="00607CC5"/>
    <w:rsid w:val="006104D8"/>
    <w:rsid w:val="006109E7"/>
    <w:rsid w:val="00610E64"/>
    <w:rsid w:val="0061179B"/>
    <w:rsid w:val="006125F9"/>
    <w:rsid w:val="0061709C"/>
    <w:rsid w:val="00621C0C"/>
    <w:rsid w:val="00622749"/>
    <w:rsid w:val="00623020"/>
    <w:rsid w:val="00623A12"/>
    <w:rsid w:val="00624A41"/>
    <w:rsid w:val="00624C1F"/>
    <w:rsid w:val="0062592F"/>
    <w:rsid w:val="00625F38"/>
    <w:rsid w:val="00631607"/>
    <w:rsid w:val="006316D7"/>
    <w:rsid w:val="00632758"/>
    <w:rsid w:val="00632A36"/>
    <w:rsid w:val="00633014"/>
    <w:rsid w:val="0063437B"/>
    <w:rsid w:val="00634466"/>
    <w:rsid w:val="006344A3"/>
    <w:rsid w:val="0063686C"/>
    <w:rsid w:val="00640054"/>
    <w:rsid w:val="0064017E"/>
    <w:rsid w:val="006404AB"/>
    <w:rsid w:val="00643691"/>
    <w:rsid w:val="00644761"/>
    <w:rsid w:val="00646554"/>
    <w:rsid w:val="00646B5E"/>
    <w:rsid w:val="00651689"/>
    <w:rsid w:val="006517AA"/>
    <w:rsid w:val="00651D36"/>
    <w:rsid w:val="0065256B"/>
    <w:rsid w:val="00652A3A"/>
    <w:rsid w:val="00654346"/>
    <w:rsid w:val="006547A7"/>
    <w:rsid w:val="00654BB6"/>
    <w:rsid w:val="00654D62"/>
    <w:rsid w:val="006553F2"/>
    <w:rsid w:val="00656C25"/>
    <w:rsid w:val="00656F02"/>
    <w:rsid w:val="00657121"/>
    <w:rsid w:val="00657390"/>
    <w:rsid w:val="00662BDD"/>
    <w:rsid w:val="00664AFD"/>
    <w:rsid w:val="00664CED"/>
    <w:rsid w:val="006659FE"/>
    <w:rsid w:val="00665E72"/>
    <w:rsid w:val="00665F59"/>
    <w:rsid w:val="006673CA"/>
    <w:rsid w:val="00667416"/>
    <w:rsid w:val="00667BC3"/>
    <w:rsid w:val="006702B1"/>
    <w:rsid w:val="00670607"/>
    <w:rsid w:val="0067251E"/>
    <w:rsid w:val="00673128"/>
    <w:rsid w:val="00673C26"/>
    <w:rsid w:val="00674DE5"/>
    <w:rsid w:val="00675192"/>
    <w:rsid w:val="00676F6C"/>
    <w:rsid w:val="00677751"/>
    <w:rsid w:val="006778AF"/>
    <w:rsid w:val="00677ACA"/>
    <w:rsid w:val="006800CF"/>
    <w:rsid w:val="00680DFA"/>
    <w:rsid w:val="006812AF"/>
    <w:rsid w:val="00681453"/>
    <w:rsid w:val="00681658"/>
    <w:rsid w:val="00681768"/>
    <w:rsid w:val="0068314F"/>
    <w:rsid w:val="0068327D"/>
    <w:rsid w:val="00683E1B"/>
    <w:rsid w:val="00684C34"/>
    <w:rsid w:val="0068698F"/>
    <w:rsid w:val="00687DBE"/>
    <w:rsid w:val="006909DF"/>
    <w:rsid w:val="00691002"/>
    <w:rsid w:val="00691534"/>
    <w:rsid w:val="00693880"/>
    <w:rsid w:val="00693D09"/>
    <w:rsid w:val="00694AF0"/>
    <w:rsid w:val="0069739A"/>
    <w:rsid w:val="006A291B"/>
    <w:rsid w:val="006A2A9B"/>
    <w:rsid w:val="006A3C61"/>
    <w:rsid w:val="006A3EAA"/>
    <w:rsid w:val="006A4686"/>
    <w:rsid w:val="006A4C0F"/>
    <w:rsid w:val="006A6579"/>
    <w:rsid w:val="006B0E9E"/>
    <w:rsid w:val="006B1CF5"/>
    <w:rsid w:val="006B2288"/>
    <w:rsid w:val="006B265C"/>
    <w:rsid w:val="006B3618"/>
    <w:rsid w:val="006B43C8"/>
    <w:rsid w:val="006B486D"/>
    <w:rsid w:val="006B5492"/>
    <w:rsid w:val="006B54A7"/>
    <w:rsid w:val="006B5AE4"/>
    <w:rsid w:val="006B7591"/>
    <w:rsid w:val="006C0AF8"/>
    <w:rsid w:val="006C15E8"/>
    <w:rsid w:val="006C30D3"/>
    <w:rsid w:val="006C3888"/>
    <w:rsid w:val="006C3FD5"/>
    <w:rsid w:val="006C4831"/>
    <w:rsid w:val="006C50A8"/>
    <w:rsid w:val="006C58C2"/>
    <w:rsid w:val="006C75D9"/>
    <w:rsid w:val="006D003F"/>
    <w:rsid w:val="006D1507"/>
    <w:rsid w:val="006D19E9"/>
    <w:rsid w:val="006D3FF8"/>
    <w:rsid w:val="006D4054"/>
    <w:rsid w:val="006D416E"/>
    <w:rsid w:val="006D775F"/>
    <w:rsid w:val="006E02EC"/>
    <w:rsid w:val="006E189F"/>
    <w:rsid w:val="006E3C4F"/>
    <w:rsid w:val="006E3E8D"/>
    <w:rsid w:val="006E6F41"/>
    <w:rsid w:val="006E72A7"/>
    <w:rsid w:val="006E73E6"/>
    <w:rsid w:val="006E7CDD"/>
    <w:rsid w:val="006E7E60"/>
    <w:rsid w:val="006F0782"/>
    <w:rsid w:val="006F2230"/>
    <w:rsid w:val="006F277C"/>
    <w:rsid w:val="006F31C8"/>
    <w:rsid w:val="006F3566"/>
    <w:rsid w:val="006F44F4"/>
    <w:rsid w:val="006F4A7F"/>
    <w:rsid w:val="006F505D"/>
    <w:rsid w:val="00701685"/>
    <w:rsid w:val="007025A2"/>
    <w:rsid w:val="00702A2A"/>
    <w:rsid w:val="00703357"/>
    <w:rsid w:val="00704045"/>
    <w:rsid w:val="00707F3F"/>
    <w:rsid w:val="0071003E"/>
    <w:rsid w:val="00710687"/>
    <w:rsid w:val="00710D00"/>
    <w:rsid w:val="007124F1"/>
    <w:rsid w:val="00713729"/>
    <w:rsid w:val="00713E22"/>
    <w:rsid w:val="0071427B"/>
    <w:rsid w:val="007158AB"/>
    <w:rsid w:val="00715DE0"/>
    <w:rsid w:val="007173D1"/>
    <w:rsid w:val="0071752C"/>
    <w:rsid w:val="007211B1"/>
    <w:rsid w:val="00721DF1"/>
    <w:rsid w:val="00722A0B"/>
    <w:rsid w:val="00725EE9"/>
    <w:rsid w:val="007277DA"/>
    <w:rsid w:val="00731169"/>
    <w:rsid w:val="00731D27"/>
    <w:rsid w:val="00733F2B"/>
    <w:rsid w:val="007342B4"/>
    <w:rsid w:val="00734E1E"/>
    <w:rsid w:val="00736A1A"/>
    <w:rsid w:val="00737B96"/>
    <w:rsid w:val="0074063E"/>
    <w:rsid w:val="0074187B"/>
    <w:rsid w:val="00742A47"/>
    <w:rsid w:val="00743D4B"/>
    <w:rsid w:val="00743DC7"/>
    <w:rsid w:val="00746187"/>
    <w:rsid w:val="00746DB0"/>
    <w:rsid w:val="00750FF0"/>
    <w:rsid w:val="007514E9"/>
    <w:rsid w:val="00751D9B"/>
    <w:rsid w:val="007557CC"/>
    <w:rsid w:val="007575B5"/>
    <w:rsid w:val="00757EC4"/>
    <w:rsid w:val="007600A8"/>
    <w:rsid w:val="00760F9D"/>
    <w:rsid w:val="007614E8"/>
    <w:rsid w:val="0076236E"/>
    <w:rsid w:val="0076254F"/>
    <w:rsid w:val="007643E3"/>
    <w:rsid w:val="00765085"/>
    <w:rsid w:val="00765293"/>
    <w:rsid w:val="00765BED"/>
    <w:rsid w:val="00767E50"/>
    <w:rsid w:val="00770DB6"/>
    <w:rsid w:val="00771CD5"/>
    <w:rsid w:val="00774670"/>
    <w:rsid w:val="0077476D"/>
    <w:rsid w:val="00776042"/>
    <w:rsid w:val="007760D4"/>
    <w:rsid w:val="007762CA"/>
    <w:rsid w:val="0077677B"/>
    <w:rsid w:val="007801F5"/>
    <w:rsid w:val="00782F91"/>
    <w:rsid w:val="00783CA4"/>
    <w:rsid w:val="007842FB"/>
    <w:rsid w:val="00786124"/>
    <w:rsid w:val="0078628F"/>
    <w:rsid w:val="007879E7"/>
    <w:rsid w:val="00787B0B"/>
    <w:rsid w:val="007908E3"/>
    <w:rsid w:val="007926B6"/>
    <w:rsid w:val="0079490B"/>
    <w:rsid w:val="0079514B"/>
    <w:rsid w:val="00795252"/>
    <w:rsid w:val="007963C9"/>
    <w:rsid w:val="00797892"/>
    <w:rsid w:val="007A0795"/>
    <w:rsid w:val="007A226F"/>
    <w:rsid w:val="007A2770"/>
    <w:rsid w:val="007A2DC1"/>
    <w:rsid w:val="007A36F0"/>
    <w:rsid w:val="007A3E6E"/>
    <w:rsid w:val="007A4583"/>
    <w:rsid w:val="007A4892"/>
    <w:rsid w:val="007A48F8"/>
    <w:rsid w:val="007A5D6D"/>
    <w:rsid w:val="007A6752"/>
    <w:rsid w:val="007A7504"/>
    <w:rsid w:val="007B00AD"/>
    <w:rsid w:val="007B06AB"/>
    <w:rsid w:val="007B1377"/>
    <w:rsid w:val="007B4927"/>
    <w:rsid w:val="007B4A23"/>
    <w:rsid w:val="007B5040"/>
    <w:rsid w:val="007B601B"/>
    <w:rsid w:val="007B63D4"/>
    <w:rsid w:val="007C0815"/>
    <w:rsid w:val="007C2331"/>
    <w:rsid w:val="007C6DF1"/>
    <w:rsid w:val="007C7D79"/>
    <w:rsid w:val="007C7F9F"/>
    <w:rsid w:val="007D07E5"/>
    <w:rsid w:val="007D0869"/>
    <w:rsid w:val="007D0CEC"/>
    <w:rsid w:val="007D14C4"/>
    <w:rsid w:val="007D3319"/>
    <w:rsid w:val="007D335D"/>
    <w:rsid w:val="007D5AE5"/>
    <w:rsid w:val="007D605C"/>
    <w:rsid w:val="007D72EE"/>
    <w:rsid w:val="007E02D9"/>
    <w:rsid w:val="007E1079"/>
    <w:rsid w:val="007E1499"/>
    <w:rsid w:val="007E3314"/>
    <w:rsid w:val="007E3514"/>
    <w:rsid w:val="007E3982"/>
    <w:rsid w:val="007E3B0A"/>
    <w:rsid w:val="007E4B03"/>
    <w:rsid w:val="007E5635"/>
    <w:rsid w:val="007E596D"/>
    <w:rsid w:val="007E5E7D"/>
    <w:rsid w:val="007F2D4A"/>
    <w:rsid w:val="007F324B"/>
    <w:rsid w:val="007F3E1A"/>
    <w:rsid w:val="007F40B1"/>
    <w:rsid w:val="007F4105"/>
    <w:rsid w:val="007F570D"/>
    <w:rsid w:val="007F5814"/>
    <w:rsid w:val="007F58E2"/>
    <w:rsid w:val="007F5FA5"/>
    <w:rsid w:val="007F7404"/>
    <w:rsid w:val="007F78EC"/>
    <w:rsid w:val="008007BF"/>
    <w:rsid w:val="00800E76"/>
    <w:rsid w:val="00800F14"/>
    <w:rsid w:val="008019CB"/>
    <w:rsid w:val="0080321C"/>
    <w:rsid w:val="0080553C"/>
    <w:rsid w:val="00805B46"/>
    <w:rsid w:val="00805C5C"/>
    <w:rsid w:val="00805DB4"/>
    <w:rsid w:val="00805EB2"/>
    <w:rsid w:val="0081038A"/>
    <w:rsid w:val="008106B1"/>
    <w:rsid w:val="00810784"/>
    <w:rsid w:val="008112CE"/>
    <w:rsid w:val="0081200F"/>
    <w:rsid w:val="00814D88"/>
    <w:rsid w:val="00816BE2"/>
    <w:rsid w:val="00817867"/>
    <w:rsid w:val="0082043D"/>
    <w:rsid w:val="00822DE1"/>
    <w:rsid w:val="00823593"/>
    <w:rsid w:val="00825DC2"/>
    <w:rsid w:val="00826CCF"/>
    <w:rsid w:val="00827B6A"/>
    <w:rsid w:val="0083103F"/>
    <w:rsid w:val="008310A2"/>
    <w:rsid w:val="00832944"/>
    <w:rsid w:val="00834406"/>
    <w:rsid w:val="00834AD3"/>
    <w:rsid w:val="00835C86"/>
    <w:rsid w:val="00841BA2"/>
    <w:rsid w:val="00841BDE"/>
    <w:rsid w:val="00842B8F"/>
    <w:rsid w:val="00843795"/>
    <w:rsid w:val="00843D06"/>
    <w:rsid w:val="00843FB4"/>
    <w:rsid w:val="0084626F"/>
    <w:rsid w:val="008464AA"/>
    <w:rsid w:val="00847A3D"/>
    <w:rsid w:val="00847B86"/>
    <w:rsid w:val="00847F0F"/>
    <w:rsid w:val="0085157E"/>
    <w:rsid w:val="00851AC9"/>
    <w:rsid w:val="00852448"/>
    <w:rsid w:val="008525F0"/>
    <w:rsid w:val="00853262"/>
    <w:rsid w:val="00854836"/>
    <w:rsid w:val="008549BB"/>
    <w:rsid w:val="00854D60"/>
    <w:rsid w:val="00855A56"/>
    <w:rsid w:val="00855BDE"/>
    <w:rsid w:val="0086082C"/>
    <w:rsid w:val="0086207B"/>
    <w:rsid w:val="00862404"/>
    <w:rsid w:val="008633D6"/>
    <w:rsid w:val="008659FC"/>
    <w:rsid w:val="008670A0"/>
    <w:rsid w:val="0086781C"/>
    <w:rsid w:val="008678B1"/>
    <w:rsid w:val="00867F7E"/>
    <w:rsid w:val="00870A89"/>
    <w:rsid w:val="008715CD"/>
    <w:rsid w:val="00873001"/>
    <w:rsid w:val="00874642"/>
    <w:rsid w:val="00877C67"/>
    <w:rsid w:val="00877F6C"/>
    <w:rsid w:val="008806C5"/>
    <w:rsid w:val="00881244"/>
    <w:rsid w:val="0088258A"/>
    <w:rsid w:val="008837E4"/>
    <w:rsid w:val="00883B81"/>
    <w:rsid w:val="008852CB"/>
    <w:rsid w:val="00885C1A"/>
    <w:rsid w:val="00886332"/>
    <w:rsid w:val="00886773"/>
    <w:rsid w:val="00886C00"/>
    <w:rsid w:val="008872A6"/>
    <w:rsid w:val="008925F0"/>
    <w:rsid w:val="0089448A"/>
    <w:rsid w:val="00894647"/>
    <w:rsid w:val="00894B70"/>
    <w:rsid w:val="00895DFA"/>
    <w:rsid w:val="00897877"/>
    <w:rsid w:val="008A19A3"/>
    <w:rsid w:val="008A1F3E"/>
    <w:rsid w:val="008A26D9"/>
    <w:rsid w:val="008A3D1F"/>
    <w:rsid w:val="008A51CE"/>
    <w:rsid w:val="008A52EC"/>
    <w:rsid w:val="008A5637"/>
    <w:rsid w:val="008A5DAB"/>
    <w:rsid w:val="008A6473"/>
    <w:rsid w:val="008A648D"/>
    <w:rsid w:val="008A76FE"/>
    <w:rsid w:val="008A7B5B"/>
    <w:rsid w:val="008B12D2"/>
    <w:rsid w:val="008B1614"/>
    <w:rsid w:val="008B2015"/>
    <w:rsid w:val="008B572B"/>
    <w:rsid w:val="008B7756"/>
    <w:rsid w:val="008C00EC"/>
    <w:rsid w:val="008C0428"/>
    <w:rsid w:val="008C0C29"/>
    <w:rsid w:val="008C4A2C"/>
    <w:rsid w:val="008C4D54"/>
    <w:rsid w:val="008C575E"/>
    <w:rsid w:val="008C599F"/>
    <w:rsid w:val="008D0278"/>
    <w:rsid w:val="008D02DA"/>
    <w:rsid w:val="008D2F55"/>
    <w:rsid w:val="008D3B88"/>
    <w:rsid w:val="008D4A9C"/>
    <w:rsid w:val="008D4B19"/>
    <w:rsid w:val="008D4BCF"/>
    <w:rsid w:val="008D76BC"/>
    <w:rsid w:val="008E1C49"/>
    <w:rsid w:val="008E409E"/>
    <w:rsid w:val="008E5816"/>
    <w:rsid w:val="008E6A8F"/>
    <w:rsid w:val="008E6AD8"/>
    <w:rsid w:val="008E7DBA"/>
    <w:rsid w:val="008F0692"/>
    <w:rsid w:val="008F0829"/>
    <w:rsid w:val="008F0B72"/>
    <w:rsid w:val="008F2660"/>
    <w:rsid w:val="008F2E89"/>
    <w:rsid w:val="008F2F6A"/>
    <w:rsid w:val="008F356D"/>
    <w:rsid w:val="008F3638"/>
    <w:rsid w:val="008F39B2"/>
    <w:rsid w:val="008F3B91"/>
    <w:rsid w:val="008F4441"/>
    <w:rsid w:val="008F4B71"/>
    <w:rsid w:val="008F6B20"/>
    <w:rsid w:val="008F6DEF"/>
    <w:rsid w:val="008F6F31"/>
    <w:rsid w:val="008F74DF"/>
    <w:rsid w:val="008F7E65"/>
    <w:rsid w:val="00900E1E"/>
    <w:rsid w:val="00901064"/>
    <w:rsid w:val="00902120"/>
    <w:rsid w:val="00902274"/>
    <w:rsid w:val="009027BC"/>
    <w:rsid w:val="009028C1"/>
    <w:rsid w:val="00905F1D"/>
    <w:rsid w:val="0090612D"/>
    <w:rsid w:val="00907CB0"/>
    <w:rsid w:val="009119C8"/>
    <w:rsid w:val="00911AC2"/>
    <w:rsid w:val="00911FF1"/>
    <w:rsid w:val="009127BA"/>
    <w:rsid w:val="00912D0F"/>
    <w:rsid w:val="00913450"/>
    <w:rsid w:val="00913DF0"/>
    <w:rsid w:val="00914E8E"/>
    <w:rsid w:val="0092073A"/>
    <w:rsid w:val="00920AAE"/>
    <w:rsid w:val="009223CC"/>
    <w:rsid w:val="009227A6"/>
    <w:rsid w:val="00922D8C"/>
    <w:rsid w:val="009238F3"/>
    <w:rsid w:val="00923D0C"/>
    <w:rsid w:val="009252D2"/>
    <w:rsid w:val="00926560"/>
    <w:rsid w:val="00931088"/>
    <w:rsid w:val="00931B72"/>
    <w:rsid w:val="00931EB4"/>
    <w:rsid w:val="00932F70"/>
    <w:rsid w:val="00933EC1"/>
    <w:rsid w:val="009347D5"/>
    <w:rsid w:val="00935C28"/>
    <w:rsid w:val="009372EE"/>
    <w:rsid w:val="0094139F"/>
    <w:rsid w:val="009417C5"/>
    <w:rsid w:val="00942C9D"/>
    <w:rsid w:val="0094447B"/>
    <w:rsid w:val="009446AD"/>
    <w:rsid w:val="009449AA"/>
    <w:rsid w:val="00946821"/>
    <w:rsid w:val="009471D4"/>
    <w:rsid w:val="00947BEA"/>
    <w:rsid w:val="00947DB9"/>
    <w:rsid w:val="00951627"/>
    <w:rsid w:val="009530DB"/>
    <w:rsid w:val="00953676"/>
    <w:rsid w:val="00953AB8"/>
    <w:rsid w:val="009544AD"/>
    <w:rsid w:val="00955BAD"/>
    <w:rsid w:val="0095673A"/>
    <w:rsid w:val="00956F30"/>
    <w:rsid w:val="0095798B"/>
    <w:rsid w:val="0096011C"/>
    <w:rsid w:val="0096158D"/>
    <w:rsid w:val="00961CC6"/>
    <w:rsid w:val="00962CD9"/>
    <w:rsid w:val="0096358E"/>
    <w:rsid w:val="00963E28"/>
    <w:rsid w:val="00965B01"/>
    <w:rsid w:val="00966C9A"/>
    <w:rsid w:val="00967374"/>
    <w:rsid w:val="00967837"/>
    <w:rsid w:val="009705EE"/>
    <w:rsid w:val="00971445"/>
    <w:rsid w:val="00972E42"/>
    <w:rsid w:val="00972E53"/>
    <w:rsid w:val="00972FB5"/>
    <w:rsid w:val="00974591"/>
    <w:rsid w:val="00974629"/>
    <w:rsid w:val="00974795"/>
    <w:rsid w:val="00974D48"/>
    <w:rsid w:val="009751ED"/>
    <w:rsid w:val="00977062"/>
    <w:rsid w:val="00977658"/>
    <w:rsid w:val="00977927"/>
    <w:rsid w:val="0098135C"/>
    <w:rsid w:val="0098156A"/>
    <w:rsid w:val="00981D23"/>
    <w:rsid w:val="0098335A"/>
    <w:rsid w:val="009834D5"/>
    <w:rsid w:val="00985B42"/>
    <w:rsid w:val="00991BAC"/>
    <w:rsid w:val="0099257F"/>
    <w:rsid w:val="009929A9"/>
    <w:rsid w:val="00993426"/>
    <w:rsid w:val="00993C70"/>
    <w:rsid w:val="0099461D"/>
    <w:rsid w:val="0099757D"/>
    <w:rsid w:val="009A25EE"/>
    <w:rsid w:val="009A3E21"/>
    <w:rsid w:val="009A614F"/>
    <w:rsid w:val="009A6B5F"/>
    <w:rsid w:val="009A6EA0"/>
    <w:rsid w:val="009A7C54"/>
    <w:rsid w:val="009A7CCB"/>
    <w:rsid w:val="009A7FCD"/>
    <w:rsid w:val="009B02A6"/>
    <w:rsid w:val="009B033C"/>
    <w:rsid w:val="009B2AEA"/>
    <w:rsid w:val="009B39A3"/>
    <w:rsid w:val="009B4430"/>
    <w:rsid w:val="009B5729"/>
    <w:rsid w:val="009B7A68"/>
    <w:rsid w:val="009C1335"/>
    <w:rsid w:val="009C1AB2"/>
    <w:rsid w:val="009C2116"/>
    <w:rsid w:val="009C2350"/>
    <w:rsid w:val="009C2BD5"/>
    <w:rsid w:val="009C3803"/>
    <w:rsid w:val="009C3C46"/>
    <w:rsid w:val="009C5941"/>
    <w:rsid w:val="009C644C"/>
    <w:rsid w:val="009C687D"/>
    <w:rsid w:val="009C6A04"/>
    <w:rsid w:val="009C7251"/>
    <w:rsid w:val="009D3454"/>
    <w:rsid w:val="009D50C7"/>
    <w:rsid w:val="009D57C9"/>
    <w:rsid w:val="009D5CB2"/>
    <w:rsid w:val="009E1E16"/>
    <w:rsid w:val="009E2E91"/>
    <w:rsid w:val="009E3538"/>
    <w:rsid w:val="009E35EE"/>
    <w:rsid w:val="009E4ADF"/>
    <w:rsid w:val="009E4AFE"/>
    <w:rsid w:val="009E4D0C"/>
    <w:rsid w:val="009E604D"/>
    <w:rsid w:val="009E61F4"/>
    <w:rsid w:val="009E629C"/>
    <w:rsid w:val="009E6880"/>
    <w:rsid w:val="009E6FCA"/>
    <w:rsid w:val="009E73BD"/>
    <w:rsid w:val="009F0245"/>
    <w:rsid w:val="009F0BBA"/>
    <w:rsid w:val="009F3F4B"/>
    <w:rsid w:val="009F49DA"/>
    <w:rsid w:val="009F5CD5"/>
    <w:rsid w:val="009F7620"/>
    <w:rsid w:val="00A004EE"/>
    <w:rsid w:val="00A00993"/>
    <w:rsid w:val="00A00BBD"/>
    <w:rsid w:val="00A01B40"/>
    <w:rsid w:val="00A04D1D"/>
    <w:rsid w:val="00A0693D"/>
    <w:rsid w:val="00A10414"/>
    <w:rsid w:val="00A10475"/>
    <w:rsid w:val="00A11765"/>
    <w:rsid w:val="00A11D12"/>
    <w:rsid w:val="00A13746"/>
    <w:rsid w:val="00A139F5"/>
    <w:rsid w:val="00A14D34"/>
    <w:rsid w:val="00A175B3"/>
    <w:rsid w:val="00A2004E"/>
    <w:rsid w:val="00A22F32"/>
    <w:rsid w:val="00A2524B"/>
    <w:rsid w:val="00A254F9"/>
    <w:rsid w:val="00A26309"/>
    <w:rsid w:val="00A275E7"/>
    <w:rsid w:val="00A27819"/>
    <w:rsid w:val="00A3064F"/>
    <w:rsid w:val="00A307A2"/>
    <w:rsid w:val="00A328CB"/>
    <w:rsid w:val="00A32E16"/>
    <w:rsid w:val="00A330C5"/>
    <w:rsid w:val="00A3394B"/>
    <w:rsid w:val="00A34300"/>
    <w:rsid w:val="00A365F4"/>
    <w:rsid w:val="00A36723"/>
    <w:rsid w:val="00A367A6"/>
    <w:rsid w:val="00A36D7F"/>
    <w:rsid w:val="00A36FA3"/>
    <w:rsid w:val="00A3713B"/>
    <w:rsid w:val="00A37AE2"/>
    <w:rsid w:val="00A40292"/>
    <w:rsid w:val="00A41AE4"/>
    <w:rsid w:val="00A41E61"/>
    <w:rsid w:val="00A436D6"/>
    <w:rsid w:val="00A45D3B"/>
    <w:rsid w:val="00A45F04"/>
    <w:rsid w:val="00A46AFE"/>
    <w:rsid w:val="00A47B5B"/>
    <w:rsid w:val="00A47D80"/>
    <w:rsid w:val="00A47F4A"/>
    <w:rsid w:val="00A518F4"/>
    <w:rsid w:val="00A53132"/>
    <w:rsid w:val="00A5339C"/>
    <w:rsid w:val="00A53C29"/>
    <w:rsid w:val="00A53F76"/>
    <w:rsid w:val="00A54447"/>
    <w:rsid w:val="00A54C8C"/>
    <w:rsid w:val="00A55B45"/>
    <w:rsid w:val="00A563F2"/>
    <w:rsid w:val="00A566E8"/>
    <w:rsid w:val="00A573C6"/>
    <w:rsid w:val="00A60366"/>
    <w:rsid w:val="00A607F8"/>
    <w:rsid w:val="00A608B2"/>
    <w:rsid w:val="00A62595"/>
    <w:rsid w:val="00A62D55"/>
    <w:rsid w:val="00A64238"/>
    <w:rsid w:val="00A64527"/>
    <w:rsid w:val="00A64DDF"/>
    <w:rsid w:val="00A66347"/>
    <w:rsid w:val="00A66678"/>
    <w:rsid w:val="00A669A0"/>
    <w:rsid w:val="00A6799C"/>
    <w:rsid w:val="00A711DB"/>
    <w:rsid w:val="00A7274A"/>
    <w:rsid w:val="00A731F5"/>
    <w:rsid w:val="00A74865"/>
    <w:rsid w:val="00A750F2"/>
    <w:rsid w:val="00A75D45"/>
    <w:rsid w:val="00A75F25"/>
    <w:rsid w:val="00A76378"/>
    <w:rsid w:val="00A77DAA"/>
    <w:rsid w:val="00A810F9"/>
    <w:rsid w:val="00A81685"/>
    <w:rsid w:val="00A827CB"/>
    <w:rsid w:val="00A82B21"/>
    <w:rsid w:val="00A82D31"/>
    <w:rsid w:val="00A84D3F"/>
    <w:rsid w:val="00A853CB"/>
    <w:rsid w:val="00A85E7E"/>
    <w:rsid w:val="00A86ECC"/>
    <w:rsid w:val="00A86FCC"/>
    <w:rsid w:val="00A87BA2"/>
    <w:rsid w:val="00A901EB"/>
    <w:rsid w:val="00A90A6D"/>
    <w:rsid w:val="00A910E6"/>
    <w:rsid w:val="00A9178E"/>
    <w:rsid w:val="00A91FDD"/>
    <w:rsid w:val="00A920BB"/>
    <w:rsid w:val="00A9408F"/>
    <w:rsid w:val="00A944F9"/>
    <w:rsid w:val="00A954E8"/>
    <w:rsid w:val="00A95756"/>
    <w:rsid w:val="00A96A25"/>
    <w:rsid w:val="00A96F4C"/>
    <w:rsid w:val="00A971BA"/>
    <w:rsid w:val="00A971E5"/>
    <w:rsid w:val="00A97256"/>
    <w:rsid w:val="00AA0009"/>
    <w:rsid w:val="00AA0221"/>
    <w:rsid w:val="00AA0353"/>
    <w:rsid w:val="00AA13D2"/>
    <w:rsid w:val="00AA5250"/>
    <w:rsid w:val="00AA710D"/>
    <w:rsid w:val="00AA77B8"/>
    <w:rsid w:val="00AB1612"/>
    <w:rsid w:val="00AB171F"/>
    <w:rsid w:val="00AB3D22"/>
    <w:rsid w:val="00AB5086"/>
    <w:rsid w:val="00AB64F3"/>
    <w:rsid w:val="00AB6A52"/>
    <w:rsid w:val="00AB6D25"/>
    <w:rsid w:val="00AB7497"/>
    <w:rsid w:val="00AB7EFE"/>
    <w:rsid w:val="00AC0BEA"/>
    <w:rsid w:val="00AC222E"/>
    <w:rsid w:val="00AC2858"/>
    <w:rsid w:val="00AC28CB"/>
    <w:rsid w:val="00AC36A6"/>
    <w:rsid w:val="00AC4469"/>
    <w:rsid w:val="00AC474A"/>
    <w:rsid w:val="00AC699F"/>
    <w:rsid w:val="00AC6E41"/>
    <w:rsid w:val="00AC75E6"/>
    <w:rsid w:val="00AD0E56"/>
    <w:rsid w:val="00AD1AA6"/>
    <w:rsid w:val="00AD248A"/>
    <w:rsid w:val="00AD49E9"/>
    <w:rsid w:val="00AD51C5"/>
    <w:rsid w:val="00AD58F4"/>
    <w:rsid w:val="00AD6356"/>
    <w:rsid w:val="00AD6942"/>
    <w:rsid w:val="00AD7A64"/>
    <w:rsid w:val="00AE229B"/>
    <w:rsid w:val="00AE257A"/>
    <w:rsid w:val="00AE2D4B"/>
    <w:rsid w:val="00AE3ACA"/>
    <w:rsid w:val="00AE4F99"/>
    <w:rsid w:val="00AE5097"/>
    <w:rsid w:val="00AF09A5"/>
    <w:rsid w:val="00AF1EBD"/>
    <w:rsid w:val="00AF204B"/>
    <w:rsid w:val="00AF2452"/>
    <w:rsid w:val="00AF29F6"/>
    <w:rsid w:val="00AF38C9"/>
    <w:rsid w:val="00AF4CA2"/>
    <w:rsid w:val="00AF5E12"/>
    <w:rsid w:val="00AF6C42"/>
    <w:rsid w:val="00AF6CA5"/>
    <w:rsid w:val="00AF7413"/>
    <w:rsid w:val="00B000A8"/>
    <w:rsid w:val="00B002A9"/>
    <w:rsid w:val="00B00A72"/>
    <w:rsid w:val="00B02AAC"/>
    <w:rsid w:val="00B03641"/>
    <w:rsid w:val="00B047DB"/>
    <w:rsid w:val="00B060A8"/>
    <w:rsid w:val="00B0642E"/>
    <w:rsid w:val="00B0689A"/>
    <w:rsid w:val="00B0698C"/>
    <w:rsid w:val="00B07B97"/>
    <w:rsid w:val="00B10249"/>
    <w:rsid w:val="00B1061C"/>
    <w:rsid w:val="00B10E30"/>
    <w:rsid w:val="00B1164B"/>
    <w:rsid w:val="00B11855"/>
    <w:rsid w:val="00B11B69"/>
    <w:rsid w:val="00B11C8B"/>
    <w:rsid w:val="00B1379F"/>
    <w:rsid w:val="00B138D5"/>
    <w:rsid w:val="00B14952"/>
    <w:rsid w:val="00B14BA6"/>
    <w:rsid w:val="00B14F2C"/>
    <w:rsid w:val="00B15ABD"/>
    <w:rsid w:val="00B16713"/>
    <w:rsid w:val="00B16871"/>
    <w:rsid w:val="00B22EC0"/>
    <w:rsid w:val="00B22EEB"/>
    <w:rsid w:val="00B24C2C"/>
    <w:rsid w:val="00B24D00"/>
    <w:rsid w:val="00B25B45"/>
    <w:rsid w:val="00B26BBB"/>
    <w:rsid w:val="00B27242"/>
    <w:rsid w:val="00B272A1"/>
    <w:rsid w:val="00B30CA2"/>
    <w:rsid w:val="00B31D92"/>
    <w:rsid w:val="00B31E5A"/>
    <w:rsid w:val="00B32B63"/>
    <w:rsid w:val="00B3303C"/>
    <w:rsid w:val="00B33759"/>
    <w:rsid w:val="00B33B62"/>
    <w:rsid w:val="00B33D56"/>
    <w:rsid w:val="00B343AD"/>
    <w:rsid w:val="00B3471E"/>
    <w:rsid w:val="00B3524F"/>
    <w:rsid w:val="00B358FB"/>
    <w:rsid w:val="00B405DF"/>
    <w:rsid w:val="00B4183D"/>
    <w:rsid w:val="00B41DA7"/>
    <w:rsid w:val="00B42088"/>
    <w:rsid w:val="00B427CC"/>
    <w:rsid w:val="00B4364E"/>
    <w:rsid w:val="00B43938"/>
    <w:rsid w:val="00B445A5"/>
    <w:rsid w:val="00B469C3"/>
    <w:rsid w:val="00B47359"/>
    <w:rsid w:val="00B47D4A"/>
    <w:rsid w:val="00B51835"/>
    <w:rsid w:val="00B52A32"/>
    <w:rsid w:val="00B5505E"/>
    <w:rsid w:val="00B55390"/>
    <w:rsid w:val="00B5607A"/>
    <w:rsid w:val="00B56777"/>
    <w:rsid w:val="00B56ACF"/>
    <w:rsid w:val="00B575E6"/>
    <w:rsid w:val="00B57F0A"/>
    <w:rsid w:val="00B61366"/>
    <w:rsid w:val="00B61702"/>
    <w:rsid w:val="00B62BC3"/>
    <w:rsid w:val="00B62D4F"/>
    <w:rsid w:val="00B62DA5"/>
    <w:rsid w:val="00B62DEA"/>
    <w:rsid w:val="00B63E52"/>
    <w:rsid w:val="00B63FF7"/>
    <w:rsid w:val="00B651AD"/>
    <w:rsid w:val="00B652F4"/>
    <w:rsid w:val="00B653AB"/>
    <w:rsid w:val="00B65F9E"/>
    <w:rsid w:val="00B6640E"/>
    <w:rsid w:val="00B66924"/>
    <w:rsid w:val="00B66B19"/>
    <w:rsid w:val="00B6791B"/>
    <w:rsid w:val="00B71DC7"/>
    <w:rsid w:val="00B7349D"/>
    <w:rsid w:val="00B7386E"/>
    <w:rsid w:val="00B73D86"/>
    <w:rsid w:val="00B74121"/>
    <w:rsid w:val="00B74162"/>
    <w:rsid w:val="00B74669"/>
    <w:rsid w:val="00B74B1C"/>
    <w:rsid w:val="00B761F3"/>
    <w:rsid w:val="00B76B2B"/>
    <w:rsid w:val="00B76BA3"/>
    <w:rsid w:val="00B8044B"/>
    <w:rsid w:val="00B8202F"/>
    <w:rsid w:val="00B844FC"/>
    <w:rsid w:val="00B84503"/>
    <w:rsid w:val="00B84C43"/>
    <w:rsid w:val="00B8694E"/>
    <w:rsid w:val="00B8781E"/>
    <w:rsid w:val="00B90450"/>
    <w:rsid w:val="00B91167"/>
    <w:rsid w:val="00B911B6"/>
    <w:rsid w:val="00B914E9"/>
    <w:rsid w:val="00B92048"/>
    <w:rsid w:val="00B92619"/>
    <w:rsid w:val="00B92E18"/>
    <w:rsid w:val="00B937AA"/>
    <w:rsid w:val="00B956B7"/>
    <w:rsid w:val="00B956EE"/>
    <w:rsid w:val="00B96491"/>
    <w:rsid w:val="00B96738"/>
    <w:rsid w:val="00B973FA"/>
    <w:rsid w:val="00B97597"/>
    <w:rsid w:val="00BA1186"/>
    <w:rsid w:val="00BA11B8"/>
    <w:rsid w:val="00BA1394"/>
    <w:rsid w:val="00BA1490"/>
    <w:rsid w:val="00BA2BA1"/>
    <w:rsid w:val="00BA306E"/>
    <w:rsid w:val="00BA3447"/>
    <w:rsid w:val="00BA3562"/>
    <w:rsid w:val="00BA3D71"/>
    <w:rsid w:val="00BA4D06"/>
    <w:rsid w:val="00BB0728"/>
    <w:rsid w:val="00BB1006"/>
    <w:rsid w:val="00BB254F"/>
    <w:rsid w:val="00BB272F"/>
    <w:rsid w:val="00BB423E"/>
    <w:rsid w:val="00BB4661"/>
    <w:rsid w:val="00BB46B7"/>
    <w:rsid w:val="00BB4F09"/>
    <w:rsid w:val="00BB54B5"/>
    <w:rsid w:val="00BB6B89"/>
    <w:rsid w:val="00BB6E64"/>
    <w:rsid w:val="00BB7412"/>
    <w:rsid w:val="00BB7620"/>
    <w:rsid w:val="00BC3D4E"/>
    <w:rsid w:val="00BC3FAF"/>
    <w:rsid w:val="00BC4210"/>
    <w:rsid w:val="00BC4421"/>
    <w:rsid w:val="00BC4ACB"/>
    <w:rsid w:val="00BC69F3"/>
    <w:rsid w:val="00BC777D"/>
    <w:rsid w:val="00BD1855"/>
    <w:rsid w:val="00BD18DC"/>
    <w:rsid w:val="00BD1A9A"/>
    <w:rsid w:val="00BD2BBD"/>
    <w:rsid w:val="00BD3061"/>
    <w:rsid w:val="00BD483E"/>
    <w:rsid w:val="00BD4BB0"/>
    <w:rsid w:val="00BD4E33"/>
    <w:rsid w:val="00BD5571"/>
    <w:rsid w:val="00BD6B15"/>
    <w:rsid w:val="00BD774A"/>
    <w:rsid w:val="00BE1655"/>
    <w:rsid w:val="00BE2046"/>
    <w:rsid w:val="00BE321C"/>
    <w:rsid w:val="00BE6521"/>
    <w:rsid w:val="00BE703E"/>
    <w:rsid w:val="00BE7526"/>
    <w:rsid w:val="00BE77B1"/>
    <w:rsid w:val="00BE78F4"/>
    <w:rsid w:val="00BF012D"/>
    <w:rsid w:val="00BF13D1"/>
    <w:rsid w:val="00BF1DE3"/>
    <w:rsid w:val="00BF2CA8"/>
    <w:rsid w:val="00BF6121"/>
    <w:rsid w:val="00BF666E"/>
    <w:rsid w:val="00BF6DF8"/>
    <w:rsid w:val="00BF7673"/>
    <w:rsid w:val="00C00767"/>
    <w:rsid w:val="00C01868"/>
    <w:rsid w:val="00C0302E"/>
    <w:rsid w:val="00C030DE"/>
    <w:rsid w:val="00C0408D"/>
    <w:rsid w:val="00C041D2"/>
    <w:rsid w:val="00C051A8"/>
    <w:rsid w:val="00C06F9C"/>
    <w:rsid w:val="00C11661"/>
    <w:rsid w:val="00C12665"/>
    <w:rsid w:val="00C12A57"/>
    <w:rsid w:val="00C13B95"/>
    <w:rsid w:val="00C1604F"/>
    <w:rsid w:val="00C16BE0"/>
    <w:rsid w:val="00C17363"/>
    <w:rsid w:val="00C17C37"/>
    <w:rsid w:val="00C200B6"/>
    <w:rsid w:val="00C2119C"/>
    <w:rsid w:val="00C22105"/>
    <w:rsid w:val="00C233BB"/>
    <w:rsid w:val="00C244B6"/>
    <w:rsid w:val="00C27BF1"/>
    <w:rsid w:val="00C318B6"/>
    <w:rsid w:val="00C31DFC"/>
    <w:rsid w:val="00C33D18"/>
    <w:rsid w:val="00C342EF"/>
    <w:rsid w:val="00C354B7"/>
    <w:rsid w:val="00C3603C"/>
    <w:rsid w:val="00C3702F"/>
    <w:rsid w:val="00C378D6"/>
    <w:rsid w:val="00C4180F"/>
    <w:rsid w:val="00C420D4"/>
    <w:rsid w:val="00C43C90"/>
    <w:rsid w:val="00C44031"/>
    <w:rsid w:val="00C4500A"/>
    <w:rsid w:val="00C45459"/>
    <w:rsid w:val="00C46188"/>
    <w:rsid w:val="00C5036E"/>
    <w:rsid w:val="00C5167B"/>
    <w:rsid w:val="00C51F59"/>
    <w:rsid w:val="00C522AC"/>
    <w:rsid w:val="00C5308C"/>
    <w:rsid w:val="00C537FC"/>
    <w:rsid w:val="00C560D6"/>
    <w:rsid w:val="00C56B17"/>
    <w:rsid w:val="00C56D06"/>
    <w:rsid w:val="00C56EEE"/>
    <w:rsid w:val="00C56F2D"/>
    <w:rsid w:val="00C57F0E"/>
    <w:rsid w:val="00C60D6C"/>
    <w:rsid w:val="00C62238"/>
    <w:rsid w:val="00C64A37"/>
    <w:rsid w:val="00C6585B"/>
    <w:rsid w:val="00C712C6"/>
    <w:rsid w:val="00C7158E"/>
    <w:rsid w:val="00C7246E"/>
    <w:rsid w:val="00C7250B"/>
    <w:rsid w:val="00C73430"/>
    <w:rsid w:val="00C7346B"/>
    <w:rsid w:val="00C73D1A"/>
    <w:rsid w:val="00C74253"/>
    <w:rsid w:val="00C74BC9"/>
    <w:rsid w:val="00C75CBB"/>
    <w:rsid w:val="00C76985"/>
    <w:rsid w:val="00C776D4"/>
    <w:rsid w:val="00C77C0E"/>
    <w:rsid w:val="00C812B3"/>
    <w:rsid w:val="00C82EC1"/>
    <w:rsid w:val="00C84A84"/>
    <w:rsid w:val="00C85257"/>
    <w:rsid w:val="00C90E40"/>
    <w:rsid w:val="00C91687"/>
    <w:rsid w:val="00C91CEB"/>
    <w:rsid w:val="00C924A8"/>
    <w:rsid w:val="00C945FE"/>
    <w:rsid w:val="00C95A19"/>
    <w:rsid w:val="00C967E2"/>
    <w:rsid w:val="00C96FAA"/>
    <w:rsid w:val="00C975A5"/>
    <w:rsid w:val="00C97A04"/>
    <w:rsid w:val="00C97B1F"/>
    <w:rsid w:val="00CA107B"/>
    <w:rsid w:val="00CA484D"/>
    <w:rsid w:val="00CA4FB6"/>
    <w:rsid w:val="00CA52B6"/>
    <w:rsid w:val="00CA5D07"/>
    <w:rsid w:val="00CA79A9"/>
    <w:rsid w:val="00CA7C64"/>
    <w:rsid w:val="00CB0D86"/>
    <w:rsid w:val="00CB1F59"/>
    <w:rsid w:val="00CB20FB"/>
    <w:rsid w:val="00CB23C1"/>
    <w:rsid w:val="00CB2F90"/>
    <w:rsid w:val="00CB3239"/>
    <w:rsid w:val="00CB4E26"/>
    <w:rsid w:val="00CB6AD4"/>
    <w:rsid w:val="00CB756E"/>
    <w:rsid w:val="00CC0C19"/>
    <w:rsid w:val="00CC0F6D"/>
    <w:rsid w:val="00CC5155"/>
    <w:rsid w:val="00CC5928"/>
    <w:rsid w:val="00CC5BE5"/>
    <w:rsid w:val="00CC739E"/>
    <w:rsid w:val="00CC7CA3"/>
    <w:rsid w:val="00CD04FC"/>
    <w:rsid w:val="00CD1002"/>
    <w:rsid w:val="00CD12CD"/>
    <w:rsid w:val="00CD1509"/>
    <w:rsid w:val="00CD187A"/>
    <w:rsid w:val="00CD1EBB"/>
    <w:rsid w:val="00CD28CF"/>
    <w:rsid w:val="00CD3981"/>
    <w:rsid w:val="00CD45C3"/>
    <w:rsid w:val="00CD58B7"/>
    <w:rsid w:val="00CD5CF9"/>
    <w:rsid w:val="00CD7967"/>
    <w:rsid w:val="00CE2FAC"/>
    <w:rsid w:val="00CE3408"/>
    <w:rsid w:val="00CE51A3"/>
    <w:rsid w:val="00CE6127"/>
    <w:rsid w:val="00CE635B"/>
    <w:rsid w:val="00CE6A62"/>
    <w:rsid w:val="00CF18EE"/>
    <w:rsid w:val="00CF30BD"/>
    <w:rsid w:val="00CF4099"/>
    <w:rsid w:val="00CF4688"/>
    <w:rsid w:val="00CF48A6"/>
    <w:rsid w:val="00CF4E3D"/>
    <w:rsid w:val="00CF53B6"/>
    <w:rsid w:val="00CF5B70"/>
    <w:rsid w:val="00CF6F42"/>
    <w:rsid w:val="00D00507"/>
    <w:rsid w:val="00D00796"/>
    <w:rsid w:val="00D01737"/>
    <w:rsid w:val="00D0435A"/>
    <w:rsid w:val="00D04A17"/>
    <w:rsid w:val="00D061FD"/>
    <w:rsid w:val="00D068E0"/>
    <w:rsid w:val="00D1014D"/>
    <w:rsid w:val="00D10C4D"/>
    <w:rsid w:val="00D12CEC"/>
    <w:rsid w:val="00D12E1E"/>
    <w:rsid w:val="00D14CF8"/>
    <w:rsid w:val="00D15149"/>
    <w:rsid w:val="00D2040C"/>
    <w:rsid w:val="00D223A6"/>
    <w:rsid w:val="00D22D74"/>
    <w:rsid w:val="00D22F13"/>
    <w:rsid w:val="00D25B0D"/>
    <w:rsid w:val="00D261A2"/>
    <w:rsid w:val="00D265B0"/>
    <w:rsid w:val="00D26D4E"/>
    <w:rsid w:val="00D26D5B"/>
    <w:rsid w:val="00D27D6D"/>
    <w:rsid w:val="00D308D5"/>
    <w:rsid w:val="00D30D7B"/>
    <w:rsid w:val="00D31A22"/>
    <w:rsid w:val="00D36AF0"/>
    <w:rsid w:val="00D40038"/>
    <w:rsid w:val="00D407E8"/>
    <w:rsid w:val="00D436F7"/>
    <w:rsid w:val="00D44522"/>
    <w:rsid w:val="00D46D60"/>
    <w:rsid w:val="00D50192"/>
    <w:rsid w:val="00D50CFA"/>
    <w:rsid w:val="00D54D8D"/>
    <w:rsid w:val="00D555DF"/>
    <w:rsid w:val="00D55685"/>
    <w:rsid w:val="00D56E01"/>
    <w:rsid w:val="00D602ED"/>
    <w:rsid w:val="00D60F69"/>
    <w:rsid w:val="00D6135A"/>
    <w:rsid w:val="00D616D2"/>
    <w:rsid w:val="00D61DCD"/>
    <w:rsid w:val="00D63B5F"/>
    <w:rsid w:val="00D658A7"/>
    <w:rsid w:val="00D66905"/>
    <w:rsid w:val="00D66D1F"/>
    <w:rsid w:val="00D67A64"/>
    <w:rsid w:val="00D70EF7"/>
    <w:rsid w:val="00D71433"/>
    <w:rsid w:val="00D71D22"/>
    <w:rsid w:val="00D72003"/>
    <w:rsid w:val="00D7513E"/>
    <w:rsid w:val="00D8061D"/>
    <w:rsid w:val="00D80B70"/>
    <w:rsid w:val="00D82ED3"/>
    <w:rsid w:val="00D8397C"/>
    <w:rsid w:val="00D83F26"/>
    <w:rsid w:val="00D8654F"/>
    <w:rsid w:val="00D90160"/>
    <w:rsid w:val="00D9095E"/>
    <w:rsid w:val="00D91096"/>
    <w:rsid w:val="00D9172A"/>
    <w:rsid w:val="00D91A84"/>
    <w:rsid w:val="00D91BC4"/>
    <w:rsid w:val="00D921FB"/>
    <w:rsid w:val="00D934FB"/>
    <w:rsid w:val="00D94EED"/>
    <w:rsid w:val="00D95604"/>
    <w:rsid w:val="00D95CA9"/>
    <w:rsid w:val="00D96026"/>
    <w:rsid w:val="00D96994"/>
    <w:rsid w:val="00D96E96"/>
    <w:rsid w:val="00D96FFA"/>
    <w:rsid w:val="00D9720C"/>
    <w:rsid w:val="00D972F6"/>
    <w:rsid w:val="00D97582"/>
    <w:rsid w:val="00DA23B2"/>
    <w:rsid w:val="00DA331D"/>
    <w:rsid w:val="00DA62F0"/>
    <w:rsid w:val="00DA6524"/>
    <w:rsid w:val="00DA65DC"/>
    <w:rsid w:val="00DA7C1C"/>
    <w:rsid w:val="00DA7D9B"/>
    <w:rsid w:val="00DB0945"/>
    <w:rsid w:val="00DB147A"/>
    <w:rsid w:val="00DB1B7A"/>
    <w:rsid w:val="00DB35BB"/>
    <w:rsid w:val="00DB50E6"/>
    <w:rsid w:val="00DB5766"/>
    <w:rsid w:val="00DB5C93"/>
    <w:rsid w:val="00DB62A9"/>
    <w:rsid w:val="00DB6881"/>
    <w:rsid w:val="00DB706E"/>
    <w:rsid w:val="00DC0F40"/>
    <w:rsid w:val="00DC11EF"/>
    <w:rsid w:val="00DC2994"/>
    <w:rsid w:val="00DC2A24"/>
    <w:rsid w:val="00DC3F6F"/>
    <w:rsid w:val="00DC44AD"/>
    <w:rsid w:val="00DC48B4"/>
    <w:rsid w:val="00DC5D45"/>
    <w:rsid w:val="00DC6708"/>
    <w:rsid w:val="00DC6A9E"/>
    <w:rsid w:val="00DD011A"/>
    <w:rsid w:val="00DD0AB4"/>
    <w:rsid w:val="00DD1D3A"/>
    <w:rsid w:val="00DD4669"/>
    <w:rsid w:val="00DD52AE"/>
    <w:rsid w:val="00DD56F4"/>
    <w:rsid w:val="00DD5899"/>
    <w:rsid w:val="00DD6079"/>
    <w:rsid w:val="00DD65FD"/>
    <w:rsid w:val="00DD7417"/>
    <w:rsid w:val="00DE0A70"/>
    <w:rsid w:val="00DE0E21"/>
    <w:rsid w:val="00DE1CA6"/>
    <w:rsid w:val="00DE2400"/>
    <w:rsid w:val="00DE35FF"/>
    <w:rsid w:val="00DE397F"/>
    <w:rsid w:val="00DE4A46"/>
    <w:rsid w:val="00DE5025"/>
    <w:rsid w:val="00DE58F1"/>
    <w:rsid w:val="00DE64D3"/>
    <w:rsid w:val="00DE67A5"/>
    <w:rsid w:val="00DE6B58"/>
    <w:rsid w:val="00DE72D5"/>
    <w:rsid w:val="00DF0F71"/>
    <w:rsid w:val="00DF280C"/>
    <w:rsid w:val="00DF3391"/>
    <w:rsid w:val="00DF49A9"/>
    <w:rsid w:val="00DF4DB7"/>
    <w:rsid w:val="00DF5C59"/>
    <w:rsid w:val="00DF5E32"/>
    <w:rsid w:val="00DF7CEA"/>
    <w:rsid w:val="00E01436"/>
    <w:rsid w:val="00E01B00"/>
    <w:rsid w:val="00E02C88"/>
    <w:rsid w:val="00E038BB"/>
    <w:rsid w:val="00E03D3E"/>
    <w:rsid w:val="00E03E79"/>
    <w:rsid w:val="00E045BD"/>
    <w:rsid w:val="00E04D6C"/>
    <w:rsid w:val="00E07116"/>
    <w:rsid w:val="00E077A5"/>
    <w:rsid w:val="00E110AD"/>
    <w:rsid w:val="00E1295D"/>
    <w:rsid w:val="00E12B8E"/>
    <w:rsid w:val="00E131F0"/>
    <w:rsid w:val="00E14A1F"/>
    <w:rsid w:val="00E15CF4"/>
    <w:rsid w:val="00E164E5"/>
    <w:rsid w:val="00E17B77"/>
    <w:rsid w:val="00E17D1C"/>
    <w:rsid w:val="00E202BC"/>
    <w:rsid w:val="00E21449"/>
    <w:rsid w:val="00E21E32"/>
    <w:rsid w:val="00E21F93"/>
    <w:rsid w:val="00E231AB"/>
    <w:rsid w:val="00E23337"/>
    <w:rsid w:val="00E23F06"/>
    <w:rsid w:val="00E24B9E"/>
    <w:rsid w:val="00E24E61"/>
    <w:rsid w:val="00E259EA"/>
    <w:rsid w:val="00E25D33"/>
    <w:rsid w:val="00E2669B"/>
    <w:rsid w:val="00E2734F"/>
    <w:rsid w:val="00E27BD3"/>
    <w:rsid w:val="00E32061"/>
    <w:rsid w:val="00E32D31"/>
    <w:rsid w:val="00E33F48"/>
    <w:rsid w:val="00E35511"/>
    <w:rsid w:val="00E37E74"/>
    <w:rsid w:val="00E40475"/>
    <w:rsid w:val="00E41BB6"/>
    <w:rsid w:val="00E4224F"/>
    <w:rsid w:val="00E42FF9"/>
    <w:rsid w:val="00E44790"/>
    <w:rsid w:val="00E44B5E"/>
    <w:rsid w:val="00E45707"/>
    <w:rsid w:val="00E461C1"/>
    <w:rsid w:val="00E4714C"/>
    <w:rsid w:val="00E5178D"/>
    <w:rsid w:val="00E51AEB"/>
    <w:rsid w:val="00E522A7"/>
    <w:rsid w:val="00E5349E"/>
    <w:rsid w:val="00E54452"/>
    <w:rsid w:val="00E567AF"/>
    <w:rsid w:val="00E603C7"/>
    <w:rsid w:val="00E60B2E"/>
    <w:rsid w:val="00E617F4"/>
    <w:rsid w:val="00E61EF5"/>
    <w:rsid w:val="00E627FE"/>
    <w:rsid w:val="00E62A2A"/>
    <w:rsid w:val="00E63B0C"/>
    <w:rsid w:val="00E65708"/>
    <w:rsid w:val="00E664C5"/>
    <w:rsid w:val="00E671A2"/>
    <w:rsid w:val="00E6730E"/>
    <w:rsid w:val="00E679EC"/>
    <w:rsid w:val="00E72B9F"/>
    <w:rsid w:val="00E73235"/>
    <w:rsid w:val="00E75768"/>
    <w:rsid w:val="00E76482"/>
    <w:rsid w:val="00E767DC"/>
    <w:rsid w:val="00E76D26"/>
    <w:rsid w:val="00E76EE5"/>
    <w:rsid w:val="00E80DC3"/>
    <w:rsid w:val="00E819FD"/>
    <w:rsid w:val="00E8255C"/>
    <w:rsid w:val="00E834C1"/>
    <w:rsid w:val="00E83D90"/>
    <w:rsid w:val="00E8416F"/>
    <w:rsid w:val="00E8578C"/>
    <w:rsid w:val="00E85E41"/>
    <w:rsid w:val="00E86B7B"/>
    <w:rsid w:val="00E875FB"/>
    <w:rsid w:val="00E902C7"/>
    <w:rsid w:val="00E903E2"/>
    <w:rsid w:val="00E90CBB"/>
    <w:rsid w:val="00E94276"/>
    <w:rsid w:val="00E95036"/>
    <w:rsid w:val="00E956D2"/>
    <w:rsid w:val="00E95B8E"/>
    <w:rsid w:val="00E9608D"/>
    <w:rsid w:val="00E97D01"/>
    <w:rsid w:val="00EA01DD"/>
    <w:rsid w:val="00EA036C"/>
    <w:rsid w:val="00EA34B9"/>
    <w:rsid w:val="00EA350D"/>
    <w:rsid w:val="00EA3687"/>
    <w:rsid w:val="00EA436C"/>
    <w:rsid w:val="00EA4A4B"/>
    <w:rsid w:val="00EB07DC"/>
    <w:rsid w:val="00EB0D58"/>
    <w:rsid w:val="00EB1390"/>
    <w:rsid w:val="00EB2C71"/>
    <w:rsid w:val="00EB3333"/>
    <w:rsid w:val="00EB4340"/>
    <w:rsid w:val="00EB4828"/>
    <w:rsid w:val="00EB4BDD"/>
    <w:rsid w:val="00EB5014"/>
    <w:rsid w:val="00EB556D"/>
    <w:rsid w:val="00EB5A7D"/>
    <w:rsid w:val="00EB5E96"/>
    <w:rsid w:val="00EB72A1"/>
    <w:rsid w:val="00EC023D"/>
    <w:rsid w:val="00EC3B96"/>
    <w:rsid w:val="00EC4131"/>
    <w:rsid w:val="00EC4B01"/>
    <w:rsid w:val="00EC4F34"/>
    <w:rsid w:val="00EC53E2"/>
    <w:rsid w:val="00EC5400"/>
    <w:rsid w:val="00EC57DB"/>
    <w:rsid w:val="00ED003D"/>
    <w:rsid w:val="00ED1E33"/>
    <w:rsid w:val="00ED2BF9"/>
    <w:rsid w:val="00ED3385"/>
    <w:rsid w:val="00ED55C0"/>
    <w:rsid w:val="00ED681B"/>
    <w:rsid w:val="00ED682B"/>
    <w:rsid w:val="00EE0177"/>
    <w:rsid w:val="00EE11EE"/>
    <w:rsid w:val="00EE172F"/>
    <w:rsid w:val="00EE335F"/>
    <w:rsid w:val="00EE41D5"/>
    <w:rsid w:val="00EE4384"/>
    <w:rsid w:val="00EE4FD2"/>
    <w:rsid w:val="00EE5F8A"/>
    <w:rsid w:val="00EE67F3"/>
    <w:rsid w:val="00EE6878"/>
    <w:rsid w:val="00EE7690"/>
    <w:rsid w:val="00EF1584"/>
    <w:rsid w:val="00EF1698"/>
    <w:rsid w:val="00EF27F6"/>
    <w:rsid w:val="00EF4380"/>
    <w:rsid w:val="00EF4CF7"/>
    <w:rsid w:val="00EF51DF"/>
    <w:rsid w:val="00EF6C45"/>
    <w:rsid w:val="00EF78A1"/>
    <w:rsid w:val="00EF7E72"/>
    <w:rsid w:val="00F00A70"/>
    <w:rsid w:val="00F00FDC"/>
    <w:rsid w:val="00F012B7"/>
    <w:rsid w:val="00F0166F"/>
    <w:rsid w:val="00F0277C"/>
    <w:rsid w:val="00F037A4"/>
    <w:rsid w:val="00F042CE"/>
    <w:rsid w:val="00F04543"/>
    <w:rsid w:val="00F0498C"/>
    <w:rsid w:val="00F049AB"/>
    <w:rsid w:val="00F04D40"/>
    <w:rsid w:val="00F05A1D"/>
    <w:rsid w:val="00F060CB"/>
    <w:rsid w:val="00F104C5"/>
    <w:rsid w:val="00F106A6"/>
    <w:rsid w:val="00F10A84"/>
    <w:rsid w:val="00F112B4"/>
    <w:rsid w:val="00F118F7"/>
    <w:rsid w:val="00F12EA9"/>
    <w:rsid w:val="00F142DB"/>
    <w:rsid w:val="00F14824"/>
    <w:rsid w:val="00F16482"/>
    <w:rsid w:val="00F164E0"/>
    <w:rsid w:val="00F202D8"/>
    <w:rsid w:val="00F20430"/>
    <w:rsid w:val="00F20595"/>
    <w:rsid w:val="00F214AE"/>
    <w:rsid w:val="00F21E8D"/>
    <w:rsid w:val="00F21FDA"/>
    <w:rsid w:val="00F2242E"/>
    <w:rsid w:val="00F22B52"/>
    <w:rsid w:val="00F22D76"/>
    <w:rsid w:val="00F234E5"/>
    <w:rsid w:val="00F25AC4"/>
    <w:rsid w:val="00F269C3"/>
    <w:rsid w:val="00F27C8F"/>
    <w:rsid w:val="00F27CD3"/>
    <w:rsid w:val="00F30535"/>
    <w:rsid w:val="00F309B5"/>
    <w:rsid w:val="00F32267"/>
    <w:rsid w:val="00F32749"/>
    <w:rsid w:val="00F33A22"/>
    <w:rsid w:val="00F33EE4"/>
    <w:rsid w:val="00F348C9"/>
    <w:rsid w:val="00F354AA"/>
    <w:rsid w:val="00F35D4B"/>
    <w:rsid w:val="00F36FEA"/>
    <w:rsid w:val="00F37172"/>
    <w:rsid w:val="00F3718E"/>
    <w:rsid w:val="00F379FF"/>
    <w:rsid w:val="00F42175"/>
    <w:rsid w:val="00F426EC"/>
    <w:rsid w:val="00F43224"/>
    <w:rsid w:val="00F43465"/>
    <w:rsid w:val="00F4465B"/>
    <w:rsid w:val="00F4477E"/>
    <w:rsid w:val="00F45AD8"/>
    <w:rsid w:val="00F46269"/>
    <w:rsid w:val="00F4708B"/>
    <w:rsid w:val="00F47C7B"/>
    <w:rsid w:val="00F51BA1"/>
    <w:rsid w:val="00F51FFF"/>
    <w:rsid w:val="00F52B98"/>
    <w:rsid w:val="00F52F90"/>
    <w:rsid w:val="00F5402A"/>
    <w:rsid w:val="00F56653"/>
    <w:rsid w:val="00F60BA8"/>
    <w:rsid w:val="00F60F0D"/>
    <w:rsid w:val="00F61162"/>
    <w:rsid w:val="00F61DCC"/>
    <w:rsid w:val="00F62099"/>
    <w:rsid w:val="00F63ADA"/>
    <w:rsid w:val="00F63D74"/>
    <w:rsid w:val="00F64F16"/>
    <w:rsid w:val="00F66E45"/>
    <w:rsid w:val="00F6780B"/>
    <w:rsid w:val="00F67A86"/>
    <w:rsid w:val="00F67B1E"/>
    <w:rsid w:val="00F67D8F"/>
    <w:rsid w:val="00F7333F"/>
    <w:rsid w:val="00F73418"/>
    <w:rsid w:val="00F742E2"/>
    <w:rsid w:val="00F75647"/>
    <w:rsid w:val="00F772D9"/>
    <w:rsid w:val="00F77815"/>
    <w:rsid w:val="00F80128"/>
    <w:rsid w:val="00F802BE"/>
    <w:rsid w:val="00F80E93"/>
    <w:rsid w:val="00F81404"/>
    <w:rsid w:val="00F83399"/>
    <w:rsid w:val="00F84D9C"/>
    <w:rsid w:val="00F86024"/>
    <w:rsid w:val="00F8611A"/>
    <w:rsid w:val="00F86A00"/>
    <w:rsid w:val="00F86A1B"/>
    <w:rsid w:val="00F9153E"/>
    <w:rsid w:val="00F92AB2"/>
    <w:rsid w:val="00F93FCF"/>
    <w:rsid w:val="00F95E32"/>
    <w:rsid w:val="00F97656"/>
    <w:rsid w:val="00FA01D0"/>
    <w:rsid w:val="00FA0F12"/>
    <w:rsid w:val="00FA26E2"/>
    <w:rsid w:val="00FA4395"/>
    <w:rsid w:val="00FA5128"/>
    <w:rsid w:val="00FA79FA"/>
    <w:rsid w:val="00FB0829"/>
    <w:rsid w:val="00FB0ADA"/>
    <w:rsid w:val="00FB32ED"/>
    <w:rsid w:val="00FB4014"/>
    <w:rsid w:val="00FB42D4"/>
    <w:rsid w:val="00FB42E5"/>
    <w:rsid w:val="00FB5906"/>
    <w:rsid w:val="00FB6607"/>
    <w:rsid w:val="00FB7212"/>
    <w:rsid w:val="00FB762F"/>
    <w:rsid w:val="00FB77EC"/>
    <w:rsid w:val="00FB7C30"/>
    <w:rsid w:val="00FC21D0"/>
    <w:rsid w:val="00FC2AED"/>
    <w:rsid w:val="00FC2D07"/>
    <w:rsid w:val="00FC4025"/>
    <w:rsid w:val="00FC61C8"/>
    <w:rsid w:val="00FC6211"/>
    <w:rsid w:val="00FC748C"/>
    <w:rsid w:val="00FC77AE"/>
    <w:rsid w:val="00FC7DE9"/>
    <w:rsid w:val="00FD08AE"/>
    <w:rsid w:val="00FD211F"/>
    <w:rsid w:val="00FD461A"/>
    <w:rsid w:val="00FD5170"/>
    <w:rsid w:val="00FD5609"/>
    <w:rsid w:val="00FD5EA7"/>
    <w:rsid w:val="00FD6F27"/>
    <w:rsid w:val="00FE0AA0"/>
    <w:rsid w:val="00FE1C2D"/>
    <w:rsid w:val="00FE3640"/>
    <w:rsid w:val="00FE36CF"/>
    <w:rsid w:val="00FE3A19"/>
    <w:rsid w:val="00FE4330"/>
    <w:rsid w:val="00FE4548"/>
    <w:rsid w:val="00FE5874"/>
    <w:rsid w:val="00FE59CF"/>
    <w:rsid w:val="00FE79AA"/>
    <w:rsid w:val="00FE7EA6"/>
    <w:rsid w:val="00FF003A"/>
    <w:rsid w:val="00FF0246"/>
    <w:rsid w:val="00FF0CE0"/>
    <w:rsid w:val="00FF1A3B"/>
    <w:rsid w:val="00FF215E"/>
    <w:rsid w:val="00FF22C9"/>
    <w:rsid w:val="00FF2AB6"/>
    <w:rsid w:val="00FF3F94"/>
    <w:rsid w:val="00FF6C83"/>
    <w:rsid w:val="00FF6C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DB4523"/>
  <w15:chartTrackingRefBased/>
  <w15:docId w15:val="{7ADB7039-B008-4DB4-803D-B4E564512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91FA4"/>
    <w:rPr>
      <w:color w:val="954F72" w:themeColor="followedHyperlink"/>
      <w:u w:val="single"/>
    </w:rPr>
  </w:style>
  <w:style w:type="character" w:customStyle="1" w:styleId="Nierozpoznanawzmianka2">
    <w:name w:val="Nierozpoznana wzmianka2"/>
    <w:basedOn w:val="Domylnaczcionkaakapitu"/>
    <w:uiPriority w:val="99"/>
    <w:semiHidden/>
    <w:unhideWhenUsed/>
    <w:rsid w:val="003E71A2"/>
    <w:rPr>
      <w:color w:val="605E5C"/>
      <w:shd w:val="clear" w:color="auto" w:fill="E1DFDD"/>
    </w:rPr>
  </w:style>
  <w:style w:type="paragraph" w:styleId="Poprawka">
    <w:name w:val="Revision"/>
    <w:hidden/>
    <w:uiPriority w:val="99"/>
    <w:semiHidden/>
    <w:rsid w:val="00F73418"/>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231442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4.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ssgk.stat.gov.p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9.png"/><Relationship Id="rId28"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hyperlink" Target="file:///C:\Users\TurekD\AppData\Local\Microsoft\Windows\INetCache\Content.Outlook\I68F4C8L\Teksty%20alternatywne.docx"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1096779042448625E-2"/>
          <c:y val="0.11728829462819611"/>
          <c:w val="0.91163162061045833"/>
          <c:h val="0.73874447960014855"/>
        </c:manualLayout>
      </c:layout>
      <c:lineChart>
        <c:grouping val="standard"/>
        <c:varyColors val="0"/>
        <c:ser>
          <c:idx val="0"/>
          <c:order val="0"/>
          <c:tx>
            <c:strRef>
              <c:f>Arkusz1!$B$1</c:f>
              <c:strCache>
                <c:ptCount val="1"/>
                <c:pt idx="0">
                  <c:v>Seria 1</c:v>
                </c:pt>
              </c:strCache>
            </c:strRef>
          </c:tx>
          <c:spPr>
            <a:ln w="28575" cap="sq">
              <a:solidFill>
                <a:srgbClr val="001D77"/>
              </a:solidFill>
              <a:round/>
            </a:ln>
            <a:effectLst/>
          </c:spPr>
          <c:marker>
            <c:symbol val="square"/>
            <c:size val="4"/>
            <c:spPr>
              <a:solidFill>
                <a:srgbClr val="001381"/>
              </a:solidFill>
              <a:ln w="9525" cap="flat">
                <a:solidFill>
                  <a:srgbClr val="002060"/>
                </a:solidFill>
              </a:ln>
              <a:effectLst/>
            </c:spPr>
          </c:marker>
          <c:dLbls>
            <c:dLbl>
              <c:idx val="1"/>
              <c:layout>
                <c:manualLayout>
                  <c:x val="-3.0215644762515509E-2"/>
                  <c:y val="-5.22736931576711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34F-4531-BD76-CDBDC0125B18}"/>
                </c:ext>
              </c:extLst>
            </c:dLbl>
            <c:dLbl>
              <c:idx val="10"/>
              <c:layout>
                <c:manualLayout>
                  <c:x val="-2.1243737243889602E-2"/>
                  <c:y val="-5.7989971659036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34F-4531-BD76-CDBDC0125B18}"/>
                </c:ext>
              </c:extLst>
            </c:dLbl>
            <c:dLbl>
              <c:idx val="13"/>
              <c:layout>
                <c:manualLayout>
                  <c:x val="-4.0969479038251495E-2"/>
                  <c:y val="-4.66535862219314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34F-4531-BD76-CDBDC0125B18}"/>
                </c:ext>
              </c:extLst>
            </c:dLbl>
            <c:dLbl>
              <c:idx val="15"/>
              <c:layout>
                <c:manualLayout>
                  <c:x val="-2.3614824271919525E-2"/>
                  <c:y val="-4.66535862219314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45D-4B90-8CF8-E92DCAA88C6C}"/>
                </c:ext>
              </c:extLst>
            </c:dLbl>
            <c:dLbl>
              <c:idx val="17"/>
              <c:layout>
                <c:manualLayout>
                  <c:x val="-3.4077201859622513E-2"/>
                  <c:y val="-0.1033355134074559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151-4766-8ED8-A818373D7E3F}"/>
                </c:ext>
              </c:extLst>
            </c:dLbl>
            <c:numFmt formatCode="#,##0.0" sourceLinked="0"/>
            <c:spPr>
              <a:noFill/>
              <a:ln>
                <a:noFill/>
              </a:ln>
              <a:effectLst/>
            </c:spPr>
            <c:txPr>
              <a:bodyPr rot="0" spcFirstLastPara="1" vertOverflow="ellipsis" vert="horz" wrap="square" lIns="38100" tIns="19050" rIns="38100" bIns="19050" anchor="ctr" anchorCtr="0">
                <a:spAutoFit/>
              </a:bodyPr>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Arkusz1!$A$38:$A$56</c:f>
              <c:strCache>
                <c:ptCount val="19"/>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strCache>
            </c:strRef>
          </c:cat>
          <c:val>
            <c:numRef>
              <c:f>Arkusz1!$B$38:$B$56</c:f>
              <c:numCache>
                <c:formatCode>General</c:formatCode>
                <c:ptCount val="19"/>
                <c:pt idx="0">
                  <c:v>0.5</c:v>
                </c:pt>
                <c:pt idx="1">
                  <c:v>0.3</c:v>
                </c:pt>
                <c:pt idx="2">
                  <c:v>0.4</c:v>
                </c:pt>
                <c:pt idx="3">
                  <c:v>0.5</c:v>
                </c:pt>
                <c:pt idx="4">
                  <c:v>0.4</c:v>
                </c:pt>
                <c:pt idx="5">
                  <c:v>0.3</c:v>
                </c:pt>
                <c:pt idx="6">
                  <c:v>0.4</c:v>
                </c:pt>
                <c:pt idx="7">
                  <c:v>0.3</c:v>
                </c:pt>
                <c:pt idx="8">
                  <c:v>0.3</c:v>
                </c:pt>
                <c:pt idx="9">
                  <c:v>0.4</c:v>
                </c:pt>
                <c:pt idx="10" formatCode="0.0">
                  <c:v>0</c:v>
                </c:pt>
                <c:pt idx="11">
                  <c:v>0.1</c:v>
                </c:pt>
                <c:pt idx="12" formatCode="0.0">
                  <c:v>0.1</c:v>
                </c:pt>
                <c:pt idx="13">
                  <c:v>0.2</c:v>
                </c:pt>
                <c:pt idx="14">
                  <c:v>0.5</c:v>
                </c:pt>
                <c:pt idx="15">
                  <c:v>0.2</c:v>
                </c:pt>
                <c:pt idx="16">
                  <c:v>0.3</c:v>
                </c:pt>
                <c:pt idx="17">
                  <c:v>0.1</c:v>
                </c:pt>
                <c:pt idx="18">
                  <c:v>0.5</c:v>
                </c:pt>
              </c:numCache>
            </c:numRef>
          </c:val>
          <c:smooth val="0"/>
          <c:extLst>
            <c:ext xmlns:c16="http://schemas.microsoft.com/office/drawing/2014/chart" uri="{C3380CC4-5D6E-409C-BE32-E72D297353CC}">
              <c16:uniqueId val="{00000000-9CF1-491C-9815-5937127F7FF2}"/>
            </c:ext>
          </c:extLst>
        </c:ser>
        <c:dLbls>
          <c:showLegendKey val="0"/>
          <c:showVal val="0"/>
          <c:showCatName val="0"/>
          <c:showSerName val="0"/>
          <c:showPercent val="0"/>
          <c:showBubbleSize val="0"/>
        </c:dLbls>
        <c:marker val="1"/>
        <c:smooth val="0"/>
        <c:axId val="152094639"/>
        <c:axId val="143964575"/>
      </c:lineChart>
      <c:catAx>
        <c:axId val="152094639"/>
        <c:scaling>
          <c:orientation val="minMax"/>
        </c:scaling>
        <c:delete val="0"/>
        <c:axPos val="b"/>
        <c:numFmt formatCode="General" sourceLinked="1"/>
        <c:majorTickMark val="none"/>
        <c:minorTickMark val="in"/>
        <c:tickLblPos val="low"/>
        <c:spPr>
          <a:noFill/>
          <a:ln w="9525" cap="flat" cmpd="sng" algn="ctr">
            <a:solidFill>
              <a:srgbClr val="00138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43964575"/>
        <c:crossesAt val="0"/>
        <c:auto val="0"/>
        <c:lblAlgn val="ctr"/>
        <c:lblOffset val="100"/>
        <c:tickLblSkip val="1"/>
        <c:noMultiLvlLbl val="0"/>
      </c:catAx>
      <c:valAx>
        <c:axId val="143964575"/>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52094639"/>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rot="0" vert="horz"/>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191583480476992E-2"/>
          <c:y val="0.13016270337922403"/>
          <c:w val="0.90353681617242987"/>
          <c:h val="0.71621219437682926"/>
        </c:manualLayout>
      </c:layout>
      <c:lineChart>
        <c:grouping val="standard"/>
        <c:varyColors val="0"/>
        <c:ser>
          <c:idx val="0"/>
          <c:order val="0"/>
          <c:tx>
            <c:strRef>
              <c:f>Arkusz1!$B$1</c:f>
              <c:strCache>
                <c:ptCount val="1"/>
                <c:pt idx="0">
                  <c:v>Seria 1</c:v>
                </c:pt>
              </c:strCache>
            </c:strRef>
          </c:tx>
          <c:spPr>
            <a:ln w="28575" cap="rnd">
              <a:solidFill>
                <a:srgbClr val="001381"/>
              </a:solidFill>
              <a:round/>
            </a:ln>
            <a:effectLst/>
          </c:spPr>
          <c:marker>
            <c:symbol val="square"/>
            <c:size val="4"/>
            <c:spPr>
              <a:solidFill>
                <a:srgbClr val="001D77"/>
              </a:solidFill>
              <a:ln w="9525">
                <a:solidFill>
                  <a:srgbClr val="001381"/>
                </a:solidFill>
              </a:ln>
              <a:effectLst/>
            </c:spPr>
          </c:marker>
          <c:dLbls>
            <c:numFmt formatCode="#,##0.0" sourceLinked="0"/>
            <c:spPr>
              <a:noFill/>
              <a:ln>
                <a:noFill/>
              </a:ln>
              <a:effectLst/>
            </c:spPr>
            <c:txPr>
              <a:bodyPr rot="0" spcFirstLastPara="1" vertOverflow="ellipsis" vert="horz" wrap="square" anchor="ctr" anchorCtr="1"/>
              <a:lstStyle/>
              <a:p>
                <a:pPr>
                  <a:defRPr sz="7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Arkusz1!$A$38:$A$56</c:f>
              <c:strCache>
                <c:ptCount val="19"/>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strCache>
            </c:strRef>
          </c:cat>
          <c:val>
            <c:numRef>
              <c:f>Arkusz1!$B$38:$B$56</c:f>
              <c:numCache>
                <c:formatCode>0.0</c:formatCode>
                <c:ptCount val="19"/>
                <c:pt idx="0">
                  <c:v>7.8</c:v>
                </c:pt>
                <c:pt idx="1">
                  <c:v>7.5</c:v>
                </c:pt>
                <c:pt idx="2">
                  <c:v>7.3</c:v>
                </c:pt>
                <c:pt idx="3">
                  <c:v>7.1</c:v>
                </c:pt>
                <c:pt idx="4">
                  <c:v>6.6</c:v>
                </c:pt>
                <c:pt idx="5">
                  <c:v>6</c:v>
                </c:pt>
                <c:pt idx="6">
                  <c:v>5.7</c:v>
                </c:pt>
                <c:pt idx="7">
                  <c:v>5.3</c:v>
                </c:pt>
                <c:pt idx="8">
                  <c:v>5</c:v>
                </c:pt>
                <c:pt idx="9">
                  <c:v>4.9000000000000004</c:v>
                </c:pt>
                <c:pt idx="10">
                  <c:v>4.4000000000000004</c:v>
                </c:pt>
                <c:pt idx="11">
                  <c:v>3.9</c:v>
                </c:pt>
                <c:pt idx="12">
                  <c:v>3.7</c:v>
                </c:pt>
                <c:pt idx="13">
                  <c:v>3.7</c:v>
                </c:pt>
                <c:pt idx="14">
                  <c:v>3.7</c:v>
                </c:pt>
                <c:pt idx="15">
                  <c:v>3.4</c:v>
                </c:pt>
                <c:pt idx="16">
                  <c:v>3.3</c:v>
                </c:pt>
                <c:pt idx="17">
                  <c:v>3</c:v>
                </c:pt>
                <c:pt idx="18">
                  <c:v>3.2</c:v>
                </c:pt>
              </c:numCache>
            </c:numRef>
          </c:val>
          <c:smooth val="0"/>
          <c:extLst>
            <c:ext xmlns:c16="http://schemas.microsoft.com/office/drawing/2014/chart" uri="{C3380CC4-5D6E-409C-BE32-E72D297353CC}">
              <c16:uniqueId val="{00000000-A004-469C-BA3E-531991F9540B}"/>
            </c:ext>
          </c:extLst>
        </c:ser>
        <c:dLbls>
          <c:showLegendKey val="0"/>
          <c:showVal val="0"/>
          <c:showCatName val="0"/>
          <c:showSerName val="0"/>
          <c:showPercent val="0"/>
          <c:showBubbleSize val="0"/>
        </c:dLbls>
        <c:marker val="1"/>
        <c:smooth val="0"/>
        <c:axId val="143726143"/>
        <c:axId val="303851823"/>
      </c:lineChart>
      <c:catAx>
        <c:axId val="143726143"/>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303851823"/>
        <c:crosses val="autoZero"/>
        <c:auto val="1"/>
        <c:lblAlgn val="ctr"/>
        <c:lblOffset val="100"/>
        <c:tickLblSkip val="1"/>
        <c:noMultiLvlLbl val="0"/>
      </c:catAx>
      <c:valAx>
        <c:axId val="303851823"/>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4372614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chemeClr val="tx1">
              <a:lumMod val="95000"/>
              <a:lumOff val="5000"/>
            </a:schemeClr>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r>
              <a:rPr lang="pl-PL" sz="900">
                <a:solidFill>
                  <a:sysClr val="windowText" lastClr="000000"/>
                </a:solidFill>
                <a:latin typeface="Fira Sans" panose="020B0503050000020004" pitchFamily="34" charset="0"/>
                <a:ea typeface="Fira Sans" panose="020B0503050000020004" pitchFamily="34" charset="0"/>
              </a:rPr>
              <a:t>%</a:t>
            </a:r>
          </a:p>
        </c:rich>
      </c:tx>
      <c:layout>
        <c:manualLayout>
          <c:xMode val="edge"/>
          <c:yMode val="edge"/>
          <c:x val="2.439133310583368E-2"/>
          <c:y val="3.4083162917518749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6.8096071529747795E-2"/>
          <c:y val="0.10088616223585549"/>
          <c:w val="0.8505177703850848"/>
          <c:h val="0.62498734611778894"/>
        </c:manualLayout>
      </c:layout>
      <c:barChart>
        <c:barDir val="col"/>
        <c:grouping val="clustered"/>
        <c:varyColors val="0"/>
        <c:ser>
          <c:idx val="0"/>
          <c:order val="0"/>
          <c:tx>
            <c:strRef>
              <c:f>Arkusz1!$B$1</c:f>
              <c:strCache>
                <c:ptCount val="1"/>
                <c:pt idx="0">
                  <c:v>ceny produkcji budowlano-montażowej</c:v>
                </c:pt>
              </c:strCache>
            </c:strRef>
          </c:tx>
          <c:spPr>
            <a:solidFill>
              <a:srgbClr val="001D77"/>
            </a:solidFill>
            <a:ln w="12700">
              <a:solidFill>
                <a:srgbClr val="001D77"/>
              </a:solidFill>
            </a:ln>
            <a:effectLst/>
          </c:spPr>
          <c:invertIfNegative val="0"/>
          <c:dLbls>
            <c:dLbl>
              <c:idx val="18"/>
              <c:layout>
                <c:manualLayout>
                  <c:x val="8.2674772036474165E-2"/>
                  <c:y val="6.05958592829489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7E6-43CD-9A81-FDF1BCB3D2A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Arkusz1!$A$2:$A$20</c:f>
              <c:strCache>
                <c:ptCount val="19"/>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strCache>
            </c:strRef>
          </c:cat>
          <c:val>
            <c:numRef>
              <c:f>Arkusz1!$B$2:$B$20</c:f>
              <c:numCache>
                <c:formatCode>0.0</c:formatCode>
                <c:ptCount val="19"/>
                <c:pt idx="0">
                  <c:v>0.5</c:v>
                </c:pt>
                <c:pt idx="1">
                  <c:v>0.8</c:v>
                </c:pt>
                <c:pt idx="2">
                  <c:v>1.2</c:v>
                </c:pt>
                <c:pt idx="3">
                  <c:v>1.7</c:v>
                </c:pt>
                <c:pt idx="4">
                  <c:v>2.1</c:v>
                </c:pt>
                <c:pt idx="5">
                  <c:v>2.4</c:v>
                </c:pt>
                <c:pt idx="6">
                  <c:v>2.8</c:v>
                </c:pt>
                <c:pt idx="7">
                  <c:v>3.1</c:v>
                </c:pt>
                <c:pt idx="8">
                  <c:v>3.4</c:v>
                </c:pt>
                <c:pt idx="9">
                  <c:v>3.8</c:v>
                </c:pt>
                <c:pt idx="10" formatCode="General">
                  <c:v>3.8</c:v>
                </c:pt>
                <c:pt idx="11">
                  <c:v>3.9</c:v>
                </c:pt>
                <c:pt idx="12">
                  <c:v>4</c:v>
                </c:pt>
                <c:pt idx="13">
                  <c:v>4.2</c:v>
                </c:pt>
                <c:pt idx="14">
                  <c:v>4.7</c:v>
                </c:pt>
                <c:pt idx="15" formatCode="General">
                  <c:v>4.9000000000000004</c:v>
                </c:pt>
                <c:pt idx="16" formatCode="General">
                  <c:v>5.2</c:v>
                </c:pt>
                <c:pt idx="17" formatCode="General">
                  <c:v>5.3</c:v>
                </c:pt>
                <c:pt idx="18" formatCode="General">
                  <c:v>5.8</c:v>
                </c:pt>
              </c:numCache>
            </c:numRef>
          </c:val>
          <c:extLst>
            <c:ext xmlns:c16="http://schemas.microsoft.com/office/drawing/2014/chart" uri="{C3380CC4-5D6E-409C-BE32-E72D297353CC}">
              <c16:uniqueId val="{00000000-82FF-4218-8881-FE15B2CAF69E}"/>
            </c:ext>
          </c:extLst>
        </c:ser>
        <c:dLbls>
          <c:showLegendKey val="0"/>
          <c:showVal val="0"/>
          <c:showCatName val="0"/>
          <c:showSerName val="0"/>
          <c:showPercent val="0"/>
          <c:showBubbleSize val="0"/>
        </c:dLbls>
        <c:gapWidth val="150"/>
        <c:axId val="1903601247"/>
        <c:axId val="1670812303"/>
      </c:barChart>
      <c:lineChart>
        <c:grouping val="standard"/>
        <c:varyColors val="0"/>
        <c:ser>
          <c:idx val="1"/>
          <c:order val="1"/>
          <c:tx>
            <c:strRef>
              <c:f>Arkusz1!$C$1</c:f>
              <c:strCache>
                <c:ptCount val="1"/>
                <c:pt idx="0">
                  <c:v>budowa budynków</c:v>
                </c:pt>
              </c:strCache>
            </c:strRef>
          </c:tx>
          <c:spPr>
            <a:ln w="25400" cap="rnd">
              <a:solidFill>
                <a:srgbClr val="99CEB3"/>
              </a:solidFill>
              <a:round/>
            </a:ln>
            <a:effectLst/>
          </c:spPr>
          <c:marker>
            <c:symbol val="none"/>
          </c:marker>
          <c:dLbls>
            <c:dLbl>
              <c:idx val="18"/>
              <c:layout>
                <c:manualLayout>
                  <c:x val="4.8632218844984802E-2"/>
                  <c:y val="6.73287325366099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7E6-43CD-9A81-FDF1BCB3D2A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Arkusz1!$A$2:$A$20</c:f>
              <c:strCache>
                <c:ptCount val="19"/>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strCache>
            </c:strRef>
          </c:cat>
          <c:val>
            <c:numRef>
              <c:f>Arkusz1!$C$2:$C$20</c:f>
              <c:numCache>
                <c:formatCode>0.0</c:formatCode>
                <c:ptCount val="19"/>
                <c:pt idx="0">
                  <c:v>0.5</c:v>
                </c:pt>
                <c:pt idx="1">
                  <c:v>0.7</c:v>
                </c:pt>
                <c:pt idx="2">
                  <c:v>1.1000000000000001</c:v>
                </c:pt>
                <c:pt idx="3">
                  <c:v>1.5</c:v>
                </c:pt>
                <c:pt idx="4">
                  <c:v>1.9</c:v>
                </c:pt>
                <c:pt idx="5">
                  <c:v>2.2000000000000002</c:v>
                </c:pt>
                <c:pt idx="6">
                  <c:v>2.6</c:v>
                </c:pt>
                <c:pt idx="7">
                  <c:v>2.9</c:v>
                </c:pt>
                <c:pt idx="8">
                  <c:v>3.3</c:v>
                </c:pt>
                <c:pt idx="9">
                  <c:v>3.7</c:v>
                </c:pt>
                <c:pt idx="10" formatCode="General">
                  <c:v>3.7</c:v>
                </c:pt>
                <c:pt idx="11">
                  <c:v>3.8</c:v>
                </c:pt>
                <c:pt idx="12">
                  <c:v>3.9</c:v>
                </c:pt>
                <c:pt idx="13">
                  <c:v>4.0999999999999996</c:v>
                </c:pt>
                <c:pt idx="14">
                  <c:v>4.5999999999999996</c:v>
                </c:pt>
                <c:pt idx="15" formatCode="General">
                  <c:v>4.8</c:v>
                </c:pt>
                <c:pt idx="16" formatCode="General">
                  <c:v>5.0999999999999996</c:v>
                </c:pt>
                <c:pt idx="17" formatCode="General">
                  <c:v>5.2</c:v>
                </c:pt>
                <c:pt idx="18" formatCode="General">
                  <c:v>5.6</c:v>
                </c:pt>
              </c:numCache>
            </c:numRef>
          </c:val>
          <c:smooth val="0"/>
          <c:extLst>
            <c:ext xmlns:c16="http://schemas.microsoft.com/office/drawing/2014/chart" uri="{C3380CC4-5D6E-409C-BE32-E72D297353CC}">
              <c16:uniqueId val="{00000001-82FF-4218-8881-FE15B2CAF69E}"/>
            </c:ext>
          </c:extLst>
        </c:ser>
        <c:ser>
          <c:idx val="2"/>
          <c:order val="2"/>
          <c:tx>
            <c:strRef>
              <c:f>Arkusz1!$D$1</c:f>
              <c:strCache>
                <c:ptCount val="1"/>
                <c:pt idx="0">
                  <c:v>budowa obiektów inżynierii lądowej i wodnej</c:v>
                </c:pt>
              </c:strCache>
            </c:strRef>
          </c:tx>
          <c:spPr>
            <a:ln w="25400" cap="rnd">
              <a:solidFill>
                <a:srgbClr val="99A5C9"/>
              </a:solidFill>
              <a:round/>
            </a:ln>
            <a:effectLst/>
          </c:spPr>
          <c:marker>
            <c:symbol val="none"/>
          </c:marker>
          <c:dLbls>
            <c:dLbl>
              <c:idx val="18"/>
              <c:layout>
                <c:manualLayout>
                  <c:x val="4.8632218844984802E-2"/>
                  <c:y val="-4.37636761487965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7E6-43CD-9A81-FDF1BCB3D2A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Arkusz1!$A$2:$A$20</c:f>
              <c:strCache>
                <c:ptCount val="19"/>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strCache>
            </c:strRef>
          </c:cat>
          <c:val>
            <c:numRef>
              <c:f>Arkusz1!$D$2:$D$20</c:f>
              <c:numCache>
                <c:formatCode>0.0</c:formatCode>
                <c:ptCount val="19"/>
                <c:pt idx="0">
                  <c:v>0.6</c:v>
                </c:pt>
                <c:pt idx="1">
                  <c:v>1</c:v>
                </c:pt>
                <c:pt idx="2">
                  <c:v>1.4</c:v>
                </c:pt>
                <c:pt idx="3">
                  <c:v>1.9</c:v>
                </c:pt>
                <c:pt idx="4">
                  <c:v>2.2999999999999998</c:v>
                </c:pt>
                <c:pt idx="5">
                  <c:v>2.6</c:v>
                </c:pt>
                <c:pt idx="6">
                  <c:v>3</c:v>
                </c:pt>
                <c:pt idx="7">
                  <c:v>3.3</c:v>
                </c:pt>
                <c:pt idx="8">
                  <c:v>3.7</c:v>
                </c:pt>
                <c:pt idx="9">
                  <c:v>4.0999999999999996</c:v>
                </c:pt>
                <c:pt idx="10" formatCode="General">
                  <c:v>4.0999999999999996</c:v>
                </c:pt>
                <c:pt idx="11">
                  <c:v>4.2</c:v>
                </c:pt>
                <c:pt idx="12">
                  <c:v>4.4000000000000004</c:v>
                </c:pt>
                <c:pt idx="13">
                  <c:v>4.5999999999999996</c:v>
                </c:pt>
                <c:pt idx="14">
                  <c:v>5</c:v>
                </c:pt>
                <c:pt idx="15" formatCode="General">
                  <c:v>5.3</c:v>
                </c:pt>
                <c:pt idx="16" formatCode="General">
                  <c:v>5.6</c:v>
                </c:pt>
                <c:pt idx="17" formatCode="General">
                  <c:v>5.7</c:v>
                </c:pt>
                <c:pt idx="18" formatCode="General">
                  <c:v>6.3</c:v>
                </c:pt>
              </c:numCache>
            </c:numRef>
          </c:val>
          <c:smooth val="0"/>
          <c:extLst>
            <c:ext xmlns:c16="http://schemas.microsoft.com/office/drawing/2014/chart" uri="{C3380CC4-5D6E-409C-BE32-E72D297353CC}">
              <c16:uniqueId val="{00000002-82FF-4218-8881-FE15B2CAF69E}"/>
            </c:ext>
          </c:extLst>
        </c:ser>
        <c:ser>
          <c:idx val="3"/>
          <c:order val="3"/>
          <c:tx>
            <c:strRef>
              <c:f>Arkusz1!$E$1</c:f>
              <c:strCache>
                <c:ptCount val="1"/>
                <c:pt idx="0">
                  <c:v>roboty budowlane specjalistyczne</c:v>
                </c:pt>
              </c:strCache>
            </c:strRef>
          </c:tx>
          <c:spPr>
            <a:ln w="25400" cap="rnd">
              <a:solidFill>
                <a:srgbClr val="008542"/>
              </a:solidFill>
              <a:round/>
            </a:ln>
            <a:effectLst/>
          </c:spPr>
          <c:marker>
            <c:symbol val="none"/>
          </c:marker>
          <c:dLbls>
            <c:dLbl>
              <c:idx val="18"/>
              <c:layout>
                <c:manualLayout>
                  <c:x val="4.8632218844984802E-2"/>
                  <c:y val="-3.02979296414745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AED-4F50-B2FF-EEE6E4909E8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Arkusz1!$A$2:$A$20</c:f>
              <c:strCache>
                <c:ptCount val="19"/>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strCache>
            </c:strRef>
          </c:cat>
          <c:val>
            <c:numRef>
              <c:f>Arkusz1!$E$2:$E$20</c:f>
              <c:numCache>
                <c:formatCode>0.0</c:formatCode>
                <c:ptCount val="19"/>
                <c:pt idx="0">
                  <c:v>0.5</c:v>
                </c:pt>
                <c:pt idx="1">
                  <c:v>0.8</c:v>
                </c:pt>
                <c:pt idx="2">
                  <c:v>1.2</c:v>
                </c:pt>
                <c:pt idx="3">
                  <c:v>1.7</c:v>
                </c:pt>
                <c:pt idx="4">
                  <c:v>2.1</c:v>
                </c:pt>
                <c:pt idx="5">
                  <c:v>2.5</c:v>
                </c:pt>
                <c:pt idx="6">
                  <c:v>2.9</c:v>
                </c:pt>
                <c:pt idx="7">
                  <c:v>3.3</c:v>
                </c:pt>
                <c:pt idx="8">
                  <c:v>3.6</c:v>
                </c:pt>
                <c:pt idx="9">
                  <c:v>4</c:v>
                </c:pt>
                <c:pt idx="10" formatCode="General">
                  <c:v>4</c:v>
                </c:pt>
                <c:pt idx="11">
                  <c:v>4.0999999999999996</c:v>
                </c:pt>
                <c:pt idx="12">
                  <c:v>4.2</c:v>
                </c:pt>
                <c:pt idx="13">
                  <c:v>4.4000000000000004</c:v>
                </c:pt>
                <c:pt idx="14">
                  <c:v>4.8</c:v>
                </c:pt>
                <c:pt idx="15">
                  <c:v>5</c:v>
                </c:pt>
                <c:pt idx="16" formatCode="General">
                  <c:v>5.2</c:v>
                </c:pt>
                <c:pt idx="17" formatCode="General">
                  <c:v>5.3</c:v>
                </c:pt>
                <c:pt idx="18" formatCode="General">
                  <c:v>5.9</c:v>
                </c:pt>
              </c:numCache>
            </c:numRef>
          </c:val>
          <c:smooth val="0"/>
          <c:extLst>
            <c:ext xmlns:c16="http://schemas.microsoft.com/office/drawing/2014/chart" uri="{C3380CC4-5D6E-409C-BE32-E72D297353CC}">
              <c16:uniqueId val="{00000003-82FF-4218-8881-FE15B2CAF69E}"/>
            </c:ext>
          </c:extLst>
        </c:ser>
        <c:dLbls>
          <c:showLegendKey val="0"/>
          <c:showVal val="0"/>
          <c:showCatName val="0"/>
          <c:showSerName val="0"/>
          <c:showPercent val="0"/>
          <c:showBubbleSize val="0"/>
        </c:dLbls>
        <c:marker val="1"/>
        <c:smooth val="0"/>
        <c:axId val="1757124863"/>
        <c:axId val="1596053455"/>
      </c:lineChart>
      <c:catAx>
        <c:axId val="1757124863"/>
        <c:scaling>
          <c:orientation val="minMax"/>
        </c:scaling>
        <c:delete val="0"/>
        <c:axPos val="b"/>
        <c:numFmt formatCode="General" sourceLinked="1"/>
        <c:majorTickMark val="in"/>
        <c:minorTickMark val="in"/>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596053455"/>
        <c:crosses val="autoZero"/>
        <c:auto val="1"/>
        <c:lblAlgn val="ctr"/>
        <c:lblOffset val="100"/>
        <c:tickLblSkip val="1"/>
        <c:noMultiLvlLbl val="0"/>
      </c:catAx>
      <c:valAx>
        <c:axId val="1596053455"/>
        <c:scaling>
          <c:orientation val="minMax"/>
          <c:max val="7"/>
        </c:scaling>
        <c:delete val="0"/>
        <c:axPos val="l"/>
        <c:majorGridlines>
          <c:spPr>
            <a:ln w="9525" cap="flat" cmpd="sng" algn="ctr">
              <a:solidFill>
                <a:srgbClr val="D9D9D9"/>
              </a:solidFill>
              <a:round/>
            </a:ln>
            <a:effectLst/>
          </c:spPr>
        </c:majorGridlines>
        <c:numFmt formatCode="0.0" sourceLinked="1"/>
        <c:majorTickMark val="out"/>
        <c:minorTickMark val="none"/>
        <c:tickLblPos val="nextTo"/>
        <c:spPr>
          <a:noFill/>
          <a:ln>
            <a:solidFill>
              <a:srgbClr val="99CEB3">
                <a:alpha val="97000"/>
              </a:srgbClr>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757124863"/>
        <c:crossesAt val="1"/>
        <c:crossBetween val="between"/>
        <c:majorUnit val="1"/>
      </c:valAx>
      <c:valAx>
        <c:axId val="1670812303"/>
        <c:scaling>
          <c:orientation val="minMax"/>
        </c:scaling>
        <c:delete val="1"/>
        <c:axPos val="r"/>
        <c:numFmt formatCode="0.0" sourceLinked="1"/>
        <c:majorTickMark val="out"/>
        <c:minorTickMark val="none"/>
        <c:tickLblPos val="nextTo"/>
        <c:crossAx val="1903601247"/>
        <c:crosses val="max"/>
        <c:crossBetween val="between"/>
      </c:valAx>
      <c:catAx>
        <c:axId val="1903601247"/>
        <c:scaling>
          <c:orientation val="minMax"/>
        </c:scaling>
        <c:delete val="1"/>
        <c:axPos val="b"/>
        <c:numFmt formatCode="General" sourceLinked="1"/>
        <c:majorTickMark val="out"/>
        <c:minorTickMark val="none"/>
        <c:tickLblPos val="nextTo"/>
        <c:crossAx val="1670812303"/>
        <c:crosses val="autoZero"/>
        <c:auto val="1"/>
        <c:lblAlgn val="ctr"/>
        <c:lblOffset val="100"/>
        <c:noMultiLvlLbl val="0"/>
      </c:catAx>
      <c:spPr>
        <a:noFill/>
        <a:ln>
          <a:noFill/>
        </a:ln>
        <a:effectLst/>
      </c:spPr>
    </c:plotArea>
    <c:legend>
      <c:legendPos val="b"/>
      <c:layout>
        <c:manualLayout>
          <c:xMode val="edge"/>
          <c:yMode val="edge"/>
          <c:x val="4.2735083646459085E-4"/>
          <c:y val="0.81231718194794744"/>
          <c:w val="0.99709832619237204"/>
          <c:h val="0.16585956127643614"/>
        </c:manualLayout>
      </c:layout>
      <c:overlay val="0"/>
      <c:spPr>
        <a:noFill/>
        <a:ln w="0">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Wskaźniki cen produkcji budowlano-montażowej w sierpniu 2024.docx.docx</NazwaPliku>
    <Odbiorcy2 xmlns="1E9983FF-DC4B-4F4E-A072-0441E2B88E6D" xsi:nil="true"/>
    <Osoba xmlns="1E9983FF-DC4B-4F4E-A072-0441E2B88E6D">STAT\MALMYSZKOI</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2.xml><?xml version="1.0" encoding="utf-8"?>
<ds:datastoreItem xmlns:ds="http://schemas.openxmlformats.org/officeDocument/2006/customXml" ds:itemID="{5001E409-2D59-4C77-967B-9768BAC9F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8181AD-0F73-4203-A0DA-46D4E6BD3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478</Words>
  <Characters>2868</Characters>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2025-08-19T05:37:00Z</cp:lastPrinted>
  <dcterms:created xsi:type="dcterms:W3CDTF">2025-08-19T06:24:00Z</dcterms:created>
  <dcterms:modified xsi:type="dcterms:W3CDTF">2025-08-20T07:34:00Z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