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0289A" w:rsidR="00393761" w:rsidP="00F07B6F" w:rsidRDefault="00DD5C23" w14:paraId="2D0A545D" w14:textId="7168E857">
      <w:pPr>
        <w:pStyle w:val="Tytuinfomacjisygnalnej"/>
        <w:spacing w:after="480"/>
      </w:pPr>
      <w:r w:rsidRPr="00660878">
        <w:rPr>
          <w:color w:val="auto"/>
        </w:rPr>
        <w:t>Budownictwo mieszkaniowe</w:t>
      </w:r>
      <w:r w:rsidRPr="00660878" w:rsidR="00354E9A">
        <w:rPr>
          <w:rStyle w:val="Odwoanieprzypisudolnego"/>
          <w:color w:val="auto"/>
        </w:rPr>
        <w:footnoteReference w:id="1"/>
      </w:r>
      <w:r w:rsidRPr="00660878">
        <w:rPr>
          <w:color w:val="auto"/>
        </w:rPr>
        <w:t xml:space="preserve"> w </w:t>
      </w:r>
      <w:r w:rsidRPr="00660878" w:rsidR="006B6D1D">
        <w:rPr>
          <w:color w:val="auto"/>
        </w:rPr>
        <w:t>okresie stycz</w:t>
      </w:r>
      <w:bookmarkStart w:name="_GoBack" w:id="0"/>
      <w:bookmarkEnd w:id="0"/>
      <w:r w:rsidRPr="00660878" w:rsidR="006B6D1D">
        <w:rPr>
          <w:color w:val="auto"/>
        </w:rPr>
        <w:t>eń</w:t>
      </w:r>
      <w:r w:rsidRPr="00660878" w:rsidR="00A50DB8">
        <w:rPr>
          <w:color w:val="auto"/>
        </w:rPr>
        <w:t>–</w:t>
      </w:r>
      <w:r w:rsidRPr="00660878" w:rsidR="00447C3C">
        <w:rPr>
          <w:color w:val="auto"/>
        </w:rPr>
        <w:t>sierpień</w:t>
      </w:r>
      <w:r w:rsidRPr="00660878" w:rsidR="00944EA3">
        <w:rPr>
          <w:color w:val="auto"/>
        </w:rPr>
        <w:t xml:space="preserve"> 202</w:t>
      </w:r>
      <w:r w:rsidRPr="00660878" w:rsidR="00BF2B63">
        <w:rPr>
          <w:color w:val="auto"/>
        </w:rPr>
        <w:t>5</w:t>
      </w:r>
      <w:r w:rsidRPr="00660878">
        <w:rPr>
          <w:color w:val="auto"/>
        </w:rPr>
        <w:t xml:space="preserve"> r.</w:t>
      </w:r>
      <w:r w:rsidRPr="0070289A" w:rsidR="00364AF9">
        <w:rPr>
          <w:sz w:val="32"/>
        </w:rPr>
        <w:tab/>
      </w:r>
    </w:p>
    <w:p w:rsidRPr="004C304C" w:rsidR="00DE58F1" w:rsidP="00D66016" w:rsidRDefault="00A01F4A" w14:paraId="0053349A" w14:textId="28721249">
      <w:pPr>
        <w:pStyle w:val="Lead"/>
        <w:spacing w:before="240"/>
      </w:pPr>
      <w:r w:rsidRPr="00FB3498">
        <w:rPr>
          <w:color w:val="00B050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22EA480B" wp14:anchorId="781C2554">
                <wp:simplePos x="0" y="0"/>
                <wp:positionH relativeFrom="margin">
                  <wp:posOffset>0</wp:posOffset>
                </wp:positionH>
                <wp:positionV relativeFrom="paragraph">
                  <wp:posOffset>201930</wp:posOffset>
                </wp:positionV>
                <wp:extent cx="2204085" cy="1345565"/>
                <wp:effectExtent l="0" t="0" r="5715" b="6985"/>
                <wp:wrapSquare wrapText="bothSides"/>
                <wp:docPr id="6" name="Pole tekstowe 2" descr="Spadek liczby mieszkań oddanych do użytkowania w porównaniu z analogicznym okresem ubiegłego roku o 3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455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2405BE" w:rsidP="00CE2AFA" w:rsidRDefault="002405BE" w14:paraId="6B6EB625" w14:textId="15E05AED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>
                              <w:t xml:space="preserve"> </w:t>
                            </w:r>
                            <w:r w:rsidRPr="00660878" w:rsidR="00E73B86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3</w:t>
                            </w:r>
                            <w:r w:rsidRPr="00660878" w:rsidR="00BF2B63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,</w:t>
                            </w:r>
                            <w:r w:rsidRPr="00660878" w:rsidR="00447C3C">
                              <w:rPr>
                                <w:rStyle w:val="WartowskanikaZnak"/>
                                <w:color w:val="auto"/>
                                <w:sz w:val="60"/>
                                <w:szCs w:val="60"/>
                              </w:rPr>
                              <w:t>1</w:t>
                            </w:r>
                            <w:r w:rsidRPr="00BF2B63" w:rsidR="00BF2B63">
                              <w:rPr>
                                <w:rStyle w:val="WartowskanikaZnak"/>
                                <w:sz w:val="60"/>
                                <w:szCs w:val="60"/>
                              </w:rPr>
                              <w:t>%</w:t>
                            </w:r>
                          </w:p>
                          <w:p w:rsidRPr="007D605C" w:rsidR="002405BE" w:rsidP="00354E9A" w:rsidRDefault="00BF2B63" w14:paraId="114E94AB" w14:textId="6CA1AB4E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Pr="00354E9A" w:rsidR="002405BE">
                              <w:t xml:space="preserve"> liczby mieszkań</w:t>
                            </w:r>
                            <w:r w:rsidR="002405BE">
                              <w:br/>
                            </w:r>
                            <w:r w:rsidRPr="00354E9A" w:rsidR="002405BE">
                              <w:t>oddanych do użytkowania</w:t>
                            </w:r>
                            <w:r w:rsidR="00A01F4A">
                              <w:t xml:space="preserve"> w porównaniu z analogicznym okresem ub</w:t>
                            </w:r>
                            <w:r w:rsidR="00D36316">
                              <w:t>iegłego</w:t>
                            </w:r>
                            <w:r w:rsidR="00A01F4A">
                              <w:t xml:space="preserve">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5.9pt;width:173.55pt;height:105.9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Spadek liczby mieszkań oddanych do użytkowania w porównaniu z analogicznym okresem ubiegłego roku o 3,1%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" arcsize="10923f" w14:anchorId="781C2554">
                <v:stroke joinstyle="miter"/>
                <v:textbox>
                  <w:txbxContent>
                    <w:p w:rsidRPr="007D605C" w:rsidR="002405BE" w:rsidP="00CE2AFA" w:rsidRDefault="002405BE" w14:paraId="6B6EB625" w14:textId="15E05AED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>
                        <w:t xml:space="preserve"> </w:t>
                      </w:r>
                      <w:r w:rsidRPr="00660878" w:rsidR="00E73B86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3</w:t>
                      </w:r>
                      <w:r w:rsidRPr="00660878" w:rsidR="00BF2B63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,</w:t>
                      </w:r>
                      <w:r w:rsidRPr="00660878" w:rsidR="00447C3C">
                        <w:rPr>
                          <w:rStyle w:val="WartowskanikaZnak"/>
                          <w:color w:val="auto"/>
                          <w:sz w:val="60"/>
                          <w:szCs w:val="60"/>
                        </w:rPr>
                        <w:t>1</w:t>
                      </w:r>
                      <w:r w:rsidRPr="00BF2B63" w:rsidR="00BF2B63">
                        <w:rPr>
                          <w:rStyle w:val="WartowskanikaZnak"/>
                          <w:sz w:val="60"/>
                          <w:szCs w:val="60"/>
                        </w:rPr>
                        <w:t>%</w:t>
                      </w:r>
                    </w:p>
                    <w:p w:rsidRPr="007D605C" w:rsidR="002405BE" w:rsidP="00354E9A" w:rsidRDefault="00BF2B63" w14:paraId="114E94AB" w14:textId="6CA1AB4E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Pr="00354E9A" w:rsidR="002405BE">
                        <w:t xml:space="preserve"> liczby mieszkań</w:t>
                      </w:r>
                      <w:r w:rsidR="002405BE">
                        <w:br/>
                      </w:r>
                      <w:r w:rsidRPr="00354E9A" w:rsidR="002405BE">
                        <w:t>oddanych do użytkowania</w:t>
                      </w:r>
                      <w:r w:rsidR="00A01F4A">
                        <w:t xml:space="preserve"> w porównaniu z analogicznym okresem ub</w:t>
                      </w:r>
                      <w:r w:rsidR="00D36316">
                        <w:t>iegłego</w:t>
                      </w:r>
                      <w:r w:rsidR="00A01F4A">
                        <w:t xml:space="preserve">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FB3498" w:rsidR="00074DD8">
        <w:rPr>
          <w:color w:val="00B050"/>
        </w:rPr>
        <w:t xml:space="preserve"> </w:t>
      </w:r>
      <w:r w:rsidRPr="00FB3498" w:rsidR="00A90A6D">
        <w:rPr>
          <w:color w:val="00B050"/>
        </w:rPr>
        <w:br/>
      </w:r>
      <w:r w:rsidRPr="004C304C" w:rsidR="00BF2B63">
        <w:t>W</w:t>
      </w:r>
      <w:r w:rsidRPr="004C304C" w:rsidR="00447B2D">
        <w:t xml:space="preserve"> </w:t>
      </w:r>
      <w:r w:rsidRPr="004C304C" w:rsidR="00C4324B">
        <w:t>okresie styczeń</w:t>
      </w:r>
      <w:r w:rsidRPr="00660878" w:rsidR="00C4324B">
        <w:t>-</w:t>
      </w:r>
      <w:r w:rsidRPr="00660878" w:rsidR="00447C3C">
        <w:t>sierpień</w:t>
      </w:r>
      <w:r w:rsidRPr="00660878" w:rsidR="00447B2D">
        <w:t xml:space="preserve"> </w:t>
      </w:r>
      <w:r w:rsidRPr="00660878" w:rsidR="00D66016">
        <w:t xml:space="preserve">2025 </w:t>
      </w:r>
      <w:r w:rsidRPr="00660878" w:rsidR="00152B7B">
        <w:t xml:space="preserve">r. oddano do użytkowania o </w:t>
      </w:r>
      <w:r w:rsidRPr="00660878" w:rsidR="00E73B86">
        <w:t>3</w:t>
      </w:r>
      <w:r w:rsidRPr="00660878" w:rsidR="00152B7B">
        <w:t>,</w:t>
      </w:r>
      <w:r w:rsidRPr="00660878" w:rsidR="00447C3C">
        <w:t>1</w:t>
      </w:r>
      <w:r w:rsidRPr="00660878" w:rsidR="00152B7B">
        <w:t>% mniej mieszkań niż w</w:t>
      </w:r>
      <w:r w:rsidRPr="00660878" w:rsidR="005E644D">
        <w:t> </w:t>
      </w:r>
      <w:r w:rsidRPr="00660878" w:rsidR="00152B7B">
        <w:t>analogicznym okresie ub</w:t>
      </w:r>
      <w:r w:rsidRPr="00660878" w:rsidR="00DC4C9C">
        <w:t>iegłego</w:t>
      </w:r>
      <w:r w:rsidRPr="00660878" w:rsidR="00152B7B">
        <w:t xml:space="preserve"> </w:t>
      </w:r>
      <w:r w:rsidRPr="00660878" w:rsidR="00D66016">
        <w:t xml:space="preserve">roku. </w:t>
      </w:r>
      <w:r w:rsidRPr="00660878" w:rsidR="00152B7B">
        <w:t xml:space="preserve">Spadła </w:t>
      </w:r>
      <w:r w:rsidRPr="00660878" w:rsidR="00BF2B63">
        <w:t xml:space="preserve">również </w:t>
      </w:r>
      <w:r w:rsidRPr="00660878" w:rsidR="00C07A5D">
        <w:t>l</w:t>
      </w:r>
      <w:r w:rsidRPr="00660878" w:rsidR="00BF2B63">
        <w:t>iczb</w:t>
      </w:r>
      <w:r w:rsidRPr="00660878" w:rsidR="00152B7B">
        <w:t xml:space="preserve">a </w:t>
      </w:r>
      <w:r w:rsidRPr="00660878" w:rsidR="00BF2B63">
        <w:t>mieszkań, na których budowę wydano pozwolenia lub dokonano zgłoszenia z</w:t>
      </w:r>
      <w:r w:rsidRPr="00660878" w:rsidR="00DC4C9C">
        <w:t> </w:t>
      </w:r>
      <w:r w:rsidRPr="00660878" w:rsidR="00BF2B63">
        <w:t xml:space="preserve">projektem budowlanym </w:t>
      </w:r>
      <w:r w:rsidRPr="00660878" w:rsidR="00C07A5D">
        <w:t>(o </w:t>
      </w:r>
      <w:r w:rsidRPr="00660878" w:rsidR="00C4324B">
        <w:t>1</w:t>
      </w:r>
      <w:r w:rsidRPr="00660878" w:rsidR="00447C3C">
        <w:t>5</w:t>
      </w:r>
      <w:r w:rsidRPr="00660878" w:rsidR="00C4324B">
        <w:t>,</w:t>
      </w:r>
      <w:r w:rsidRPr="00660878" w:rsidR="00447C3C">
        <w:t>1</w:t>
      </w:r>
      <w:r w:rsidRPr="00660878" w:rsidR="00C07A5D">
        <w:t xml:space="preserve">%) </w:t>
      </w:r>
      <w:r w:rsidRPr="00660878" w:rsidR="00BF2B63">
        <w:t xml:space="preserve">oraz </w:t>
      </w:r>
      <w:r w:rsidRPr="00660878" w:rsidR="00152B7B">
        <w:t xml:space="preserve">liczba </w:t>
      </w:r>
      <w:r w:rsidRPr="00660878" w:rsidR="00BF2B63">
        <w:t>mieszkań, których budowę rozpoczęto</w:t>
      </w:r>
      <w:r w:rsidRPr="00660878" w:rsidR="00C07A5D">
        <w:t xml:space="preserve"> (o </w:t>
      </w:r>
      <w:r w:rsidRPr="00660878" w:rsidR="00447C3C">
        <w:t>9</w:t>
      </w:r>
      <w:r w:rsidRPr="00660878" w:rsidR="00C4324B">
        <w:t>,</w:t>
      </w:r>
      <w:r w:rsidRPr="00660878" w:rsidR="00447C3C">
        <w:t>7</w:t>
      </w:r>
      <w:r w:rsidRPr="00660878" w:rsidR="00C07A5D">
        <w:t>%)</w:t>
      </w:r>
      <w:r w:rsidRPr="00660878" w:rsidR="00354E9A">
        <w:t>.</w:t>
      </w:r>
      <w:r w:rsidRPr="00660878" w:rsidR="00DE6B58">
        <w:t xml:space="preserve"> </w:t>
      </w:r>
    </w:p>
    <w:p w:rsidR="000A7D9F" w:rsidP="00E95B8E" w:rsidRDefault="000A7D9F" w14:paraId="6F0D8139" w14:textId="77777777">
      <w:pPr>
        <w:pStyle w:val="Nagwek1"/>
        <w:rPr>
          <w:rFonts w:ascii="Fira Sans" w:hAnsi="Fira Sans"/>
          <w:b/>
          <w:szCs w:val="19"/>
        </w:rPr>
      </w:pPr>
    </w:p>
    <w:p w:rsidR="00E95B8E" w:rsidP="00E95B8E" w:rsidRDefault="000647A9" w14:paraId="1315AFFF" w14:textId="32E2FDBD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5AB198B0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 użytkowania odpowiednio: 62,4% i 34,6% ogólnej liczby mieszkań&#10;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2405BE" w:rsidP="005F45EE" w:rsidRDefault="002405BE" w14:paraId="2DF09EE9" w14:textId="495C998A">
                            <w:pPr>
                              <w:pStyle w:val="tekstzboku"/>
                            </w:pPr>
                            <w:r w:rsidRPr="004D663A">
                              <w:t>Deweloperzy i inwestorzy</w:t>
                            </w:r>
                            <w:r w:rsidRPr="004D663A">
                              <w:br/>
                              <w:t>indywidualni oddali do</w:t>
                            </w:r>
                            <w:r w:rsidRPr="004D663A">
                              <w:br/>
                              <w:t xml:space="preserve">użytkowania odpowiednio: </w:t>
                            </w:r>
                            <w:r w:rsidRPr="00F42162">
                              <w:t>6</w:t>
                            </w:r>
                            <w:r w:rsidRPr="00F42162" w:rsidR="00B35B89">
                              <w:t>2</w:t>
                            </w:r>
                            <w:r w:rsidRPr="00F42162">
                              <w:t>,</w:t>
                            </w:r>
                            <w:r w:rsidRPr="00F42162" w:rsidR="00136263">
                              <w:t>4</w:t>
                            </w:r>
                            <w:r w:rsidRPr="00F42162">
                              <w:t>% i 3</w:t>
                            </w:r>
                            <w:r w:rsidRPr="00F42162" w:rsidR="00B35B89">
                              <w:t>4</w:t>
                            </w:r>
                            <w:r w:rsidRPr="00F42162">
                              <w:t>,</w:t>
                            </w:r>
                            <w:r w:rsidRPr="00F42162" w:rsidR="00136263">
                              <w:t>6</w:t>
                            </w:r>
                            <w:r w:rsidRPr="00F42162">
                              <w:t xml:space="preserve">% </w:t>
                            </w:r>
                            <w:r w:rsidRPr="004D663A">
                              <w:t>ogólnej</w:t>
                            </w:r>
                            <w:r w:rsidRPr="004C304C">
                              <w:t xml:space="preserve"> </w:t>
                            </w:r>
                            <w:r w:rsidRPr="000B31B4">
                              <w:t xml:space="preserve">liczby </w:t>
                            </w:r>
                            <w:r w:rsidRPr="000B31B4">
                              <w:br/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 użytkowania odpowiednio: 62,4% i 34,6% ogólnej liczby mieszkań&#10;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">
                <v:textbox>
                  <w:txbxContent>
                    <w:p w:rsidRPr="000B31B4" w:rsidR="002405BE" w:rsidP="005F45EE" w:rsidRDefault="002405BE" w14:paraId="2DF09EE9" w14:textId="495C998A">
                      <w:pPr>
                        <w:pStyle w:val="tekstzboku"/>
                      </w:pPr>
                      <w:r w:rsidRPr="004D663A">
                        <w:t>Deweloperzy i inwestorzy</w:t>
                      </w:r>
                      <w:r w:rsidRPr="004D663A">
                        <w:br/>
                        <w:t>indywidualni oddali do</w:t>
                      </w:r>
                      <w:r w:rsidRPr="004D663A">
                        <w:br/>
                        <w:t xml:space="preserve">użytkowania odpowiednio: </w:t>
                      </w:r>
                      <w:r w:rsidRPr="00F42162">
                        <w:t>6</w:t>
                      </w:r>
                      <w:r w:rsidRPr="00F42162" w:rsidR="00B35B89">
                        <w:t>2</w:t>
                      </w:r>
                      <w:r w:rsidRPr="00F42162">
                        <w:t>,</w:t>
                      </w:r>
                      <w:r w:rsidRPr="00F42162" w:rsidR="00136263">
                        <w:t>4</w:t>
                      </w:r>
                      <w:r w:rsidRPr="00F42162">
                        <w:t>% i 3</w:t>
                      </w:r>
                      <w:r w:rsidRPr="00F42162" w:rsidR="00B35B89">
                        <w:t>4</w:t>
                      </w:r>
                      <w:r w:rsidRPr="00F42162">
                        <w:t>,</w:t>
                      </w:r>
                      <w:r w:rsidRPr="00F42162" w:rsidR="00136263">
                        <w:t>6</w:t>
                      </w:r>
                      <w:r w:rsidRPr="00F42162">
                        <w:t xml:space="preserve">% </w:t>
                      </w:r>
                      <w:r w:rsidRPr="004D663A">
                        <w:t>ogólnej</w:t>
                      </w:r>
                      <w:r w:rsidRPr="004C304C">
                        <w:t xml:space="preserve"> </w:t>
                      </w:r>
                      <w:r w:rsidRPr="000B31B4">
                        <w:t xml:space="preserve">liczby </w:t>
                      </w:r>
                      <w:r w:rsidRPr="000B31B4">
                        <w:br/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660878" w:rsidR="00354E9A" w:rsidP="002C4D3D" w:rsidRDefault="0021254E" w14:paraId="420D7805" w14:textId="06C3A1E1">
      <w:pPr>
        <w:spacing w:line="288" w:lineRule="auto"/>
        <w:rPr>
          <w:rFonts w:eastAsia="Times New Roman" w:cs="Times New Roman"/>
          <w:bCs/>
          <w:spacing w:val="-2"/>
          <w:szCs w:val="19"/>
          <w:lang w:eastAsia="pl-PL"/>
        </w:rPr>
      </w:pPr>
      <w:r w:rsidRPr="004C304C">
        <w:rPr>
          <w:rFonts w:eastAsia="Times New Roman" w:cs="Times New Roman"/>
          <w:bCs/>
          <w:spacing w:val="-2"/>
          <w:szCs w:val="19"/>
          <w:lang w:eastAsia="pl-PL"/>
        </w:rPr>
        <w:t xml:space="preserve">Według wstępnych danych w </w:t>
      </w:r>
      <w:r w:rsidRPr="004C304C" w:rsidR="00950844">
        <w:rPr>
          <w:rFonts w:eastAsia="Times New Roman" w:cs="Times New Roman"/>
          <w:bCs/>
          <w:spacing w:val="-2"/>
          <w:szCs w:val="19"/>
          <w:lang w:eastAsia="pl-PL"/>
        </w:rPr>
        <w:t>okresie styczeń</w:t>
      </w:r>
      <w:r w:rsidRPr="00660878" w:rsidR="00235E2A">
        <w:rPr>
          <w:rFonts w:eastAsia="Times New Roman" w:cs="Times New Roman"/>
          <w:bCs/>
          <w:spacing w:val="-2"/>
          <w:szCs w:val="19"/>
          <w:lang w:eastAsia="pl-PL"/>
        </w:rPr>
        <w:t>–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sierpień</w:t>
      </w:r>
      <w:r w:rsidRPr="00660878" w:rsidR="0095084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660878" w:rsidR="00950844">
        <w:rPr>
          <w:rFonts w:eastAsia="Times New Roman" w:cs="Times New Roman"/>
          <w:bCs/>
          <w:spacing w:val="-2"/>
          <w:szCs w:val="19"/>
          <w:lang w:eastAsia="pl-PL"/>
        </w:rPr>
        <w:t>5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 w:rsidR="00387DFC">
        <w:rPr>
          <w:rFonts w:eastAsia="Times New Roman" w:cs="Times New Roman"/>
          <w:bCs/>
          <w:spacing w:val="-2"/>
          <w:szCs w:val="19"/>
          <w:lang w:eastAsia="pl-PL"/>
        </w:rPr>
        <w:t xml:space="preserve">r.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oddano do użytkowania </w:t>
      </w:r>
      <w:r w:rsidRPr="00660878" w:rsidR="00C4324B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25</w:t>
      </w:r>
      <w:r w:rsidRPr="00660878" w:rsidR="00C4324B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660878" w:rsidR="000C3C08">
        <w:rPr>
          <w:rFonts w:eastAsia="Times New Roman" w:cs="Times New Roman"/>
          <w:bCs/>
          <w:spacing w:val="-2"/>
          <w:szCs w:val="19"/>
          <w:lang w:eastAsia="pl-PL"/>
        </w:rPr>
        <w:t xml:space="preserve"> tys. </w:t>
      </w:r>
      <w:r w:rsidRPr="00660878" w:rsidR="000C3C08">
        <w:rPr>
          <w:rFonts w:eastAsia="Times New Roman" w:cs="Times New Roman"/>
          <w:spacing w:val="-2"/>
          <w:szCs w:val="19"/>
          <w:lang w:eastAsia="pl-PL"/>
        </w:rPr>
        <w:t>mieszkań</w:t>
      </w:r>
      <w:r w:rsidRPr="00660878" w:rsidR="000C3C08">
        <w:rPr>
          <w:rFonts w:eastAsia="Times New Roman" w:cs="Times New Roman"/>
          <w:bCs/>
          <w:spacing w:val="-2"/>
          <w:szCs w:val="19"/>
          <w:lang w:eastAsia="pl-PL"/>
        </w:rPr>
        <w:t>, tj.</w:t>
      </w:r>
      <w:r w:rsidRPr="00660878" w:rsidR="00E71998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660878" w:rsidR="006B3662">
        <w:rPr>
          <w:rFonts w:eastAsia="Times New Roman" w:cs="Times New Roman"/>
          <w:bCs/>
          <w:spacing w:val="-2"/>
          <w:szCs w:val="19"/>
          <w:lang w:eastAsia="pl-PL"/>
        </w:rPr>
        <w:t xml:space="preserve">o </w:t>
      </w:r>
      <w:r w:rsidRPr="00660878" w:rsidR="007E269F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1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% mniej niż w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 xml:space="preserve">analogicznym okresie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202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4</w:t>
      </w:r>
      <w:r w:rsidRPr="00660878" w:rsidR="00467154">
        <w:rPr>
          <w:rFonts w:eastAsia="Times New Roman" w:cs="Times New Roman"/>
          <w:bCs/>
          <w:spacing w:val="-2"/>
          <w:szCs w:val="19"/>
          <w:lang w:eastAsia="pl-PL"/>
        </w:rPr>
        <w:t xml:space="preserve"> r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. Deweloperzy</w:t>
      </w:r>
      <w:r w:rsidRPr="00660878" w:rsidR="002C4D3D">
        <w:rPr>
          <w:bCs/>
          <w:spacing w:val="-2"/>
          <w:vertAlign w:val="superscript"/>
        </w:rPr>
        <w:footnoteReference w:id="2"/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przekazali do eksploatacji 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660878" w:rsidR="00C4324B">
        <w:rPr>
          <w:rFonts w:eastAsia="Times New Roman" w:cs="Times New Roman"/>
          <w:bCs/>
          <w:spacing w:val="-2"/>
          <w:szCs w:val="19"/>
          <w:lang w:eastAsia="pl-PL"/>
        </w:rPr>
        <w:t>8</w:t>
      </w:r>
      <w:r w:rsidRPr="00660878" w:rsidR="00A65F7C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2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 tys. mieszkań – o </w:t>
      </w:r>
      <w:r w:rsidRPr="00660878" w:rsidR="00665334">
        <w:rPr>
          <w:rFonts w:eastAsia="Times New Roman" w:cs="Times New Roman"/>
          <w:bCs/>
          <w:spacing w:val="-2"/>
          <w:szCs w:val="19"/>
          <w:lang w:eastAsia="pl-PL"/>
        </w:rPr>
        <w:t>0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660878" w:rsidR="00665334">
        <w:rPr>
          <w:rFonts w:eastAsia="Times New Roman" w:cs="Times New Roman"/>
          <w:bCs/>
          <w:spacing w:val="-2"/>
          <w:szCs w:val="19"/>
          <w:lang w:eastAsia="pl-PL"/>
        </w:rPr>
        <w:t>9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% </w:t>
      </w:r>
      <w:r w:rsidRPr="00660878" w:rsidR="00D23E53">
        <w:rPr>
          <w:rFonts w:eastAsia="Times New Roman" w:cs="Times New Roman"/>
          <w:bCs/>
          <w:spacing w:val="-2"/>
          <w:szCs w:val="19"/>
          <w:lang w:eastAsia="pl-PL"/>
        </w:rPr>
        <w:t>mniej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niż przed rokiem, natomiast inwestorzy indywidualni</w:t>
      </w:r>
      <w:r w:rsidRPr="00660878" w:rsidR="000B31B4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43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660878" w:rsidR="0049177D">
        <w:rPr>
          <w:rFonts w:eastAsia="Times New Roman" w:cs="Times New Roman"/>
          <w:bCs/>
          <w:spacing w:val="-2"/>
          <w:szCs w:val="19"/>
          <w:lang w:eastAsia="pl-PL"/>
        </w:rPr>
        <w:t> 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tys. mieszkań, tj. o 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6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660878" w:rsidR="00447C3C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% mniej. W ramach tych </w:t>
      </w:r>
      <w:r w:rsidRPr="00660878" w:rsidR="002F2B7A">
        <w:rPr>
          <w:rFonts w:eastAsia="Times New Roman" w:cs="Times New Roman"/>
          <w:bCs/>
          <w:spacing w:val="-2"/>
          <w:szCs w:val="19"/>
          <w:lang w:eastAsia="pl-PL"/>
        </w:rPr>
        <w:t>dw</w:t>
      </w:r>
      <w:r w:rsidR="00E63BAD">
        <w:rPr>
          <w:rFonts w:eastAsia="Times New Roman" w:cs="Times New Roman"/>
          <w:bCs/>
          <w:spacing w:val="-2"/>
          <w:szCs w:val="19"/>
          <w:lang w:eastAsia="pl-PL"/>
        </w:rPr>
        <w:t>óch</w:t>
      </w:r>
      <w:r w:rsidRPr="00660878" w:rsidR="002F2B7A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form budownictwa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oddano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9</w:t>
      </w:r>
      <w:r w:rsidRPr="00660878" w:rsidR="008741A2">
        <w:rPr>
          <w:rFonts w:eastAsia="Times New Roman" w:cs="Times New Roman"/>
          <w:bCs/>
          <w:spacing w:val="-2"/>
          <w:szCs w:val="19"/>
          <w:lang w:eastAsia="pl-PL"/>
        </w:rPr>
        <w:t>7</w:t>
      </w:r>
      <w:r w:rsidRPr="00660878" w:rsidR="00617ADA">
        <w:rPr>
          <w:rFonts w:eastAsia="Times New Roman" w:cs="Times New Roman"/>
          <w:bCs/>
          <w:spacing w:val="-2"/>
          <w:szCs w:val="19"/>
          <w:lang w:eastAsia="pl-PL"/>
        </w:rPr>
        <w:t>,0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>% ogółu now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ych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mieszkań. W pozostałych formach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przekazano</w:t>
      </w:r>
      <w:r w:rsidRPr="00660878">
        <w:rPr>
          <w:rFonts w:eastAsia="Times New Roman" w:cs="Times New Roman"/>
          <w:bCs/>
          <w:spacing w:val="-2"/>
          <w:szCs w:val="19"/>
          <w:lang w:eastAsia="pl-PL"/>
        </w:rPr>
        <w:t xml:space="preserve"> do użytkowania łącznie </w:t>
      </w:r>
      <w:r w:rsidRPr="00660878" w:rsidR="00C4324B">
        <w:rPr>
          <w:rFonts w:eastAsia="Times New Roman" w:cs="Times New Roman"/>
          <w:bCs/>
          <w:spacing w:val="-2"/>
          <w:szCs w:val="19"/>
          <w:lang w:eastAsia="pl-PL"/>
        </w:rPr>
        <w:t>3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>,</w:t>
      </w:r>
      <w:r w:rsidRPr="00660878" w:rsidR="00136263">
        <w:rPr>
          <w:rFonts w:eastAsia="Times New Roman" w:cs="Times New Roman"/>
          <w:bCs/>
          <w:spacing w:val="-2"/>
          <w:szCs w:val="19"/>
          <w:lang w:eastAsia="pl-PL"/>
        </w:rPr>
        <w:t>8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 xml:space="preserve"> tys. </w:t>
      </w:r>
      <w:r w:rsidRPr="00660878" w:rsidR="007415ED">
        <w:rPr>
          <w:rFonts w:eastAsia="Times New Roman" w:cs="Times New Roman"/>
          <w:bCs/>
          <w:spacing w:val="-2"/>
          <w:szCs w:val="19"/>
          <w:lang w:eastAsia="pl-PL"/>
        </w:rPr>
        <w:t>mieszka</w:t>
      </w:r>
      <w:r w:rsidRPr="00660878" w:rsidR="00CE2383">
        <w:rPr>
          <w:rFonts w:eastAsia="Times New Roman" w:cs="Times New Roman"/>
          <w:bCs/>
          <w:spacing w:val="-2"/>
          <w:szCs w:val="19"/>
          <w:lang w:eastAsia="pl-PL"/>
        </w:rPr>
        <w:t>ń</w:t>
      </w:r>
      <w:r w:rsidRPr="00660878" w:rsidR="00C23BA2">
        <w:rPr>
          <w:rFonts w:eastAsia="Times New Roman" w:cs="Times New Roman"/>
          <w:bCs/>
          <w:spacing w:val="-2"/>
          <w:szCs w:val="19"/>
          <w:lang w:eastAsia="pl-PL"/>
        </w:rPr>
        <w:t>.</w:t>
      </w:r>
    </w:p>
    <w:p w:rsidRPr="004C304C" w:rsidR="00DE6B58" w:rsidP="00216634" w:rsidRDefault="0021254E" w14:paraId="19C22A5F" w14:textId="5B107CF1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C304C">
        <w:rPr>
          <w:rFonts w:eastAsia="Times New Roman" w:cs="Times New Roman"/>
          <w:spacing w:val="-2"/>
          <w:szCs w:val="19"/>
          <w:lang w:eastAsia="pl-PL"/>
        </w:rPr>
        <w:t>Powierzchnia użytkowa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nowo wybudowanych 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mieszkań 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wyniosła </w:t>
      </w:r>
      <w:r w:rsidRPr="00660878" w:rsidR="00136263">
        <w:rPr>
          <w:rFonts w:eastAsia="Times New Roman" w:cs="Times New Roman"/>
          <w:spacing w:val="-2"/>
          <w:szCs w:val="19"/>
          <w:lang w:eastAsia="pl-PL"/>
        </w:rPr>
        <w:t>11</w:t>
      </w:r>
      <w:r w:rsidRPr="00660878">
        <w:rPr>
          <w:rFonts w:eastAsia="Times New Roman" w:cs="Times New Roman"/>
          <w:spacing w:val="-2"/>
          <w:szCs w:val="19"/>
          <w:lang w:eastAsia="pl-PL"/>
        </w:rPr>
        <w:t>,</w:t>
      </w:r>
      <w:r w:rsidRPr="00660878" w:rsidR="00136263">
        <w:rPr>
          <w:rFonts w:eastAsia="Times New Roman" w:cs="Times New Roman"/>
          <w:spacing w:val="-2"/>
          <w:szCs w:val="19"/>
          <w:lang w:eastAsia="pl-PL"/>
        </w:rPr>
        <w:t>2</w:t>
      </w:r>
      <w:r w:rsidRPr="00660878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660878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660878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660878" w:rsidR="00136263">
        <w:rPr>
          <w:rFonts w:eastAsia="Times New Roman" w:cs="Times New Roman"/>
          <w:spacing w:val="-2"/>
          <w:szCs w:val="19"/>
          <w:lang w:eastAsia="pl-PL"/>
        </w:rPr>
        <w:t>3</w:t>
      </w:r>
      <w:r w:rsidRPr="00660878">
        <w:rPr>
          <w:rFonts w:eastAsia="Times New Roman" w:cs="Times New Roman"/>
          <w:spacing w:val="-2"/>
          <w:szCs w:val="19"/>
          <w:lang w:eastAsia="pl-PL"/>
        </w:rPr>
        <w:t>,</w:t>
      </w:r>
      <w:r w:rsidRPr="00660878" w:rsidR="00136263">
        <w:rPr>
          <w:rFonts w:eastAsia="Times New Roman" w:cs="Times New Roman"/>
          <w:spacing w:val="-2"/>
          <w:szCs w:val="19"/>
          <w:lang w:eastAsia="pl-PL"/>
        </w:rPr>
        <w:t>9</w:t>
      </w:r>
      <w:r w:rsidRPr="00660878">
        <w:rPr>
          <w:rFonts w:eastAsia="Times New Roman" w:cs="Times New Roman"/>
          <w:spacing w:val="-2"/>
          <w:szCs w:val="19"/>
          <w:lang w:eastAsia="pl-PL"/>
        </w:rPr>
        <w:t>%</w:t>
      </w:r>
      <w:r w:rsidRPr="00660878" w:rsidR="00515DF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515DF4">
        <w:rPr>
          <w:rFonts w:eastAsia="Times New Roman" w:cs="Times New Roman"/>
          <w:spacing w:val="-2"/>
          <w:szCs w:val="19"/>
          <w:lang w:eastAsia="pl-PL"/>
        </w:rPr>
        <w:br/>
      </w:r>
      <w:r w:rsidRPr="004C304C">
        <w:rPr>
          <w:rFonts w:eastAsia="Times New Roman" w:cs="Times New Roman"/>
          <w:spacing w:val="-2"/>
          <w:szCs w:val="19"/>
          <w:lang w:eastAsia="pl-PL"/>
        </w:rPr>
        <w:t>mniej niż przed rokiem</w:t>
      </w:r>
      <w:r w:rsidRPr="004C304C" w:rsidR="00F20C70">
        <w:rPr>
          <w:rFonts w:eastAsia="Times New Roman" w:cs="Times New Roman"/>
          <w:spacing w:val="-2"/>
          <w:szCs w:val="19"/>
          <w:lang w:eastAsia="pl-PL"/>
        </w:rPr>
        <w:t>. P</w:t>
      </w:r>
      <w:r w:rsidRPr="004C304C">
        <w:rPr>
          <w:rFonts w:eastAsia="Times New Roman" w:cs="Times New Roman"/>
          <w:spacing w:val="-2"/>
          <w:szCs w:val="19"/>
          <w:lang w:eastAsia="pl-PL"/>
        </w:rPr>
        <w:t xml:space="preserve">rzeciętna </w:t>
      </w:r>
      <w:r w:rsidRPr="004C304C" w:rsidR="00DC09B4">
        <w:rPr>
          <w:rFonts w:eastAsia="Times New Roman" w:cs="Times New Roman"/>
          <w:spacing w:val="-2"/>
          <w:szCs w:val="19"/>
          <w:lang w:eastAsia="pl-PL"/>
        </w:rPr>
        <w:t>wielkość</w:t>
      </w:r>
      <w:r w:rsidRPr="004C304C" w:rsidR="00F9614B">
        <w:rPr>
          <w:rFonts w:eastAsia="Times New Roman" w:cs="Times New Roman"/>
          <w:spacing w:val="-2"/>
          <w:szCs w:val="19"/>
          <w:lang w:eastAsia="pl-PL"/>
        </w:rPr>
        <w:t xml:space="preserve"> dla </w:t>
      </w:r>
      <w:r w:rsidRPr="004C304C">
        <w:rPr>
          <w:rFonts w:eastAsia="Times New Roman" w:cs="Times New Roman"/>
          <w:spacing w:val="-2"/>
          <w:szCs w:val="19"/>
          <w:lang w:eastAsia="pl-PL"/>
        </w:rPr>
        <w:t>1 mieszkania</w:t>
      </w:r>
      <w:r w:rsidRPr="004C304C" w:rsidR="00F20C7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 w:rsidR="00C12851">
        <w:rPr>
          <w:rFonts w:eastAsia="Times New Roman" w:cs="Times New Roman"/>
          <w:spacing w:val="-2"/>
          <w:szCs w:val="19"/>
          <w:lang w:eastAsia="pl-PL"/>
        </w:rPr>
        <w:t xml:space="preserve">osiągnęła </w:t>
      </w:r>
      <w:r w:rsidRPr="00660878" w:rsidR="00C12851">
        <w:rPr>
          <w:rFonts w:eastAsia="Times New Roman" w:cs="Times New Roman"/>
          <w:spacing w:val="-2"/>
          <w:szCs w:val="19"/>
          <w:lang w:eastAsia="pl-PL"/>
        </w:rPr>
        <w:t>poziom</w:t>
      </w:r>
      <w:r w:rsidRPr="00660878" w:rsidR="00F9614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660878" w:rsidR="00B35B89">
        <w:rPr>
          <w:rFonts w:eastAsia="Times New Roman" w:cs="Times New Roman"/>
          <w:spacing w:val="-2"/>
          <w:szCs w:val="19"/>
          <w:lang w:eastAsia="pl-PL"/>
        </w:rPr>
        <w:t>89</w:t>
      </w:r>
      <w:r w:rsidRPr="00660878">
        <w:rPr>
          <w:rFonts w:eastAsia="Times New Roman" w:cs="Times New Roman"/>
          <w:spacing w:val="-2"/>
          <w:szCs w:val="19"/>
          <w:lang w:eastAsia="pl-PL"/>
        </w:rPr>
        <w:t>,</w:t>
      </w:r>
      <w:r w:rsidRPr="00660878" w:rsidR="00136263">
        <w:rPr>
          <w:rFonts w:eastAsia="Times New Roman" w:cs="Times New Roman"/>
          <w:spacing w:val="-2"/>
          <w:szCs w:val="19"/>
          <w:lang w:eastAsia="pl-PL"/>
        </w:rPr>
        <w:t>4</w:t>
      </w:r>
      <w:r w:rsidRPr="00660878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4C304C">
        <w:rPr>
          <w:rFonts w:eastAsia="Times New Roman" w:cs="Times New Roman"/>
          <w:spacing w:val="-2"/>
          <w:szCs w:val="19"/>
          <w:lang w:eastAsia="pl-PL"/>
        </w:rPr>
        <w:t>m</w:t>
      </w:r>
      <w:r w:rsidRPr="004C304C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4C304C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6968159E">
      <w:pPr>
        <w:pStyle w:val="Tytutablicy"/>
      </w:pPr>
      <w:r w:rsidRPr="00354E9A">
        <w:t>Tablica 1. Mieszkania oddane do użytkowania</w:t>
      </w:r>
      <w:r w:rsidR="00423FA2">
        <w:t xml:space="preserve"> </w:t>
      </w:r>
    </w:p>
    <w:tbl>
      <w:tblPr>
        <w:tblStyle w:val="Siatkatabelijasna251"/>
        <w:tblpPr w:leftFromText="141" w:rightFromText="141" w:vertAnchor="text" w:horzAnchor="margin" w:tblpY="98"/>
        <w:tblW w:w="77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1985"/>
        <w:gridCol w:w="1049"/>
        <w:gridCol w:w="1077"/>
        <w:gridCol w:w="1276"/>
        <w:gridCol w:w="1134"/>
        <w:gridCol w:w="1276"/>
      </w:tblGrid>
      <w:tr w:rsidRPr="00267F90" w:rsidR="00F4742E" w:rsidTr="00420A29" w14:paraId="3B9A98BA" w14:textId="1161A98F">
        <w:trPr>
          <w:trHeight w:val="17"/>
        </w:trPr>
        <w:tc>
          <w:tcPr>
            <w:tcW w:w="1985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854A03" w:rsidRDefault="00F4742E" w14:paraId="5E0F8FE1" w14:textId="77777777">
            <w:pPr>
              <w:keepNext/>
              <w:tabs>
                <w:tab w:val="right" w:leader="dot" w:pos="4139"/>
              </w:tabs>
              <w:spacing w:after="0"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40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660878" w:rsidR="00F4742E" w:rsidP="007F269F" w:rsidRDefault="00233BB8" w14:paraId="160F96A3" w14:textId="6FDC07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</w:t>
            </w:r>
            <w:r w:rsidRPr="00660878" w:rsidR="00136263">
              <w:rPr>
                <w:sz w:val="16"/>
                <w:szCs w:val="16"/>
              </w:rPr>
              <w:t>8</w:t>
            </w:r>
            <w:r w:rsidRPr="00660878" w:rsidR="00F4742E">
              <w:rPr>
                <w:sz w:val="16"/>
                <w:szCs w:val="16"/>
              </w:rPr>
              <w:t xml:space="preserve"> 202</w:t>
            </w:r>
            <w:r w:rsidRPr="00660878">
              <w:rPr>
                <w:sz w:val="16"/>
                <w:szCs w:val="16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660878" w:rsidR="00F4742E" w:rsidP="007F269F" w:rsidRDefault="00F4742E" w14:paraId="6AB2860C" w14:textId="1FE34AF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01</w:t>
            </w:r>
            <w:r w:rsidRPr="00660878" w:rsidR="00EB36AC">
              <w:rPr>
                <w:sz w:val="16"/>
                <w:szCs w:val="16"/>
              </w:rPr>
              <w:t>–</w:t>
            </w:r>
            <w:r w:rsidRPr="00660878" w:rsidR="00233BB8">
              <w:rPr>
                <w:sz w:val="16"/>
                <w:szCs w:val="16"/>
              </w:rPr>
              <w:t>0</w:t>
            </w:r>
            <w:r w:rsidRPr="00660878" w:rsidR="00136263">
              <w:rPr>
                <w:sz w:val="16"/>
                <w:szCs w:val="16"/>
              </w:rPr>
              <w:t>8 2</w:t>
            </w:r>
            <w:r w:rsidRPr="00660878">
              <w:rPr>
                <w:sz w:val="16"/>
                <w:szCs w:val="16"/>
              </w:rPr>
              <w:t>02</w:t>
            </w:r>
            <w:r w:rsidRPr="00660878" w:rsidR="00233BB8">
              <w:rPr>
                <w:sz w:val="16"/>
                <w:szCs w:val="16"/>
              </w:rPr>
              <w:t>5</w:t>
            </w:r>
          </w:p>
        </w:tc>
      </w:tr>
      <w:tr w:rsidRPr="00267F90" w:rsidR="00F40445" w:rsidTr="00F40445" w14:paraId="77DAEFD2" w14:textId="5DCD75EA">
        <w:trPr>
          <w:trHeight w:val="17"/>
        </w:trPr>
        <w:tc>
          <w:tcPr>
            <w:tcW w:w="1985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D663A" w:rsidR="00F4742E" w:rsidP="00F80750" w:rsidRDefault="00A50DB8" w14:paraId="5B479732" w14:textId="221C818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</w:t>
            </w:r>
            <w:r w:rsidRPr="004D663A">
              <w:rPr>
                <w:color w:val="000000" w:themeColor="text1"/>
                <w:sz w:val="16"/>
                <w:szCs w:val="16"/>
              </w:rPr>
              <w:t xml:space="preserve">iczba </w:t>
            </w:r>
            <w:r w:rsidRPr="004D663A" w:rsidR="00F4742E">
              <w:rPr>
                <w:color w:val="000000" w:themeColor="text1"/>
                <w:sz w:val="16"/>
                <w:szCs w:val="16"/>
              </w:rPr>
              <w:t>mieszkań</w:t>
            </w:r>
          </w:p>
        </w:tc>
        <w:tc>
          <w:tcPr>
            <w:tcW w:w="1077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660878" w:rsidR="00F4742E" w:rsidP="007F269F" w:rsidRDefault="00487E3B" w14:paraId="64803240" w14:textId="4D72E554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</w:t>
            </w:r>
            <w:r w:rsidRPr="00660878" w:rsidR="00136263">
              <w:rPr>
                <w:sz w:val="16"/>
                <w:szCs w:val="16"/>
              </w:rPr>
              <w:t>7</w:t>
            </w:r>
            <w:r w:rsidRPr="00660878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660878" w:rsidR="00F4742E" w:rsidP="007F269F" w:rsidRDefault="00487E3B" w14:paraId="2514C055" w14:textId="36CBF6E8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</w:t>
            </w:r>
            <w:r w:rsidRPr="00660878" w:rsidR="00136263">
              <w:rPr>
                <w:sz w:val="16"/>
                <w:szCs w:val="16"/>
              </w:rPr>
              <w:t>8</w:t>
            </w:r>
            <w:r w:rsidRPr="00660878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660878" w:rsidR="00F4742E" w:rsidP="001C6F3D" w:rsidRDefault="00A50DB8" w14:paraId="7844C555" w14:textId="323D86C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 xml:space="preserve">liczba </w:t>
            </w:r>
            <w:r w:rsidRPr="00660878" w:rsidR="00F4742E">
              <w:rPr>
                <w:sz w:val="16"/>
                <w:szCs w:val="16"/>
              </w:rPr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660878" w:rsidR="00F4742E" w:rsidP="007F269F" w:rsidRDefault="00F4742E" w14:paraId="2E318001" w14:textId="2D77F24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60878">
              <w:rPr>
                <w:sz w:val="16"/>
                <w:szCs w:val="16"/>
              </w:rPr>
              <w:t>01</w:t>
            </w:r>
            <w:r w:rsidRPr="00660878" w:rsidR="00EB36AC">
              <w:rPr>
                <w:sz w:val="16"/>
                <w:szCs w:val="16"/>
              </w:rPr>
              <w:t>–</w:t>
            </w:r>
            <w:r w:rsidRPr="00660878" w:rsidR="00233BB8">
              <w:rPr>
                <w:sz w:val="16"/>
                <w:szCs w:val="16"/>
              </w:rPr>
              <w:t>0</w:t>
            </w:r>
            <w:r w:rsidRPr="00660878" w:rsidR="00136263">
              <w:rPr>
                <w:sz w:val="16"/>
                <w:szCs w:val="16"/>
              </w:rPr>
              <w:t>8</w:t>
            </w:r>
            <w:r w:rsidRPr="00660878">
              <w:rPr>
                <w:sz w:val="16"/>
                <w:szCs w:val="16"/>
              </w:rPr>
              <w:t xml:space="preserve"> 202</w:t>
            </w:r>
            <w:r w:rsidRPr="00660878" w:rsidR="00233BB8">
              <w:rPr>
                <w:sz w:val="16"/>
                <w:szCs w:val="16"/>
              </w:rPr>
              <w:t>4</w:t>
            </w:r>
            <w:r w:rsidRPr="00660878">
              <w:rPr>
                <w:sz w:val="16"/>
                <w:szCs w:val="16"/>
              </w:rPr>
              <w:t>=100</w:t>
            </w:r>
          </w:p>
        </w:tc>
      </w:tr>
      <w:tr w:rsidRPr="0070289A" w:rsidR="00F40445" w:rsidTr="00F40445" w14:paraId="42A58853" w14:textId="3C0872B7">
        <w:trPr>
          <w:trHeight w:val="53"/>
        </w:trPr>
        <w:tc>
          <w:tcPr>
            <w:tcW w:w="1985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4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6C0134" w14:paraId="227E51CD" w14:textId="5D12986E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Pr="00660878" w:rsidR="005A391C">
              <w:rPr>
                <w:rFonts w:eastAsiaTheme="majorEastAsia" w:cstheme="majorBidi"/>
                <w:b/>
                <w:sz w:val="16"/>
                <w:szCs w:val="16"/>
              </w:rPr>
              <w:t>5</w:t>
            </w:r>
            <w:r w:rsidRPr="00660878" w:rsidR="00141173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Pr="00660878" w:rsidR="005A391C">
              <w:rPr>
                <w:rFonts w:eastAsiaTheme="majorEastAsia" w:cstheme="majorBidi"/>
                <w:b/>
                <w:sz w:val="16"/>
                <w:szCs w:val="16"/>
              </w:rPr>
              <w:t>151</w:t>
            </w:r>
          </w:p>
        </w:tc>
        <w:tc>
          <w:tcPr>
            <w:tcW w:w="1077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5A391C" w14:paraId="6314EA41" w14:textId="004349CF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83,7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5A391C" w14:paraId="346BB613" w14:textId="1E5867FF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104</w:t>
            </w:r>
            <w:r w:rsidRPr="00660878" w:rsidR="00423FA2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B35B89" w14:paraId="70C55161" w14:textId="7B26A807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1</w:t>
            </w:r>
            <w:r w:rsidRPr="00660878" w:rsidR="00136263">
              <w:rPr>
                <w:rFonts w:eastAsiaTheme="majorEastAsia" w:cstheme="majorBidi"/>
                <w:b/>
                <w:sz w:val="16"/>
                <w:szCs w:val="16"/>
              </w:rPr>
              <w:t>25</w:t>
            </w:r>
            <w:r w:rsidRPr="00660878" w:rsidR="00E11CA7">
              <w:rPr>
                <w:rFonts w:eastAsiaTheme="majorEastAsia" w:cstheme="majorBidi"/>
                <w:b/>
                <w:sz w:val="16"/>
                <w:szCs w:val="16"/>
              </w:rPr>
              <w:t xml:space="preserve"> </w:t>
            </w: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3</w:t>
            </w:r>
            <w:r w:rsidRPr="00660878" w:rsidR="00136263">
              <w:rPr>
                <w:rFonts w:eastAsiaTheme="majorEastAsia" w:cstheme="majorBidi"/>
                <w:b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8D43D2" w14:paraId="2B25B3D8" w14:textId="179EBE73">
            <w:pPr>
              <w:spacing w:after="0" w:line="240" w:lineRule="auto"/>
              <w:jc w:val="right"/>
              <w:rPr>
                <w:rFonts w:eastAsiaTheme="majorEastAsia" w:cstheme="majorBidi"/>
                <w:b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  <w:r w:rsidRPr="00660878" w:rsidR="00D34C78">
              <w:rPr>
                <w:rFonts w:eastAsiaTheme="majorEastAsia" w:cstheme="majorBidi"/>
                <w:b/>
                <w:sz w:val="16"/>
                <w:szCs w:val="16"/>
              </w:rPr>
              <w:t>6</w:t>
            </w:r>
            <w:r w:rsidRPr="00660878" w:rsidR="00E11CA7">
              <w:rPr>
                <w:rFonts w:eastAsiaTheme="majorEastAsia" w:cstheme="majorBidi"/>
                <w:b/>
                <w:sz w:val="16"/>
                <w:szCs w:val="16"/>
              </w:rPr>
              <w:t>,</w:t>
            </w:r>
            <w:r w:rsidRPr="00660878" w:rsidR="00136263">
              <w:rPr>
                <w:rFonts w:eastAsiaTheme="majorEastAsia" w:cstheme="majorBidi"/>
                <w:b/>
                <w:sz w:val="16"/>
                <w:szCs w:val="16"/>
              </w:rPr>
              <w:t>9</w:t>
            </w:r>
          </w:p>
        </w:tc>
      </w:tr>
      <w:tr w:rsidRPr="0070289A" w:rsidR="00F40445" w:rsidTr="00F40445" w14:paraId="06ED27C4" w14:textId="60712562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5A391C" w14:paraId="331A0BA8" w14:textId="30996A0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4</w:t>
            </w:r>
            <w:r w:rsidRPr="00660878" w:rsidR="00141173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916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A95866" w14:paraId="093DFF94" w14:textId="51C2FC5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88</w:t>
            </w:r>
            <w:r w:rsidRPr="00660878" w:rsidR="00423FA2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8E1470">
              <w:rPr>
                <w:rFonts w:eastAsiaTheme="majorEastAsia" w:cstheme="majorBid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A95866" w14:paraId="2A82988C" w14:textId="5891D85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90,2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136263" w14:paraId="30F1CCFB" w14:textId="7D1FCD0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43</w:t>
            </w:r>
            <w:r w:rsidRPr="00660878" w:rsidR="00CF12C1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299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D34C78" w:rsidRDefault="006C0134" w14:paraId="6FB3F81D" w14:textId="6F357EE6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9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3</w:t>
            </w:r>
            <w:r w:rsidRPr="00660878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3</w:t>
            </w:r>
          </w:p>
        </w:tc>
      </w:tr>
      <w:tr w:rsidRPr="00BD0337" w:rsidR="00F40445" w:rsidTr="00F40445" w14:paraId="05DD9AEF" w14:textId="664276BB">
        <w:trPr>
          <w:trHeight w:val="477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5A391C" w14:paraId="55B2BE0C" w14:textId="2CF8780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9</w:t>
            </w:r>
            <w:r w:rsidRPr="00660878" w:rsidR="00141173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719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A95866" w14:paraId="4531BC28" w14:textId="21538AE3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84,4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A95866" w14:paraId="200C36A8" w14:textId="47621C7C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116,1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136263" w14:paraId="1B0172B7" w14:textId="1CA91CFD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78</w:t>
            </w:r>
            <w:r w:rsidRPr="00660878" w:rsidR="00CF12C1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248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9C3D0A" w14:paraId="1ED1CA10" w14:textId="3DCF91A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9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9</w:t>
            </w:r>
            <w:r w:rsidRPr="00660878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9F78E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</w:tr>
      <w:tr w:rsidRPr="00C861BB" w:rsidR="00F40445" w:rsidTr="00F40445" w14:paraId="667D384C" w14:textId="71419164">
        <w:trPr>
          <w:trHeight w:val="53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BC3532" w:rsidRDefault="005A391C" w14:paraId="4C592A20" w14:textId="459BC6F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51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A95866" w14:paraId="13B1EB37" w14:textId="4E306DFF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106,3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F40445" w:rsidRDefault="00F40445" w14:paraId="2B994B70" w14:textId="7F7EE96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ponad 10- krotnie 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136263" w14:paraId="410A2969" w14:textId="1FFEE4A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566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6C0134" w14:paraId="7B739166" w14:textId="7151024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14</w:t>
            </w:r>
            <w:r w:rsidRPr="00660878" w:rsidR="00B35B89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6</w:t>
            </w:r>
          </w:p>
        </w:tc>
      </w:tr>
      <w:tr w:rsidRPr="00FE124A" w:rsidR="00F40445" w:rsidTr="00F40445" w14:paraId="728CE5C8" w14:textId="1B9E01CC">
        <w:trPr>
          <w:trHeight w:val="352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6C0134" w:rsidRDefault="005A391C" w14:paraId="4323DA97" w14:textId="7B4B711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25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A95866" w:rsidRDefault="00A95866" w14:paraId="5185A966" w14:textId="6617E0CA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18,1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BC3532" w:rsidRDefault="00B43DEA" w14:paraId="0FC08008" w14:textId="0D8CC8F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7271FF" w:rsidRDefault="00136263" w14:paraId="57BEAC13" w14:textId="42BFE78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419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B35B89" w14:paraId="17B7BFCF" w14:textId="4C3D4B7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49,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9</w:t>
            </w:r>
          </w:p>
        </w:tc>
      </w:tr>
      <w:tr w:rsidRPr="0070289A" w:rsidR="00F40445" w:rsidTr="00F40445" w14:paraId="25FCE82E" w14:textId="7F4633B9">
        <w:trPr>
          <w:trHeight w:val="359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D34C78" w:rsidRDefault="005A391C" w14:paraId="271D5EC8" w14:textId="74F308E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210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0948C6" w:rsidRDefault="00A95866" w14:paraId="2CC9D727" w14:textId="645FEE9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68,9</w:t>
            </w:r>
            <w:r w:rsidRPr="00660878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B43DEA" w14:paraId="564FCB5C" w14:textId="4497832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68,0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D34C78" w:rsidRDefault="00136263" w14:paraId="457238BC" w14:textId="684ECA9E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1029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B35B89" w14:paraId="433B4402" w14:textId="0E518C9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8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1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7</w:t>
            </w:r>
          </w:p>
        </w:tc>
      </w:tr>
      <w:tr w:rsidRPr="00C861BB" w:rsidR="00F40445" w:rsidTr="00F40445" w14:paraId="008FEB7B" w14:textId="53ACC7AF">
        <w:trPr>
          <w:trHeight w:val="348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F4742E" w:rsidP="00D50A6A" w:rsidRDefault="00F4742E" w14:paraId="7263F936" w14:textId="6C0E3233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F269F" w:rsidRDefault="005A391C" w14:paraId="005C77EB" w14:textId="10109EDB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281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F4742E" w:rsidP="007271FF" w:rsidRDefault="00A95866" w14:paraId="76712A0A" w14:textId="2DB6B574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51,5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F4742E" w:rsidP="007271FF" w:rsidRDefault="00B43DEA" w14:paraId="6E66C043" w14:textId="0D9C4522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70,8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B35B89" w14:paraId="30B563F8" w14:textId="01D7F7C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2</w:t>
            </w:r>
            <w:r w:rsidRPr="00660878" w:rsidR="00431A37">
              <w:rPr>
                <w:rFonts w:eastAsiaTheme="majorEastAsia" w:cstheme="majorBidi"/>
                <w:sz w:val="16"/>
                <w:szCs w:val="16"/>
              </w:rPr>
              <w:t xml:space="preserve"> 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282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F4742E" w:rsidP="00431A37" w:rsidRDefault="006C0134" w14:paraId="26755EF1" w14:textId="057E2149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1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20</w:t>
            </w:r>
            <w:r w:rsidRPr="00660878" w:rsidR="00E11CA7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2</w:t>
            </w:r>
          </w:p>
        </w:tc>
      </w:tr>
      <w:tr w:rsidRPr="00157221" w:rsidR="00F40445" w:rsidTr="00F40445" w14:paraId="66387783" w14:textId="7FC7F945">
        <w:trPr>
          <w:trHeight w:val="355"/>
        </w:trPr>
        <w:tc>
          <w:tcPr>
            <w:tcW w:w="1985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70289A" w:rsidR="00617ADA" w:rsidP="00617ADA" w:rsidRDefault="00617ADA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70289A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04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617ADA" w:rsidP="00617ADA" w:rsidRDefault="004B1F77" w14:paraId="181B5408" w14:textId="17BF7C8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shd w:val="clear" w:color="auto" w:fill="FFFFFF"/>
              </w:rPr>
              <w:t>–</w:t>
            </w:r>
          </w:p>
        </w:tc>
        <w:tc>
          <w:tcPr>
            <w:tcW w:w="1077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660878" w:rsidR="00617ADA" w:rsidP="00617ADA" w:rsidRDefault="00617ADA" w14:paraId="6B737402" w14:textId="2AAF9E6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660878" w:rsidR="00617ADA" w:rsidP="00617ADA" w:rsidRDefault="00B43DEA" w14:paraId="473662A8" w14:textId="4F19F8B0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617ADA" w:rsidP="00617ADA" w:rsidRDefault="00617ADA" w14:paraId="6A1984FE" w14:textId="04AA8DEE">
            <w:pPr>
              <w:spacing w:after="0" w:line="240" w:lineRule="auto"/>
              <w:ind w:left="23" w:hanging="23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4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660878" w:rsidR="00617ADA" w:rsidP="00617ADA" w:rsidRDefault="00617ADA" w14:paraId="35B2D556" w14:textId="4CEB4987">
            <w:pPr>
              <w:spacing w:after="0" w:line="240" w:lineRule="auto"/>
              <w:jc w:val="right"/>
              <w:rPr>
                <w:rFonts w:eastAsiaTheme="majorEastAsia" w:cstheme="majorBidi"/>
                <w:sz w:val="16"/>
                <w:szCs w:val="16"/>
              </w:rPr>
            </w:pPr>
            <w:r w:rsidRPr="00660878">
              <w:rPr>
                <w:rFonts w:eastAsiaTheme="majorEastAsia" w:cstheme="majorBidi"/>
                <w:sz w:val="16"/>
                <w:szCs w:val="16"/>
              </w:rPr>
              <w:t>2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73</w:t>
            </w:r>
            <w:r w:rsidRPr="00660878">
              <w:rPr>
                <w:rFonts w:eastAsiaTheme="majorEastAsia" w:cstheme="majorBidi"/>
                <w:sz w:val="16"/>
                <w:szCs w:val="16"/>
              </w:rPr>
              <w:t>,</w:t>
            </w:r>
            <w:r w:rsidRPr="00660878" w:rsidR="00136263">
              <w:rPr>
                <w:rFonts w:eastAsiaTheme="majorEastAsia" w:cstheme="majorBidi"/>
                <w:sz w:val="16"/>
                <w:szCs w:val="16"/>
              </w:rPr>
              <w:t>3</w:t>
            </w:r>
          </w:p>
        </w:tc>
      </w:tr>
    </w:tbl>
    <w:bookmarkEnd w:id="1"/>
    <w:p w:rsidR="00DA331D" w:rsidP="00CF0C7D" w:rsidRDefault="00354E9A" w14:paraId="0533D66D" w14:textId="21BA8347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</w:t>
      </w:r>
      <w:r w:rsidR="00A0721F">
        <w:rPr>
          <w:rStyle w:val="Odwoanieprzypisudolnego"/>
          <w:rFonts w:ascii="Fira Sans" w:hAnsi="Fira Sans"/>
          <w:b/>
          <w:szCs w:val="19"/>
        </w:rPr>
        <w:footnoteReference w:id="3"/>
      </w:r>
    </w:p>
    <w:p w:rsidRPr="00CD3BF5" w:rsidR="00D972F6" w:rsidP="002628BA" w:rsidRDefault="00592E39" w14:paraId="30B5D550" w14:textId="164B6985">
      <w:pPr>
        <w:spacing w:line="288" w:lineRule="auto"/>
        <w:rPr>
          <w:rFonts w:eastAsia="Times New Roman" w:cs="Times New Roman"/>
          <w:color w:val="002060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okresie </w:t>
      </w:r>
      <w:r w:rsidRPr="00CD3BF5" w:rsidR="00B35B89">
        <w:rPr>
          <w:rFonts w:eastAsia="Times New Roman" w:cs="Times New Roman"/>
          <w:bCs/>
          <w:spacing w:val="-2"/>
          <w:szCs w:val="19"/>
          <w:lang w:eastAsia="pl-PL"/>
        </w:rPr>
        <w:t>styczeń–</w:t>
      </w:r>
      <w:r w:rsidRPr="00CD3BF5" w:rsidR="00B43DEA">
        <w:rPr>
          <w:rFonts w:eastAsia="Times New Roman" w:cs="Times New Roman"/>
          <w:bCs/>
          <w:spacing w:val="-2"/>
          <w:szCs w:val="19"/>
          <w:lang w:eastAsia="pl-PL"/>
        </w:rPr>
        <w:t>sierpień</w:t>
      </w:r>
      <w:r w:rsidRPr="00CD3BF5" w:rsidR="00B35B89">
        <w:rPr>
          <w:rFonts w:eastAsia="Times New Roman" w:cs="Times New Roman"/>
          <w:bCs/>
          <w:spacing w:val="-2"/>
          <w:szCs w:val="19"/>
          <w:lang w:eastAsia="pl-PL"/>
        </w:rPr>
        <w:t xml:space="preserve"> </w:t>
      </w:r>
      <w:r w:rsidRPr="00CD3BF5">
        <w:rPr>
          <w:rFonts w:eastAsia="Times New Roman" w:cs="Times New Roman"/>
          <w:spacing w:val="-2"/>
          <w:szCs w:val="19"/>
          <w:lang w:eastAsia="pl-PL"/>
        </w:rPr>
        <w:t>2025 r. w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ydano pozwolenia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 na budowę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B35B89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B35B89">
        <w:rPr>
          <w:rFonts w:eastAsia="Times New Roman" w:cs="Times New Roman"/>
          <w:spacing w:val="-2"/>
          <w:szCs w:val="19"/>
          <w:lang w:eastAsia="pl-PL"/>
        </w:rPr>
        <w:t>7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4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 tys. mieszkań, tj. o </w:t>
      </w:r>
      <w:r w:rsidRPr="00CD3BF5" w:rsidR="009A1E68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5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D53EEB">
        <w:rPr>
          <w:rFonts w:eastAsia="Times New Roman" w:cs="Times New Roman"/>
          <w:spacing w:val="-2"/>
          <w:szCs w:val="19"/>
          <w:lang w:eastAsia="pl-PL"/>
        </w:rPr>
        <w:t>mni</w:t>
      </w:r>
      <w:r w:rsidRPr="00CD3BF5" w:rsidR="004449CA">
        <w:rPr>
          <w:rFonts w:eastAsia="Times New Roman" w:cs="Times New Roman"/>
          <w:spacing w:val="-2"/>
          <w:szCs w:val="19"/>
          <w:lang w:eastAsia="pl-PL"/>
        </w:rPr>
        <w:t>ej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niż </w:t>
      </w:r>
      <w:r w:rsidRPr="00CD3BF5">
        <w:rPr>
          <w:rFonts w:eastAsia="Times New Roman" w:cs="Times New Roman"/>
          <w:spacing w:val="-2"/>
          <w:szCs w:val="19"/>
          <w:lang w:eastAsia="pl-PL"/>
        </w:rPr>
        <w:t>przed rokiem</w:t>
      </w:r>
      <w:r w:rsidRPr="00CD3BF5" w:rsidR="00722C47">
        <w:rPr>
          <w:rFonts w:eastAsia="Times New Roman" w:cs="Times New Roman"/>
          <w:spacing w:val="-2"/>
          <w:szCs w:val="19"/>
          <w:lang w:eastAsia="pl-PL"/>
        </w:rPr>
        <w:t>, w tym d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la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deweloper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ów 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104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7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CD3BF5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CD3BF5" w:rsidR="00D53EEB">
        <w:rPr>
          <w:rFonts w:eastAsia="Times New Roman" w:cs="Times New Roman"/>
          <w:spacing w:val="-2"/>
          <w:szCs w:val="19"/>
          <w:lang w:eastAsia="pl-PL"/>
        </w:rPr>
        <w:t>spadek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o </w:t>
      </w:r>
      <w:r w:rsidRPr="00CD3BF5" w:rsidR="00E37406">
        <w:rPr>
          <w:rFonts w:eastAsia="Times New Roman" w:cs="Times New Roman"/>
          <w:spacing w:val="-2"/>
          <w:szCs w:val="19"/>
          <w:lang w:eastAsia="pl-PL"/>
        </w:rPr>
        <w:t>2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4</w:t>
      </w:r>
      <w:r w:rsidRPr="00CD3BF5" w:rsidR="00015B25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5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% </w:t>
      </w:r>
      <w:r w:rsidRPr="00CD3BF5">
        <w:rPr>
          <w:rFonts w:eastAsia="Times New Roman" w:cs="Times New Roman"/>
          <w:spacing w:val="-2"/>
          <w:szCs w:val="19"/>
          <w:lang w:eastAsia="pl-PL"/>
        </w:rPr>
        <w:t>w skali roku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)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a</w:t>
      </w:r>
      <w:r w:rsidRPr="00CD3BF5" w:rsidR="00210EE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CD3BF5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inwestor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ów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indywidualn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ych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531F6A">
        <w:rPr>
          <w:rFonts w:eastAsia="Times New Roman" w:cs="Times New Roman"/>
          <w:spacing w:val="-2"/>
          <w:szCs w:val="19"/>
          <w:lang w:eastAsia="pl-PL"/>
        </w:rPr>
        <w:t>–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57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0</w:t>
      </w:r>
      <w:r w:rsidRPr="00CD3BF5" w:rsidR="004D3FDE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tys.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(</w:t>
      </w:r>
      <w:r w:rsidRPr="00CD3BF5" w:rsidR="004449CA">
        <w:rPr>
          <w:rFonts w:eastAsia="Times New Roman" w:cs="Times New Roman"/>
          <w:spacing w:val="-2"/>
          <w:szCs w:val="19"/>
          <w:lang w:eastAsia="pl-PL"/>
        </w:rPr>
        <w:t xml:space="preserve">wzrost o 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B43DEA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%). Łącznie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dla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63BAD">
        <w:rPr>
          <w:rFonts w:eastAsia="Times New Roman" w:cs="Times New Roman"/>
          <w:spacing w:val="-2"/>
          <w:szCs w:val="19"/>
          <w:lang w:eastAsia="pl-PL"/>
        </w:rPr>
        <w:t xml:space="preserve">wymienionych obu </w:t>
      </w:r>
      <w:proofErr w:type="spellStart"/>
      <w:r w:rsidRPr="00CD3BF5" w:rsidR="0089482A">
        <w:rPr>
          <w:rFonts w:eastAsia="Times New Roman" w:cs="Times New Roman"/>
          <w:spacing w:val="-2"/>
          <w:szCs w:val="19"/>
          <w:lang w:eastAsia="pl-PL"/>
        </w:rPr>
        <w:t>formbudownictwa</w:t>
      </w:r>
      <w:proofErr w:type="spellEnd"/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0842A5">
        <w:rPr>
          <w:rFonts w:eastAsia="Times New Roman" w:cs="Times New Roman"/>
          <w:spacing w:val="-2"/>
          <w:szCs w:val="19"/>
          <w:lang w:eastAsia="pl-PL"/>
        </w:rPr>
        <w:t xml:space="preserve">wydano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pozwolenia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na budowę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9</w:t>
      </w:r>
      <w:r w:rsidRPr="00CD3BF5" w:rsidR="00224310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A87211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% ogółu 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 xml:space="preserve">lokali 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mieszka</w:t>
      </w:r>
      <w:r w:rsidRPr="00CD3BF5" w:rsidR="003E6F3D">
        <w:rPr>
          <w:rFonts w:eastAsia="Times New Roman" w:cs="Times New Roman"/>
          <w:spacing w:val="-2"/>
          <w:szCs w:val="19"/>
          <w:lang w:eastAsia="pl-PL"/>
        </w:rPr>
        <w:t>lnych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>.</w:t>
      </w:r>
      <w:r w:rsidRPr="00CD3BF5" w:rsidR="00835146">
        <w:rPr>
          <w:rFonts w:eastAsia="Times New Roman" w:cs="Times New Roman"/>
          <w:spacing w:val="-2"/>
          <w:szCs w:val="19"/>
          <w:lang w:eastAsia="pl-PL"/>
        </w:rPr>
        <w:t xml:space="preserve"> W pozostałych formach budownictwa wydano pozwolenia na budowę 5,7 tys. mieszkań.</w:t>
      </w:r>
      <w:r w:rsidRPr="00CD3BF5" w:rsidR="0089482A">
        <w:rPr>
          <w:rFonts w:eastAsia="Times New Roman" w:cs="Times New Roman"/>
          <w:spacing w:val="-2"/>
          <w:szCs w:val="19"/>
          <w:lang w:eastAsia="pl-PL"/>
        </w:rPr>
        <w:t xml:space="preserve"> </w:t>
      </w:r>
    </w:p>
    <w:p w:rsidRPr="004C304C" w:rsidR="00AD1F03" w:rsidP="00AC280D" w:rsidRDefault="00AD1F03" w14:paraId="4AC51D00" w14:textId="207853FF">
      <w:pPr>
        <w:pStyle w:val="Tytutablicy"/>
        <w:spacing w:before="240"/>
        <w:ind w:left="851" w:hanging="851"/>
        <w:rPr>
          <w:color w:val="auto"/>
        </w:rPr>
      </w:pPr>
      <w:r w:rsidRPr="004C304C">
        <w:rPr>
          <w:color w:val="auto"/>
        </w:rPr>
        <w:t>Tablica 2. Mieszkania, na których budowę wydano pozwolenia</w:t>
      </w:r>
    </w:p>
    <w:tbl>
      <w:tblPr>
        <w:tblStyle w:val="Siatkatabelijasna251"/>
        <w:tblpPr w:leftFromText="141" w:rightFromText="141" w:vertAnchor="text" w:horzAnchor="margin" w:tblpY="98"/>
        <w:tblW w:w="77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"/>
      </w:tblPr>
      <w:tblGrid>
        <w:gridCol w:w="1843"/>
        <w:gridCol w:w="1152"/>
        <w:gridCol w:w="1211"/>
        <w:gridCol w:w="1199"/>
        <w:gridCol w:w="1116"/>
        <w:gridCol w:w="1248"/>
      </w:tblGrid>
      <w:tr w:rsidRPr="004C304C" w:rsidR="004C304C" w:rsidTr="000E333E" w14:paraId="51A6DDD1" w14:textId="146C3229">
        <w:trPr>
          <w:trHeight w:val="18"/>
        </w:trPr>
        <w:tc>
          <w:tcPr>
            <w:tcW w:w="1843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854A03" w:rsidRDefault="009F4484" w14:paraId="06F67906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62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D3BF5" w:rsidR="009F4484" w:rsidP="00D5680B" w:rsidRDefault="0027679A" w14:paraId="388D7D7F" w14:textId="696EDD4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Pr="00CD3BF5" w:rsidR="00F02B62">
              <w:rPr>
                <w:sz w:val="16"/>
                <w:szCs w:val="16"/>
              </w:rPr>
              <w:t>8</w:t>
            </w:r>
            <w:r w:rsidRPr="00CD3BF5" w:rsidR="009F4484">
              <w:rPr>
                <w:sz w:val="16"/>
                <w:szCs w:val="16"/>
              </w:rPr>
              <w:t xml:space="preserve"> 202</w:t>
            </w:r>
            <w:r w:rsidRPr="00CD3BF5">
              <w:rPr>
                <w:sz w:val="16"/>
                <w:szCs w:val="16"/>
              </w:rPr>
              <w:t>5</w:t>
            </w:r>
          </w:p>
        </w:tc>
        <w:tc>
          <w:tcPr>
            <w:tcW w:w="2364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CD3BF5" w:rsidR="009F4484" w:rsidP="00D5680B" w:rsidRDefault="009F4484" w14:paraId="15CCFC61" w14:textId="5256116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27679A">
              <w:rPr>
                <w:sz w:val="16"/>
                <w:szCs w:val="16"/>
              </w:rPr>
              <w:t>0</w:t>
            </w:r>
            <w:r w:rsidRPr="00CD3BF5" w:rsidR="00F02B62">
              <w:rPr>
                <w:sz w:val="16"/>
                <w:szCs w:val="16"/>
              </w:rPr>
              <w:t>8</w:t>
            </w:r>
            <w:r w:rsidRPr="00CD3BF5">
              <w:rPr>
                <w:sz w:val="16"/>
                <w:szCs w:val="16"/>
              </w:rPr>
              <w:t xml:space="preserve"> 202</w:t>
            </w:r>
            <w:r w:rsidRPr="00CD3BF5" w:rsidR="0027679A">
              <w:rPr>
                <w:sz w:val="16"/>
                <w:szCs w:val="16"/>
              </w:rPr>
              <w:t>5</w:t>
            </w:r>
          </w:p>
        </w:tc>
      </w:tr>
      <w:tr w:rsidRPr="004C304C" w:rsidR="004C304C" w:rsidTr="000E333E" w14:paraId="4B8AD3D6" w14:textId="73FAD287">
        <w:trPr>
          <w:trHeight w:val="18"/>
        </w:trPr>
        <w:tc>
          <w:tcPr>
            <w:tcW w:w="1843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C304C" w:rsidR="009F4484" w:rsidP="00D50A6A" w:rsidRDefault="00EB36AC" w14:paraId="3B6AB65B" w14:textId="5A237932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9F4484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11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CD3BF5" w:rsidR="009F4484" w:rsidP="00D5680B" w:rsidRDefault="00D92946" w14:paraId="07E28CF7" w14:textId="16005F1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Pr="00CD3BF5" w:rsidR="00F02B62">
              <w:rPr>
                <w:sz w:val="16"/>
                <w:szCs w:val="16"/>
              </w:rPr>
              <w:t>7</w:t>
            </w:r>
            <w:r w:rsidRPr="00CD3BF5">
              <w:rPr>
                <w:sz w:val="16"/>
                <w:szCs w:val="16"/>
              </w:rPr>
              <w:t xml:space="preserve"> 2025=100 </w:t>
            </w:r>
          </w:p>
        </w:tc>
        <w:tc>
          <w:tcPr>
            <w:tcW w:w="1199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CD3BF5" w:rsidR="009F4484" w:rsidP="00D5680B" w:rsidRDefault="00D92946" w14:paraId="19469349" w14:textId="659C75F3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Pr="00CD3BF5" w:rsidR="00F02B62">
              <w:rPr>
                <w:sz w:val="16"/>
                <w:szCs w:val="16"/>
              </w:rPr>
              <w:t>8</w:t>
            </w:r>
            <w:r w:rsidRPr="00CD3BF5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1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9F4484" w:rsidP="001F1BC7" w:rsidRDefault="00EB36AC" w14:paraId="09C43BD9" w14:textId="4315787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 xml:space="preserve">liczba </w:t>
            </w:r>
            <w:r w:rsidRPr="00CD3BF5" w:rsidR="009F4484">
              <w:rPr>
                <w:sz w:val="16"/>
                <w:szCs w:val="16"/>
              </w:rPr>
              <w:t>mieszkań</w:t>
            </w:r>
          </w:p>
        </w:tc>
        <w:tc>
          <w:tcPr>
            <w:tcW w:w="1248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9F4484" w:rsidP="00D5680B" w:rsidRDefault="009F4484" w14:paraId="786B7535" w14:textId="6410C17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27679A">
              <w:rPr>
                <w:sz w:val="16"/>
                <w:szCs w:val="16"/>
              </w:rPr>
              <w:t>0</w:t>
            </w:r>
            <w:r w:rsidRPr="00CD3BF5" w:rsidR="00F02B62">
              <w:rPr>
                <w:sz w:val="16"/>
                <w:szCs w:val="16"/>
              </w:rPr>
              <w:t>8</w:t>
            </w:r>
            <w:r w:rsidRPr="00CD3BF5">
              <w:rPr>
                <w:sz w:val="16"/>
                <w:szCs w:val="16"/>
              </w:rPr>
              <w:t xml:space="preserve"> </w:t>
            </w:r>
            <w:r w:rsidRPr="00CD3BF5">
              <w:rPr>
                <w:sz w:val="16"/>
                <w:szCs w:val="16"/>
              </w:rPr>
              <w:br/>
              <w:t>202</w:t>
            </w:r>
            <w:r w:rsidRPr="00CD3BF5" w:rsidR="0027679A">
              <w:rPr>
                <w:sz w:val="16"/>
                <w:szCs w:val="16"/>
              </w:rPr>
              <w:t>4</w:t>
            </w:r>
            <w:r w:rsidRPr="00CD3BF5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0E333E" w14:paraId="29FC5395" w14:textId="4D7C6F4F">
        <w:trPr>
          <w:trHeight w:val="53"/>
        </w:trPr>
        <w:tc>
          <w:tcPr>
            <w:tcW w:w="1843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115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A43657" w14:paraId="63396BFA" w14:textId="5AE050AA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cs="Arial"/>
                <w:b/>
                <w:sz w:val="16"/>
                <w:szCs w:val="16"/>
              </w:rPr>
              <w:t>19</w:t>
            </w:r>
            <w:r w:rsidRPr="00CD3BF5" w:rsidR="00141173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CD3BF5">
              <w:rPr>
                <w:rFonts w:cs="Arial"/>
                <w:b/>
                <w:sz w:val="16"/>
                <w:szCs w:val="16"/>
              </w:rPr>
              <w:t>187</w:t>
            </w:r>
          </w:p>
        </w:tc>
        <w:tc>
          <w:tcPr>
            <w:tcW w:w="1211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A43657" w14:paraId="2CF03894" w14:textId="706A348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73,3</w:t>
            </w:r>
          </w:p>
        </w:tc>
        <w:tc>
          <w:tcPr>
            <w:tcW w:w="1199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ED565B" w:rsidRDefault="00A43657" w14:paraId="16B748AE" w14:textId="117370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73,2</w:t>
            </w:r>
          </w:p>
        </w:tc>
        <w:tc>
          <w:tcPr>
            <w:tcW w:w="111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F178AE" w14:paraId="3E7D6A22" w14:textId="532A263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</w:t>
            </w:r>
            <w:r w:rsidRPr="00CD3BF5" w:rsidR="00F02B6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6</w:t>
            </w:r>
            <w:r w:rsidRPr="00CD3BF5" w:rsidR="007D47C1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</w:t>
            </w:r>
            <w:r w:rsidRPr="00CD3BF5" w:rsidR="0014117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CD3BF5" w:rsidR="00F02B6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1248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63011B" w14:paraId="39C709AF" w14:textId="19A8660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</w:t>
            </w:r>
            <w:r w:rsidRPr="00CD3BF5" w:rsidR="00F02B6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4</w:t>
            </w:r>
            <w:r w:rsidRPr="00CD3BF5" w:rsidR="00141173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Pr="00CD3BF5" w:rsidR="00F02B6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</w:p>
        </w:tc>
      </w:tr>
      <w:tr w:rsidRPr="004C304C" w:rsidR="004C304C" w:rsidTr="000E333E" w14:paraId="4FCE1250" w14:textId="23CB4C34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A43657" w14:paraId="5B735221" w14:textId="35A6BDE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cs="Arial"/>
                <w:sz w:val="16"/>
                <w:szCs w:val="16"/>
              </w:rPr>
              <w:t>7</w:t>
            </w:r>
            <w:r w:rsidRPr="00CD3BF5" w:rsidR="00141173">
              <w:rPr>
                <w:rFonts w:cs="Arial"/>
                <w:sz w:val="16"/>
                <w:szCs w:val="16"/>
              </w:rPr>
              <w:t xml:space="preserve"> </w:t>
            </w:r>
            <w:r w:rsidRPr="00CD3BF5">
              <w:rPr>
                <w:rFonts w:cs="Arial"/>
                <w:sz w:val="16"/>
                <w:szCs w:val="16"/>
              </w:rPr>
              <w:t>077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A43657" w14:paraId="72229F1E" w14:textId="0607D44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80,6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ED565B" w:rsidRDefault="00A43657" w14:paraId="353F27A7" w14:textId="23036D3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A43657" w14:paraId="57A41475" w14:textId="66F1F10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56</w:t>
            </w:r>
            <w:r w:rsidRPr="00CD3BF5" w:rsidR="0014117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965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141173" w14:paraId="49372142" w14:textId="7221348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426CBC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CD3BF5" w:rsidR="007D47C1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0E333E" w14:paraId="4EADF348" w14:textId="6303CDEC">
        <w:trPr>
          <w:trHeight w:val="359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141173" w14:paraId="5D62ABD6" w14:textId="407A9C2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A43657" w14:paraId="2D672C13" w14:textId="0458FF5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66,8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ED565B" w:rsidRDefault="00A43657" w14:paraId="6A12ADFD" w14:textId="005061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61,9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A43657" w14:paraId="5510DD9B" w14:textId="48DB998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Pr="00CD3BF5" w:rsidR="0014117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F42D6D" w14:paraId="23FFB49F" w14:textId="2BCE440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  <w:r w:rsidRPr="00CD3BF5" w:rsidR="00141173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</w:tr>
      <w:tr w:rsidRPr="004C304C" w:rsidR="004C304C" w:rsidTr="000E333E" w14:paraId="197E04F5" w14:textId="23C10218">
        <w:trPr>
          <w:trHeight w:val="370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F52EB" w:rsidRDefault="00A43657" w14:paraId="7820A5D6" w14:textId="78C12E4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880B81" w:rsidRDefault="00A43657" w14:paraId="1786F743" w14:textId="582AC92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128,4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880B81" w:rsidRDefault="00A43657" w14:paraId="2FC87AC4" w14:textId="38A1C02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72,0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63011B" w:rsidRDefault="00A43657" w14:paraId="75F0656B" w14:textId="32B6DBC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025450" w:rsidRDefault="00A43657" w14:paraId="3E7A0D63" w14:textId="6766B17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160,9</w:t>
            </w:r>
          </w:p>
        </w:tc>
      </w:tr>
      <w:tr w:rsidRPr="004C304C" w:rsidR="004C304C" w:rsidTr="000E333E" w14:paraId="5EDA45B8" w14:textId="6B60716B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A43657" w14:paraId="5C1E160F" w14:textId="0651D62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A43657" w14:paraId="094128AD" w14:textId="1588948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134,2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086BA2" w:rsidRDefault="00A43657" w14:paraId="23C2258E" w14:textId="3CB9EEB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78,9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141173" w14:paraId="30A77195" w14:textId="76DCAF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9F78E3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844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D37285" w:rsidRDefault="007D47C1" w14:paraId="6DEC09A2" w14:textId="1B55A18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A43657">
              <w:rPr>
                <w:rFonts w:eastAsia="Times New Roman" w:cs="Calibri"/>
                <w:sz w:val="16"/>
                <w:szCs w:val="16"/>
                <w:lang w:eastAsia="pl-PL"/>
              </w:rPr>
              <w:t>49</w:t>
            </w:r>
            <w:r w:rsidRPr="00CD3BF5" w:rsidR="00F42D6D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</w:tr>
      <w:tr w:rsidRPr="004C304C" w:rsidR="004C304C" w:rsidTr="000E333E" w14:paraId="76099805" w14:textId="133A7E1F">
        <w:trPr>
          <w:trHeight w:val="328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D5680B" w:rsidRDefault="00A43657" w14:paraId="125A924F" w14:textId="72EE055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ED565B" w:rsidRDefault="00A43657" w14:paraId="37ABA2B6" w14:textId="6D31279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188,0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D37285" w:rsidRDefault="00A43657" w14:paraId="4E8DFAEE" w14:textId="440CE16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61,1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A43657" w14:paraId="4EAC035D" w14:textId="109DA25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CD3BF5" w:rsidR="00C861BB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F178AE" w:rsidRDefault="00A43657" w14:paraId="46051EE3" w14:textId="77ACEDA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96,3</w:t>
            </w:r>
          </w:p>
        </w:tc>
      </w:tr>
      <w:tr w:rsidRPr="004C304C" w:rsidR="004C304C" w:rsidTr="000E333E" w14:paraId="258B13C2" w14:textId="4D7ECA13">
        <w:trPr>
          <w:trHeight w:val="53"/>
        </w:trPr>
        <w:tc>
          <w:tcPr>
            <w:tcW w:w="1843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9F4484" w:rsidP="00D50A6A" w:rsidRDefault="009F4484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115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880B81" w:rsidRDefault="00617ADA" w14:paraId="2113AE9B" w14:textId="1D94C43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shd w:val="clear" w:color="auto" w:fill="FFFFFF"/>
              </w:rPr>
              <w:t>–</w:t>
            </w:r>
          </w:p>
        </w:tc>
        <w:tc>
          <w:tcPr>
            <w:tcW w:w="1211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9F4484" w:rsidP="00880B81" w:rsidRDefault="00FA4CB5" w14:paraId="0B1E432F" w14:textId="6033B05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9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9F4484" w:rsidP="00880B81" w:rsidRDefault="009F4484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1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880B81" w:rsidRDefault="009F78E3" w14:paraId="6D90D094" w14:textId="6E80BA1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248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9F4484" w:rsidP="003232ED" w:rsidRDefault="0030719B" w14:paraId="141B0C0D" w14:textId="35208DD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688,9</w:t>
            </w:r>
          </w:p>
        </w:tc>
      </w:tr>
    </w:tbl>
    <w:p w:rsidRPr="00C94F9E" w:rsidR="00AC280D" w:rsidP="00CD3BF5" w:rsidRDefault="00CD3BF5" w14:paraId="6381C17B" w14:textId="716F9FE5">
      <w:pPr>
        <w:tabs>
          <w:tab w:val="left" w:pos="2580"/>
        </w:tabs>
        <w:spacing w:before="0" w:after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ab/>
      </w:r>
    </w:p>
    <w:p w:rsidRPr="000647A9" w:rsidR="00DA331D" w:rsidP="00C94F9E" w:rsidRDefault="00AC280D" w14:paraId="03E87AE2" w14:textId="5828ACB7">
      <w:pPr>
        <w:pStyle w:val="Nagwek1"/>
        <w:spacing w:before="120"/>
        <w:rPr>
          <w:rFonts w:ascii="Fira Sans" w:hAnsi="Fira Sans"/>
          <w:b/>
          <w:szCs w:val="19"/>
        </w:rPr>
      </w:pPr>
      <w:r w:rsidRPr="00355C3E">
        <w:rPr>
          <w:rFonts w:ascii="Fira Sans" w:hAnsi="Fira Sans"/>
          <w:b/>
          <w:szCs w:val="19"/>
        </w:rPr>
        <w:t>Mieszkania, których budowę rozpoczęto</w:t>
      </w:r>
    </w:p>
    <w:p w:rsidRPr="004C304C" w:rsidR="00DA331D" w:rsidP="002628BA" w:rsidRDefault="001E3D73" w14:paraId="08BED27F" w14:textId="70D5BD70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496BC5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9910EC">
        <w:rPr>
          <w:rFonts w:eastAsia="Times New Roman" w:cs="Times New Roman"/>
          <w:spacing w:val="-2"/>
          <w:szCs w:val="19"/>
          <w:lang w:eastAsia="pl-PL"/>
        </w:rPr>
        <w:t>eń</w:t>
      </w:r>
      <w:r w:rsidRPr="00CD3BF5" w:rsidR="009910EC">
        <w:rPr>
          <w:rFonts w:eastAsia="Times New Roman" w:cs="Times New Roman"/>
          <w:spacing w:val="-2"/>
          <w:szCs w:val="19"/>
          <w:lang w:eastAsia="pl-PL"/>
        </w:rPr>
        <w:t>‒</w:t>
      </w:r>
      <w:r w:rsidRPr="00CD3BF5" w:rsidR="00A43657">
        <w:rPr>
          <w:rFonts w:eastAsia="Times New Roman" w:cs="Times New Roman"/>
          <w:spacing w:val="-2"/>
          <w:szCs w:val="19"/>
          <w:lang w:eastAsia="pl-PL"/>
        </w:rPr>
        <w:t>sierpień</w:t>
      </w:r>
      <w:r w:rsidRPr="00CD3BF5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202</w:t>
      </w:r>
      <w:r w:rsidRPr="00CD3BF5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r. rozpoczęto budowę </w:t>
      </w:r>
      <w:r w:rsidRPr="00CD3BF5" w:rsidR="008C3005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46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4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mieszkań, tj. o 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9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7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niż przed rokiem. Deweloperzy </w:t>
      </w:r>
      <w:r w:rsidRPr="00CD3BF5">
        <w:rPr>
          <w:rFonts w:eastAsia="Times New Roman" w:cs="Times New Roman"/>
          <w:spacing w:val="-2"/>
          <w:szCs w:val="19"/>
          <w:lang w:eastAsia="pl-PL"/>
        </w:rPr>
        <w:t xml:space="preserve">przystąpili do 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budow</w:t>
      </w:r>
      <w:r w:rsidRPr="00CD3BF5">
        <w:rPr>
          <w:rFonts w:eastAsia="Times New Roman" w:cs="Times New Roman"/>
          <w:spacing w:val="-2"/>
          <w:szCs w:val="19"/>
          <w:lang w:eastAsia="pl-PL"/>
        </w:rPr>
        <w:t>y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5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tys. mieszkań (o</w:t>
      </w:r>
      <w:r w:rsidRPr="00CD3BF5" w:rsidR="00F2339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D3BF5" w:rsidR="00B4474E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5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CD0D0A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B4474E">
        <w:rPr>
          <w:rFonts w:eastAsia="Times New Roman" w:cs="Times New Roman"/>
          <w:spacing w:val="-2"/>
          <w:szCs w:val="19"/>
          <w:lang w:eastAsia="pl-PL"/>
        </w:rPr>
        <w:t>mniej</w:t>
      </w:r>
      <w:r w:rsidRPr="00CD3BF5" w:rsidR="005254C9">
        <w:rPr>
          <w:rFonts w:eastAsia="Times New Roman" w:cs="Times New Roman"/>
          <w:spacing w:val="-2"/>
          <w:szCs w:val="19"/>
          <w:lang w:eastAsia="pl-PL"/>
        </w:rPr>
        <w:t> </w:t>
      </w:r>
      <w:r w:rsidRPr="00CD3BF5" w:rsidR="00C72092">
        <w:rPr>
          <w:rFonts w:eastAsia="Times New Roman" w:cs="Times New Roman"/>
          <w:spacing w:val="-2"/>
          <w:szCs w:val="19"/>
          <w:lang w:eastAsia="pl-PL"/>
        </w:rPr>
        <w:t>niż rok</w:t>
      </w:r>
      <w:r w:rsidRPr="00CD3BF5" w:rsidR="00BF5AC0">
        <w:rPr>
          <w:rFonts w:eastAsia="Times New Roman" w:cs="Times New Roman"/>
          <w:spacing w:val="-2"/>
          <w:szCs w:val="19"/>
          <w:lang w:eastAsia="pl-PL"/>
        </w:rPr>
        <w:t xml:space="preserve"> wcześniej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), a inwestorzy indywidualni 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55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2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 tys. (o </w:t>
      </w:r>
      <w:r w:rsidRPr="00CD3BF5" w:rsidR="008668B9">
        <w:rPr>
          <w:rFonts w:eastAsia="Times New Roman" w:cs="Times New Roman"/>
          <w:spacing w:val="-2"/>
          <w:szCs w:val="19"/>
          <w:lang w:eastAsia="pl-PL"/>
        </w:rPr>
        <w:t>1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6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CD3BF5" w:rsidR="008333F5">
        <w:rPr>
          <w:rFonts w:eastAsia="Times New Roman" w:cs="Times New Roman"/>
          <w:spacing w:val="-2"/>
          <w:szCs w:val="19"/>
          <w:lang w:eastAsia="pl-PL"/>
        </w:rPr>
        <w:t>więcej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). Łącznie udział tych form budownictwa wyniósł 9</w:t>
      </w:r>
      <w:r w:rsidRPr="00CD3BF5" w:rsidR="008668B9">
        <w:rPr>
          <w:rFonts w:eastAsia="Times New Roman" w:cs="Times New Roman"/>
          <w:spacing w:val="-2"/>
          <w:szCs w:val="19"/>
          <w:lang w:eastAsia="pl-PL"/>
        </w:rPr>
        <w:t>8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>,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2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CD3BF5" w:rsidR="007D47C1">
        <w:rPr>
          <w:rFonts w:eastAsia="Times New Roman" w:cs="Times New Roman"/>
          <w:spacing w:val="-2"/>
          <w:szCs w:val="19"/>
          <w:lang w:eastAsia="pl-PL"/>
        </w:rPr>
        <w:t>2,</w:t>
      </w:r>
      <w:r w:rsidRPr="00CD3BF5" w:rsidR="009E7944">
        <w:rPr>
          <w:rFonts w:eastAsia="Times New Roman" w:cs="Times New Roman"/>
          <w:spacing w:val="-2"/>
          <w:szCs w:val="19"/>
          <w:lang w:eastAsia="pl-PL"/>
        </w:rPr>
        <w:t>7</w:t>
      </w:r>
      <w:r w:rsidRPr="00CD3BF5" w:rsidR="00E96050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CD3BF5" w:rsidR="004D3E5B">
        <w:rPr>
          <w:rFonts w:eastAsia="Times New Roman" w:cs="Times New Roman"/>
          <w:spacing w:val="-2"/>
          <w:szCs w:val="19"/>
          <w:lang w:eastAsia="pl-PL"/>
        </w:rPr>
        <w:t xml:space="preserve"> mieszkań</w:t>
      </w:r>
      <w:r w:rsidRPr="00CD3BF5" w:rsidR="00DB3AA5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8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1841"/>
        <w:gridCol w:w="994"/>
        <w:gridCol w:w="1276"/>
        <w:gridCol w:w="1276"/>
        <w:gridCol w:w="1134"/>
        <w:gridCol w:w="1304"/>
      </w:tblGrid>
      <w:tr w:rsidRPr="004C304C" w:rsidR="004C304C" w:rsidTr="0030719B" w14:paraId="6CB9BE59" w14:textId="42BE7FEE">
        <w:trPr>
          <w:trHeight w:val="24"/>
        </w:trPr>
        <w:tc>
          <w:tcPr>
            <w:tcW w:w="1841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8333F5" w:rsidP="000250B6" w:rsidRDefault="008333F5" w14:paraId="1A6F3102" w14:textId="7777777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4C304C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6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  <w:vAlign w:val="center"/>
          </w:tcPr>
          <w:p w:rsidRPr="00CD3BF5" w:rsidR="008333F5" w:rsidP="00E76933" w:rsidRDefault="00AA2D33" w14:paraId="36B7DF43" w14:textId="3F688BF8">
            <w:pPr>
              <w:spacing w:before="0" w:after="0" w:line="240" w:lineRule="auto"/>
              <w:ind w:right="32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Pr="00CD3BF5" w:rsidR="00A43657">
              <w:rPr>
                <w:sz w:val="16"/>
                <w:szCs w:val="16"/>
              </w:rPr>
              <w:t>8</w:t>
            </w:r>
            <w:r w:rsidRPr="00CD3BF5" w:rsidR="008333F5">
              <w:rPr>
                <w:sz w:val="16"/>
                <w:szCs w:val="16"/>
              </w:rPr>
              <w:t xml:space="preserve"> 202</w:t>
            </w:r>
            <w:r w:rsidRPr="00CD3BF5">
              <w:rPr>
                <w:sz w:val="16"/>
                <w:szCs w:val="16"/>
              </w:rPr>
              <w:t>5</w:t>
            </w:r>
          </w:p>
        </w:tc>
        <w:tc>
          <w:tcPr>
            <w:tcW w:w="2438" w:type="dxa"/>
            <w:gridSpan w:val="2"/>
            <w:tcBorders>
              <w:top w:val="single" w:color="212492" w:sz="4" w:space="0"/>
              <w:left w:val="single" w:color="212492" w:sz="4" w:space="0"/>
              <w:bottom w:val="single" w:color="212492" w:sz="4" w:space="0"/>
            </w:tcBorders>
          </w:tcPr>
          <w:p w:rsidRPr="00CD3BF5" w:rsidR="008333F5" w:rsidP="00E76933" w:rsidRDefault="008333F5" w14:paraId="213EB8AF" w14:textId="1748081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AA2D33">
              <w:rPr>
                <w:sz w:val="16"/>
                <w:szCs w:val="16"/>
              </w:rPr>
              <w:t>0</w:t>
            </w:r>
            <w:r w:rsidRPr="00CD3BF5" w:rsidR="00A43657">
              <w:rPr>
                <w:sz w:val="16"/>
                <w:szCs w:val="16"/>
              </w:rPr>
              <w:t>8</w:t>
            </w:r>
            <w:r w:rsidRPr="00CD3BF5">
              <w:rPr>
                <w:sz w:val="16"/>
                <w:szCs w:val="16"/>
              </w:rPr>
              <w:t xml:space="preserve"> 202</w:t>
            </w:r>
            <w:r w:rsidRPr="00CD3BF5" w:rsidR="00AA2D33">
              <w:rPr>
                <w:sz w:val="16"/>
                <w:szCs w:val="16"/>
              </w:rPr>
              <w:t>5</w:t>
            </w:r>
          </w:p>
        </w:tc>
      </w:tr>
      <w:tr w:rsidRPr="004C304C" w:rsidR="004C304C" w:rsidTr="00754321" w14:paraId="5E42288C" w14:textId="7E3FE8A3">
        <w:trPr>
          <w:trHeight w:val="320"/>
        </w:trPr>
        <w:tc>
          <w:tcPr>
            <w:tcW w:w="1841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4C304C" w:rsidR="008333F5" w:rsidP="00D50A6A" w:rsidRDefault="00235E2A" w14:paraId="1DDD8228" w14:textId="0C4AE77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C304C">
              <w:rPr>
                <w:sz w:val="16"/>
                <w:szCs w:val="16"/>
              </w:rPr>
              <w:t xml:space="preserve">liczba </w:t>
            </w:r>
            <w:r w:rsidRPr="004C304C" w:rsidR="008333F5">
              <w:rPr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4C304C" w:rsidR="008333F5" w:rsidP="00E76933" w:rsidRDefault="001C757E" w14:paraId="55D6FA78" w14:textId="2097024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Pr="00CD3BF5" w:rsidR="00A43657">
              <w:rPr>
                <w:sz w:val="16"/>
                <w:szCs w:val="16"/>
              </w:rPr>
              <w:t>7</w:t>
            </w:r>
            <w:r w:rsidRPr="00CD3BF5" w:rsidR="00AE55D2">
              <w:rPr>
                <w:sz w:val="16"/>
                <w:szCs w:val="16"/>
              </w:rPr>
              <w:t xml:space="preserve"> </w:t>
            </w:r>
            <w:r w:rsidRPr="00CD3BF5">
              <w:rPr>
                <w:sz w:val="16"/>
                <w:szCs w:val="16"/>
              </w:rPr>
              <w:t xml:space="preserve">2025=100 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CD3BF5" w:rsidR="008333F5" w:rsidP="00E76933" w:rsidRDefault="001C757E" w14:paraId="3353A171" w14:textId="2941FB7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</w:t>
            </w:r>
            <w:r w:rsidRPr="00CD3BF5" w:rsidR="00A43657">
              <w:rPr>
                <w:sz w:val="16"/>
                <w:szCs w:val="16"/>
              </w:rPr>
              <w:t>8</w:t>
            </w:r>
            <w:r w:rsidRPr="00CD3BF5">
              <w:rPr>
                <w:sz w:val="16"/>
                <w:szCs w:val="16"/>
              </w:rPr>
              <w:t xml:space="preserve"> 2024=100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8333F5" w:rsidP="00C6303B" w:rsidRDefault="00235E2A" w14:paraId="773C0368" w14:textId="25F45440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 xml:space="preserve">liczba </w:t>
            </w:r>
            <w:r w:rsidRPr="00CD3BF5" w:rsidR="008333F5">
              <w:rPr>
                <w:sz w:val="16"/>
                <w:szCs w:val="16"/>
              </w:rPr>
              <w:t>mieszkań</w:t>
            </w:r>
          </w:p>
        </w:tc>
        <w:tc>
          <w:tcPr>
            <w:tcW w:w="1304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CD3BF5" w:rsidR="00C83BAD" w:rsidP="00C6303B" w:rsidRDefault="008333F5" w14:paraId="2950640F" w14:textId="7F7565D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01</w:t>
            </w:r>
            <w:r w:rsidRPr="00CD3BF5" w:rsidR="00EB36AC">
              <w:rPr>
                <w:sz w:val="16"/>
                <w:szCs w:val="16"/>
              </w:rPr>
              <w:t>–</w:t>
            </w:r>
            <w:r w:rsidRPr="00CD3BF5" w:rsidR="00AA2D33">
              <w:rPr>
                <w:sz w:val="16"/>
                <w:szCs w:val="16"/>
              </w:rPr>
              <w:t>0</w:t>
            </w:r>
            <w:r w:rsidRPr="00CD3BF5" w:rsidR="00A43657">
              <w:rPr>
                <w:sz w:val="16"/>
                <w:szCs w:val="16"/>
              </w:rPr>
              <w:t>8</w:t>
            </w:r>
            <w:r w:rsidRPr="00CD3BF5">
              <w:rPr>
                <w:sz w:val="16"/>
                <w:szCs w:val="16"/>
              </w:rPr>
              <w:t xml:space="preserve"> </w:t>
            </w:r>
          </w:p>
          <w:p w:rsidRPr="00CD3BF5" w:rsidR="008333F5" w:rsidP="00AA2D33" w:rsidRDefault="008333F5" w14:paraId="74CCB7F6" w14:textId="6E131A5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CD3BF5">
              <w:rPr>
                <w:sz w:val="16"/>
                <w:szCs w:val="16"/>
              </w:rPr>
              <w:t>202</w:t>
            </w:r>
            <w:r w:rsidRPr="00CD3BF5" w:rsidR="00AA2D33">
              <w:rPr>
                <w:sz w:val="16"/>
                <w:szCs w:val="16"/>
              </w:rPr>
              <w:t>4</w:t>
            </w:r>
            <w:r w:rsidRPr="00CD3BF5">
              <w:rPr>
                <w:sz w:val="16"/>
                <w:szCs w:val="16"/>
              </w:rPr>
              <w:t>=100</w:t>
            </w:r>
          </w:p>
        </w:tc>
      </w:tr>
      <w:tr w:rsidRPr="004C304C" w:rsidR="004C304C" w:rsidTr="00754321" w14:paraId="54BD83DF" w14:textId="6CBA5738">
        <w:trPr>
          <w:trHeight w:val="75"/>
        </w:trPr>
        <w:tc>
          <w:tcPr>
            <w:tcW w:w="1841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b/>
                <w:sz w:val="16"/>
                <w:szCs w:val="16"/>
              </w:rPr>
              <w:t>Ogółem</w:t>
            </w:r>
          </w:p>
        </w:tc>
        <w:tc>
          <w:tcPr>
            <w:tcW w:w="99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A30CD2" w:rsidRDefault="00A40F96" w14:paraId="2D409241" w14:textId="4B3C786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16 057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986164" w14:paraId="213785BB" w14:textId="2306AF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81</w:t>
            </w:r>
            <w:r w:rsidRPr="00CD3BF5" w:rsidR="00A40F9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,</w:t>
            </w: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A30CD2" w:rsidRDefault="00A40F96" w14:paraId="6A1220A9" w14:textId="3FD07D8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80,7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5C1C3076" w14:textId="39B2813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146 449</w:t>
            </w:r>
          </w:p>
        </w:tc>
        <w:tc>
          <w:tcPr>
            <w:tcW w:w="130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57685A" w14:paraId="43B0ED1D" w14:textId="634A047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9</w:t>
            </w:r>
            <w:r w:rsidRPr="00CD3BF5" w:rsidR="00A40F96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0,3</w:t>
            </w:r>
          </w:p>
        </w:tc>
      </w:tr>
      <w:tr w:rsidRPr="004C304C" w:rsidR="004C304C" w:rsidTr="00754321" w14:paraId="35D57DCE" w14:textId="75854F6B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>Indywidualne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A30CD2" w:rsidRDefault="00A40F96" w14:paraId="0AB6536E" w14:textId="041AC5E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7 012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986164" w14:paraId="0FAB4A60" w14:textId="7D7D70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90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A30CD2" w:rsidRDefault="00A30CD2" w14:paraId="39510D2E" w14:textId="426577EE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1,1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727381B8" w14:textId="7BE866F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55 249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D606EE" w14:paraId="1644AC91" w14:textId="391EEAC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57685A"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  <w:r w:rsidRPr="00CD3BF5" w:rsidR="00282E36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887145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</w:tr>
      <w:tr w:rsidRPr="004C304C" w:rsidR="004C304C" w:rsidTr="00754321" w14:paraId="5DEDAA89" w14:textId="639CF158">
        <w:trPr>
          <w:trHeight w:val="224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Przeznaczone na </w:t>
            </w:r>
            <w:r w:rsidRPr="004C304C">
              <w:rPr>
                <w:rFonts w:eastAsiaTheme="majorEastAsia" w:cstheme="majorBidi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A30CD2" w:rsidRDefault="00A40F96" w14:paraId="1835EA14" w14:textId="1C3336C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cs="Arial"/>
                <w:sz w:val="16"/>
                <w:szCs w:val="16"/>
              </w:rPr>
              <w:t>8 334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986164" w14:paraId="6761CE11" w14:textId="7580108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70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A30CD2" w:rsidRDefault="00A40F96" w14:paraId="2E2B42FC" w14:textId="0064340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65,1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6099AD62" w14:textId="780F2F25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88 515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57685A" w14:paraId="16E39F6D" w14:textId="320367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CD3BF5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</w:tr>
      <w:tr w:rsidRPr="004C304C" w:rsidR="004C304C" w:rsidTr="00754321" w14:paraId="01F6F875" w14:textId="3567E600">
        <w:trPr>
          <w:trHeight w:val="23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sz w:val="16"/>
                <w:szCs w:val="16"/>
                <w:vertAlign w:val="superscript"/>
              </w:rPr>
            </w:pPr>
            <w:r w:rsidRPr="004C304C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CA1DC0" w:rsidRDefault="00A40F96" w14:paraId="7756A2E0" w14:textId="1011E31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986164" w14:paraId="51B35CE5" w14:textId="609780C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440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CD3BF5" w:rsidR="002D75A9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512BA6" w:rsidRDefault="00A40F96" w14:paraId="68FF8EC9" w14:textId="7DDC1D9D">
            <w:pPr>
              <w:spacing w:after="0" w:line="240" w:lineRule="auto"/>
              <w:ind w:hanging="272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881,8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6D6E5CD9" w14:textId="6E0020EF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60954" w14:paraId="6DEF59D3" w14:textId="093B775C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43</w:t>
            </w:r>
            <w:r w:rsidRPr="00CD3BF5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</w:tr>
      <w:tr w:rsidRPr="004C304C" w:rsidR="004C304C" w:rsidTr="00754321" w14:paraId="06341447" w14:textId="1255ECF7">
        <w:trPr>
          <w:trHeight w:val="458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sz w:val="16"/>
                <w:szCs w:val="16"/>
              </w:rPr>
            </w:pPr>
            <w:r w:rsidRPr="004C304C">
              <w:rPr>
                <w:rFonts w:cstheme="majorBidi"/>
                <w:sz w:val="16"/>
                <w:szCs w:val="16"/>
              </w:rPr>
              <w:t>Spółdzielcze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880B81" w:rsidRDefault="00CA1DC0" w14:paraId="5869A772" w14:textId="03D3FE8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2D75A9" w:rsidRDefault="00CA1DC0" w14:paraId="6849A1E5" w14:textId="1DB2774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1C757E" w:rsidRDefault="000D18F5" w14:paraId="6BD4B417" w14:textId="476ACF4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0D18F5" w:rsidRDefault="000D18F5" w14:paraId="4127E5B9" w14:textId="6A489F7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57685A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5F3979" w:rsidRDefault="00887145" w14:paraId="05707635" w14:textId="751CADB4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  <w:r w:rsidRPr="00CD3BF5" w:rsidR="00A60954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363EB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5F3979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</w:tr>
      <w:tr w:rsidRPr="004C304C" w:rsidR="004C304C" w:rsidTr="00754321" w14:paraId="2EC3ADE8" w14:textId="467384C1">
        <w:trPr>
          <w:trHeight w:val="381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8333F5" w:rsidP="00D50A6A" w:rsidRDefault="008333F5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Komunalne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D27049" w:rsidRDefault="00A40F96" w14:paraId="25ADC88D" w14:textId="4841153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8333F5" w:rsidP="00986164" w:rsidRDefault="00986164" w14:paraId="16F3A144" w14:textId="7FCB383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178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8333F5" w:rsidP="00754321" w:rsidRDefault="00FE40F5" w14:paraId="1B7E7197" w14:textId="7DA8F24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 xml:space="preserve">prawie 13- </w:t>
            </w:r>
            <w:r w:rsidRPr="00CD3BF5" w:rsidR="00754321">
              <w:rPr>
                <w:rFonts w:eastAsia="Times New Roman" w:cs="Calibri"/>
                <w:sz w:val="16"/>
                <w:szCs w:val="16"/>
                <w:lang w:eastAsia="pl-PL"/>
              </w:rPr>
              <w:t>krotnie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 xml:space="preserve"> 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40F96" w14:paraId="7826D954" w14:textId="466904A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8333F5" w:rsidP="00A30CD2" w:rsidRDefault="00A30CD2" w14:paraId="58B8AE1D" w14:textId="6A41749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66</w:t>
            </w:r>
            <w:r w:rsidRPr="00CD3BF5" w:rsidR="00D606EE">
              <w:rPr>
                <w:rFonts w:eastAsia="Times New Roman" w:cs="Calibri"/>
                <w:sz w:val="16"/>
                <w:szCs w:val="16"/>
                <w:lang w:eastAsia="pl-PL"/>
              </w:rPr>
              <w:t>,</w:t>
            </w:r>
            <w:r w:rsidRPr="00CD3BF5" w:rsidR="00A40F96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</w:tr>
      <w:tr w:rsidRPr="004C304C" w:rsidR="004C304C" w:rsidTr="00754321" w14:paraId="4A5A6771" w14:textId="3FFC6BBF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442090" w:rsidP="00442090" w:rsidRDefault="00442090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Społeczne czynszowe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442090" w:rsidP="00A30CD2" w:rsidRDefault="00A40F96" w14:paraId="4B7BD0F9" w14:textId="7C3FF6C6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754321" w:rsidRDefault="00FE40F5" w14:paraId="139C1F73" w14:textId="15EEB72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 xml:space="preserve">ponad 26- </w:t>
            </w:r>
            <w:r w:rsidRPr="00CD3BF5" w:rsidR="00754321">
              <w:rPr>
                <w:rFonts w:eastAsia="Times New Roman" w:cs="Calibri"/>
                <w:sz w:val="16"/>
                <w:szCs w:val="16"/>
                <w:lang w:eastAsia="pl-PL"/>
              </w:rPr>
              <w:t>krotnie</w:t>
            </w: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 xml:space="preserve"> więcej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442090" w:rsidP="00ED6551" w:rsidRDefault="00A40F96" w14:paraId="676F4728" w14:textId="22D5C71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392,9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A30CD2" w:rsidRDefault="00A40F96" w14:paraId="28624691" w14:textId="1810932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1 761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A30CD2" w:rsidRDefault="00A40F96" w14:paraId="51BE56BA" w14:textId="37883307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97,0</w:t>
            </w:r>
          </w:p>
        </w:tc>
      </w:tr>
      <w:tr w:rsidRPr="004C304C" w:rsidR="004C304C" w:rsidTr="00754321" w14:paraId="5C865AF3" w14:textId="0E11FD55">
        <w:trPr>
          <w:trHeight w:val="75"/>
        </w:trPr>
        <w:tc>
          <w:tcPr>
            <w:tcW w:w="1841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4C304C" w:rsidR="00442090" w:rsidP="00442090" w:rsidRDefault="00442090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sz w:val="16"/>
                <w:szCs w:val="16"/>
              </w:rPr>
            </w:pPr>
            <w:r w:rsidRPr="004C304C">
              <w:rPr>
                <w:rFonts w:eastAsiaTheme="majorEastAsia" w:cstheme="majorBidi"/>
                <w:iCs/>
                <w:sz w:val="16"/>
                <w:szCs w:val="16"/>
              </w:rPr>
              <w:t>Zakładowe</w:t>
            </w:r>
          </w:p>
        </w:tc>
        <w:tc>
          <w:tcPr>
            <w:tcW w:w="99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442090" w:rsidP="00442090" w:rsidRDefault="002F3ABB" w14:paraId="58D62214" w14:textId="13733831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CD3BF5" w:rsidR="00442090" w:rsidP="001C757E" w:rsidRDefault="001C757E" w14:paraId="29E62BB0" w14:textId="6320B38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CD3BF5" w:rsidR="00442090" w:rsidP="001C757E" w:rsidRDefault="000D18F5" w14:paraId="7E26D148" w14:textId="5BE3CC73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1870AD" w:rsidRDefault="00A60954" w14:paraId="10522F3F" w14:textId="444820DB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30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vAlign w:val="center"/>
          </w:tcPr>
          <w:p w:rsidRPr="00CD3BF5" w:rsidR="00442090" w:rsidP="00282E36" w:rsidRDefault="00A46ED5" w14:paraId="63305E99" w14:textId="754FFC92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D3BF5">
              <w:rPr>
                <w:rFonts w:eastAsia="Times New Roman" w:cs="Calibri"/>
                <w:sz w:val="16"/>
                <w:szCs w:val="16"/>
                <w:lang w:eastAsia="pl-PL"/>
              </w:rPr>
              <w:t>217,6</w:t>
            </w:r>
          </w:p>
        </w:tc>
      </w:tr>
    </w:tbl>
    <w:p w:rsidRPr="003B6273" w:rsidR="00AC280D" w:rsidP="00C87844" w:rsidRDefault="00D85BA8" w14:paraId="295C0D0C" w14:textId="0DFC8FC2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551E7E" w:rsidR="00127B83">
        <w:rPr>
          <w:color w:val="000000" w:themeColor="text1"/>
          <w:shd w:val="clear" w:color="auto" w:fill="FFFFFF"/>
        </w:rPr>
        <w:lastRenderedPageBreak/>
        <w:t xml:space="preserve">Szacuje się, </w:t>
      </w:r>
      <w:r w:rsidRPr="004C304C" w:rsidR="00127B83">
        <w:rPr>
          <w:shd w:val="clear" w:color="auto" w:fill="FFFFFF"/>
        </w:rPr>
        <w:t xml:space="preserve">że </w:t>
      </w:r>
      <w:r w:rsidRPr="004C304C" w:rsidR="00950844">
        <w:rPr>
          <w:shd w:val="clear" w:color="auto" w:fill="FFFFFF"/>
        </w:rPr>
        <w:t xml:space="preserve">na </w:t>
      </w:r>
      <w:r w:rsidRPr="003B6273" w:rsidR="00950844">
        <w:rPr>
          <w:shd w:val="clear" w:color="auto" w:fill="FFFFFF"/>
        </w:rPr>
        <w:t xml:space="preserve">koniec </w:t>
      </w:r>
      <w:r w:rsidRPr="003B6273" w:rsidR="009E7944">
        <w:rPr>
          <w:shd w:val="clear" w:color="auto" w:fill="FFFFFF"/>
        </w:rPr>
        <w:t>sierpnia</w:t>
      </w:r>
      <w:r w:rsidRPr="003B6273" w:rsidR="00127B83">
        <w:rPr>
          <w:shd w:val="clear" w:color="auto" w:fill="FFFFFF"/>
        </w:rPr>
        <w:t xml:space="preserve"> 202</w:t>
      </w:r>
      <w:r w:rsidRPr="003B6273" w:rsidR="00950844">
        <w:rPr>
          <w:shd w:val="clear" w:color="auto" w:fill="FFFFFF"/>
        </w:rPr>
        <w:t>5</w:t>
      </w:r>
      <w:r w:rsidRPr="003B6273" w:rsidR="00127B83">
        <w:rPr>
          <w:shd w:val="clear" w:color="auto" w:fill="FFFFFF"/>
        </w:rPr>
        <w:t xml:space="preserve"> </w:t>
      </w:r>
      <w:r w:rsidRPr="003B6273" w:rsidR="00EA3FFF">
        <w:rPr>
          <w:shd w:val="clear" w:color="auto" w:fill="FFFFFF"/>
        </w:rPr>
        <w:t xml:space="preserve">r. </w:t>
      </w:r>
      <w:r w:rsidRPr="003B6273" w:rsidR="00127B83">
        <w:rPr>
          <w:shd w:val="clear" w:color="auto" w:fill="FFFFFF"/>
        </w:rPr>
        <w:t>w budowie pozostawało 8</w:t>
      </w:r>
      <w:r w:rsidRPr="003B6273" w:rsidR="00DB5C31">
        <w:rPr>
          <w:shd w:val="clear" w:color="auto" w:fill="FFFFFF"/>
        </w:rPr>
        <w:t>5</w:t>
      </w:r>
      <w:r w:rsidRPr="003B6273" w:rsidR="009E7944">
        <w:rPr>
          <w:shd w:val="clear" w:color="auto" w:fill="FFFFFF"/>
        </w:rPr>
        <w:t>5</w:t>
      </w:r>
      <w:r w:rsidRPr="003B6273" w:rsidR="00127B83">
        <w:rPr>
          <w:shd w:val="clear" w:color="auto" w:fill="FFFFFF"/>
        </w:rPr>
        <w:t>,</w:t>
      </w:r>
      <w:r w:rsidRPr="003B6273" w:rsidR="009E7944">
        <w:rPr>
          <w:shd w:val="clear" w:color="auto" w:fill="FFFFFF"/>
        </w:rPr>
        <w:t>8</w:t>
      </w:r>
      <w:r w:rsidRPr="003B6273" w:rsidR="00127B83">
        <w:rPr>
          <w:shd w:val="clear" w:color="auto" w:fill="FFFFFF"/>
        </w:rPr>
        <w:t xml:space="preserve"> tys. mieszkań, tj. o </w:t>
      </w:r>
      <w:r w:rsidRPr="003B6273" w:rsidR="009E7944">
        <w:rPr>
          <w:shd w:val="clear" w:color="auto" w:fill="FFFFFF"/>
        </w:rPr>
        <w:t>2</w:t>
      </w:r>
      <w:r w:rsidRPr="003B6273" w:rsidR="00603637">
        <w:rPr>
          <w:shd w:val="clear" w:color="auto" w:fill="FFFFFF"/>
        </w:rPr>
        <w:t>,</w:t>
      </w:r>
      <w:r w:rsidRPr="003B6273" w:rsidR="009E7944">
        <w:rPr>
          <w:shd w:val="clear" w:color="auto" w:fill="FFFFFF"/>
        </w:rPr>
        <w:t>6</w:t>
      </w:r>
      <w:r w:rsidRPr="003B6273" w:rsidR="00127B83">
        <w:rPr>
          <w:shd w:val="clear" w:color="auto" w:fill="FFFFFF"/>
        </w:rPr>
        <w:t xml:space="preserve">% </w:t>
      </w:r>
      <w:r w:rsidRPr="003B6273" w:rsidR="002502B0">
        <w:rPr>
          <w:shd w:val="clear" w:color="auto" w:fill="FFFFFF"/>
        </w:rPr>
        <w:t>więcej</w:t>
      </w:r>
      <w:r w:rsidRPr="003B6273" w:rsidR="00127B83">
        <w:rPr>
          <w:shd w:val="clear" w:color="auto" w:fill="FFFFFF"/>
        </w:rPr>
        <w:t xml:space="preserve"> niż </w:t>
      </w:r>
      <w:r w:rsidRPr="003B6273" w:rsidR="00630BAF">
        <w:rPr>
          <w:shd w:val="clear" w:color="auto" w:fill="FFFFFF"/>
        </w:rPr>
        <w:t xml:space="preserve">na koniec analogicznego miesiąca </w:t>
      </w:r>
      <w:r w:rsidRPr="003B6273" w:rsidR="00127B83">
        <w:rPr>
          <w:shd w:val="clear" w:color="auto" w:fill="FFFFFF"/>
        </w:rPr>
        <w:t>202</w:t>
      </w:r>
      <w:r w:rsidRPr="003B6273" w:rsidR="00950844">
        <w:rPr>
          <w:shd w:val="clear" w:color="auto" w:fill="FFFFFF"/>
        </w:rPr>
        <w:t>4</w:t>
      </w:r>
      <w:r w:rsidRPr="003B6273" w:rsidR="00127B83">
        <w:rPr>
          <w:shd w:val="clear" w:color="auto" w:fill="FFFFFF"/>
        </w:rPr>
        <w:t xml:space="preserve"> r.</w:t>
      </w:r>
    </w:p>
    <w:p w:rsidR="00472B00" w:rsidP="0056483A" w:rsidRDefault="005618CE" w14:paraId="4B6D46FF" w14:textId="612E587F">
      <w:pPr>
        <w:pStyle w:val="Tytuwykresu0"/>
        <w:spacing w:after="0"/>
        <w:rPr>
          <w:rFonts w:ascii="Fira Sans" w:hAnsi="Fira Sans"/>
          <w:sz w:val="18"/>
          <w:szCs w:val="18"/>
        </w:rPr>
      </w:pPr>
      <w:r>
        <w:rPr>
          <w:rFonts w:ascii="Fira Sans" w:hAnsi="Fira Sans"/>
          <w:sz w:val="18"/>
          <w:szCs w:val="18"/>
        </w:rPr>
        <w:drawing>
          <wp:anchor distT="0" distB="0" distL="114300" distR="114300" simplePos="0" relativeHeight="251795456" behindDoc="1" locked="0" layoutInCell="1" allowOverlap="1" wp14:editId="7DD6181D" wp14:anchorId="6B492B41">
            <wp:simplePos x="0" y="0"/>
            <wp:positionH relativeFrom="margin">
              <wp:posOffset>3976</wp:posOffset>
            </wp:positionH>
            <wp:positionV relativeFrom="paragraph">
              <wp:posOffset>162450</wp:posOffset>
            </wp:positionV>
            <wp:extent cx="5117057" cy="3235867"/>
            <wp:effectExtent l="0" t="0" r="7620" b="3175"/>
            <wp:wrapNone/>
            <wp:doc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kres 1. Liczba mieszkań oddanych do użytkowania, liczba mieszkań, na których budowę wydano pozwolenia lub dokonano zgłoszenia z projektem budowlanym oraz liczba mieszkań, których budowę rozpoczęto w poszczególnych miesiącach lat  2021, 2022, 2023, 2024 i 2025.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7057" cy="3235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355C3E"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6988E5BE" wp14:anchorId="7498203B">
                <wp:simplePos x="0" y="0"/>
                <wp:positionH relativeFrom="page">
                  <wp:posOffset>5695950</wp:posOffset>
                </wp:positionH>
                <wp:positionV relativeFrom="paragraph">
                  <wp:posOffset>300355</wp:posOffset>
                </wp:positionV>
                <wp:extent cx="1717040" cy="1714500"/>
                <wp:effectExtent l="0" t="0" r="0" b="0"/>
                <wp:wrapSquare wrapText="bothSides"/>
                <wp:docPr id="4" name="Pole tekstowe 2" descr="W sierpniu 2025 r., w porównaniu z poprzednim miesiącem spadła liczba mieszkań, na których budowę wydano pozwolenia (o 26,7%), liczba mieszkań, których budowę rozpoczęto (o 18,3%) oraz liczba mieszkań oddanych do użytkowania (o 16,3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2009" w:rsidR="002405BE" w:rsidP="001C4C62" w:rsidRDefault="002405BE" w14:paraId="30A018ED" w14:textId="7CC36865">
                            <w:pPr>
                              <w:pStyle w:val="tekstzboku"/>
                            </w:pPr>
                            <w:r w:rsidRPr="00CD2009">
                              <w:t>W</w:t>
                            </w:r>
                            <w:r w:rsidRPr="00CD2009" w:rsidR="007B643F">
                              <w:t xml:space="preserve"> </w:t>
                            </w:r>
                            <w:r w:rsidRPr="00CD2009" w:rsidR="009E7944">
                              <w:t>sierpniu</w:t>
                            </w:r>
                            <w:r w:rsidRPr="00CD2009" w:rsidR="00130CD6">
                              <w:t xml:space="preserve"> </w:t>
                            </w:r>
                            <w:r w:rsidRPr="00CD2009">
                              <w:t>202</w:t>
                            </w:r>
                            <w:r w:rsidRPr="00CD2009" w:rsidR="00C52DA1">
                              <w:t>5</w:t>
                            </w:r>
                            <w:r w:rsidRPr="00CD2009">
                              <w:t xml:space="preserve"> r</w:t>
                            </w:r>
                            <w:r w:rsidRPr="00CD2009" w:rsidR="000F3739">
                              <w:t>.</w:t>
                            </w:r>
                            <w:r w:rsidRPr="00CD2009" w:rsidR="009E6287">
                              <w:t xml:space="preserve"> </w:t>
                            </w:r>
                            <w:r w:rsidRPr="00CD2009">
                              <w:t>w</w:t>
                            </w:r>
                            <w:r w:rsidRPr="00CD2009" w:rsidR="00736C29">
                              <w:t> </w:t>
                            </w:r>
                            <w:r w:rsidRPr="00CD2009">
                              <w:t xml:space="preserve">porównaniu </w:t>
                            </w:r>
                            <w:r w:rsidRPr="00CD2009" w:rsidR="009E6287">
                              <w:t xml:space="preserve">z poprzednim </w:t>
                            </w:r>
                            <w:r w:rsidRPr="00CD2009" w:rsidR="009D7FA5">
                              <w:t>miesiąc</w:t>
                            </w:r>
                            <w:r w:rsidRPr="00CD2009" w:rsidR="009E6287">
                              <w:t>em</w:t>
                            </w:r>
                            <w:r w:rsidR="00E63BAD">
                              <w:t xml:space="preserve"> </w:t>
                            </w:r>
                            <w:r w:rsidRPr="00CD2009" w:rsidR="00E63BAD">
                              <w:t>spadła</w:t>
                            </w:r>
                            <w:r w:rsidR="00E63BAD">
                              <w:t>:</w:t>
                            </w:r>
                            <w:r w:rsidRPr="00CD2009">
                              <w:t xml:space="preserve"> </w:t>
                            </w:r>
                            <w:r w:rsidRPr="00CD2009" w:rsidR="00C56318">
                              <w:t>liczba mieszkań</w:t>
                            </w:r>
                            <w:r w:rsidRPr="00CD2009" w:rsidR="00847C9D">
                              <w:t xml:space="preserve">, na których budowę wydano pozwolenia (o </w:t>
                            </w:r>
                            <w:r w:rsidRPr="00CD2009" w:rsidR="004527E1">
                              <w:t>26</w:t>
                            </w:r>
                            <w:r w:rsidRPr="00CD2009" w:rsidR="00847C9D">
                              <w:t>,</w:t>
                            </w:r>
                            <w:r w:rsidRPr="00CD2009" w:rsidR="004527E1">
                              <w:t>7</w:t>
                            </w:r>
                            <w:r w:rsidRPr="00CD2009" w:rsidR="00847C9D">
                              <w:t>%),</w:t>
                            </w:r>
                            <w:r w:rsidRPr="00CD2009" w:rsidR="00C56318">
                              <w:t xml:space="preserve"> </w:t>
                            </w:r>
                            <w:r w:rsidRPr="00CD2009" w:rsidR="005257D5">
                              <w:t xml:space="preserve">liczba mieszkań, </w:t>
                            </w:r>
                            <w:r w:rsidRPr="00CD2009" w:rsidR="00847C9D">
                              <w:t>których budowę rozpoczęto (o </w:t>
                            </w:r>
                            <w:r w:rsidRPr="00CD2009" w:rsidR="004527E1">
                              <w:t>18</w:t>
                            </w:r>
                            <w:r w:rsidRPr="00CD2009" w:rsidR="00847C9D">
                              <w:t>,</w:t>
                            </w:r>
                            <w:r w:rsidRPr="00CD2009" w:rsidR="004527E1">
                              <w:t>3</w:t>
                            </w:r>
                            <w:r w:rsidRPr="00CD2009" w:rsidR="00847C9D">
                              <w:t>%) oraz</w:t>
                            </w:r>
                            <w:r w:rsidRPr="00CD2009" w:rsidR="005257D5">
                              <w:t xml:space="preserve"> liczba mieszkań</w:t>
                            </w:r>
                            <w:r w:rsidRPr="00CD2009" w:rsidR="00847C9D">
                              <w:t xml:space="preserve"> </w:t>
                            </w:r>
                            <w:r w:rsidRPr="00CD2009" w:rsidR="00C56318">
                              <w:t>oddanych do użytkowania (o </w:t>
                            </w:r>
                            <w:r w:rsidRPr="00CD2009" w:rsidR="00847C9D">
                              <w:t>1</w:t>
                            </w:r>
                            <w:r w:rsidRPr="00CD2009" w:rsidR="00C56318">
                              <w:t>6,</w:t>
                            </w:r>
                            <w:r w:rsidRPr="00CD2009" w:rsidR="004527E1">
                              <w:t>3</w:t>
                            </w:r>
                            <w:r w:rsidRPr="00CD2009" w:rsidR="00C56318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98203B">
                <v:stroke joinstyle="miter"/>
                <v:path gradientshapeok="t" o:connecttype="rect"/>
              </v:shapetype>
              <v:shape id="_x0000_s1028" style="position:absolute;margin-left:448.5pt;margin-top:23.65pt;width:135.2pt;height:13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ierpniu 2025 r., w porównaniu z poprzednim miesiącem spadła liczba mieszkań, na których budowę wydano pozwolenia (o 26,7%), liczba mieszkań, których budowę rozpoczęto (o 18,3%) oraz liczba mieszkań oddanych do użytkowania (o 16,3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">
                <v:textbox>
                  <w:txbxContent>
                    <w:p w:rsidRPr="00CD2009" w:rsidR="002405BE" w:rsidP="001C4C62" w:rsidRDefault="002405BE" w14:paraId="30A018ED" w14:textId="7CC36865">
                      <w:pPr>
                        <w:pStyle w:val="tekstzboku"/>
                      </w:pPr>
                      <w:r w:rsidRPr="00CD2009">
                        <w:t>W</w:t>
                      </w:r>
                      <w:r w:rsidRPr="00CD2009" w:rsidR="007B643F">
                        <w:t xml:space="preserve"> </w:t>
                      </w:r>
                      <w:r w:rsidRPr="00CD2009" w:rsidR="009E7944">
                        <w:t>sierpniu</w:t>
                      </w:r>
                      <w:r w:rsidRPr="00CD2009" w:rsidR="00130CD6">
                        <w:t xml:space="preserve"> </w:t>
                      </w:r>
                      <w:r w:rsidRPr="00CD2009">
                        <w:t>202</w:t>
                      </w:r>
                      <w:r w:rsidRPr="00CD2009" w:rsidR="00C52DA1">
                        <w:t>5</w:t>
                      </w:r>
                      <w:r w:rsidRPr="00CD2009">
                        <w:t xml:space="preserve"> r</w:t>
                      </w:r>
                      <w:r w:rsidRPr="00CD2009" w:rsidR="000F3739">
                        <w:t>.</w:t>
                      </w:r>
                      <w:r w:rsidRPr="00CD2009" w:rsidR="009E6287">
                        <w:t xml:space="preserve"> </w:t>
                      </w:r>
                      <w:r w:rsidRPr="00CD2009">
                        <w:t>w</w:t>
                      </w:r>
                      <w:r w:rsidRPr="00CD2009" w:rsidR="00736C29">
                        <w:t> </w:t>
                      </w:r>
                      <w:r w:rsidRPr="00CD2009">
                        <w:t xml:space="preserve">porównaniu </w:t>
                      </w:r>
                      <w:r w:rsidRPr="00CD2009" w:rsidR="009E6287">
                        <w:t xml:space="preserve">z poprzednim </w:t>
                      </w:r>
                      <w:r w:rsidRPr="00CD2009" w:rsidR="009D7FA5">
                        <w:t>miesiąc</w:t>
                      </w:r>
                      <w:r w:rsidRPr="00CD2009" w:rsidR="009E6287">
                        <w:t>em</w:t>
                      </w:r>
                      <w:r w:rsidR="00E63BAD">
                        <w:t xml:space="preserve"> </w:t>
                      </w:r>
                      <w:r w:rsidRPr="00CD2009" w:rsidR="00E63BAD">
                        <w:t>spadła</w:t>
                      </w:r>
                      <w:r w:rsidR="00E63BAD">
                        <w:t>:</w:t>
                      </w:r>
                      <w:r w:rsidRPr="00CD2009">
                        <w:t xml:space="preserve"> </w:t>
                      </w:r>
                      <w:r w:rsidRPr="00CD2009" w:rsidR="00C56318">
                        <w:t>liczba mieszkań</w:t>
                      </w:r>
                      <w:r w:rsidRPr="00CD2009" w:rsidR="00847C9D">
                        <w:t xml:space="preserve">, na których budowę wydano pozwolenia (o </w:t>
                      </w:r>
                      <w:r w:rsidRPr="00CD2009" w:rsidR="004527E1">
                        <w:t>26</w:t>
                      </w:r>
                      <w:r w:rsidRPr="00CD2009" w:rsidR="00847C9D">
                        <w:t>,</w:t>
                      </w:r>
                      <w:r w:rsidRPr="00CD2009" w:rsidR="004527E1">
                        <w:t>7</w:t>
                      </w:r>
                      <w:r w:rsidRPr="00CD2009" w:rsidR="00847C9D">
                        <w:t>%),</w:t>
                      </w:r>
                      <w:r w:rsidRPr="00CD2009" w:rsidR="00C56318">
                        <w:t xml:space="preserve"> </w:t>
                      </w:r>
                      <w:r w:rsidRPr="00CD2009" w:rsidR="005257D5">
                        <w:t xml:space="preserve">liczba mieszkań, </w:t>
                      </w:r>
                      <w:r w:rsidRPr="00CD2009" w:rsidR="00847C9D">
                        <w:t>których budowę rozpoczęto (o </w:t>
                      </w:r>
                      <w:r w:rsidRPr="00CD2009" w:rsidR="004527E1">
                        <w:t>18</w:t>
                      </w:r>
                      <w:r w:rsidRPr="00CD2009" w:rsidR="00847C9D">
                        <w:t>,</w:t>
                      </w:r>
                      <w:r w:rsidRPr="00CD2009" w:rsidR="004527E1">
                        <w:t>3</w:t>
                      </w:r>
                      <w:r w:rsidRPr="00CD2009" w:rsidR="00847C9D">
                        <w:t>%) oraz</w:t>
                      </w:r>
                      <w:r w:rsidRPr="00CD2009" w:rsidR="005257D5">
                        <w:t xml:space="preserve"> liczba mieszkań</w:t>
                      </w:r>
                      <w:r w:rsidRPr="00CD2009" w:rsidR="00847C9D">
                        <w:t xml:space="preserve"> </w:t>
                      </w:r>
                      <w:r w:rsidRPr="00CD2009" w:rsidR="00C56318">
                        <w:t>oddanych do użytkowania (o </w:t>
                      </w:r>
                      <w:r w:rsidRPr="00CD2009" w:rsidR="00847C9D">
                        <w:t>1</w:t>
                      </w:r>
                      <w:r w:rsidRPr="00CD2009" w:rsidR="00C56318">
                        <w:t>6,</w:t>
                      </w:r>
                      <w:r w:rsidRPr="00CD2009" w:rsidR="004527E1">
                        <w:t>3</w:t>
                      </w:r>
                      <w:r w:rsidRPr="00CD2009" w:rsidR="00C56318"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C6761" w:rsidR="00CD6D30">
        <w:rPr>
          <w:rFonts w:ascii="Fira Sans" w:hAnsi="Fira Sans"/>
          <w:sz w:val="18"/>
          <w:szCs w:val="18"/>
        </w:rPr>
        <w:t xml:space="preserve">Wykres 1. </w:t>
      </w:r>
      <w:r w:rsidRPr="005254C9" w:rsidR="00246E54">
        <w:rPr>
          <w:rFonts w:ascii="Fira Sans" w:hAnsi="Fira Sans"/>
          <w:sz w:val="18"/>
          <w:szCs w:val="18"/>
        </w:rPr>
        <w:t>Budownictwo mieszkaniowe w Polsce</w:t>
      </w:r>
    </w:p>
    <w:p w:rsidR="00A737E2" w:rsidP="0056483A" w:rsidRDefault="00A737E2" w14:paraId="2B9FA144" w14:textId="6AE77E57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3A5FF473" w14:textId="0BDBA7FF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0E31B353" w14:textId="17CE5FE5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23B93EF0" w14:textId="4A40DDFA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A737E2" w:rsidP="0056483A" w:rsidRDefault="00A737E2" w14:paraId="14B0311E" w14:textId="050F3393">
      <w:pPr>
        <w:pStyle w:val="Tytuwykresu0"/>
        <w:spacing w:after="0"/>
        <w:rPr>
          <w:rFonts w:ascii="Fira Sans" w:hAnsi="Fira Sans"/>
          <w:sz w:val="18"/>
          <w:szCs w:val="18"/>
        </w:rPr>
      </w:pPr>
    </w:p>
    <w:p w:rsidR="00495AC0" w:rsidP="0056483A" w:rsidRDefault="00495AC0" w14:paraId="583AEE28" w14:textId="740671D2">
      <w:pPr>
        <w:pStyle w:val="Tytuwykresu0"/>
        <w:spacing w:after="0"/>
        <w:rPr>
          <w:rFonts w:ascii="Fira Sans" w:hAnsi="Fira Sans"/>
          <w:sz w:val="18"/>
          <w:szCs w:val="18"/>
          <w:highlight w:val="yellow"/>
        </w:rPr>
      </w:pPr>
    </w:p>
    <w:p w:rsidR="003928A6" w:rsidP="003928A6" w:rsidRDefault="003928A6" w14:paraId="4C731AD1" w14:textId="152DEF3B">
      <w:pPr>
        <w:pStyle w:val="Tytuwykresu0"/>
        <w:spacing w:before="0" w:after="0"/>
        <w:rPr>
          <w:rFonts w:ascii="Fira Sans" w:hAnsi="Fira Sans"/>
          <w:sz w:val="18"/>
          <w:szCs w:val="18"/>
          <w:highlight w:val="yellow"/>
        </w:rPr>
      </w:pPr>
    </w:p>
    <w:p w:rsidR="00A737E2" w:rsidP="002628BA" w:rsidRDefault="00A737E2" w14:paraId="61CA56FD" w14:textId="386A1B37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2A780B31" w14:textId="6C0A1546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A737E2" w:rsidP="002628BA" w:rsidRDefault="00A737E2" w14:paraId="5A522420" w14:textId="7B970C81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="001701F7" w:rsidP="002628BA" w:rsidRDefault="001701F7" w14:paraId="66D0C217" w14:textId="71AD40C5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eastAsia="pl-PL"/>
        </w:rPr>
      </w:pPr>
    </w:p>
    <w:p w:rsidRPr="003B6273" w:rsidR="008C2562" w:rsidP="002628BA" w:rsidRDefault="00F21988" w14:paraId="064ED53F" w14:textId="2A58C120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551E7E">
        <w:rPr>
          <w:rFonts w:eastAsia="Times New Roman" w:cs="Times New Roman"/>
          <w:color w:val="000000" w:themeColor="text1"/>
          <w:spacing w:val="-2"/>
          <w:szCs w:val="19"/>
          <w:lang w:eastAsia="pl-PL"/>
        </w:rPr>
        <w:t xml:space="preserve">W </w:t>
      </w:r>
      <w:r w:rsidRPr="004C304C" w:rsidR="00950844">
        <w:rPr>
          <w:rFonts w:eastAsia="Times New Roman" w:cs="Times New Roman"/>
          <w:spacing w:val="-2"/>
          <w:szCs w:val="19"/>
          <w:lang w:eastAsia="pl-PL"/>
        </w:rPr>
        <w:t>okresie stycz</w:t>
      </w:r>
      <w:r w:rsidRPr="004C304C" w:rsidR="008D3440">
        <w:rPr>
          <w:rFonts w:eastAsia="Times New Roman" w:cs="Times New Roman"/>
          <w:spacing w:val="-2"/>
          <w:szCs w:val="19"/>
          <w:lang w:eastAsia="pl-PL"/>
        </w:rPr>
        <w:t>eń</w:t>
      </w:r>
      <w:r w:rsidRPr="003B6273" w:rsidR="008D3440">
        <w:rPr>
          <w:rFonts w:eastAsia="Times New Roman" w:cs="Times New Roman"/>
          <w:spacing w:val="-2"/>
          <w:szCs w:val="19"/>
          <w:lang w:eastAsia="pl-PL"/>
        </w:rPr>
        <w:t>‒</w:t>
      </w:r>
      <w:r w:rsidRPr="003B6273" w:rsidR="004527E1">
        <w:rPr>
          <w:rFonts w:eastAsia="Times New Roman" w:cs="Times New Roman"/>
          <w:spacing w:val="-2"/>
          <w:szCs w:val="19"/>
          <w:lang w:eastAsia="pl-PL"/>
        </w:rPr>
        <w:t>sierpień</w:t>
      </w:r>
      <w:r w:rsidRPr="003B6273" w:rsidR="0095084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>
        <w:rPr>
          <w:rFonts w:eastAsia="Times New Roman" w:cs="Times New Roman"/>
          <w:spacing w:val="-2"/>
          <w:szCs w:val="19"/>
          <w:lang w:eastAsia="pl-PL"/>
        </w:rPr>
        <w:t>202</w:t>
      </w:r>
      <w:r w:rsidRPr="003B6273" w:rsidR="00950844">
        <w:rPr>
          <w:rFonts w:eastAsia="Times New Roman" w:cs="Times New Roman"/>
          <w:spacing w:val="-2"/>
          <w:szCs w:val="19"/>
          <w:lang w:eastAsia="pl-PL"/>
        </w:rPr>
        <w:t>5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r. najw</w:t>
      </w:r>
      <w:r w:rsidRPr="003B6273" w:rsidR="005D595E">
        <w:rPr>
          <w:rFonts w:eastAsia="Times New Roman" w:cs="Times New Roman"/>
          <w:spacing w:val="-2"/>
          <w:szCs w:val="19"/>
          <w:lang w:eastAsia="pl-PL"/>
        </w:rPr>
        <w:t>ięcej</w:t>
      </w:r>
      <w:r w:rsidRPr="003B6273" w:rsidR="007F266A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mieszkań oddanych do użytkowania, 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 xml:space="preserve">rozpoczętych </w:t>
      </w:r>
      <w:r w:rsidRPr="003B6273">
        <w:rPr>
          <w:rFonts w:eastAsia="Times New Roman" w:cs="Times New Roman"/>
          <w:spacing w:val="-2"/>
          <w:szCs w:val="19"/>
          <w:lang w:eastAsia="pl-PL"/>
        </w:rPr>
        <w:t>bud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>ów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oraz wydan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>ych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4A7B18">
        <w:rPr>
          <w:rFonts w:eastAsia="Times New Roman" w:cs="Times New Roman"/>
          <w:spacing w:val="-2"/>
          <w:szCs w:val="19"/>
          <w:lang w:eastAsia="pl-PL"/>
        </w:rPr>
        <w:t>pozwoleń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BF627B">
        <w:rPr>
          <w:rFonts w:eastAsia="Times New Roman" w:cs="Times New Roman"/>
          <w:spacing w:val="-2"/>
          <w:szCs w:val="19"/>
          <w:lang w:eastAsia="pl-PL"/>
        </w:rPr>
        <w:t xml:space="preserve">na budowę 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odnotowano w województwie mazowieckim (odpowiednio: 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2</w:t>
      </w:r>
      <w:r w:rsidRPr="003B6273" w:rsidR="004527E1">
        <w:rPr>
          <w:rFonts w:eastAsia="Times New Roman" w:cs="Times New Roman"/>
          <w:spacing w:val="-2"/>
          <w:szCs w:val="19"/>
          <w:lang w:eastAsia="pl-PL"/>
        </w:rPr>
        <w:t>6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4527E1">
        <w:rPr>
          <w:rFonts w:eastAsia="Times New Roman" w:cs="Times New Roman"/>
          <w:spacing w:val="-2"/>
          <w:szCs w:val="19"/>
          <w:lang w:eastAsia="pl-PL"/>
        </w:rPr>
        <w:t>9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213A81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3B6273" w:rsidR="00496BC5">
        <w:rPr>
          <w:rFonts w:eastAsia="Times New Roman" w:cs="Times New Roman"/>
          <w:spacing w:val="-2"/>
          <w:szCs w:val="19"/>
          <w:lang w:eastAsia="pl-PL"/>
        </w:rPr>
        <w:t>2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8</w:t>
      </w:r>
      <w:r w:rsidRPr="003B6273" w:rsidR="00AF45BA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9</w:t>
      </w:r>
      <w:r w:rsidRPr="003B6273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3B6273" w:rsidR="00130CD6">
        <w:rPr>
          <w:rFonts w:eastAsia="Times New Roman" w:cs="Times New Roman"/>
          <w:spacing w:val="-2"/>
          <w:szCs w:val="19"/>
          <w:lang w:eastAsia="pl-PL"/>
        </w:rPr>
        <w:t xml:space="preserve">, 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30</w:t>
      </w:r>
      <w:r w:rsidRPr="003B6273" w:rsidR="00130CD6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6</w:t>
      </w:r>
      <w:r w:rsidRPr="003B6273" w:rsidR="00130CD6">
        <w:rPr>
          <w:rFonts w:eastAsia="Times New Roman" w:cs="Times New Roman"/>
          <w:spacing w:val="-2"/>
          <w:szCs w:val="19"/>
          <w:lang w:eastAsia="pl-PL"/>
        </w:rPr>
        <w:t xml:space="preserve"> tys. </w:t>
      </w:r>
      <w:r w:rsidRPr="003B6273">
        <w:rPr>
          <w:rFonts w:eastAsia="Times New Roman" w:cs="Times New Roman"/>
          <w:spacing w:val="-2"/>
          <w:szCs w:val="19"/>
          <w:lang w:eastAsia="pl-PL"/>
        </w:rPr>
        <w:t>mieszkań)</w:t>
      </w:r>
      <w:r w:rsidRPr="003B6273" w:rsidR="00867F49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 xml:space="preserve"> małopolskim (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1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4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 tys., 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6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2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 tys. i 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9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0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 tys.),</w:t>
      </w:r>
      <w:r w:rsidRPr="003B6273" w:rsidR="00867F49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496BC5">
        <w:rPr>
          <w:rFonts w:eastAsia="Times New Roman" w:cs="Times New Roman"/>
          <w:spacing w:val="-2"/>
          <w:szCs w:val="19"/>
          <w:lang w:eastAsia="pl-PL"/>
        </w:rPr>
        <w:t>wielkopolskim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 xml:space="preserve"> (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3</w:t>
      </w:r>
      <w:r w:rsidRPr="003B6273" w:rsidR="00496BC5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2</w:t>
      </w:r>
      <w:r w:rsidRPr="003B6273" w:rsidR="002B579E">
        <w:rPr>
          <w:rFonts w:eastAsia="Times New Roman" w:cs="Times New Roman"/>
          <w:spacing w:val="-2"/>
          <w:szCs w:val="19"/>
          <w:lang w:eastAsia="pl-PL"/>
        </w:rPr>
        <w:t> 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 xml:space="preserve">tys., 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2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5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> tys. i </w:t>
      </w:r>
      <w:r w:rsidRPr="003B6273" w:rsidR="00444A47">
        <w:rPr>
          <w:rFonts w:eastAsia="Times New Roman" w:cs="Times New Roman"/>
          <w:spacing w:val="-2"/>
          <w:szCs w:val="19"/>
          <w:lang w:eastAsia="pl-PL"/>
        </w:rPr>
        <w:t>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6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7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> tys.)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 xml:space="preserve"> oraz</w:t>
      </w:r>
      <w:r w:rsidRPr="003B6273" w:rsidR="006F4E42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496BC5">
        <w:rPr>
          <w:rFonts w:eastAsia="Times New Roman" w:cs="Times New Roman"/>
          <w:spacing w:val="-2"/>
          <w:szCs w:val="19"/>
          <w:lang w:eastAsia="pl-PL"/>
        </w:rPr>
        <w:t>śląskim</w:t>
      </w:r>
      <w:r w:rsidRPr="003B6273" w:rsidR="009D511B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(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10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4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3B6273" w:rsidR="00356866">
        <w:rPr>
          <w:rFonts w:eastAsia="Times New Roman" w:cs="Times New Roman"/>
          <w:spacing w:val="-2"/>
          <w:szCs w:val="19"/>
          <w:lang w:eastAsia="pl-PL"/>
        </w:rPr>
        <w:t>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3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496BC5">
        <w:rPr>
          <w:rFonts w:eastAsia="Times New Roman" w:cs="Times New Roman"/>
          <w:spacing w:val="-2"/>
          <w:szCs w:val="19"/>
          <w:lang w:eastAsia="pl-PL"/>
        </w:rPr>
        <w:t>5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 xml:space="preserve"> tys. i </w:t>
      </w:r>
      <w:r w:rsidRPr="003B6273" w:rsidR="00444A47">
        <w:rPr>
          <w:rFonts w:eastAsia="Times New Roman" w:cs="Times New Roman"/>
          <w:spacing w:val="-2"/>
          <w:szCs w:val="19"/>
          <w:lang w:eastAsia="pl-PL"/>
        </w:rPr>
        <w:t>1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6</w:t>
      </w:r>
      <w:r w:rsidRPr="003B6273" w:rsidR="005D2DF8">
        <w:rPr>
          <w:rFonts w:eastAsia="Times New Roman" w:cs="Times New Roman"/>
          <w:spacing w:val="-2"/>
          <w:szCs w:val="19"/>
          <w:lang w:eastAsia="pl-PL"/>
        </w:rPr>
        <w:t>,</w:t>
      </w:r>
      <w:r w:rsidRPr="003B6273" w:rsidR="00A17769">
        <w:rPr>
          <w:rFonts w:eastAsia="Times New Roman" w:cs="Times New Roman"/>
          <w:spacing w:val="-2"/>
          <w:szCs w:val="19"/>
          <w:lang w:eastAsia="pl-PL"/>
        </w:rPr>
        <w:t>3</w:t>
      </w:r>
      <w:r w:rsidRPr="003B6273" w:rsidR="00444A47">
        <w:rPr>
          <w:rFonts w:eastAsia="Times New Roman" w:cs="Times New Roman"/>
          <w:spacing w:val="-2"/>
          <w:szCs w:val="19"/>
          <w:lang w:eastAsia="pl-PL"/>
        </w:rPr>
        <w:t xml:space="preserve"> tys.)</w:t>
      </w:r>
      <w:r w:rsidRPr="003B6273" w:rsidR="009C62F3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3B6273" w:rsidR="008C2562" w:rsidP="008C2562" w:rsidRDefault="008C2562" w14:paraId="1CF5D19C" w14:textId="53C8B332">
      <w:pPr>
        <w:rPr>
          <w:rFonts w:eastAsia="Times New Roman" w:cs="Times New Roman"/>
          <w:szCs w:val="19"/>
          <w:lang w:eastAsia="pl-PL"/>
        </w:rPr>
      </w:pPr>
    </w:p>
    <w:p w:rsidRPr="004C304C" w:rsidR="00355C3E" w:rsidP="008C2562" w:rsidRDefault="00A617AC" w14:paraId="7E56BE0B" w14:textId="441B3828">
      <w:pPr>
        <w:tabs>
          <w:tab w:val="left" w:pos="1200"/>
        </w:tabs>
        <w:rPr>
          <w:b/>
          <w:spacing w:val="-2"/>
          <w:sz w:val="18"/>
          <w:szCs w:val="18"/>
        </w:rPr>
      </w:pPr>
      <w:r w:rsidRPr="003B6273">
        <w:rPr>
          <w:b/>
          <w:sz w:val="18"/>
          <w:szCs w:val="18"/>
        </w:rPr>
        <w:t xml:space="preserve">Wykres 2. </w:t>
      </w:r>
      <w:r w:rsidRPr="003B6273" w:rsidR="004507B6">
        <w:rPr>
          <w:b/>
          <w:spacing w:val="-2"/>
          <w:sz w:val="18"/>
          <w:szCs w:val="18"/>
        </w:rPr>
        <w:t>Budownictwo mieszkaniowe według województw w</w:t>
      </w:r>
      <w:r w:rsidRPr="003B6273" w:rsidR="004C6DF8">
        <w:rPr>
          <w:b/>
          <w:spacing w:val="-2"/>
          <w:sz w:val="18"/>
          <w:szCs w:val="18"/>
        </w:rPr>
        <w:t xml:space="preserve"> </w:t>
      </w:r>
      <w:r w:rsidRPr="003B6273" w:rsidR="00950844">
        <w:rPr>
          <w:b/>
          <w:spacing w:val="-2"/>
          <w:sz w:val="18"/>
          <w:szCs w:val="18"/>
        </w:rPr>
        <w:t>okresie styczeń</w:t>
      </w:r>
      <w:r w:rsidRPr="003B6273" w:rsidR="00EA3FFF">
        <w:rPr>
          <w:b/>
          <w:spacing w:val="-2"/>
          <w:sz w:val="18"/>
          <w:szCs w:val="18"/>
        </w:rPr>
        <w:t>‒</w:t>
      </w:r>
      <w:r w:rsidRPr="003B6273" w:rsidR="00A17769">
        <w:rPr>
          <w:b/>
          <w:spacing w:val="-2"/>
          <w:sz w:val="18"/>
          <w:szCs w:val="18"/>
        </w:rPr>
        <w:t>sierpień 20</w:t>
      </w:r>
      <w:r w:rsidRPr="003B6273" w:rsidR="004507B6">
        <w:rPr>
          <w:b/>
          <w:spacing w:val="-2"/>
          <w:sz w:val="18"/>
          <w:szCs w:val="18"/>
        </w:rPr>
        <w:t>2</w:t>
      </w:r>
      <w:r w:rsidRPr="003B6273" w:rsidR="00950844">
        <w:rPr>
          <w:b/>
          <w:spacing w:val="-2"/>
          <w:sz w:val="18"/>
          <w:szCs w:val="18"/>
        </w:rPr>
        <w:t>5</w:t>
      </w:r>
      <w:r w:rsidRPr="003B6273" w:rsidR="00084C7F">
        <w:rPr>
          <w:b/>
          <w:spacing w:val="-2"/>
          <w:sz w:val="18"/>
          <w:szCs w:val="18"/>
        </w:rPr>
        <w:t> </w:t>
      </w:r>
      <w:r w:rsidRPr="003B6273" w:rsidR="004507B6">
        <w:rPr>
          <w:b/>
          <w:spacing w:val="-2"/>
          <w:sz w:val="18"/>
          <w:szCs w:val="18"/>
        </w:rPr>
        <w:t>r</w:t>
      </w:r>
      <w:r w:rsidRPr="004C304C" w:rsidR="004507B6">
        <w:rPr>
          <w:b/>
          <w:spacing w:val="-2"/>
          <w:sz w:val="18"/>
          <w:szCs w:val="18"/>
        </w:rPr>
        <w:t>.</w:t>
      </w:r>
    </w:p>
    <w:p w:rsidR="003928A6" w:rsidP="00355C3E" w:rsidRDefault="00A86C74" w14:paraId="65D7B70E" w14:textId="558F5D34">
      <w:pPr>
        <w:pStyle w:val="Tytuwykresu0"/>
      </w:pPr>
      <w:r>
        <w:drawing>
          <wp:anchor distT="0" distB="0" distL="114300" distR="114300" simplePos="0" relativeHeight="251796480" behindDoc="1" locked="0" layoutInCell="1" allowOverlap="1" wp14:editId="4ED6B08E" wp14:anchorId="6F9F7EEF">
            <wp:simplePos x="0" y="0"/>
            <wp:positionH relativeFrom="margin">
              <wp:align>right</wp:align>
            </wp:positionH>
            <wp:positionV relativeFrom="paragraph">
              <wp:posOffset>46733</wp:posOffset>
            </wp:positionV>
            <wp:extent cx="5115934" cy="4150664"/>
            <wp:effectExtent l="0" t="0" r="8890" b="2540"/>
            <wp:wrapNone/>
            <wp:docPr id="5" name="Obraz 5" descr="Wykres 2. Liczba mieszkań oddanych do użytkowania, liczba mieszkań, na których budowę wydano pozwolenia lub dokonano zgłoszenia z projektem budowlanym oraz liczba mieszkań, których budowę rozpoczęto w okresie styczeń-sierpień 2025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15934" cy="415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E66" w:rsidP="00355C3E" w:rsidRDefault="00A42E66" w14:paraId="76B616A1" w14:textId="50CA232F">
      <w:pPr>
        <w:pStyle w:val="Tytuwykresu0"/>
      </w:pPr>
    </w:p>
    <w:p w:rsidR="00A42E66" w:rsidP="00355C3E" w:rsidRDefault="00A42E66" w14:paraId="428F28E2" w14:textId="511798C9">
      <w:pPr>
        <w:pStyle w:val="Tytuwykresu0"/>
      </w:pPr>
    </w:p>
    <w:p w:rsidR="00A42E66" w:rsidP="00355C3E" w:rsidRDefault="00A42E66" w14:paraId="09202C77" w14:textId="7AB2A529">
      <w:pPr>
        <w:pStyle w:val="Tytuwykresu0"/>
      </w:pPr>
    </w:p>
    <w:p w:rsidR="00A42E66" w:rsidP="00355C3E" w:rsidRDefault="00A42E66" w14:paraId="325673D9" w14:textId="25BD8E07">
      <w:pPr>
        <w:pStyle w:val="Tytuwykresu0"/>
      </w:pPr>
    </w:p>
    <w:p w:rsidR="00A42E66" w:rsidP="00355C3E" w:rsidRDefault="00A42E66" w14:paraId="39A72286" w14:textId="77777777">
      <w:pPr>
        <w:pStyle w:val="Tytuwykresu0"/>
      </w:pPr>
    </w:p>
    <w:p w:rsidR="00A42E66" w:rsidP="00355C3E" w:rsidRDefault="00A42E66" w14:paraId="5BE44E96" w14:textId="7D0DB040">
      <w:pPr>
        <w:pStyle w:val="Tytuwykresu0"/>
      </w:pPr>
    </w:p>
    <w:p w:rsidR="00A42E66" w:rsidP="00355C3E" w:rsidRDefault="00A42E66" w14:paraId="60A7BD83" w14:textId="6580D700">
      <w:pPr>
        <w:pStyle w:val="Tytuwykresu0"/>
      </w:pPr>
    </w:p>
    <w:p w:rsidR="00A42E66" w:rsidP="00355C3E" w:rsidRDefault="00A42E66" w14:paraId="1E1E2F72" w14:textId="77777777">
      <w:pPr>
        <w:pStyle w:val="Tytuwykresu0"/>
      </w:pPr>
    </w:p>
    <w:p w:rsidR="00A42E66" w:rsidP="00355C3E" w:rsidRDefault="00A42E66" w14:paraId="070EEEA0" w14:textId="68298A9F">
      <w:pPr>
        <w:pStyle w:val="Tytuwykresu0"/>
      </w:pPr>
    </w:p>
    <w:p w:rsidRPr="00355C3E" w:rsidR="00A42E66" w:rsidP="00355C3E" w:rsidRDefault="00A42E66" w14:paraId="62E52B2B" w14:textId="10B2212E">
      <w:pPr>
        <w:pStyle w:val="Tytuwykresu0"/>
      </w:pPr>
    </w:p>
    <w:p w:rsidR="003928A6" w:rsidP="00B24F84" w:rsidRDefault="003928A6" w14:paraId="62E249A4" w14:textId="0AF9A492">
      <w:pPr>
        <w:spacing w:after="0"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</w:p>
    <w:p w:rsidR="003928A6" w:rsidP="003928A6" w:rsidRDefault="00423FA2" w14:paraId="1EC51D16" w14:textId="69A77238">
      <w:pPr>
        <w:spacing w:line="288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F85669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Objaśnienia znaków umownych</w:t>
      </w:r>
    </w:p>
    <w:p w:rsidR="00423FA2" w:rsidP="003928A6" w:rsidRDefault="00423FA2" w14:paraId="7797EB4F" w14:textId="1227F29E">
      <w:pPr>
        <w:spacing w:line="288" w:lineRule="auto"/>
        <w:rPr>
          <w:shd w:val="clear" w:color="auto" w:fill="FFFFFF"/>
        </w:rPr>
      </w:pPr>
      <w:r w:rsidRPr="00423FA2">
        <w:rPr>
          <w:shd w:val="clear" w:color="auto" w:fill="FFFFFF"/>
        </w:rPr>
        <w:t xml:space="preserve">Kreska </w:t>
      </w:r>
      <w:r w:rsidRPr="00423FA2" w:rsidR="00F85669">
        <w:rPr>
          <w:shd w:val="clear" w:color="auto" w:fill="FFFFFF"/>
        </w:rPr>
        <w:t>(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>)</w:t>
      </w:r>
      <w:r w:rsidR="00F85669">
        <w:rPr>
          <w:shd w:val="clear" w:color="auto" w:fill="FFFFFF"/>
        </w:rPr>
        <w:t xml:space="preserve"> – </w:t>
      </w:r>
      <w:r>
        <w:rPr>
          <w:shd w:val="clear" w:color="auto" w:fill="FFFFFF"/>
        </w:rPr>
        <w:t xml:space="preserve">oznacza, że </w:t>
      </w:r>
      <w:r w:rsidRPr="00423FA2">
        <w:rPr>
          <w:shd w:val="clear" w:color="auto" w:fill="FFFFFF"/>
        </w:rPr>
        <w:t>zjawisko nie wystąpiło.</w:t>
      </w:r>
      <w:r>
        <w:rPr>
          <w:shd w:val="clear" w:color="auto" w:fill="FFFFFF"/>
        </w:rPr>
        <w:br/>
        <w:t>K</w:t>
      </w:r>
      <w:r w:rsidRPr="00423FA2">
        <w:rPr>
          <w:shd w:val="clear" w:color="auto" w:fill="FFFFFF"/>
        </w:rPr>
        <w:t xml:space="preserve">ropka ( . ) </w:t>
      </w:r>
      <w:r w:rsidR="00F85669">
        <w:rPr>
          <w:shd w:val="clear" w:color="auto" w:fill="FFFFFF"/>
        </w:rPr>
        <w:t>–</w:t>
      </w:r>
      <w:r w:rsidRPr="00423FA2" w:rsidR="00F8566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oznacza: </w:t>
      </w:r>
      <w:r w:rsidRPr="00423FA2">
        <w:rPr>
          <w:shd w:val="clear" w:color="auto" w:fill="FFFFFF"/>
        </w:rPr>
        <w:t xml:space="preserve">brak informacji, konieczność zachowania tajemnicy statystycznej lub </w:t>
      </w:r>
      <w:r>
        <w:rPr>
          <w:shd w:val="clear" w:color="auto" w:fill="FFFFFF"/>
        </w:rPr>
        <w:t xml:space="preserve">że </w:t>
      </w:r>
      <w:r w:rsidRPr="00423FA2">
        <w:rPr>
          <w:shd w:val="clear" w:color="auto" w:fill="FFFFFF"/>
        </w:rPr>
        <w:t>wypełnienie pozycji jest niemożliwe albo niecelowe</w:t>
      </w:r>
    </w:p>
    <w:p w:rsidR="003928A6" w:rsidP="003928A6" w:rsidRDefault="003928A6" w14:paraId="0070605E" w14:textId="7C16B4FC">
      <w:pPr>
        <w:spacing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E25D0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D50A6A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CB30F7" w:rsidR="00DE2400" w:rsidP="00CB30F7" w:rsidRDefault="00DE2400" w14:paraId="3C0DAC8D" w14:textId="17CCB51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57639E">
              <w:rPr>
                <w:rFonts w:cs="Arial"/>
                <w:b/>
                <w:sz w:val="20"/>
              </w:rPr>
              <w:t>Wydział Współpracy z Mediami</w:t>
            </w:r>
          </w:p>
          <w:p w:rsidR="00CB30F7" w:rsidP="00CB30F7" w:rsidRDefault="00CB30F7" w14:paraId="65543D5B" w14:textId="3A378490">
            <w:r>
              <w:t>Tel. komórkowy: +48 695 255 032</w:t>
            </w:r>
          </w:p>
          <w:p w:rsidR="00CB30F7" w:rsidP="00CB30F7" w:rsidRDefault="00CB30F7" w14:paraId="7EE55AE1" w14:textId="5D472883">
            <w:pPr>
              <w:ind w:left="1494" w:hanging="1494"/>
            </w:pPr>
            <w:r>
              <w:t xml:space="preserve">Tel. stacjonarne: +48 22 608 38 04, +48 22 449 41 45,  </w:t>
            </w:r>
            <w:r>
              <w:br/>
              <w:t>+48 22 608 30 09</w:t>
            </w:r>
          </w:p>
          <w:p w:rsidR="00CB30F7" w:rsidP="00CB30F7" w:rsidRDefault="00CB30F7" w14:paraId="074E2DF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6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="00CB30F7" w:rsidP="00CB30F7" w:rsidRDefault="00CB30F7" w14:paraId="5124AEAE" w14:textId="77777777">
            <w:pPr>
              <w:ind w:left="1494" w:hanging="1494"/>
            </w:pPr>
          </w:p>
          <w:p w:rsidR="00DE2400" w:rsidP="00D50A6A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141CC0" w:rsidP="00141CC0" w:rsidRDefault="00141CC0" w14:paraId="13EC1ABC" w14:textId="4AA08DC4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03AEA21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65A68BF9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 descr="Ikonka strony www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6004B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0C5D67" w14:paraId="0A1DA497" w14:textId="72E7ED05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editId="34342113" wp14:anchorId="467CD4D3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 descr="Ikonka serwisu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141CC0">
              <w:rPr>
                <w:sz w:val="20"/>
              </w:rPr>
              <w:t>@GUS_STAT</w:t>
            </w:r>
            <w:r w:rsidR="00141CC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D50A6A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5C3E724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BB4D99">
              <w:rPr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08685456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2 r.&quot;" w:history="1" r:id="rId23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E63BAD" w14:paraId="11192113" w14:textId="064E2063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 kwartale 2024 roku&quot;" w:history="1" r:id="rId24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D50A6A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B023A6" w:rsidR="00B023A6" w:rsidP="00DB3AA5" w:rsidRDefault="00E63BAD" w14:paraId="742E750B" w14:textId="60EA0E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nku Danych Makroekonomicznych" w:history="1" r:id="rId25">
              <w:r w:rsidRPr="00B023A6" w:rsidR="00B023A6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DB12A2" w:rsidR="00DB3AA5" w:rsidP="00DB3AA5" w:rsidRDefault="00E63BAD" w14:paraId="6FA54F60" w14:textId="79751A41">
            <w:pPr>
              <w:rPr>
                <w:rStyle w:val="Hipercze"/>
                <w:rFonts w:cstheme="minorBidi"/>
                <w:color w:val="001D77"/>
              </w:rPr>
            </w:pPr>
            <w:hyperlink w:tooltip="Link do Dziedzinowe Bazy Wiedzy - Budownictwo" w:history="1" r:id="rId26">
              <w:r w:rsidR="00DB3AA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946F6D" w:rsidR="008575EA" w:rsidP="008575EA" w:rsidRDefault="00E63BAD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27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3285CA04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rych budowę rozpoczęto&quot;" w:history="1" r:id="rId28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E63BAD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29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D50A6A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D50A6A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D50A6A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p w:rsidR="000470AA" w:rsidP="00CB30F7" w:rsidRDefault="000470AA" w14:paraId="22EFB5E7" w14:textId="6007D9A0">
      <w:pPr>
        <w:rPr>
          <w:sz w:val="20"/>
        </w:rPr>
      </w:pPr>
    </w:p>
    <w:sectPr w:rsidR="000470AA" w:rsidSect="00E25D0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45E07" w14:textId="77777777" w:rsidR="0007141D" w:rsidRDefault="0007141D" w:rsidP="000662E2">
      <w:pPr>
        <w:spacing w:after="0" w:line="240" w:lineRule="auto"/>
      </w:pPr>
      <w:r>
        <w:separator/>
      </w:r>
    </w:p>
  </w:endnote>
  <w:endnote w:type="continuationSeparator" w:id="0">
    <w:p w14:paraId="354128CD" w14:textId="77777777" w:rsidR="0007141D" w:rsidRDefault="0007141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7BDC67FE-D2CB-4EE7-8B8C-F9B1DEDB6586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391EE239-A117-4ADD-AE46-40FBCF3C60A3}"/>
    <w:embedBold r:id="rId3" w:fontKey="{2C0FFE84-EB6B-4685-8F97-64C3A7769999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4E077AB1-B9C7-49E9-A48C-CCDDEE5051BA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16D3E7B4-09B4-422D-AB35-4D829E669884}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266748"/>
      <w:docPartObj>
        <w:docPartGallery w:val="Page Numbers (Bottom of Page)"/>
        <w:docPartUnique/>
      </w:docPartObj>
    </w:sdtPr>
    <w:sdtEndPr/>
    <w:sdtContent>
      <w:p w14:paraId="6A2D49D4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208092"/>
      <w:docPartObj>
        <w:docPartGallery w:val="Page Numbers (Bottom of Page)"/>
        <w:docPartUnique/>
      </w:docPartObj>
    </w:sdtPr>
    <w:sdtEndPr/>
    <w:sdtContent>
      <w:p w14:paraId="3BA7D32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C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2405BE" w:rsidRDefault="002405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2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DEBA6" w14:textId="77777777" w:rsidR="0007141D" w:rsidRDefault="0007141D" w:rsidP="000662E2">
      <w:pPr>
        <w:spacing w:after="0" w:line="240" w:lineRule="auto"/>
      </w:pPr>
      <w:r>
        <w:separator/>
      </w:r>
    </w:p>
  </w:footnote>
  <w:footnote w:type="continuationSeparator" w:id="0">
    <w:p w14:paraId="3BD832D5" w14:textId="77777777" w:rsidR="0007141D" w:rsidRDefault="0007141D" w:rsidP="000662E2">
      <w:pPr>
        <w:spacing w:after="0" w:line="240" w:lineRule="auto"/>
      </w:pPr>
      <w:r>
        <w:continuationSeparator/>
      </w:r>
    </w:p>
  </w:footnote>
  <w:footnote w:id="1">
    <w:p w14:paraId="0669F75B" w14:textId="3E35B607" w:rsidR="002405BE" w:rsidRPr="00912473" w:rsidRDefault="002405BE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 xml:space="preserve">Dane </w:t>
      </w:r>
      <w:r>
        <w:rPr>
          <w:rFonts w:eastAsia="Calibri" w:cs="Times New Roman"/>
          <w:sz w:val="19"/>
          <w:szCs w:val="19"/>
        </w:rPr>
        <w:t>wstępne</w:t>
      </w:r>
      <w:r w:rsidRPr="00912473">
        <w:rPr>
          <w:rFonts w:eastAsia="Calibri" w:cs="Times New Roman"/>
          <w:sz w:val="19"/>
          <w:szCs w:val="19"/>
        </w:rPr>
        <w:t>.</w:t>
      </w:r>
    </w:p>
  </w:footnote>
  <w:footnote w:id="2">
    <w:p w14:paraId="431BC728" w14:textId="1F42CF01" w:rsidR="002C4D3D" w:rsidRPr="00912473" w:rsidRDefault="002C4D3D" w:rsidP="002C4D3D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="00DE4B74">
        <w:rPr>
          <w:sz w:val="19"/>
          <w:szCs w:val="19"/>
        </w:rPr>
        <w:t>Forma</w:t>
      </w:r>
      <w:r w:rsidR="004716BB">
        <w:rPr>
          <w:rFonts w:eastAsia="Calibri" w:cs="Times New Roman"/>
          <w:sz w:val="19"/>
          <w:szCs w:val="19"/>
        </w:rPr>
        <w:t xml:space="preserve"> budownictwa</w:t>
      </w:r>
      <w:r w:rsidR="00DE4B74">
        <w:rPr>
          <w:rFonts w:eastAsia="Calibri" w:cs="Times New Roman"/>
          <w:sz w:val="19"/>
          <w:szCs w:val="19"/>
        </w:rPr>
        <w:t xml:space="preserve"> -</w:t>
      </w:r>
      <w:r w:rsidR="004716BB">
        <w:rPr>
          <w:rFonts w:eastAsia="Calibri" w:cs="Times New Roman"/>
          <w:sz w:val="19"/>
          <w:szCs w:val="19"/>
        </w:rPr>
        <w:t xml:space="preserve"> „</w:t>
      </w:r>
      <w:r w:rsidR="000842A5">
        <w:rPr>
          <w:rFonts w:eastAsia="Calibri" w:cs="Times New Roman"/>
          <w:sz w:val="19"/>
          <w:szCs w:val="19"/>
        </w:rPr>
        <w:t>p</w:t>
      </w:r>
      <w:r w:rsidR="004716BB">
        <w:rPr>
          <w:rFonts w:eastAsia="Calibri" w:cs="Times New Roman"/>
          <w:sz w:val="19"/>
          <w:szCs w:val="19"/>
        </w:rPr>
        <w:t>rzeznaczone na sprzedaż lub wynajem”.</w:t>
      </w:r>
    </w:p>
  </w:footnote>
  <w:footnote w:id="3">
    <w:p w14:paraId="0FD3F4A8" w14:textId="25B37424" w:rsidR="002405BE" w:rsidRDefault="002405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903D3">
        <w:t>Łącznie ze</w:t>
      </w:r>
      <w:r w:rsidR="00564FC2" w:rsidRPr="00564FC2">
        <w:t xml:space="preserve"> zgłoszenia</w:t>
      </w:r>
      <w:r w:rsidR="007903D3">
        <w:t>mi</w:t>
      </w:r>
      <w:r w:rsidR="00564FC2" w:rsidRPr="00564FC2">
        <w:t xml:space="preserve"> z projektem budowlanym</w:t>
      </w:r>
      <w:r w:rsidR="00517471">
        <w:t xml:space="preserve"> </w:t>
      </w:r>
      <w:r w:rsidR="00BF627B">
        <w:t>oraz</w:t>
      </w:r>
      <w:r w:rsidR="00564FC2" w:rsidRPr="00564FC2">
        <w:t xml:space="preserve"> uproszczoną procedurą dla budynków mieszkalnych jednorodzinnych</w:t>
      </w:r>
      <w:r>
        <w:rPr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9865" w14:textId="77777777" w:rsidR="002405BE" w:rsidRDefault="002405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914DB" w14:textId="77777777" w:rsidR="002405BE" w:rsidRDefault="002405B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2405BE" w:rsidRPr="003C6C8D" w:rsidRDefault="002405BE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45EF3F41" id="Schemat blokowy: opóźnienie 6" o:spid="_x0000_s1029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2405BE" w:rsidRPr="003C6C8D" w:rsidRDefault="002405BE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5" name="Obraz 1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F272264" w:rsidR="002405BE" w:rsidRDefault="002405BE" w:rsidP="00E801C6">
    <w:pPr>
      <w:pStyle w:val="Nagwek"/>
      <w:tabs>
        <w:tab w:val="clear" w:pos="4536"/>
        <w:tab w:val="clear" w:pos="9072"/>
        <w:tab w:val="left" w:pos="1950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24799AD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8.09.2025 r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021F4FB1" w:rsidR="002405BE" w:rsidRPr="00A01B40" w:rsidRDefault="00BC1A26" w:rsidP="00F049AB">
                          <w:pPr>
                            <w:pStyle w:val="Datainformacjisygnalnej"/>
                          </w:pPr>
                          <w:r>
                            <w:t>18</w:t>
                          </w:r>
                          <w:r w:rsidR="002405BE">
                            <w:t>.</w:t>
                          </w:r>
                          <w:r w:rsidR="00445C61">
                            <w:t>0</w:t>
                          </w:r>
                          <w:r>
                            <w:t>9</w:t>
                          </w:r>
                          <w:r w:rsidR="002405BE">
                            <w:t>.202</w:t>
                          </w:r>
                          <w:r w:rsidR="00445C61">
                            <w:t>5</w:t>
                          </w:r>
                          <w:r w:rsidR="002405BE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8.09.2025 r. 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LvB9kw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0575E756" w14:textId="021F4FB1" w:rsidR="002405BE" w:rsidRPr="00A01B40" w:rsidRDefault="00BC1A26" w:rsidP="00F049AB">
                    <w:pPr>
                      <w:pStyle w:val="Datainformacjisygnalnej"/>
                    </w:pPr>
                    <w:r>
                      <w:t>18</w:t>
                    </w:r>
                    <w:r w:rsidR="002405BE">
                      <w:t>.</w:t>
                    </w:r>
                    <w:r w:rsidR="00445C61">
                      <w:t>0</w:t>
                    </w:r>
                    <w:r>
                      <w:t>9</w:t>
                    </w:r>
                    <w:r w:rsidR="002405BE">
                      <w:t>.202</w:t>
                    </w:r>
                    <w:r w:rsidR="00445C61">
                      <w:t>5</w:t>
                    </w:r>
                    <w:r w:rsidR="002405BE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E801C6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6545" w14:textId="77777777" w:rsidR="002405BE" w:rsidRDefault="002405BE">
    <w:pPr>
      <w:pStyle w:val="Nagwek"/>
    </w:pPr>
  </w:p>
  <w:p w14:paraId="73E3EA25" w14:textId="77777777" w:rsidR="002405BE" w:rsidRDefault="00240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0.75pt;height:128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75pt;height:128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058026D"/>
    <w:multiLevelType w:val="hybridMultilevel"/>
    <w:tmpl w:val="DC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45E"/>
    <w:rsid w:val="00001C5B"/>
    <w:rsid w:val="00003437"/>
    <w:rsid w:val="00005EEF"/>
    <w:rsid w:val="0000637D"/>
    <w:rsid w:val="0000709F"/>
    <w:rsid w:val="00007596"/>
    <w:rsid w:val="00007709"/>
    <w:rsid w:val="00010204"/>
    <w:rsid w:val="000107AB"/>
    <w:rsid w:val="000108B8"/>
    <w:rsid w:val="00011D2F"/>
    <w:rsid w:val="00012F0D"/>
    <w:rsid w:val="00013D22"/>
    <w:rsid w:val="000148B7"/>
    <w:rsid w:val="000152F5"/>
    <w:rsid w:val="00015B25"/>
    <w:rsid w:val="000164E8"/>
    <w:rsid w:val="0001692B"/>
    <w:rsid w:val="000200C8"/>
    <w:rsid w:val="000211A3"/>
    <w:rsid w:val="00021725"/>
    <w:rsid w:val="00021DD2"/>
    <w:rsid w:val="0002220D"/>
    <w:rsid w:val="00022429"/>
    <w:rsid w:val="00022824"/>
    <w:rsid w:val="00022FA6"/>
    <w:rsid w:val="00024DBE"/>
    <w:rsid w:val="00024F33"/>
    <w:rsid w:val="000250B6"/>
    <w:rsid w:val="00025450"/>
    <w:rsid w:val="0002622F"/>
    <w:rsid w:val="00027358"/>
    <w:rsid w:val="0003135D"/>
    <w:rsid w:val="00031531"/>
    <w:rsid w:val="00031827"/>
    <w:rsid w:val="000319BF"/>
    <w:rsid w:val="00032908"/>
    <w:rsid w:val="00033416"/>
    <w:rsid w:val="00033ADF"/>
    <w:rsid w:val="00035225"/>
    <w:rsid w:val="0003541F"/>
    <w:rsid w:val="00036928"/>
    <w:rsid w:val="00036B6D"/>
    <w:rsid w:val="00037197"/>
    <w:rsid w:val="0004147E"/>
    <w:rsid w:val="0004217F"/>
    <w:rsid w:val="000426F0"/>
    <w:rsid w:val="0004327C"/>
    <w:rsid w:val="00043443"/>
    <w:rsid w:val="000439E6"/>
    <w:rsid w:val="00044007"/>
    <w:rsid w:val="000451DC"/>
    <w:rsid w:val="0004582E"/>
    <w:rsid w:val="00045CF3"/>
    <w:rsid w:val="000470AA"/>
    <w:rsid w:val="00047EE2"/>
    <w:rsid w:val="000501E6"/>
    <w:rsid w:val="000516DE"/>
    <w:rsid w:val="00051720"/>
    <w:rsid w:val="0005220C"/>
    <w:rsid w:val="000533D0"/>
    <w:rsid w:val="00054327"/>
    <w:rsid w:val="0005453B"/>
    <w:rsid w:val="00056450"/>
    <w:rsid w:val="00056EC2"/>
    <w:rsid w:val="00057A45"/>
    <w:rsid w:val="00057CA1"/>
    <w:rsid w:val="00057E11"/>
    <w:rsid w:val="0006072D"/>
    <w:rsid w:val="00062A0F"/>
    <w:rsid w:val="00063395"/>
    <w:rsid w:val="00064127"/>
    <w:rsid w:val="000647A9"/>
    <w:rsid w:val="00065F47"/>
    <w:rsid w:val="000662E2"/>
    <w:rsid w:val="00066883"/>
    <w:rsid w:val="00066BFD"/>
    <w:rsid w:val="00066FF0"/>
    <w:rsid w:val="00067A13"/>
    <w:rsid w:val="00070238"/>
    <w:rsid w:val="000713C1"/>
    <w:rsid w:val="0007141D"/>
    <w:rsid w:val="00071752"/>
    <w:rsid w:val="00071B39"/>
    <w:rsid w:val="00072344"/>
    <w:rsid w:val="000727FE"/>
    <w:rsid w:val="00073B71"/>
    <w:rsid w:val="00074DD8"/>
    <w:rsid w:val="00075759"/>
    <w:rsid w:val="0008062B"/>
    <w:rsid w:val="000806F7"/>
    <w:rsid w:val="000806FC"/>
    <w:rsid w:val="00081181"/>
    <w:rsid w:val="00081BF1"/>
    <w:rsid w:val="000838B6"/>
    <w:rsid w:val="000842A5"/>
    <w:rsid w:val="000844AA"/>
    <w:rsid w:val="000845F3"/>
    <w:rsid w:val="0008478F"/>
    <w:rsid w:val="00084C7F"/>
    <w:rsid w:val="00086BA2"/>
    <w:rsid w:val="00087603"/>
    <w:rsid w:val="00087C3A"/>
    <w:rsid w:val="0009035B"/>
    <w:rsid w:val="00091A0E"/>
    <w:rsid w:val="00091FB9"/>
    <w:rsid w:val="00092305"/>
    <w:rsid w:val="000948C6"/>
    <w:rsid w:val="000952C9"/>
    <w:rsid w:val="00095EB4"/>
    <w:rsid w:val="000963FB"/>
    <w:rsid w:val="00097840"/>
    <w:rsid w:val="000A15C4"/>
    <w:rsid w:val="000A28A7"/>
    <w:rsid w:val="000A372D"/>
    <w:rsid w:val="000A54C2"/>
    <w:rsid w:val="000A70BC"/>
    <w:rsid w:val="000A7D9F"/>
    <w:rsid w:val="000B02E8"/>
    <w:rsid w:val="000B0727"/>
    <w:rsid w:val="000B0BE0"/>
    <w:rsid w:val="000B2AE1"/>
    <w:rsid w:val="000B31B4"/>
    <w:rsid w:val="000B568B"/>
    <w:rsid w:val="000B5A3A"/>
    <w:rsid w:val="000B631E"/>
    <w:rsid w:val="000B6FA1"/>
    <w:rsid w:val="000B7F4C"/>
    <w:rsid w:val="000C135D"/>
    <w:rsid w:val="000C1485"/>
    <w:rsid w:val="000C1F60"/>
    <w:rsid w:val="000C274F"/>
    <w:rsid w:val="000C3C08"/>
    <w:rsid w:val="000C3D68"/>
    <w:rsid w:val="000C3E3E"/>
    <w:rsid w:val="000C4C70"/>
    <w:rsid w:val="000C5032"/>
    <w:rsid w:val="000C5334"/>
    <w:rsid w:val="000C5D67"/>
    <w:rsid w:val="000C5E1D"/>
    <w:rsid w:val="000C685D"/>
    <w:rsid w:val="000C7E7A"/>
    <w:rsid w:val="000C7FB3"/>
    <w:rsid w:val="000D154D"/>
    <w:rsid w:val="000D18F5"/>
    <w:rsid w:val="000D1D43"/>
    <w:rsid w:val="000D1E24"/>
    <w:rsid w:val="000D1F9C"/>
    <w:rsid w:val="000D225C"/>
    <w:rsid w:val="000D2A5C"/>
    <w:rsid w:val="000D39F0"/>
    <w:rsid w:val="000D4339"/>
    <w:rsid w:val="000D6AF7"/>
    <w:rsid w:val="000E0918"/>
    <w:rsid w:val="000E1730"/>
    <w:rsid w:val="000E2799"/>
    <w:rsid w:val="000E29D4"/>
    <w:rsid w:val="000E333E"/>
    <w:rsid w:val="000E33F1"/>
    <w:rsid w:val="000E52CD"/>
    <w:rsid w:val="000E5778"/>
    <w:rsid w:val="000E5FF4"/>
    <w:rsid w:val="000E6227"/>
    <w:rsid w:val="000E6E7B"/>
    <w:rsid w:val="000E79A9"/>
    <w:rsid w:val="000E7CAD"/>
    <w:rsid w:val="000F0541"/>
    <w:rsid w:val="000F14B7"/>
    <w:rsid w:val="000F335F"/>
    <w:rsid w:val="000F3739"/>
    <w:rsid w:val="000F39BF"/>
    <w:rsid w:val="000F5E45"/>
    <w:rsid w:val="000F6DD3"/>
    <w:rsid w:val="000F6E7F"/>
    <w:rsid w:val="001011C3"/>
    <w:rsid w:val="00101A3A"/>
    <w:rsid w:val="001022F8"/>
    <w:rsid w:val="00102B49"/>
    <w:rsid w:val="00103B9E"/>
    <w:rsid w:val="00103EF6"/>
    <w:rsid w:val="001049C8"/>
    <w:rsid w:val="00104C53"/>
    <w:rsid w:val="00105FF5"/>
    <w:rsid w:val="00106761"/>
    <w:rsid w:val="00106BA4"/>
    <w:rsid w:val="00106DA3"/>
    <w:rsid w:val="00106E9F"/>
    <w:rsid w:val="00107596"/>
    <w:rsid w:val="00110214"/>
    <w:rsid w:val="00110D87"/>
    <w:rsid w:val="00112399"/>
    <w:rsid w:val="00112E20"/>
    <w:rsid w:val="00114DB9"/>
    <w:rsid w:val="0011561C"/>
    <w:rsid w:val="00116087"/>
    <w:rsid w:val="001173FD"/>
    <w:rsid w:val="00117711"/>
    <w:rsid w:val="001203DD"/>
    <w:rsid w:val="00120C1F"/>
    <w:rsid w:val="001211DA"/>
    <w:rsid w:val="001219E6"/>
    <w:rsid w:val="001222BC"/>
    <w:rsid w:val="001222DA"/>
    <w:rsid w:val="00122A70"/>
    <w:rsid w:val="00122FD4"/>
    <w:rsid w:val="0012471F"/>
    <w:rsid w:val="001255BB"/>
    <w:rsid w:val="00125897"/>
    <w:rsid w:val="0012631F"/>
    <w:rsid w:val="001264F8"/>
    <w:rsid w:val="0012794E"/>
    <w:rsid w:val="00127B83"/>
    <w:rsid w:val="0013019D"/>
    <w:rsid w:val="00130296"/>
    <w:rsid w:val="00130A92"/>
    <w:rsid w:val="00130CD6"/>
    <w:rsid w:val="00133660"/>
    <w:rsid w:val="00133691"/>
    <w:rsid w:val="00134145"/>
    <w:rsid w:val="001341CD"/>
    <w:rsid w:val="00134906"/>
    <w:rsid w:val="00135EE3"/>
    <w:rsid w:val="00135F77"/>
    <w:rsid w:val="00136263"/>
    <w:rsid w:val="00136736"/>
    <w:rsid w:val="00136D67"/>
    <w:rsid w:val="00137C05"/>
    <w:rsid w:val="00140901"/>
    <w:rsid w:val="00141173"/>
    <w:rsid w:val="00141CC0"/>
    <w:rsid w:val="001423B6"/>
    <w:rsid w:val="001429B8"/>
    <w:rsid w:val="0014303D"/>
    <w:rsid w:val="001434CD"/>
    <w:rsid w:val="00144547"/>
    <w:rsid w:val="001448A7"/>
    <w:rsid w:val="00146621"/>
    <w:rsid w:val="00146ED3"/>
    <w:rsid w:val="001471CA"/>
    <w:rsid w:val="00150A47"/>
    <w:rsid w:val="00150DF6"/>
    <w:rsid w:val="0015139E"/>
    <w:rsid w:val="00151698"/>
    <w:rsid w:val="00152B7B"/>
    <w:rsid w:val="00152E1F"/>
    <w:rsid w:val="00153238"/>
    <w:rsid w:val="00153D7F"/>
    <w:rsid w:val="00153FDC"/>
    <w:rsid w:val="00157221"/>
    <w:rsid w:val="00157D98"/>
    <w:rsid w:val="00161374"/>
    <w:rsid w:val="001614F4"/>
    <w:rsid w:val="001617E3"/>
    <w:rsid w:val="00162325"/>
    <w:rsid w:val="00162510"/>
    <w:rsid w:val="00163D64"/>
    <w:rsid w:val="00163F04"/>
    <w:rsid w:val="00164131"/>
    <w:rsid w:val="0016589A"/>
    <w:rsid w:val="00165B21"/>
    <w:rsid w:val="00165E30"/>
    <w:rsid w:val="001669EA"/>
    <w:rsid w:val="001673A8"/>
    <w:rsid w:val="001701F7"/>
    <w:rsid w:val="00171EA8"/>
    <w:rsid w:val="001729DD"/>
    <w:rsid w:val="001741D2"/>
    <w:rsid w:val="00180D78"/>
    <w:rsid w:val="00182013"/>
    <w:rsid w:val="00182A68"/>
    <w:rsid w:val="00183B62"/>
    <w:rsid w:val="0018403F"/>
    <w:rsid w:val="001841F4"/>
    <w:rsid w:val="001851BE"/>
    <w:rsid w:val="001853FF"/>
    <w:rsid w:val="001855A4"/>
    <w:rsid w:val="001861D5"/>
    <w:rsid w:val="001870AD"/>
    <w:rsid w:val="00190442"/>
    <w:rsid w:val="00190771"/>
    <w:rsid w:val="00190FE7"/>
    <w:rsid w:val="001927A8"/>
    <w:rsid w:val="00193C74"/>
    <w:rsid w:val="001951DA"/>
    <w:rsid w:val="001959AA"/>
    <w:rsid w:val="00196A73"/>
    <w:rsid w:val="00197B87"/>
    <w:rsid w:val="001A12F6"/>
    <w:rsid w:val="001A1CC0"/>
    <w:rsid w:val="001A1CD2"/>
    <w:rsid w:val="001A50C7"/>
    <w:rsid w:val="001A56B2"/>
    <w:rsid w:val="001B0409"/>
    <w:rsid w:val="001B053D"/>
    <w:rsid w:val="001B11C4"/>
    <w:rsid w:val="001B124F"/>
    <w:rsid w:val="001B4E58"/>
    <w:rsid w:val="001B4F55"/>
    <w:rsid w:val="001B6367"/>
    <w:rsid w:val="001C209D"/>
    <w:rsid w:val="001C24C8"/>
    <w:rsid w:val="001C3269"/>
    <w:rsid w:val="001C3EB5"/>
    <w:rsid w:val="001C41D3"/>
    <w:rsid w:val="001C4316"/>
    <w:rsid w:val="001C4C62"/>
    <w:rsid w:val="001C4C89"/>
    <w:rsid w:val="001C5875"/>
    <w:rsid w:val="001C6F3D"/>
    <w:rsid w:val="001C757E"/>
    <w:rsid w:val="001D18F5"/>
    <w:rsid w:val="001D19B6"/>
    <w:rsid w:val="001D1C75"/>
    <w:rsid w:val="001D1DB4"/>
    <w:rsid w:val="001D23F1"/>
    <w:rsid w:val="001D25F9"/>
    <w:rsid w:val="001D2B2D"/>
    <w:rsid w:val="001D36A6"/>
    <w:rsid w:val="001D5348"/>
    <w:rsid w:val="001D61ED"/>
    <w:rsid w:val="001D6B4D"/>
    <w:rsid w:val="001E01AD"/>
    <w:rsid w:val="001E30FE"/>
    <w:rsid w:val="001E3D73"/>
    <w:rsid w:val="001E3EF7"/>
    <w:rsid w:val="001E41E0"/>
    <w:rsid w:val="001E5B2D"/>
    <w:rsid w:val="001E62A1"/>
    <w:rsid w:val="001E66B0"/>
    <w:rsid w:val="001E7987"/>
    <w:rsid w:val="001E7E1A"/>
    <w:rsid w:val="001F09B5"/>
    <w:rsid w:val="001F1551"/>
    <w:rsid w:val="001F1855"/>
    <w:rsid w:val="001F1BC7"/>
    <w:rsid w:val="001F3528"/>
    <w:rsid w:val="001F3F2B"/>
    <w:rsid w:val="001F4F07"/>
    <w:rsid w:val="001F5E53"/>
    <w:rsid w:val="001F74DC"/>
    <w:rsid w:val="002012A9"/>
    <w:rsid w:val="0020156C"/>
    <w:rsid w:val="00201ED1"/>
    <w:rsid w:val="00203219"/>
    <w:rsid w:val="00204C30"/>
    <w:rsid w:val="00207601"/>
    <w:rsid w:val="002103D4"/>
    <w:rsid w:val="00210EED"/>
    <w:rsid w:val="00211074"/>
    <w:rsid w:val="00211832"/>
    <w:rsid w:val="0021254E"/>
    <w:rsid w:val="00213A1A"/>
    <w:rsid w:val="00213A81"/>
    <w:rsid w:val="00215488"/>
    <w:rsid w:val="00216137"/>
    <w:rsid w:val="0021617D"/>
    <w:rsid w:val="00216634"/>
    <w:rsid w:val="00220D8D"/>
    <w:rsid w:val="0022135D"/>
    <w:rsid w:val="0022216F"/>
    <w:rsid w:val="0022267D"/>
    <w:rsid w:val="00224210"/>
    <w:rsid w:val="00224310"/>
    <w:rsid w:val="00224344"/>
    <w:rsid w:val="002244A8"/>
    <w:rsid w:val="00226573"/>
    <w:rsid w:val="00226DDE"/>
    <w:rsid w:val="00227503"/>
    <w:rsid w:val="00227D3F"/>
    <w:rsid w:val="0023022A"/>
    <w:rsid w:val="00232CCF"/>
    <w:rsid w:val="00233BB8"/>
    <w:rsid w:val="00233E4E"/>
    <w:rsid w:val="0023401E"/>
    <w:rsid w:val="00234D0C"/>
    <w:rsid w:val="00235E2A"/>
    <w:rsid w:val="00240542"/>
    <w:rsid w:val="002405BE"/>
    <w:rsid w:val="00240B6A"/>
    <w:rsid w:val="00242D31"/>
    <w:rsid w:val="00245964"/>
    <w:rsid w:val="0024678B"/>
    <w:rsid w:val="002468AF"/>
    <w:rsid w:val="00246E54"/>
    <w:rsid w:val="002502B0"/>
    <w:rsid w:val="00252A0D"/>
    <w:rsid w:val="002539EE"/>
    <w:rsid w:val="002541A1"/>
    <w:rsid w:val="0025481E"/>
    <w:rsid w:val="00256B85"/>
    <w:rsid w:val="00257286"/>
    <w:rsid w:val="002574F9"/>
    <w:rsid w:val="0026004B"/>
    <w:rsid w:val="0026046D"/>
    <w:rsid w:val="002628BA"/>
    <w:rsid w:val="00262B61"/>
    <w:rsid w:val="00262CC6"/>
    <w:rsid w:val="00263E08"/>
    <w:rsid w:val="00264D84"/>
    <w:rsid w:val="00265EFE"/>
    <w:rsid w:val="00265F51"/>
    <w:rsid w:val="00266918"/>
    <w:rsid w:val="002671E8"/>
    <w:rsid w:val="00267F90"/>
    <w:rsid w:val="002707DF"/>
    <w:rsid w:val="0027364B"/>
    <w:rsid w:val="00274B82"/>
    <w:rsid w:val="00275CB3"/>
    <w:rsid w:val="00275D0F"/>
    <w:rsid w:val="0027679A"/>
    <w:rsid w:val="00276811"/>
    <w:rsid w:val="002769D5"/>
    <w:rsid w:val="002774AE"/>
    <w:rsid w:val="00277EA9"/>
    <w:rsid w:val="002809D2"/>
    <w:rsid w:val="00281A59"/>
    <w:rsid w:val="00282699"/>
    <w:rsid w:val="00282E36"/>
    <w:rsid w:val="002861BA"/>
    <w:rsid w:val="002871BB"/>
    <w:rsid w:val="002874EB"/>
    <w:rsid w:val="002926DF"/>
    <w:rsid w:val="0029304B"/>
    <w:rsid w:val="00293253"/>
    <w:rsid w:val="0029373C"/>
    <w:rsid w:val="00294283"/>
    <w:rsid w:val="0029450D"/>
    <w:rsid w:val="00294B44"/>
    <w:rsid w:val="00294D6C"/>
    <w:rsid w:val="00296697"/>
    <w:rsid w:val="0029709E"/>
    <w:rsid w:val="0029763E"/>
    <w:rsid w:val="002978E9"/>
    <w:rsid w:val="002A0529"/>
    <w:rsid w:val="002A1AF2"/>
    <w:rsid w:val="002A2887"/>
    <w:rsid w:val="002A2E23"/>
    <w:rsid w:val="002A3276"/>
    <w:rsid w:val="002A4C65"/>
    <w:rsid w:val="002A5A31"/>
    <w:rsid w:val="002A5F62"/>
    <w:rsid w:val="002A65BC"/>
    <w:rsid w:val="002A6EF2"/>
    <w:rsid w:val="002A7892"/>
    <w:rsid w:val="002A78DA"/>
    <w:rsid w:val="002B0472"/>
    <w:rsid w:val="002B1D82"/>
    <w:rsid w:val="002B29BE"/>
    <w:rsid w:val="002B3781"/>
    <w:rsid w:val="002B579E"/>
    <w:rsid w:val="002B5C3E"/>
    <w:rsid w:val="002B68D2"/>
    <w:rsid w:val="002B6994"/>
    <w:rsid w:val="002B6B12"/>
    <w:rsid w:val="002C2096"/>
    <w:rsid w:val="002C21F0"/>
    <w:rsid w:val="002C4983"/>
    <w:rsid w:val="002C4B21"/>
    <w:rsid w:val="002C4B29"/>
    <w:rsid w:val="002C4C90"/>
    <w:rsid w:val="002C4D3D"/>
    <w:rsid w:val="002C5ADD"/>
    <w:rsid w:val="002C5C97"/>
    <w:rsid w:val="002C608B"/>
    <w:rsid w:val="002C671B"/>
    <w:rsid w:val="002C6C17"/>
    <w:rsid w:val="002C7386"/>
    <w:rsid w:val="002C7929"/>
    <w:rsid w:val="002D0182"/>
    <w:rsid w:val="002D01DF"/>
    <w:rsid w:val="002D0372"/>
    <w:rsid w:val="002D1211"/>
    <w:rsid w:val="002D2953"/>
    <w:rsid w:val="002D4CB4"/>
    <w:rsid w:val="002D61C6"/>
    <w:rsid w:val="002D75A9"/>
    <w:rsid w:val="002E0359"/>
    <w:rsid w:val="002E0835"/>
    <w:rsid w:val="002E087C"/>
    <w:rsid w:val="002E3723"/>
    <w:rsid w:val="002E3EB3"/>
    <w:rsid w:val="002E48A2"/>
    <w:rsid w:val="002E4B9D"/>
    <w:rsid w:val="002E5412"/>
    <w:rsid w:val="002E5BB2"/>
    <w:rsid w:val="002E6140"/>
    <w:rsid w:val="002E6451"/>
    <w:rsid w:val="002E6985"/>
    <w:rsid w:val="002E71B6"/>
    <w:rsid w:val="002E737F"/>
    <w:rsid w:val="002E7C63"/>
    <w:rsid w:val="002E7CC1"/>
    <w:rsid w:val="002F0179"/>
    <w:rsid w:val="002F14AC"/>
    <w:rsid w:val="002F1936"/>
    <w:rsid w:val="002F21E7"/>
    <w:rsid w:val="002F2AFA"/>
    <w:rsid w:val="002F2B7A"/>
    <w:rsid w:val="002F35F6"/>
    <w:rsid w:val="002F3ABB"/>
    <w:rsid w:val="002F3B66"/>
    <w:rsid w:val="002F438A"/>
    <w:rsid w:val="002F4975"/>
    <w:rsid w:val="002F5845"/>
    <w:rsid w:val="002F77C8"/>
    <w:rsid w:val="00300E57"/>
    <w:rsid w:val="003031B9"/>
    <w:rsid w:val="00304EC2"/>
    <w:rsid w:val="00304F22"/>
    <w:rsid w:val="00306C7C"/>
    <w:rsid w:val="0030719B"/>
    <w:rsid w:val="0031085C"/>
    <w:rsid w:val="003114C2"/>
    <w:rsid w:val="00312BEE"/>
    <w:rsid w:val="00313F84"/>
    <w:rsid w:val="00314F86"/>
    <w:rsid w:val="003166D9"/>
    <w:rsid w:val="00316808"/>
    <w:rsid w:val="003178D7"/>
    <w:rsid w:val="00317F4D"/>
    <w:rsid w:val="00317FB1"/>
    <w:rsid w:val="0032043C"/>
    <w:rsid w:val="00321E2E"/>
    <w:rsid w:val="00322EDD"/>
    <w:rsid w:val="00322FCA"/>
    <w:rsid w:val="003232ED"/>
    <w:rsid w:val="00323667"/>
    <w:rsid w:val="00324233"/>
    <w:rsid w:val="0032521B"/>
    <w:rsid w:val="003253BC"/>
    <w:rsid w:val="00327336"/>
    <w:rsid w:val="003309FA"/>
    <w:rsid w:val="003321ED"/>
    <w:rsid w:val="00332320"/>
    <w:rsid w:val="00334937"/>
    <w:rsid w:val="003353C1"/>
    <w:rsid w:val="00335FD3"/>
    <w:rsid w:val="003371AB"/>
    <w:rsid w:val="003409EE"/>
    <w:rsid w:val="00340D31"/>
    <w:rsid w:val="0034251D"/>
    <w:rsid w:val="00347D72"/>
    <w:rsid w:val="00350084"/>
    <w:rsid w:val="00351173"/>
    <w:rsid w:val="003513FA"/>
    <w:rsid w:val="00351A44"/>
    <w:rsid w:val="00353726"/>
    <w:rsid w:val="00353F45"/>
    <w:rsid w:val="00354E9A"/>
    <w:rsid w:val="00355C3E"/>
    <w:rsid w:val="00356866"/>
    <w:rsid w:val="00356CC3"/>
    <w:rsid w:val="00356EA4"/>
    <w:rsid w:val="00357611"/>
    <w:rsid w:val="00360A2E"/>
    <w:rsid w:val="003618FC"/>
    <w:rsid w:val="00361D7E"/>
    <w:rsid w:val="0036201F"/>
    <w:rsid w:val="00363004"/>
    <w:rsid w:val="00363EBE"/>
    <w:rsid w:val="00363FB6"/>
    <w:rsid w:val="0036432A"/>
    <w:rsid w:val="00364671"/>
    <w:rsid w:val="00364AF9"/>
    <w:rsid w:val="0036719D"/>
    <w:rsid w:val="00367227"/>
    <w:rsid w:val="00367237"/>
    <w:rsid w:val="0037013B"/>
    <w:rsid w:val="0037077F"/>
    <w:rsid w:val="00370A67"/>
    <w:rsid w:val="00372411"/>
    <w:rsid w:val="0037349E"/>
    <w:rsid w:val="00373882"/>
    <w:rsid w:val="003744EB"/>
    <w:rsid w:val="00374A58"/>
    <w:rsid w:val="003773B4"/>
    <w:rsid w:val="00381BDF"/>
    <w:rsid w:val="0038203B"/>
    <w:rsid w:val="003843DB"/>
    <w:rsid w:val="003856EB"/>
    <w:rsid w:val="00385844"/>
    <w:rsid w:val="00385B79"/>
    <w:rsid w:val="003865C9"/>
    <w:rsid w:val="00387DFC"/>
    <w:rsid w:val="00390370"/>
    <w:rsid w:val="00390871"/>
    <w:rsid w:val="003928A6"/>
    <w:rsid w:val="00393761"/>
    <w:rsid w:val="003937B9"/>
    <w:rsid w:val="00393CBC"/>
    <w:rsid w:val="0039424A"/>
    <w:rsid w:val="00394AFF"/>
    <w:rsid w:val="00394E26"/>
    <w:rsid w:val="00396691"/>
    <w:rsid w:val="003966B1"/>
    <w:rsid w:val="00396931"/>
    <w:rsid w:val="00396B22"/>
    <w:rsid w:val="00396D4D"/>
    <w:rsid w:val="003971E0"/>
    <w:rsid w:val="00397D18"/>
    <w:rsid w:val="003A17E5"/>
    <w:rsid w:val="003A1B36"/>
    <w:rsid w:val="003A3105"/>
    <w:rsid w:val="003A394C"/>
    <w:rsid w:val="003A3A1C"/>
    <w:rsid w:val="003A3B42"/>
    <w:rsid w:val="003A3F58"/>
    <w:rsid w:val="003A4974"/>
    <w:rsid w:val="003A50E1"/>
    <w:rsid w:val="003A5211"/>
    <w:rsid w:val="003A6083"/>
    <w:rsid w:val="003A662A"/>
    <w:rsid w:val="003B034B"/>
    <w:rsid w:val="003B0443"/>
    <w:rsid w:val="003B1454"/>
    <w:rsid w:val="003B1538"/>
    <w:rsid w:val="003B18B6"/>
    <w:rsid w:val="003B6273"/>
    <w:rsid w:val="003C01D3"/>
    <w:rsid w:val="003C072E"/>
    <w:rsid w:val="003C0D6B"/>
    <w:rsid w:val="003C0FF5"/>
    <w:rsid w:val="003C161B"/>
    <w:rsid w:val="003C1653"/>
    <w:rsid w:val="003C22FA"/>
    <w:rsid w:val="003C25E8"/>
    <w:rsid w:val="003C2909"/>
    <w:rsid w:val="003C333C"/>
    <w:rsid w:val="003C334B"/>
    <w:rsid w:val="003C36D1"/>
    <w:rsid w:val="003C3A7B"/>
    <w:rsid w:val="003C3D47"/>
    <w:rsid w:val="003C4D66"/>
    <w:rsid w:val="003C59E0"/>
    <w:rsid w:val="003C6C8D"/>
    <w:rsid w:val="003C7A8A"/>
    <w:rsid w:val="003D1A38"/>
    <w:rsid w:val="003D1B4E"/>
    <w:rsid w:val="003D219B"/>
    <w:rsid w:val="003D2656"/>
    <w:rsid w:val="003D2DDB"/>
    <w:rsid w:val="003D3332"/>
    <w:rsid w:val="003D37CB"/>
    <w:rsid w:val="003D4F95"/>
    <w:rsid w:val="003D5667"/>
    <w:rsid w:val="003D5F42"/>
    <w:rsid w:val="003D60A9"/>
    <w:rsid w:val="003E1ECA"/>
    <w:rsid w:val="003E25F3"/>
    <w:rsid w:val="003E2D6E"/>
    <w:rsid w:val="003E42CD"/>
    <w:rsid w:val="003E6F3D"/>
    <w:rsid w:val="003E7842"/>
    <w:rsid w:val="003E7A18"/>
    <w:rsid w:val="003F0CCE"/>
    <w:rsid w:val="003F19CD"/>
    <w:rsid w:val="003F19DE"/>
    <w:rsid w:val="003F1DFC"/>
    <w:rsid w:val="003F2003"/>
    <w:rsid w:val="003F21CD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1EB5"/>
    <w:rsid w:val="00405528"/>
    <w:rsid w:val="00405760"/>
    <w:rsid w:val="00406BC3"/>
    <w:rsid w:val="00407435"/>
    <w:rsid w:val="00410FAD"/>
    <w:rsid w:val="004141A9"/>
    <w:rsid w:val="0041554F"/>
    <w:rsid w:val="00415E83"/>
    <w:rsid w:val="004160DE"/>
    <w:rsid w:val="00416EAF"/>
    <w:rsid w:val="0041714F"/>
    <w:rsid w:val="00420945"/>
    <w:rsid w:val="00420A29"/>
    <w:rsid w:val="00420FA6"/>
    <w:rsid w:val="004212E7"/>
    <w:rsid w:val="00421309"/>
    <w:rsid w:val="00423384"/>
    <w:rsid w:val="00423806"/>
    <w:rsid w:val="00423C88"/>
    <w:rsid w:val="00423FA2"/>
    <w:rsid w:val="004241AF"/>
    <w:rsid w:val="0042446D"/>
    <w:rsid w:val="0042460C"/>
    <w:rsid w:val="004249BE"/>
    <w:rsid w:val="0042599A"/>
    <w:rsid w:val="00425B99"/>
    <w:rsid w:val="004268D9"/>
    <w:rsid w:val="00426CBC"/>
    <w:rsid w:val="00427BF8"/>
    <w:rsid w:val="00430D96"/>
    <w:rsid w:val="0043115A"/>
    <w:rsid w:val="00431A37"/>
    <w:rsid w:val="00431C02"/>
    <w:rsid w:val="00435EC9"/>
    <w:rsid w:val="00437395"/>
    <w:rsid w:val="004400ED"/>
    <w:rsid w:val="00442090"/>
    <w:rsid w:val="004429CC"/>
    <w:rsid w:val="00443604"/>
    <w:rsid w:val="00444011"/>
    <w:rsid w:val="004449CA"/>
    <w:rsid w:val="00444A47"/>
    <w:rsid w:val="00444F6E"/>
    <w:rsid w:val="00445047"/>
    <w:rsid w:val="00445C61"/>
    <w:rsid w:val="0044636B"/>
    <w:rsid w:val="00446749"/>
    <w:rsid w:val="00447900"/>
    <w:rsid w:val="00447B2D"/>
    <w:rsid w:val="00447C3C"/>
    <w:rsid w:val="004507B6"/>
    <w:rsid w:val="00451FC8"/>
    <w:rsid w:val="00452737"/>
    <w:rsid w:val="004527E1"/>
    <w:rsid w:val="00453EB7"/>
    <w:rsid w:val="00456E4C"/>
    <w:rsid w:val="00457E2B"/>
    <w:rsid w:val="004602D7"/>
    <w:rsid w:val="00463E39"/>
    <w:rsid w:val="00464582"/>
    <w:rsid w:val="004647E0"/>
    <w:rsid w:val="00464E6A"/>
    <w:rsid w:val="004657FC"/>
    <w:rsid w:val="00467154"/>
    <w:rsid w:val="004673BA"/>
    <w:rsid w:val="00467925"/>
    <w:rsid w:val="00467A02"/>
    <w:rsid w:val="004713AB"/>
    <w:rsid w:val="004715BB"/>
    <w:rsid w:val="004716BB"/>
    <w:rsid w:val="00471E79"/>
    <w:rsid w:val="00472403"/>
    <w:rsid w:val="00472B00"/>
    <w:rsid w:val="004733F6"/>
    <w:rsid w:val="00474E69"/>
    <w:rsid w:val="00475BC4"/>
    <w:rsid w:val="00476545"/>
    <w:rsid w:val="00476A7F"/>
    <w:rsid w:val="00476D22"/>
    <w:rsid w:val="00477729"/>
    <w:rsid w:val="004777B7"/>
    <w:rsid w:val="0048186F"/>
    <w:rsid w:val="00481FB1"/>
    <w:rsid w:val="00483E9F"/>
    <w:rsid w:val="0048490D"/>
    <w:rsid w:val="0048515A"/>
    <w:rsid w:val="00485A2C"/>
    <w:rsid w:val="004873A8"/>
    <w:rsid w:val="00487A3B"/>
    <w:rsid w:val="00487B94"/>
    <w:rsid w:val="00487D98"/>
    <w:rsid w:val="00487E3B"/>
    <w:rsid w:val="004905CF"/>
    <w:rsid w:val="0049177D"/>
    <w:rsid w:val="00494B14"/>
    <w:rsid w:val="00495AC0"/>
    <w:rsid w:val="00495DD0"/>
    <w:rsid w:val="0049621B"/>
    <w:rsid w:val="00496377"/>
    <w:rsid w:val="00496BC5"/>
    <w:rsid w:val="004A055F"/>
    <w:rsid w:val="004A0F8F"/>
    <w:rsid w:val="004A16B6"/>
    <w:rsid w:val="004A16D2"/>
    <w:rsid w:val="004A1D19"/>
    <w:rsid w:val="004A21DA"/>
    <w:rsid w:val="004A269D"/>
    <w:rsid w:val="004A45B4"/>
    <w:rsid w:val="004A516E"/>
    <w:rsid w:val="004A5439"/>
    <w:rsid w:val="004A5B04"/>
    <w:rsid w:val="004A6BD0"/>
    <w:rsid w:val="004A7B18"/>
    <w:rsid w:val="004B012C"/>
    <w:rsid w:val="004B1F77"/>
    <w:rsid w:val="004B2D1F"/>
    <w:rsid w:val="004B3F4B"/>
    <w:rsid w:val="004B4D9C"/>
    <w:rsid w:val="004B5213"/>
    <w:rsid w:val="004B5E6F"/>
    <w:rsid w:val="004B5F49"/>
    <w:rsid w:val="004B61C1"/>
    <w:rsid w:val="004B7B69"/>
    <w:rsid w:val="004C049B"/>
    <w:rsid w:val="004C0AC5"/>
    <w:rsid w:val="004C1895"/>
    <w:rsid w:val="004C2712"/>
    <w:rsid w:val="004C2832"/>
    <w:rsid w:val="004C304C"/>
    <w:rsid w:val="004C3449"/>
    <w:rsid w:val="004C436E"/>
    <w:rsid w:val="004C4BDF"/>
    <w:rsid w:val="004C6424"/>
    <w:rsid w:val="004C6761"/>
    <w:rsid w:val="004C6964"/>
    <w:rsid w:val="004C6D40"/>
    <w:rsid w:val="004C6DF8"/>
    <w:rsid w:val="004C7914"/>
    <w:rsid w:val="004D0149"/>
    <w:rsid w:val="004D0789"/>
    <w:rsid w:val="004D1028"/>
    <w:rsid w:val="004D2312"/>
    <w:rsid w:val="004D3E5B"/>
    <w:rsid w:val="004D3FDE"/>
    <w:rsid w:val="004D40A4"/>
    <w:rsid w:val="004D595C"/>
    <w:rsid w:val="004D5C54"/>
    <w:rsid w:val="004D6033"/>
    <w:rsid w:val="004D663A"/>
    <w:rsid w:val="004E38E0"/>
    <w:rsid w:val="004E3BDE"/>
    <w:rsid w:val="004E5068"/>
    <w:rsid w:val="004E55D3"/>
    <w:rsid w:val="004E568F"/>
    <w:rsid w:val="004E6266"/>
    <w:rsid w:val="004E62D5"/>
    <w:rsid w:val="004E6AA8"/>
    <w:rsid w:val="004E6F2F"/>
    <w:rsid w:val="004E6FD2"/>
    <w:rsid w:val="004E77B1"/>
    <w:rsid w:val="004F07F7"/>
    <w:rsid w:val="004F0C3C"/>
    <w:rsid w:val="004F21E4"/>
    <w:rsid w:val="004F221B"/>
    <w:rsid w:val="004F2280"/>
    <w:rsid w:val="004F23BB"/>
    <w:rsid w:val="004F2D49"/>
    <w:rsid w:val="004F4735"/>
    <w:rsid w:val="004F61D1"/>
    <w:rsid w:val="004F63FC"/>
    <w:rsid w:val="004F6B02"/>
    <w:rsid w:val="004F6B46"/>
    <w:rsid w:val="004F749F"/>
    <w:rsid w:val="004F788C"/>
    <w:rsid w:val="004F7BB2"/>
    <w:rsid w:val="004F7E97"/>
    <w:rsid w:val="00500402"/>
    <w:rsid w:val="00501A58"/>
    <w:rsid w:val="005025C8"/>
    <w:rsid w:val="00504A57"/>
    <w:rsid w:val="00505A92"/>
    <w:rsid w:val="00505BEE"/>
    <w:rsid w:val="00511A82"/>
    <w:rsid w:val="005122A9"/>
    <w:rsid w:val="00512BA6"/>
    <w:rsid w:val="00512C5C"/>
    <w:rsid w:val="00515393"/>
    <w:rsid w:val="00515DF4"/>
    <w:rsid w:val="005166F3"/>
    <w:rsid w:val="00517471"/>
    <w:rsid w:val="00517D66"/>
    <w:rsid w:val="005200E5"/>
    <w:rsid w:val="005203F1"/>
    <w:rsid w:val="00520DF1"/>
    <w:rsid w:val="00521BC3"/>
    <w:rsid w:val="00522DF4"/>
    <w:rsid w:val="005232AF"/>
    <w:rsid w:val="005238AE"/>
    <w:rsid w:val="00524481"/>
    <w:rsid w:val="00524E80"/>
    <w:rsid w:val="005254C9"/>
    <w:rsid w:val="005257D5"/>
    <w:rsid w:val="00527DEB"/>
    <w:rsid w:val="00530075"/>
    <w:rsid w:val="005306D5"/>
    <w:rsid w:val="00531EB3"/>
    <w:rsid w:val="00531F6A"/>
    <w:rsid w:val="00532726"/>
    <w:rsid w:val="00532B63"/>
    <w:rsid w:val="005331CB"/>
    <w:rsid w:val="00533632"/>
    <w:rsid w:val="00533755"/>
    <w:rsid w:val="00534013"/>
    <w:rsid w:val="0053401F"/>
    <w:rsid w:val="00534707"/>
    <w:rsid w:val="00535211"/>
    <w:rsid w:val="0053645B"/>
    <w:rsid w:val="00536F33"/>
    <w:rsid w:val="00537D0B"/>
    <w:rsid w:val="00540B03"/>
    <w:rsid w:val="00540C5C"/>
    <w:rsid w:val="00541E6E"/>
    <w:rsid w:val="0054251F"/>
    <w:rsid w:val="00542FD8"/>
    <w:rsid w:val="00544A91"/>
    <w:rsid w:val="005458E8"/>
    <w:rsid w:val="0054635E"/>
    <w:rsid w:val="0054683E"/>
    <w:rsid w:val="00546EBA"/>
    <w:rsid w:val="00550C7D"/>
    <w:rsid w:val="00550F6B"/>
    <w:rsid w:val="00551453"/>
    <w:rsid w:val="0055168C"/>
    <w:rsid w:val="00551DDF"/>
    <w:rsid w:val="00551E7E"/>
    <w:rsid w:val="005520D8"/>
    <w:rsid w:val="00552873"/>
    <w:rsid w:val="00552E3C"/>
    <w:rsid w:val="005533A1"/>
    <w:rsid w:val="00553EDE"/>
    <w:rsid w:val="005554A3"/>
    <w:rsid w:val="00555CFB"/>
    <w:rsid w:val="00555D82"/>
    <w:rsid w:val="005566DA"/>
    <w:rsid w:val="00556C81"/>
    <w:rsid w:val="00556CF1"/>
    <w:rsid w:val="00557795"/>
    <w:rsid w:val="005618CE"/>
    <w:rsid w:val="0056483A"/>
    <w:rsid w:val="00564FC2"/>
    <w:rsid w:val="0056516C"/>
    <w:rsid w:val="005654E8"/>
    <w:rsid w:val="005656A8"/>
    <w:rsid w:val="00566D97"/>
    <w:rsid w:val="005674EE"/>
    <w:rsid w:val="00570E22"/>
    <w:rsid w:val="00571F5D"/>
    <w:rsid w:val="005743E4"/>
    <w:rsid w:val="005745A1"/>
    <w:rsid w:val="0057467D"/>
    <w:rsid w:val="00574FBA"/>
    <w:rsid w:val="0057524A"/>
    <w:rsid w:val="005762A7"/>
    <w:rsid w:val="0057639E"/>
    <w:rsid w:val="0057685A"/>
    <w:rsid w:val="005770BF"/>
    <w:rsid w:val="00580BA9"/>
    <w:rsid w:val="00582C7A"/>
    <w:rsid w:val="00586E61"/>
    <w:rsid w:val="00587CEE"/>
    <w:rsid w:val="0059002F"/>
    <w:rsid w:val="00590550"/>
    <w:rsid w:val="005906C3"/>
    <w:rsid w:val="00590864"/>
    <w:rsid w:val="00590C1A"/>
    <w:rsid w:val="00590E36"/>
    <w:rsid w:val="005916D7"/>
    <w:rsid w:val="00592012"/>
    <w:rsid w:val="00592369"/>
    <w:rsid w:val="00592E39"/>
    <w:rsid w:val="0059427F"/>
    <w:rsid w:val="00594478"/>
    <w:rsid w:val="00594512"/>
    <w:rsid w:val="005947D5"/>
    <w:rsid w:val="00596220"/>
    <w:rsid w:val="00597969"/>
    <w:rsid w:val="0059798F"/>
    <w:rsid w:val="005A02ED"/>
    <w:rsid w:val="005A0785"/>
    <w:rsid w:val="005A0E64"/>
    <w:rsid w:val="005A1894"/>
    <w:rsid w:val="005A1F8D"/>
    <w:rsid w:val="005A271A"/>
    <w:rsid w:val="005A291A"/>
    <w:rsid w:val="005A391C"/>
    <w:rsid w:val="005A3E69"/>
    <w:rsid w:val="005A3FA5"/>
    <w:rsid w:val="005A4A15"/>
    <w:rsid w:val="005A5C25"/>
    <w:rsid w:val="005A642E"/>
    <w:rsid w:val="005A698C"/>
    <w:rsid w:val="005A7A95"/>
    <w:rsid w:val="005B0482"/>
    <w:rsid w:val="005B0E23"/>
    <w:rsid w:val="005B25D7"/>
    <w:rsid w:val="005B3BF5"/>
    <w:rsid w:val="005B4329"/>
    <w:rsid w:val="005B4EF8"/>
    <w:rsid w:val="005C0CAC"/>
    <w:rsid w:val="005C1353"/>
    <w:rsid w:val="005C2A45"/>
    <w:rsid w:val="005C60E4"/>
    <w:rsid w:val="005C7F64"/>
    <w:rsid w:val="005D03B0"/>
    <w:rsid w:val="005D05EC"/>
    <w:rsid w:val="005D062E"/>
    <w:rsid w:val="005D1A1C"/>
    <w:rsid w:val="005D231C"/>
    <w:rsid w:val="005D2DF8"/>
    <w:rsid w:val="005D36F0"/>
    <w:rsid w:val="005D4B42"/>
    <w:rsid w:val="005D5899"/>
    <w:rsid w:val="005D595E"/>
    <w:rsid w:val="005D688E"/>
    <w:rsid w:val="005D7017"/>
    <w:rsid w:val="005E01B2"/>
    <w:rsid w:val="005E0799"/>
    <w:rsid w:val="005E0975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44D"/>
    <w:rsid w:val="005E65D2"/>
    <w:rsid w:val="005E6BD1"/>
    <w:rsid w:val="005F01C4"/>
    <w:rsid w:val="005F232B"/>
    <w:rsid w:val="005F2BF5"/>
    <w:rsid w:val="005F3105"/>
    <w:rsid w:val="005F3979"/>
    <w:rsid w:val="005F3A2E"/>
    <w:rsid w:val="005F4245"/>
    <w:rsid w:val="005F45EE"/>
    <w:rsid w:val="005F5A80"/>
    <w:rsid w:val="006008FA"/>
    <w:rsid w:val="00600A20"/>
    <w:rsid w:val="0060108F"/>
    <w:rsid w:val="00601B06"/>
    <w:rsid w:val="00601BC2"/>
    <w:rsid w:val="006025DF"/>
    <w:rsid w:val="00602DF9"/>
    <w:rsid w:val="00603637"/>
    <w:rsid w:val="00604176"/>
    <w:rsid w:val="00604314"/>
    <w:rsid w:val="006044FF"/>
    <w:rsid w:val="00605DB3"/>
    <w:rsid w:val="006064BC"/>
    <w:rsid w:val="00606B88"/>
    <w:rsid w:val="00606C35"/>
    <w:rsid w:val="00607BE0"/>
    <w:rsid w:val="00607CC5"/>
    <w:rsid w:val="00610397"/>
    <w:rsid w:val="0061179B"/>
    <w:rsid w:val="006121BD"/>
    <w:rsid w:val="006125F9"/>
    <w:rsid w:val="006145C6"/>
    <w:rsid w:val="006146F4"/>
    <w:rsid w:val="00614F2E"/>
    <w:rsid w:val="00615A34"/>
    <w:rsid w:val="0061746E"/>
    <w:rsid w:val="00617ADA"/>
    <w:rsid w:val="00617B00"/>
    <w:rsid w:val="00621167"/>
    <w:rsid w:val="00621242"/>
    <w:rsid w:val="00621CE1"/>
    <w:rsid w:val="006221B7"/>
    <w:rsid w:val="0063011B"/>
    <w:rsid w:val="00630A30"/>
    <w:rsid w:val="00630BAF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48E4"/>
    <w:rsid w:val="00644BB0"/>
    <w:rsid w:val="006455F9"/>
    <w:rsid w:val="00645B02"/>
    <w:rsid w:val="00650164"/>
    <w:rsid w:val="00650D46"/>
    <w:rsid w:val="00650D7C"/>
    <w:rsid w:val="00650FAE"/>
    <w:rsid w:val="00651925"/>
    <w:rsid w:val="00652883"/>
    <w:rsid w:val="00652BC7"/>
    <w:rsid w:val="00654BB6"/>
    <w:rsid w:val="00654BD6"/>
    <w:rsid w:val="0065662C"/>
    <w:rsid w:val="00656B93"/>
    <w:rsid w:val="00657D0A"/>
    <w:rsid w:val="00660878"/>
    <w:rsid w:val="006615E6"/>
    <w:rsid w:val="00664BCB"/>
    <w:rsid w:val="00665334"/>
    <w:rsid w:val="00665A67"/>
    <w:rsid w:val="00665F10"/>
    <w:rsid w:val="00666173"/>
    <w:rsid w:val="006661E4"/>
    <w:rsid w:val="006673CA"/>
    <w:rsid w:val="006715DE"/>
    <w:rsid w:val="00671EA5"/>
    <w:rsid w:val="00673C26"/>
    <w:rsid w:val="00674DE5"/>
    <w:rsid w:val="006755BF"/>
    <w:rsid w:val="00677A6E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E69"/>
    <w:rsid w:val="00696E72"/>
    <w:rsid w:val="00696FCE"/>
    <w:rsid w:val="006A080E"/>
    <w:rsid w:val="006A241C"/>
    <w:rsid w:val="006A36AE"/>
    <w:rsid w:val="006A4154"/>
    <w:rsid w:val="006A4686"/>
    <w:rsid w:val="006A5AAB"/>
    <w:rsid w:val="006A63BA"/>
    <w:rsid w:val="006B0030"/>
    <w:rsid w:val="006B0209"/>
    <w:rsid w:val="006B070B"/>
    <w:rsid w:val="006B0E9E"/>
    <w:rsid w:val="006B1995"/>
    <w:rsid w:val="006B1AA6"/>
    <w:rsid w:val="006B250E"/>
    <w:rsid w:val="006B3662"/>
    <w:rsid w:val="006B486D"/>
    <w:rsid w:val="006B5534"/>
    <w:rsid w:val="006B5AE4"/>
    <w:rsid w:val="006B672E"/>
    <w:rsid w:val="006B6987"/>
    <w:rsid w:val="006B6D1D"/>
    <w:rsid w:val="006B7366"/>
    <w:rsid w:val="006C0134"/>
    <w:rsid w:val="006C0E4A"/>
    <w:rsid w:val="006C2107"/>
    <w:rsid w:val="006C26C7"/>
    <w:rsid w:val="006C336C"/>
    <w:rsid w:val="006C347B"/>
    <w:rsid w:val="006C416A"/>
    <w:rsid w:val="006C4386"/>
    <w:rsid w:val="006C57B5"/>
    <w:rsid w:val="006D1239"/>
    <w:rsid w:val="006D12B2"/>
    <w:rsid w:val="006D1507"/>
    <w:rsid w:val="006D1D56"/>
    <w:rsid w:val="006D282B"/>
    <w:rsid w:val="006D4054"/>
    <w:rsid w:val="006D4A57"/>
    <w:rsid w:val="006D4C36"/>
    <w:rsid w:val="006D650E"/>
    <w:rsid w:val="006D797D"/>
    <w:rsid w:val="006E02EC"/>
    <w:rsid w:val="006E042F"/>
    <w:rsid w:val="006E3C4F"/>
    <w:rsid w:val="006E46EC"/>
    <w:rsid w:val="006E5487"/>
    <w:rsid w:val="006E5BC6"/>
    <w:rsid w:val="006E6510"/>
    <w:rsid w:val="006E6F41"/>
    <w:rsid w:val="006E73E6"/>
    <w:rsid w:val="006E79C6"/>
    <w:rsid w:val="006F3DB1"/>
    <w:rsid w:val="006F4E42"/>
    <w:rsid w:val="006F63CF"/>
    <w:rsid w:val="007000EA"/>
    <w:rsid w:val="0070033C"/>
    <w:rsid w:val="00700A3D"/>
    <w:rsid w:val="0070206F"/>
    <w:rsid w:val="00702661"/>
    <w:rsid w:val="0070289A"/>
    <w:rsid w:val="00702C5A"/>
    <w:rsid w:val="007034B1"/>
    <w:rsid w:val="00703971"/>
    <w:rsid w:val="00704BB3"/>
    <w:rsid w:val="00704E97"/>
    <w:rsid w:val="00705CD2"/>
    <w:rsid w:val="00710023"/>
    <w:rsid w:val="00710314"/>
    <w:rsid w:val="007110ED"/>
    <w:rsid w:val="007125E3"/>
    <w:rsid w:val="0071340B"/>
    <w:rsid w:val="00714114"/>
    <w:rsid w:val="0071578A"/>
    <w:rsid w:val="007168FD"/>
    <w:rsid w:val="00716C4E"/>
    <w:rsid w:val="00717FC5"/>
    <w:rsid w:val="00721045"/>
    <w:rsid w:val="007211B1"/>
    <w:rsid w:val="007219AB"/>
    <w:rsid w:val="00721EEA"/>
    <w:rsid w:val="00722883"/>
    <w:rsid w:val="00722C47"/>
    <w:rsid w:val="0072409C"/>
    <w:rsid w:val="00724C12"/>
    <w:rsid w:val="00724C71"/>
    <w:rsid w:val="007259F4"/>
    <w:rsid w:val="00725B8C"/>
    <w:rsid w:val="00726AEF"/>
    <w:rsid w:val="00726ED0"/>
    <w:rsid w:val="00727127"/>
    <w:rsid w:val="007271FF"/>
    <w:rsid w:val="007277DA"/>
    <w:rsid w:val="00727DC6"/>
    <w:rsid w:val="00730BBE"/>
    <w:rsid w:val="00731143"/>
    <w:rsid w:val="0073114E"/>
    <w:rsid w:val="00731D27"/>
    <w:rsid w:val="0073254D"/>
    <w:rsid w:val="00732A44"/>
    <w:rsid w:val="007334F4"/>
    <w:rsid w:val="00733546"/>
    <w:rsid w:val="00733B5E"/>
    <w:rsid w:val="0073416D"/>
    <w:rsid w:val="00736C29"/>
    <w:rsid w:val="007377AB"/>
    <w:rsid w:val="00737E9B"/>
    <w:rsid w:val="00740F93"/>
    <w:rsid w:val="00741067"/>
    <w:rsid w:val="007415ED"/>
    <w:rsid w:val="007426A4"/>
    <w:rsid w:val="0074275C"/>
    <w:rsid w:val="00742D5B"/>
    <w:rsid w:val="0074304A"/>
    <w:rsid w:val="00743746"/>
    <w:rsid w:val="007439DC"/>
    <w:rsid w:val="00743D88"/>
    <w:rsid w:val="00746187"/>
    <w:rsid w:val="00746E92"/>
    <w:rsid w:val="00746F3F"/>
    <w:rsid w:val="00747407"/>
    <w:rsid w:val="007476BC"/>
    <w:rsid w:val="007527FB"/>
    <w:rsid w:val="00754321"/>
    <w:rsid w:val="00754744"/>
    <w:rsid w:val="00754BAD"/>
    <w:rsid w:val="00756AD4"/>
    <w:rsid w:val="00757787"/>
    <w:rsid w:val="007616A9"/>
    <w:rsid w:val="007617C9"/>
    <w:rsid w:val="0076254F"/>
    <w:rsid w:val="00763223"/>
    <w:rsid w:val="007664BE"/>
    <w:rsid w:val="00766699"/>
    <w:rsid w:val="0077024E"/>
    <w:rsid w:val="00770934"/>
    <w:rsid w:val="00770C54"/>
    <w:rsid w:val="0077107A"/>
    <w:rsid w:val="00772745"/>
    <w:rsid w:val="00772A1C"/>
    <w:rsid w:val="00773345"/>
    <w:rsid w:val="00773EBE"/>
    <w:rsid w:val="007768B0"/>
    <w:rsid w:val="0077748D"/>
    <w:rsid w:val="00777F2D"/>
    <w:rsid w:val="007801F5"/>
    <w:rsid w:val="00780251"/>
    <w:rsid w:val="00781689"/>
    <w:rsid w:val="00781F54"/>
    <w:rsid w:val="0078245F"/>
    <w:rsid w:val="0078275D"/>
    <w:rsid w:val="00783CA4"/>
    <w:rsid w:val="007842FB"/>
    <w:rsid w:val="007853EC"/>
    <w:rsid w:val="0078571F"/>
    <w:rsid w:val="00786124"/>
    <w:rsid w:val="00787B57"/>
    <w:rsid w:val="007903D3"/>
    <w:rsid w:val="00792115"/>
    <w:rsid w:val="0079514B"/>
    <w:rsid w:val="00795252"/>
    <w:rsid w:val="00795C73"/>
    <w:rsid w:val="00796B83"/>
    <w:rsid w:val="007976ED"/>
    <w:rsid w:val="00797AEB"/>
    <w:rsid w:val="007A051A"/>
    <w:rsid w:val="007A0B4B"/>
    <w:rsid w:val="007A17DE"/>
    <w:rsid w:val="007A2DC1"/>
    <w:rsid w:val="007A7AB7"/>
    <w:rsid w:val="007B1F0F"/>
    <w:rsid w:val="007B22E7"/>
    <w:rsid w:val="007B25A3"/>
    <w:rsid w:val="007B2ACC"/>
    <w:rsid w:val="007B2C6E"/>
    <w:rsid w:val="007B34E9"/>
    <w:rsid w:val="007B4D3D"/>
    <w:rsid w:val="007B5D66"/>
    <w:rsid w:val="007B643F"/>
    <w:rsid w:val="007C0BBB"/>
    <w:rsid w:val="007C0E66"/>
    <w:rsid w:val="007C1001"/>
    <w:rsid w:val="007C316A"/>
    <w:rsid w:val="007C373E"/>
    <w:rsid w:val="007C41ED"/>
    <w:rsid w:val="007C513C"/>
    <w:rsid w:val="007C53F7"/>
    <w:rsid w:val="007C5B8F"/>
    <w:rsid w:val="007D0126"/>
    <w:rsid w:val="007D02DB"/>
    <w:rsid w:val="007D07C7"/>
    <w:rsid w:val="007D0869"/>
    <w:rsid w:val="007D144C"/>
    <w:rsid w:val="007D1491"/>
    <w:rsid w:val="007D14C4"/>
    <w:rsid w:val="007D1F80"/>
    <w:rsid w:val="007D2D27"/>
    <w:rsid w:val="007D3319"/>
    <w:rsid w:val="007D335D"/>
    <w:rsid w:val="007D47C1"/>
    <w:rsid w:val="007D4862"/>
    <w:rsid w:val="007D5265"/>
    <w:rsid w:val="007D56C0"/>
    <w:rsid w:val="007D5707"/>
    <w:rsid w:val="007D5E03"/>
    <w:rsid w:val="007D605C"/>
    <w:rsid w:val="007D799A"/>
    <w:rsid w:val="007E002B"/>
    <w:rsid w:val="007E0961"/>
    <w:rsid w:val="007E269F"/>
    <w:rsid w:val="007E3314"/>
    <w:rsid w:val="007E3514"/>
    <w:rsid w:val="007E3D43"/>
    <w:rsid w:val="007E4B03"/>
    <w:rsid w:val="007E5583"/>
    <w:rsid w:val="007E5C57"/>
    <w:rsid w:val="007F0296"/>
    <w:rsid w:val="007F223A"/>
    <w:rsid w:val="007F266A"/>
    <w:rsid w:val="007F269F"/>
    <w:rsid w:val="007F324B"/>
    <w:rsid w:val="007F34D0"/>
    <w:rsid w:val="007F5986"/>
    <w:rsid w:val="007F5C24"/>
    <w:rsid w:val="008004E7"/>
    <w:rsid w:val="00801E8E"/>
    <w:rsid w:val="00802123"/>
    <w:rsid w:val="00802204"/>
    <w:rsid w:val="00802E02"/>
    <w:rsid w:val="0080353B"/>
    <w:rsid w:val="008052B9"/>
    <w:rsid w:val="0080553C"/>
    <w:rsid w:val="00805B46"/>
    <w:rsid w:val="00805DB4"/>
    <w:rsid w:val="008065DC"/>
    <w:rsid w:val="00806ABE"/>
    <w:rsid w:val="008070C0"/>
    <w:rsid w:val="00811A30"/>
    <w:rsid w:val="00811B37"/>
    <w:rsid w:val="00815419"/>
    <w:rsid w:val="008165F3"/>
    <w:rsid w:val="008171C2"/>
    <w:rsid w:val="0081739B"/>
    <w:rsid w:val="0082000A"/>
    <w:rsid w:val="00821450"/>
    <w:rsid w:val="0082150C"/>
    <w:rsid w:val="00822978"/>
    <w:rsid w:val="00823593"/>
    <w:rsid w:val="0082374E"/>
    <w:rsid w:val="00825321"/>
    <w:rsid w:val="008257BA"/>
    <w:rsid w:val="00825DC2"/>
    <w:rsid w:val="00826057"/>
    <w:rsid w:val="00826D28"/>
    <w:rsid w:val="00826EA5"/>
    <w:rsid w:val="00827F3E"/>
    <w:rsid w:val="00831818"/>
    <w:rsid w:val="008320E2"/>
    <w:rsid w:val="00832BD5"/>
    <w:rsid w:val="008333F5"/>
    <w:rsid w:val="00833CD6"/>
    <w:rsid w:val="008346CA"/>
    <w:rsid w:val="008348F7"/>
    <w:rsid w:val="00834AD3"/>
    <w:rsid w:val="00834C74"/>
    <w:rsid w:val="00835146"/>
    <w:rsid w:val="00836BF1"/>
    <w:rsid w:val="00836F4E"/>
    <w:rsid w:val="00837B9A"/>
    <w:rsid w:val="00843795"/>
    <w:rsid w:val="008449D0"/>
    <w:rsid w:val="00847C85"/>
    <w:rsid w:val="00847C9D"/>
    <w:rsid w:val="00847F0F"/>
    <w:rsid w:val="00850D61"/>
    <w:rsid w:val="00851002"/>
    <w:rsid w:val="00852318"/>
    <w:rsid w:val="00852448"/>
    <w:rsid w:val="0085322E"/>
    <w:rsid w:val="00854A03"/>
    <w:rsid w:val="00855230"/>
    <w:rsid w:val="008575EA"/>
    <w:rsid w:val="00861460"/>
    <w:rsid w:val="008626F2"/>
    <w:rsid w:val="008633F7"/>
    <w:rsid w:val="00863FA8"/>
    <w:rsid w:val="008643E2"/>
    <w:rsid w:val="00866233"/>
    <w:rsid w:val="00866297"/>
    <w:rsid w:val="00866777"/>
    <w:rsid w:val="008668B9"/>
    <w:rsid w:val="00867F49"/>
    <w:rsid w:val="00870752"/>
    <w:rsid w:val="008711C8"/>
    <w:rsid w:val="008719CD"/>
    <w:rsid w:val="00871CBD"/>
    <w:rsid w:val="00872503"/>
    <w:rsid w:val="00872FDD"/>
    <w:rsid w:val="008741A2"/>
    <w:rsid w:val="00874748"/>
    <w:rsid w:val="00875380"/>
    <w:rsid w:val="00875CF3"/>
    <w:rsid w:val="00877F6C"/>
    <w:rsid w:val="00880B81"/>
    <w:rsid w:val="0088258A"/>
    <w:rsid w:val="0088300B"/>
    <w:rsid w:val="00884819"/>
    <w:rsid w:val="00885C1E"/>
    <w:rsid w:val="00886332"/>
    <w:rsid w:val="00887145"/>
    <w:rsid w:val="00887FE9"/>
    <w:rsid w:val="00891D8B"/>
    <w:rsid w:val="008925F0"/>
    <w:rsid w:val="0089448A"/>
    <w:rsid w:val="0089482A"/>
    <w:rsid w:val="00894C88"/>
    <w:rsid w:val="00895CCF"/>
    <w:rsid w:val="00897877"/>
    <w:rsid w:val="008A1F98"/>
    <w:rsid w:val="008A26D9"/>
    <w:rsid w:val="008A33AC"/>
    <w:rsid w:val="008A38C7"/>
    <w:rsid w:val="008A38D8"/>
    <w:rsid w:val="008A3CBC"/>
    <w:rsid w:val="008A4CA5"/>
    <w:rsid w:val="008A7337"/>
    <w:rsid w:val="008A7B5B"/>
    <w:rsid w:val="008B12D2"/>
    <w:rsid w:val="008B1C75"/>
    <w:rsid w:val="008B2151"/>
    <w:rsid w:val="008B26C9"/>
    <w:rsid w:val="008B30EA"/>
    <w:rsid w:val="008B3F29"/>
    <w:rsid w:val="008B5581"/>
    <w:rsid w:val="008B581D"/>
    <w:rsid w:val="008B6F0F"/>
    <w:rsid w:val="008B7C36"/>
    <w:rsid w:val="008C0959"/>
    <w:rsid w:val="008C0C29"/>
    <w:rsid w:val="008C1992"/>
    <w:rsid w:val="008C2535"/>
    <w:rsid w:val="008C2562"/>
    <w:rsid w:val="008C3005"/>
    <w:rsid w:val="008C3AD6"/>
    <w:rsid w:val="008C4B77"/>
    <w:rsid w:val="008C740C"/>
    <w:rsid w:val="008C7656"/>
    <w:rsid w:val="008D02DA"/>
    <w:rsid w:val="008D0618"/>
    <w:rsid w:val="008D0D4D"/>
    <w:rsid w:val="008D3440"/>
    <w:rsid w:val="008D43D2"/>
    <w:rsid w:val="008D604A"/>
    <w:rsid w:val="008D70C3"/>
    <w:rsid w:val="008D76BC"/>
    <w:rsid w:val="008E09E7"/>
    <w:rsid w:val="008E1337"/>
    <w:rsid w:val="008E1470"/>
    <w:rsid w:val="008E343F"/>
    <w:rsid w:val="008E3F99"/>
    <w:rsid w:val="008E428E"/>
    <w:rsid w:val="008E482A"/>
    <w:rsid w:val="008E4979"/>
    <w:rsid w:val="008E5C88"/>
    <w:rsid w:val="008E62D4"/>
    <w:rsid w:val="008E67AF"/>
    <w:rsid w:val="008E6F63"/>
    <w:rsid w:val="008E7DBA"/>
    <w:rsid w:val="008F04DD"/>
    <w:rsid w:val="008F0829"/>
    <w:rsid w:val="008F33A2"/>
    <w:rsid w:val="008F3638"/>
    <w:rsid w:val="008F4441"/>
    <w:rsid w:val="008F53D9"/>
    <w:rsid w:val="008F5797"/>
    <w:rsid w:val="008F6256"/>
    <w:rsid w:val="008F6850"/>
    <w:rsid w:val="008F6B20"/>
    <w:rsid w:val="008F6F31"/>
    <w:rsid w:val="008F74DF"/>
    <w:rsid w:val="008F7502"/>
    <w:rsid w:val="008F7C67"/>
    <w:rsid w:val="00902274"/>
    <w:rsid w:val="00902AE6"/>
    <w:rsid w:val="009061B6"/>
    <w:rsid w:val="0091083F"/>
    <w:rsid w:val="009114A5"/>
    <w:rsid w:val="00912117"/>
    <w:rsid w:val="00912473"/>
    <w:rsid w:val="009126C1"/>
    <w:rsid w:val="00912768"/>
    <w:rsid w:val="009127BA"/>
    <w:rsid w:val="009143CA"/>
    <w:rsid w:val="009168E3"/>
    <w:rsid w:val="00916D33"/>
    <w:rsid w:val="00916E75"/>
    <w:rsid w:val="009179A8"/>
    <w:rsid w:val="00917A85"/>
    <w:rsid w:val="0092065C"/>
    <w:rsid w:val="00920AAE"/>
    <w:rsid w:val="00920F62"/>
    <w:rsid w:val="009227A6"/>
    <w:rsid w:val="00923029"/>
    <w:rsid w:val="0092355A"/>
    <w:rsid w:val="00925099"/>
    <w:rsid w:val="00926497"/>
    <w:rsid w:val="00927F0E"/>
    <w:rsid w:val="00931567"/>
    <w:rsid w:val="009315A5"/>
    <w:rsid w:val="00933058"/>
    <w:rsid w:val="00933EC1"/>
    <w:rsid w:val="00934B47"/>
    <w:rsid w:val="00942144"/>
    <w:rsid w:val="00942F87"/>
    <w:rsid w:val="009430C6"/>
    <w:rsid w:val="009446AD"/>
    <w:rsid w:val="00944941"/>
    <w:rsid w:val="00944EA3"/>
    <w:rsid w:val="00944F0C"/>
    <w:rsid w:val="00945008"/>
    <w:rsid w:val="00945251"/>
    <w:rsid w:val="00945279"/>
    <w:rsid w:val="009456B0"/>
    <w:rsid w:val="00945A03"/>
    <w:rsid w:val="009465D9"/>
    <w:rsid w:val="00946D0C"/>
    <w:rsid w:val="00946F6D"/>
    <w:rsid w:val="00947210"/>
    <w:rsid w:val="009475B7"/>
    <w:rsid w:val="009476B3"/>
    <w:rsid w:val="00950844"/>
    <w:rsid w:val="0095214D"/>
    <w:rsid w:val="009530DB"/>
    <w:rsid w:val="00953602"/>
    <w:rsid w:val="00953676"/>
    <w:rsid w:val="009541F3"/>
    <w:rsid w:val="00955FD3"/>
    <w:rsid w:val="00956F30"/>
    <w:rsid w:val="009579C3"/>
    <w:rsid w:val="009579D4"/>
    <w:rsid w:val="00957EDD"/>
    <w:rsid w:val="00961371"/>
    <w:rsid w:val="00961750"/>
    <w:rsid w:val="00963409"/>
    <w:rsid w:val="00963D80"/>
    <w:rsid w:val="009644C4"/>
    <w:rsid w:val="009645F2"/>
    <w:rsid w:val="009669AF"/>
    <w:rsid w:val="00966C9A"/>
    <w:rsid w:val="00967F1E"/>
    <w:rsid w:val="009705EE"/>
    <w:rsid w:val="009723E2"/>
    <w:rsid w:val="00973027"/>
    <w:rsid w:val="00973BC7"/>
    <w:rsid w:val="00973CA3"/>
    <w:rsid w:val="009749C3"/>
    <w:rsid w:val="00975DA9"/>
    <w:rsid w:val="00977927"/>
    <w:rsid w:val="00980C84"/>
    <w:rsid w:val="0098135C"/>
    <w:rsid w:val="0098156A"/>
    <w:rsid w:val="00981901"/>
    <w:rsid w:val="00984425"/>
    <w:rsid w:val="009845EA"/>
    <w:rsid w:val="009847CA"/>
    <w:rsid w:val="00986164"/>
    <w:rsid w:val="009861C8"/>
    <w:rsid w:val="00987C33"/>
    <w:rsid w:val="009908DA"/>
    <w:rsid w:val="009910EC"/>
    <w:rsid w:val="00991BAC"/>
    <w:rsid w:val="009924D9"/>
    <w:rsid w:val="00992853"/>
    <w:rsid w:val="00992E59"/>
    <w:rsid w:val="00994356"/>
    <w:rsid w:val="00996362"/>
    <w:rsid w:val="00997AF7"/>
    <w:rsid w:val="009A0E23"/>
    <w:rsid w:val="009A1E68"/>
    <w:rsid w:val="009A22C0"/>
    <w:rsid w:val="009A2390"/>
    <w:rsid w:val="009A3F69"/>
    <w:rsid w:val="009A4BFB"/>
    <w:rsid w:val="009A6EA0"/>
    <w:rsid w:val="009A7D38"/>
    <w:rsid w:val="009B0EF3"/>
    <w:rsid w:val="009B12CC"/>
    <w:rsid w:val="009B1E25"/>
    <w:rsid w:val="009B28D1"/>
    <w:rsid w:val="009B4671"/>
    <w:rsid w:val="009B563F"/>
    <w:rsid w:val="009B5B54"/>
    <w:rsid w:val="009B678B"/>
    <w:rsid w:val="009C025C"/>
    <w:rsid w:val="009C0681"/>
    <w:rsid w:val="009C0C60"/>
    <w:rsid w:val="009C1335"/>
    <w:rsid w:val="009C143C"/>
    <w:rsid w:val="009C1AB2"/>
    <w:rsid w:val="009C2CF8"/>
    <w:rsid w:val="009C3D0A"/>
    <w:rsid w:val="009C3EB8"/>
    <w:rsid w:val="009C3FBE"/>
    <w:rsid w:val="009C451A"/>
    <w:rsid w:val="009C4D42"/>
    <w:rsid w:val="009C62F3"/>
    <w:rsid w:val="009C665C"/>
    <w:rsid w:val="009C66DD"/>
    <w:rsid w:val="009C7251"/>
    <w:rsid w:val="009D1F9F"/>
    <w:rsid w:val="009D24B4"/>
    <w:rsid w:val="009D252F"/>
    <w:rsid w:val="009D2875"/>
    <w:rsid w:val="009D500E"/>
    <w:rsid w:val="009D511B"/>
    <w:rsid w:val="009D537F"/>
    <w:rsid w:val="009D6317"/>
    <w:rsid w:val="009D6446"/>
    <w:rsid w:val="009D6A53"/>
    <w:rsid w:val="009D74A4"/>
    <w:rsid w:val="009D7BEA"/>
    <w:rsid w:val="009D7FA5"/>
    <w:rsid w:val="009E08DA"/>
    <w:rsid w:val="009E19C8"/>
    <w:rsid w:val="009E229C"/>
    <w:rsid w:val="009E2769"/>
    <w:rsid w:val="009E2E91"/>
    <w:rsid w:val="009E30B0"/>
    <w:rsid w:val="009E35D7"/>
    <w:rsid w:val="009E6287"/>
    <w:rsid w:val="009E670D"/>
    <w:rsid w:val="009E7835"/>
    <w:rsid w:val="009E7944"/>
    <w:rsid w:val="009F1988"/>
    <w:rsid w:val="009F2421"/>
    <w:rsid w:val="009F37F2"/>
    <w:rsid w:val="009F4484"/>
    <w:rsid w:val="009F4837"/>
    <w:rsid w:val="009F61F9"/>
    <w:rsid w:val="009F78E3"/>
    <w:rsid w:val="00A000BA"/>
    <w:rsid w:val="00A0143D"/>
    <w:rsid w:val="00A018CB"/>
    <w:rsid w:val="00A01B40"/>
    <w:rsid w:val="00A01F4A"/>
    <w:rsid w:val="00A03BD8"/>
    <w:rsid w:val="00A06024"/>
    <w:rsid w:val="00A064F6"/>
    <w:rsid w:val="00A0721F"/>
    <w:rsid w:val="00A103DA"/>
    <w:rsid w:val="00A11B5E"/>
    <w:rsid w:val="00A139F5"/>
    <w:rsid w:val="00A156FF"/>
    <w:rsid w:val="00A157B7"/>
    <w:rsid w:val="00A17742"/>
    <w:rsid w:val="00A17769"/>
    <w:rsid w:val="00A17C10"/>
    <w:rsid w:val="00A20A3E"/>
    <w:rsid w:val="00A21053"/>
    <w:rsid w:val="00A21DEA"/>
    <w:rsid w:val="00A227C0"/>
    <w:rsid w:val="00A24A64"/>
    <w:rsid w:val="00A259C7"/>
    <w:rsid w:val="00A25C2C"/>
    <w:rsid w:val="00A265BF"/>
    <w:rsid w:val="00A26854"/>
    <w:rsid w:val="00A26FF6"/>
    <w:rsid w:val="00A273E2"/>
    <w:rsid w:val="00A27EDD"/>
    <w:rsid w:val="00A3036B"/>
    <w:rsid w:val="00A30CD2"/>
    <w:rsid w:val="00A30D44"/>
    <w:rsid w:val="00A31734"/>
    <w:rsid w:val="00A32E16"/>
    <w:rsid w:val="00A32E65"/>
    <w:rsid w:val="00A365F4"/>
    <w:rsid w:val="00A3771C"/>
    <w:rsid w:val="00A40278"/>
    <w:rsid w:val="00A40F96"/>
    <w:rsid w:val="00A41D04"/>
    <w:rsid w:val="00A4234C"/>
    <w:rsid w:val="00A42AE6"/>
    <w:rsid w:val="00A42E66"/>
    <w:rsid w:val="00A43657"/>
    <w:rsid w:val="00A46ED5"/>
    <w:rsid w:val="00A473C1"/>
    <w:rsid w:val="00A47A2A"/>
    <w:rsid w:val="00A47D80"/>
    <w:rsid w:val="00A50041"/>
    <w:rsid w:val="00A50DB8"/>
    <w:rsid w:val="00A51078"/>
    <w:rsid w:val="00A52F4A"/>
    <w:rsid w:val="00A53132"/>
    <w:rsid w:val="00A53D74"/>
    <w:rsid w:val="00A5434C"/>
    <w:rsid w:val="00A563F2"/>
    <w:rsid w:val="00A566E8"/>
    <w:rsid w:val="00A56847"/>
    <w:rsid w:val="00A56AB7"/>
    <w:rsid w:val="00A57C36"/>
    <w:rsid w:val="00A57FDD"/>
    <w:rsid w:val="00A60954"/>
    <w:rsid w:val="00A60A65"/>
    <w:rsid w:val="00A617AC"/>
    <w:rsid w:val="00A618F5"/>
    <w:rsid w:val="00A62AAF"/>
    <w:rsid w:val="00A6325C"/>
    <w:rsid w:val="00A63DE6"/>
    <w:rsid w:val="00A64A1F"/>
    <w:rsid w:val="00A65CAE"/>
    <w:rsid w:val="00A65F7C"/>
    <w:rsid w:val="00A66276"/>
    <w:rsid w:val="00A66347"/>
    <w:rsid w:val="00A67093"/>
    <w:rsid w:val="00A67A57"/>
    <w:rsid w:val="00A7363B"/>
    <w:rsid w:val="00A737E2"/>
    <w:rsid w:val="00A7779A"/>
    <w:rsid w:val="00A80698"/>
    <w:rsid w:val="00A810F9"/>
    <w:rsid w:val="00A813D9"/>
    <w:rsid w:val="00A815A4"/>
    <w:rsid w:val="00A81CA1"/>
    <w:rsid w:val="00A8214B"/>
    <w:rsid w:val="00A82D31"/>
    <w:rsid w:val="00A83308"/>
    <w:rsid w:val="00A84296"/>
    <w:rsid w:val="00A8452C"/>
    <w:rsid w:val="00A84665"/>
    <w:rsid w:val="00A85908"/>
    <w:rsid w:val="00A85E7E"/>
    <w:rsid w:val="00A86C74"/>
    <w:rsid w:val="00A86ECC"/>
    <w:rsid w:val="00A86FCC"/>
    <w:rsid w:val="00A87211"/>
    <w:rsid w:val="00A901AA"/>
    <w:rsid w:val="00A9054F"/>
    <w:rsid w:val="00A90A6D"/>
    <w:rsid w:val="00A9294A"/>
    <w:rsid w:val="00A93477"/>
    <w:rsid w:val="00A93CEB"/>
    <w:rsid w:val="00A94093"/>
    <w:rsid w:val="00A9428D"/>
    <w:rsid w:val="00A944A9"/>
    <w:rsid w:val="00A94DDF"/>
    <w:rsid w:val="00A94F9A"/>
    <w:rsid w:val="00A95866"/>
    <w:rsid w:val="00A96756"/>
    <w:rsid w:val="00A969FF"/>
    <w:rsid w:val="00A971E5"/>
    <w:rsid w:val="00AA2D33"/>
    <w:rsid w:val="00AA2F0E"/>
    <w:rsid w:val="00AA2F63"/>
    <w:rsid w:val="00AA329F"/>
    <w:rsid w:val="00AA4E8A"/>
    <w:rsid w:val="00AA62BC"/>
    <w:rsid w:val="00AA62DB"/>
    <w:rsid w:val="00AA641F"/>
    <w:rsid w:val="00AA710D"/>
    <w:rsid w:val="00AB14E1"/>
    <w:rsid w:val="00AB192C"/>
    <w:rsid w:val="00AB28C9"/>
    <w:rsid w:val="00AB37BC"/>
    <w:rsid w:val="00AB4AFF"/>
    <w:rsid w:val="00AB54B6"/>
    <w:rsid w:val="00AB64F3"/>
    <w:rsid w:val="00AB6D25"/>
    <w:rsid w:val="00AC02BC"/>
    <w:rsid w:val="00AC0589"/>
    <w:rsid w:val="00AC14BA"/>
    <w:rsid w:val="00AC19A0"/>
    <w:rsid w:val="00AC2687"/>
    <w:rsid w:val="00AC280D"/>
    <w:rsid w:val="00AC28CD"/>
    <w:rsid w:val="00AC3850"/>
    <w:rsid w:val="00AC3B10"/>
    <w:rsid w:val="00AC46FE"/>
    <w:rsid w:val="00AC5171"/>
    <w:rsid w:val="00AC5CCA"/>
    <w:rsid w:val="00AC5D3D"/>
    <w:rsid w:val="00AD0E56"/>
    <w:rsid w:val="00AD1F03"/>
    <w:rsid w:val="00AD2B1F"/>
    <w:rsid w:val="00AD4D81"/>
    <w:rsid w:val="00AD5338"/>
    <w:rsid w:val="00AD624D"/>
    <w:rsid w:val="00AD6392"/>
    <w:rsid w:val="00AD69B5"/>
    <w:rsid w:val="00AD759E"/>
    <w:rsid w:val="00AD7D81"/>
    <w:rsid w:val="00AE1192"/>
    <w:rsid w:val="00AE2010"/>
    <w:rsid w:val="00AE20E6"/>
    <w:rsid w:val="00AE229B"/>
    <w:rsid w:val="00AE2D4B"/>
    <w:rsid w:val="00AE4660"/>
    <w:rsid w:val="00AE4F99"/>
    <w:rsid w:val="00AE55D2"/>
    <w:rsid w:val="00AE6DF7"/>
    <w:rsid w:val="00AE7DC5"/>
    <w:rsid w:val="00AE7FDB"/>
    <w:rsid w:val="00AF0705"/>
    <w:rsid w:val="00AF0C34"/>
    <w:rsid w:val="00AF157D"/>
    <w:rsid w:val="00AF1630"/>
    <w:rsid w:val="00AF1C33"/>
    <w:rsid w:val="00AF1CA6"/>
    <w:rsid w:val="00AF1DE9"/>
    <w:rsid w:val="00AF1FE9"/>
    <w:rsid w:val="00AF2E88"/>
    <w:rsid w:val="00AF3088"/>
    <w:rsid w:val="00AF30AA"/>
    <w:rsid w:val="00AF41EB"/>
    <w:rsid w:val="00AF45BA"/>
    <w:rsid w:val="00AF46A1"/>
    <w:rsid w:val="00AF553F"/>
    <w:rsid w:val="00AF5C33"/>
    <w:rsid w:val="00AF645A"/>
    <w:rsid w:val="00AF6558"/>
    <w:rsid w:val="00B0047E"/>
    <w:rsid w:val="00B011F7"/>
    <w:rsid w:val="00B023A6"/>
    <w:rsid w:val="00B02D41"/>
    <w:rsid w:val="00B05018"/>
    <w:rsid w:val="00B05F4E"/>
    <w:rsid w:val="00B0661D"/>
    <w:rsid w:val="00B07310"/>
    <w:rsid w:val="00B111D0"/>
    <w:rsid w:val="00B11B69"/>
    <w:rsid w:val="00B11F78"/>
    <w:rsid w:val="00B12F67"/>
    <w:rsid w:val="00B13921"/>
    <w:rsid w:val="00B14952"/>
    <w:rsid w:val="00B15590"/>
    <w:rsid w:val="00B16871"/>
    <w:rsid w:val="00B1745C"/>
    <w:rsid w:val="00B203F0"/>
    <w:rsid w:val="00B20DE1"/>
    <w:rsid w:val="00B21DC1"/>
    <w:rsid w:val="00B22223"/>
    <w:rsid w:val="00B24892"/>
    <w:rsid w:val="00B24C81"/>
    <w:rsid w:val="00B24F84"/>
    <w:rsid w:val="00B25B45"/>
    <w:rsid w:val="00B25B69"/>
    <w:rsid w:val="00B25C5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5B89"/>
    <w:rsid w:val="00B3710B"/>
    <w:rsid w:val="00B37A60"/>
    <w:rsid w:val="00B4052A"/>
    <w:rsid w:val="00B4174A"/>
    <w:rsid w:val="00B43075"/>
    <w:rsid w:val="00B4309F"/>
    <w:rsid w:val="00B43DEA"/>
    <w:rsid w:val="00B4474E"/>
    <w:rsid w:val="00B44F61"/>
    <w:rsid w:val="00B45052"/>
    <w:rsid w:val="00B4553D"/>
    <w:rsid w:val="00B45E3F"/>
    <w:rsid w:val="00B47284"/>
    <w:rsid w:val="00B47359"/>
    <w:rsid w:val="00B478B8"/>
    <w:rsid w:val="00B5019E"/>
    <w:rsid w:val="00B506EA"/>
    <w:rsid w:val="00B51B1C"/>
    <w:rsid w:val="00B525B3"/>
    <w:rsid w:val="00B530F8"/>
    <w:rsid w:val="00B5332D"/>
    <w:rsid w:val="00B54288"/>
    <w:rsid w:val="00B54CC6"/>
    <w:rsid w:val="00B56F05"/>
    <w:rsid w:val="00B57EE1"/>
    <w:rsid w:val="00B60D04"/>
    <w:rsid w:val="00B60F4E"/>
    <w:rsid w:val="00B61129"/>
    <w:rsid w:val="00B61D0E"/>
    <w:rsid w:val="00B6223D"/>
    <w:rsid w:val="00B642F0"/>
    <w:rsid w:val="00B653AB"/>
    <w:rsid w:val="00B657E9"/>
    <w:rsid w:val="00B65C40"/>
    <w:rsid w:val="00B65F9E"/>
    <w:rsid w:val="00B66537"/>
    <w:rsid w:val="00B66B19"/>
    <w:rsid w:val="00B66BE2"/>
    <w:rsid w:val="00B67016"/>
    <w:rsid w:val="00B67D70"/>
    <w:rsid w:val="00B67F74"/>
    <w:rsid w:val="00B71BD1"/>
    <w:rsid w:val="00B73C02"/>
    <w:rsid w:val="00B74130"/>
    <w:rsid w:val="00B74408"/>
    <w:rsid w:val="00B74F5D"/>
    <w:rsid w:val="00B77D70"/>
    <w:rsid w:val="00B80519"/>
    <w:rsid w:val="00B80FDA"/>
    <w:rsid w:val="00B813A2"/>
    <w:rsid w:val="00B83F4A"/>
    <w:rsid w:val="00B85F30"/>
    <w:rsid w:val="00B86DAB"/>
    <w:rsid w:val="00B8740E"/>
    <w:rsid w:val="00B8755F"/>
    <w:rsid w:val="00B914E9"/>
    <w:rsid w:val="00B91F64"/>
    <w:rsid w:val="00B92257"/>
    <w:rsid w:val="00B9244A"/>
    <w:rsid w:val="00B92E32"/>
    <w:rsid w:val="00B933F2"/>
    <w:rsid w:val="00B94434"/>
    <w:rsid w:val="00B95343"/>
    <w:rsid w:val="00B956EE"/>
    <w:rsid w:val="00B9575F"/>
    <w:rsid w:val="00B96041"/>
    <w:rsid w:val="00B961BB"/>
    <w:rsid w:val="00B96607"/>
    <w:rsid w:val="00B96685"/>
    <w:rsid w:val="00B976DC"/>
    <w:rsid w:val="00BA0FD7"/>
    <w:rsid w:val="00BA2BA1"/>
    <w:rsid w:val="00BA3447"/>
    <w:rsid w:val="00BA3562"/>
    <w:rsid w:val="00BA3A1A"/>
    <w:rsid w:val="00BA42AA"/>
    <w:rsid w:val="00BA4B89"/>
    <w:rsid w:val="00BA5CF7"/>
    <w:rsid w:val="00BA65B8"/>
    <w:rsid w:val="00BA682B"/>
    <w:rsid w:val="00BA7498"/>
    <w:rsid w:val="00BA7AD2"/>
    <w:rsid w:val="00BB0477"/>
    <w:rsid w:val="00BB0991"/>
    <w:rsid w:val="00BB3AA7"/>
    <w:rsid w:val="00BB4D99"/>
    <w:rsid w:val="00BB4DFF"/>
    <w:rsid w:val="00BB4F09"/>
    <w:rsid w:val="00BB5C6D"/>
    <w:rsid w:val="00BB6AF7"/>
    <w:rsid w:val="00BC138A"/>
    <w:rsid w:val="00BC1873"/>
    <w:rsid w:val="00BC1A26"/>
    <w:rsid w:val="00BC2038"/>
    <w:rsid w:val="00BC25BA"/>
    <w:rsid w:val="00BC2D48"/>
    <w:rsid w:val="00BC2F14"/>
    <w:rsid w:val="00BC3532"/>
    <w:rsid w:val="00BC353D"/>
    <w:rsid w:val="00BC646E"/>
    <w:rsid w:val="00BD023B"/>
    <w:rsid w:val="00BD0337"/>
    <w:rsid w:val="00BD047C"/>
    <w:rsid w:val="00BD134A"/>
    <w:rsid w:val="00BD3FC5"/>
    <w:rsid w:val="00BD4445"/>
    <w:rsid w:val="00BD4E33"/>
    <w:rsid w:val="00BE0657"/>
    <w:rsid w:val="00BE14ED"/>
    <w:rsid w:val="00BE1564"/>
    <w:rsid w:val="00BF0B34"/>
    <w:rsid w:val="00BF0B5F"/>
    <w:rsid w:val="00BF0BBE"/>
    <w:rsid w:val="00BF0F9E"/>
    <w:rsid w:val="00BF246A"/>
    <w:rsid w:val="00BF24C1"/>
    <w:rsid w:val="00BF2B63"/>
    <w:rsid w:val="00BF4112"/>
    <w:rsid w:val="00BF5801"/>
    <w:rsid w:val="00BF5AC0"/>
    <w:rsid w:val="00BF627B"/>
    <w:rsid w:val="00BF642E"/>
    <w:rsid w:val="00BF6549"/>
    <w:rsid w:val="00BF74FB"/>
    <w:rsid w:val="00BF7ED2"/>
    <w:rsid w:val="00C002A0"/>
    <w:rsid w:val="00C01973"/>
    <w:rsid w:val="00C01D36"/>
    <w:rsid w:val="00C030DE"/>
    <w:rsid w:val="00C051A8"/>
    <w:rsid w:val="00C07A5D"/>
    <w:rsid w:val="00C10B5C"/>
    <w:rsid w:val="00C10B7A"/>
    <w:rsid w:val="00C11539"/>
    <w:rsid w:val="00C12851"/>
    <w:rsid w:val="00C134E9"/>
    <w:rsid w:val="00C162C4"/>
    <w:rsid w:val="00C164D4"/>
    <w:rsid w:val="00C16573"/>
    <w:rsid w:val="00C16976"/>
    <w:rsid w:val="00C1751C"/>
    <w:rsid w:val="00C17B03"/>
    <w:rsid w:val="00C20C26"/>
    <w:rsid w:val="00C22105"/>
    <w:rsid w:val="00C221A0"/>
    <w:rsid w:val="00C23093"/>
    <w:rsid w:val="00C23BA2"/>
    <w:rsid w:val="00C23EB2"/>
    <w:rsid w:val="00C240FE"/>
    <w:rsid w:val="00C244B6"/>
    <w:rsid w:val="00C24BD0"/>
    <w:rsid w:val="00C2512A"/>
    <w:rsid w:val="00C252DE"/>
    <w:rsid w:val="00C27BF1"/>
    <w:rsid w:val="00C30600"/>
    <w:rsid w:val="00C30F26"/>
    <w:rsid w:val="00C31482"/>
    <w:rsid w:val="00C31B49"/>
    <w:rsid w:val="00C33328"/>
    <w:rsid w:val="00C3373B"/>
    <w:rsid w:val="00C35967"/>
    <w:rsid w:val="00C36171"/>
    <w:rsid w:val="00C3702F"/>
    <w:rsid w:val="00C37E46"/>
    <w:rsid w:val="00C423B3"/>
    <w:rsid w:val="00C42F07"/>
    <w:rsid w:val="00C4324B"/>
    <w:rsid w:val="00C4363C"/>
    <w:rsid w:val="00C44763"/>
    <w:rsid w:val="00C4500A"/>
    <w:rsid w:val="00C456AD"/>
    <w:rsid w:val="00C512E6"/>
    <w:rsid w:val="00C51A44"/>
    <w:rsid w:val="00C52DA1"/>
    <w:rsid w:val="00C54EDB"/>
    <w:rsid w:val="00C55515"/>
    <w:rsid w:val="00C55727"/>
    <w:rsid w:val="00C56318"/>
    <w:rsid w:val="00C56648"/>
    <w:rsid w:val="00C566A2"/>
    <w:rsid w:val="00C5685A"/>
    <w:rsid w:val="00C57A7E"/>
    <w:rsid w:val="00C62238"/>
    <w:rsid w:val="00C6272E"/>
    <w:rsid w:val="00C62A7E"/>
    <w:rsid w:val="00C62F10"/>
    <w:rsid w:val="00C6303B"/>
    <w:rsid w:val="00C63D50"/>
    <w:rsid w:val="00C63DBB"/>
    <w:rsid w:val="00C641C1"/>
    <w:rsid w:val="00C64A03"/>
    <w:rsid w:val="00C64A37"/>
    <w:rsid w:val="00C67790"/>
    <w:rsid w:val="00C707DB"/>
    <w:rsid w:val="00C707E1"/>
    <w:rsid w:val="00C711FF"/>
    <w:rsid w:val="00C7158E"/>
    <w:rsid w:val="00C72083"/>
    <w:rsid w:val="00C72092"/>
    <w:rsid w:val="00C7250B"/>
    <w:rsid w:val="00C7346B"/>
    <w:rsid w:val="00C7379E"/>
    <w:rsid w:val="00C74323"/>
    <w:rsid w:val="00C7435B"/>
    <w:rsid w:val="00C74EE7"/>
    <w:rsid w:val="00C74FD4"/>
    <w:rsid w:val="00C75B87"/>
    <w:rsid w:val="00C76DD2"/>
    <w:rsid w:val="00C77C0E"/>
    <w:rsid w:val="00C813CE"/>
    <w:rsid w:val="00C8290C"/>
    <w:rsid w:val="00C83BAD"/>
    <w:rsid w:val="00C85BE9"/>
    <w:rsid w:val="00C85C54"/>
    <w:rsid w:val="00C85C67"/>
    <w:rsid w:val="00C861BB"/>
    <w:rsid w:val="00C86459"/>
    <w:rsid w:val="00C87497"/>
    <w:rsid w:val="00C87844"/>
    <w:rsid w:val="00C904CC"/>
    <w:rsid w:val="00C91687"/>
    <w:rsid w:val="00C922DF"/>
    <w:rsid w:val="00C924A8"/>
    <w:rsid w:val="00C92E13"/>
    <w:rsid w:val="00C93059"/>
    <w:rsid w:val="00C945FE"/>
    <w:rsid w:val="00C9496F"/>
    <w:rsid w:val="00C94A9F"/>
    <w:rsid w:val="00C94F9E"/>
    <w:rsid w:val="00C95587"/>
    <w:rsid w:val="00C9601F"/>
    <w:rsid w:val="00C961CF"/>
    <w:rsid w:val="00C96FAA"/>
    <w:rsid w:val="00C97A04"/>
    <w:rsid w:val="00CA107B"/>
    <w:rsid w:val="00CA1DC0"/>
    <w:rsid w:val="00CA35F5"/>
    <w:rsid w:val="00CA439B"/>
    <w:rsid w:val="00CA484D"/>
    <w:rsid w:val="00CA4FB6"/>
    <w:rsid w:val="00CA53B9"/>
    <w:rsid w:val="00CA6321"/>
    <w:rsid w:val="00CA6613"/>
    <w:rsid w:val="00CA7B53"/>
    <w:rsid w:val="00CA7BFA"/>
    <w:rsid w:val="00CB0A86"/>
    <w:rsid w:val="00CB0B30"/>
    <w:rsid w:val="00CB2F90"/>
    <w:rsid w:val="00CB30F7"/>
    <w:rsid w:val="00CB35BF"/>
    <w:rsid w:val="00CB4519"/>
    <w:rsid w:val="00CB4690"/>
    <w:rsid w:val="00CB46F1"/>
    <w:rsid w:val="00CB4E71"/>
    <w:rsid w:val="00CB615D"/>
    <w:rsid w:val="00CB6AD4"/>
    <w:rsid w:val="00CB6BD2"/>
    <w:rsid w:val="00CC3F17"/>
    <w:rsid w:val="00CC739E"/>
    <w:rsid w:val="00CD0D0A"/>
    <w:rsid w:val="00CD129B"/>
    <w:rsid w:val="00CD15BC"/>
    <w:rsid w:val="00CD1825"/>
    <w:rsid w:val="00CD1EBB"/>
    <w:rsid w:val="00CD2009"/>
    <w:rsid w:val="00CD28CF"/>
    <w:rsid w:val="00CD3BF5"/>
    <w:rsid w:val="00CD400A"/>
    <w:rsid w:val="00CD412C"/>
    <w:rsid w:val="00CD4A90"/>
    <w:rsid w:val="00CD58B7"/>
    <w:rsid w:val="00CD6D30"/>
    <w:rsid w:val="00CD764E"/>
    <w:rsid w:val="00CD7967"/>
    <w:rsid w:val="00CD7F41"/>
    <w:rsid w:val="00CE2383"/>
    <w:rsid w:val="00CE2AFA"/>
    <w:rsid w:val="00CE4D5F"/>
    <w:rsid w:val="00CE5771"/>
    <w:rsid w:val="00CE68DF"/>
    <w:rsid w:val="00CE70BB"/>
    <w:rsid w:val="00CE7548"/>
    <w:rsid w:val="00CF04DA"/>
    <w:rsid w:val="00CF0C7D"/>
    <w:rsid w:val="00CF12C1"/>
    <w:rsid w:val="00CF18EE"/>
    <w:rsid w:val="00CF30BD"/>
    <w:rsid w:val="00CF361E"/>
    <w:rsid w:val="00CF388F"/>
    <w:rsid w:val="00CF3BA1"/>
    <w:rsid w:val="00CF4058"/>
    <w:rsid w:val="00CF4099"/>
    <w:rsid w:val="00CF4C10"/>
    <w:rsid w:val="00CF4D38"/>
    <w:rsid w:val="00CF5255"/>
    <w:rsid w:val="00CF6DFF"/>
    <w:rsid w:val="00D00796"/>
    <w:rsid w:val="00D019E7"/>
    <w:rsid w:val="00D01F12"/>
    <w:rsid w:val="00D01FA2"/>
    <w:rsid w:val="00D021E6"/>
    <w:rsid w:val="00D02E11"/>
    <w:rsid w:val="00D038D7"/>
    <w:rsid w:val="00D04A00"/>
    <w:rsid w:val="00D105B3"/>
    <w:rsid w:val="00D10AD6"/>
    <w:rsid w:val="00D10B3C"/>
    <w:rsid w:val="00D10CDE"/>
    <w:rsid w:val="00D12735"/>
    <w:rsid w:val="00D13191"/>
    <w:rsid w:val="00D16C05"/>
    <w:rsid w:val="00D1709E"/>
    <w:rsid w:val="00D204EA"/>
    <w:rsid w:val="00D2057C"/>
    <w:rsid w:val="00D23B7C"/>
    <w:rsid w:val="00D23E53"/>
    <w:rsid w:val="00D24423"/>
    <w:rsid w:val="00D25BB9"/>
    <w:rsid w:val="00D261A2"/>
    <w:rsid w:val="00D26F51"/>
    <w:rsid w:val="00D27049"/>
    <w:rsid w:val="00D31B8D"/>
    <w:rsid w:val="00D32F11"/>
    <w:rsid w:val="00D34C78"/>
    <w:rsid w:val="00D35826"/>
    <w:rsid w:val="00D36294"/>
    <w:rsid w:val="00D36316"/>
    <w:rsid w:val="00D37285"/>
    <w:rsid w:val="00D373D9"/>
    <w:rsid w:val="00D378BA"/>
    <w:rsid w:val="00D37B39"/>
    <w:rsid w:val="00D40235"/>
    <w:rsid w:val="00D40C03"/>
    <w:rsid w:val="00D4631F"/>
    <w:rsid w:val="00D47214"/>
    <w:rsid w:val="00D47601"/>
    <w:rsid w:val="00D4767E"/>
    <w:rsid w:val="00D4793B"/>
    <w:rsid w:val="00D50A6A"/>
    <w:rsid w:val="00D51630"/>
    <w:rsid w:val="00D52949"/>
    <w:rsid w:val="00D53EEB"/>
    <w:rsid w:val="00D561A3"/>
    <w:rsid w:val="00D5680B"/>
    <w:rsid w:val="00D56EFC"/>
    <w:rsid w:val="00D574A2"/>
    <w:rsid w:val="00D57554"/>
    <w:rsid w:val="00D57985"/>
    <w:rsid w:val="00D606EE"/>
    <w:rsid w:val="00D60F72"/>
    <w:rsid w:val="00D6101D"/>
    <w:rsid w:val="00D616D2"/>
    <w:rsid w:val="00D61AA1"/>
    <w:rsid w:val="00D62809"/>
    <w:rsid w:val="00D62CC1"/>
    <w:rsid w:val="00D6347E"/>
    <w:rsid w:val="00D63B5F"/>
    <w:rsid w:val="00D66016"/>
    <w:rsid w:val="00D7002A"/>
    <w:rsid w:val="00D707DB"/>
    <w:rsid w:val="00D70EF7"/>
    <w:rsid w:val="00D7209F"/>
    <w:rsid w:val="00D72935"/>
    <w:rsid w:val="00D743AF"/>
    <w:rsid w:val="00D75952"/>
    <w:rsid w:val="00D80AE2"/>
    <w:rsid w:val="00D815F2"/>
    <w:rsid w:val="00D817C0"/>
    <w:rsid w:val="00D83452"/>
    <w:rsid w:val="00D8397C"/>
    <w:rsid w:val="00D839D7"/>
    <w:rsid w:val="00D84527"/>
    <w:rsid w:val="00D858CC"/>
    <w:rsid w:val="00D85BA8"/>
    <w:rsid w:val="00D860A8"/>
    <w:rsid w:val="00D86407"/>
    <w:rsid w:val="00D8678A"/>
    <w:rsid w:val="00D87838"/>
    <w:rsid w:val="00D87B76"/>
    <w:rsid w:val="00D907A7"/>
    <w:rsid w:val="00D91AD6"/>
    <w:rsid w:val="00D92010"/>
    <w:rsid w:val="00D9267B"/>
    <w:rsid w:val="00D92946"/>
    <w:rsid w:val="00D92BFC"/>
    <w:rsid w:val="00D93523"/>
    <w:rsid w:val="00D945C9"/>
    <w:rsid w:val="00D94EED"/>
    <w:rsid w:val="00D954DD"/>
    <w:rsid w:val="00D96026"/>
    <w:rsid w:val="00D972F6"/>
    <w:rsid w:val="00D9748A"/>
    <w:rsid w:val="00D97605"/>
    <w:rsid w:val="00DA030B"/>
    <w:rsid w:val="00DA331D"/>
    <w:rsid w:val="00DA42D8"/>
    <w:rsid w:val="00DA4463"/>
    <w:rsid w:val="00DA62DA"/>
    <w:rsid w:val="00DA664A"/>
    <w:rsid w:val="00DA7C1C"/>
    <w:rsid w:val="00DA7EC8"/>
    <w:rsid w:val="00DB12A2"/>
    <w:rsid w:val="00DB147A"/>
    <w:rsid w:val="00DB1B7A"/>
    <w:rsid w:val="00DB1D6E"/>
    <w:rsid w:val="00DB1D85"/>
    <w:rsid w:val="00DB3AA5"/>
    <w:rsid w:val="00DB3F24"/>
    <w:rsid w:val="00DB42F7"/>
    <w:rsid w:val="00DB46C0"/>
    <w:rsid w:val="00DB4972"/>
    <w:rsid w:val="00DB4B0F"/>
    <w:rsid w:val="00DB5669"/>
    <w:rsid w:val="00DB589E"/>
    <w:rsid w:val="00DB5C31"/>
    <w:rsid w:val="00DB706E"/>
    <w:rsid w:val="00DC09B4"/>
    <w:rsid w:val="00DC0FC1"/>
    <w:rsid w:val="00DC19D3"/>
    <w:rsid w:val="00DC4037"/>
    <w:rsid w:val="00DC40C7"/>
    <w:rsid w:val="00DC4C9C"/>
    <w:rsid w:val="00DC4CFB"/>
    <w:rsid w:val="00DC6708"/>
    <w:rsid w:val="00DC69A7"/>
    <w:rsid w:val="00DC7612"/>
    <w:rsid w:val="00DC7809"/>
    <w:rsid w:val="00DD011A"/>
    <w:rsid w:val="00DD01B9"/>
    <w:rsid w:val="00DD0E85"/>
    <w:rsid w:val="00DD0EF5"/>
    <w:rsid w:val="00DD197E"/>
    <w:rsid w:val="00DD1CA7"/>
    <w:rsid w:val="00DD2C6A"/>
    <w:rsid w:val="00DD2C8A"/>
    <w:rsid w:val="00DD4948"/>
    <w:rsid w:val="00DD5C23"/>
    <w:rsid w:val="00DD6A85"/>
    <w:rsid w:val="00DD70BE"/>
    <w:rsid w:val="00DE0519"/>
    <w:rsid w:val="00DE0DDD"/>
    <w:rsid w:val="00DE2115"/>
    <w:rsid w:val="00DE2400"/>
    <w:rsid w:val="00DE2CB8"/>
    <w:rsid w:val="00DE390A"/>
    <w:rsid w:val="00DE4B74"/>
    <w:rsid w:val="00DE57DA"/>
    <w:rsid w:val="00DE58F1"/>
    <w:rsid w:val="00DE5E49"/>
    <w:rsid w:val="00DE60A2"/>
    <w:rsid w:val="00DE6B58"/>
    <w:rsid w:val="00DE73F8"/>
    <w:rsid w:val="00DF0A34"/>
    <w:rsid w:val="00DF13B8"/>
    <w:rsid w:val="00DF1BD1"/>
    <w:rsid w:val="00DF343A"/>
    <w:rsid w:val="00DF424A"/>
    <w:rsid w:val="00DF4CC4"/>
    <w:rsid w:val="00DF5135"/>
    <w:rsid w:val="00DF52EB"/>
    <w:rsid w:val="00DF5D21"/>
    <w:rsid w:val="00DF5E32"/>
    <w:rsid w:val="00DF6DEA"/>
    <w:rsid w:val="00E01436"/>
    <w:rsid w:val="00E03E79"/>
    <w:rsid w:val="00E03ED3"/>
    <w:rsid w:val="00E045BD"/>
    <w:rsid w:val="00E0467F"/>
    <w:rsid w:val="00E04782"/>
    <w:rsid w:val="00E04D6C"/>
    <w:rsid w:val="00E056CC"/>
    <w:rsid w:val="00E06C71"/>
    <w:rsid w:val="00E074BD"/>
    <w:rsid w:val="00E109E9"/>
    <w:rsid w:val="00E11828"/>
    <w:rsid w:val="00E11B4D"/>
    <w:rsid w:val="00E11CA7"/>
    <w:rsid w:val="00E126F7"/>
    <w:rsid w:val="00E12745"/>
    <w:rsid w:val="00E1417C"/>
    <w:rsid w:val="00E14196"/>
    <w:rsid w:val="00E146F8"/>
    <w:rsid w:val="00E14D13"/>
    <w:rsid w:val="00E14DA1"/>
    <w:rsid w:val="00E17B77"/>
    <w:rsid w:val="00E2106E"/>
    <w:rsid w:val="00E231AB"/>
    <w:rsid w:val="00E23337"/>
    <w:rsid w:val="00E2359F"/>
    <w:rsid w:val="00E2397C"/>
    <w:rsid w:val="00E23FCC"/>
    <w:rsid w:val="00E259EA"/>
    <w:rsid w:val="00E25D06"/>
    <w:rsid w:val="00E25D33"/>
    <w:rsid w:val="00E25DC2"/>
    <w:rsid w:val="00E26389"/>
    <w:rsid w:val="00E2730A"/>
    <w:rsid w:val="00E27AC2"/>
    <w:rsid w:val="00E30170"/>
    <w:rsid w:val="00E32061"/>
    <w:rsid w:val="00E32B68"/>
    <w:rsid w:val="00E3340A"/>
    <w:rsid w:val="00E33F48"/>
    <w:rsid w:val="00E3471B"/>
    <w:rsid w:val="00E347B9"/>
    <w:rsid w:val="00E34D1F"/>
    <w:rsid w:val="00E353A1"/>
    <w:rsid w:val="00E37406"/>
    <w:rsid w:val="00E376AF"/>
    <w:rsid w:val="00E37877"/>
    <w:rsid w:val="00E40708"/>
    <w:rsid w:val="00E423ED"/>
    <w:rsid w:val="00E42FF9"/>
    <w:rsid w:val="00E44790"/>
    <w:rsid w:val="00E44BEF"/>
    <w:rsid w:val="00E44D30"/>
    <w:rsid w:val="00E45291"/>
    <w:rsid w:val="00E453D8"/>
    <w:rsid w:val="00E46466"/>
    <w:rsid w:val="00E47075"/>
    <w:rsid w:val="00E4714C"/>
    <w:rsid w:val="00E4724A"/>
    <w:rsid w:val="00E47C71"/>
    <w:rsid w:val="00E50E1C"/>
    <w:rsid w:val="00E51201"/>
    <w:rsid w:val="00E5178D"/>
    <w:rsid w:val="00E51A00"/>
    <w:rsid w:val="00E51AEB"/>
    <w:rsid w:val="00E522A7"/>
    <w:rsid w:val="00E526B4"/>
    <w:rsid w:val="00E5349E"/>
    <w:rsid w:val="00E54452"/>
    <w:rsid w:val="00E56F14"/>
    <w:rsid w:val="00E60352"/>
    <w:rsid w:val="00E60582"/>
    <w:rsid w:val="00E6079E"/>
    <w:rsid w:val="00E61D62"/>
    <w:rsid w:val="00E62F73"/>
    <w:rsid w:val="00E63039"/>
    <w:rsid w:val="00E6395B"/>
    <w:rsid w:val="00E63B0C"/>
    <w:rsid w:val="00E63BAD"/>
    <w:rsid w:val="00E643A8"/>
    <w:rsid w:val="00E664C5"/>
    <w:rsid w:val="00E671A2"/>
    <w:rsid w:val="00E67D16"/>
    <w:rsid w:val="00E70411"/>
    <w:rsid w:val="00E71998"/>
    <w:rsid w:val="00E723A4"/>
    <w:rsid w:val="00E73B86"/>
    <w:rsid w:val="00E7662B"/>
    <w:rsid w:val="00E76933"/>
    <w:rsid w:val="00E76D26"/>
    <w:rsid w:val="00E76EE5"/>
    <w:rsid w:val="00E77105"/>
    <w:rsid w:val="00E77195"/>
    <w:rsid w:val="00E801C6"/>
    <w:rsid w:val="00E81467"/>
    <w:rsid w:val="00E8387B"/>
    <w:rsid w:val="00E83999"/>
    <w:rsid w:val="00E846F7"/>
    <w:rsid w:val="00E86116"/>
    <w:rsid w:val="00E90712"/>
    <w:rsid w:val="00E911F5"/>
    <w:rsid w:val="00E95B8E"/>
    <w:rsid w:val="00E96050"/>
    <w:rsid w:val="00E961EB"/>
    <w:rsid w:val="00E96416"/>
    <w:rsid w:val="00E96D55"/>
    <w:rsid w:val="00E97AD7"/>
    <w:rsid w:val="00EA2D00"/>
    <w:rsid w:val="00EA3FFF"/>
    <w:rsid w:val="00EA4B25"/>
    <w:rsid w:val="00EA4DCA"/>
    <w:rsid w:val="00EA5797"/>
    <w:rsid w:val="00EA70F6"/>
    <w:rsid w:val="00EA74D7"/>
    <w:rsid w:val="00EB04C3"/>
    <w:rsid w:val="00EB06BF"/>
    <w:rsid w:val="00EB1390"/>
    <w:rsid w:val="00EB1F44"/>
    <w:rsid w:val="00EB2C71"/>
    <w:rsid w:val="00EB3333"/>
    <w:rsid w:val="00EB3363"/>
    <w:rsid w:val="00EB36AC"/>
    <w:rsid w:val="00EB3D8A"/>
    <w:rsid w:val="00EB4340"/>
    <w:rsid w:val="00EB556D"/>
    <w:rsid w:val="00EB5635"/>
    <w:rsid w:val="00EB5A7D"/>
    <w:rsid w:val="00EB609E"/>
    <w:rsid w:val="00EB65DA"/>
    <w:rsid w:val="00EB7F15"/>
    <w:rsid w:val="00EC0819"/>
    <w:rsid w:val="00EC109D"/>
    <w:rsid w:val="00EC1F2E"/>
    <w:rsid w:val="00EC227F"/>
    <w:rsid w:val="00EC2D1C"/>
    <w:rsid w:val="00EC3F13"/>
    <w:rsid w:val="00EC4714"/>
    <w:rsid w:val="00EC4724"/>
    <w:rsid w:val="00EC66BB"/>
    <w:rsid w:val="00EC6A3E"/>
    <w:rsid w:val="00EC7146"/>
    <w:rsid w:val="00ED016B"/>
    <w:rsid w:val="00ED1E82"/>
    <w:rsid w:val="00ED2476"/>
    <w:rsid w:val="00ED29B3"/>
    <w:rsid w:val="00ED29DF"/>
    <w:rsid w:val="00ED55C0"/>
    <w:rsid w:val="00ED565B"/>
    <w:rsid w:val="00ED5B21"/>
    <w:rsid w:val="00ED6183"/>
    <w:rsid w:val="00ED61F4"/>
    <w:rsid w:val="00ED6551"/>
    <w:rsid w:val="00ED6767"/>
    <w:rsid w:val="00ED682B"/>
    <w:rsid w:val="00EE04CF"/>
    <w:rsid w:val="00EE11B5"/>
    <w:rsid w:val="00EE3845"/>
    <w:rsid w:val="00EE3A79"/>
    <w:rsid w:val="00EE3A85"/>
    <w:rsid w:val="00EE3D14"/>
    <w:rsid w:val="00EE3EC1"/>
    <w:rsid w:val="00EE41D5"/>
    <w:rsid w:val="00EE4507"/>
    <w:rsid w:val="00EE615F"/>
    <w:rsid w:val="00EE6DCF"/>
    <w:rsid w:val="00EF0A40"/>
    <w:rsid w:val="00EF0A52"/>
    <w:rsid w:val="00EF0C25"/>
    <w:rsid w:val="00EF1E1F"/>
    <w:rsid w:val="00EF1E9B"/>
    <w:rsid w:val="00EF293B"/>
    <w:rsid w:val="00EF2ADD"/>
    <w:rsid w:val="00EF2FD9"/>
    <w:rsid w:val="00EF3876"/>
    <w:rsid w:val="00EF449D"/>
    <w:rsid w:val="00EF4589"/>
    <w:rsid w:val="00EF588A"/>
    <w:rsid w:val="00EF6A30"/>
    <w:rsid w:val="00EF7281"/>
    <w:rsid w:val="00F0166F"/>
    <w:rsid w:val="00F017A4"/>
    <w:rsid w:val="00F01E89"/>
    <w:rsid w:val="00F01EBC"/>
    <w:rsid w:val="00F02B4D"/>
    <w:rsid w:val="00F02B62"/>
    <w:rsid w:val="00F037A4"/>
    <w:rsid w:val="00F049AB"/>
    <w:rsid w:val="00F0522F"/>
    <w:rsid w:val="00F06C68"/>
    <w:rsid w:val="00F07252"/>
    <w:rsid w:val="00F07B6F"/>
    <w:rsid w:val="00F12DA5"/>
    <w:rsid w:val="00F1331E"/>
    <w:rsid w:val="00F141A9"/>
    <w:rsid w:val="00F142D2"/>
    <w:rsid w:val="00F142DB"/>
    <w:rsid w:val="00F1446E"/>
    <w:rsid w:val="00F14C5C"/>
    <w:rsid w:val="00F14E2D"/>
    <w:rsid w:val="00F178AE"/>
    <w:rsid w:val="00F207FF"/>
    <w:rsid w:val="00F20C70"/>
    <w:rsid w:val="00F21988"/>
    <w:rsid w:val="00F23393"/>
    <w:rsid w:val="00F254D3"/>
    <w:rsid w:val="00F25682"/>
    <w:rsid w:val="00F25AE6"/>
    <w:rsid w:val="00F25B47"/>
    <w:rsid w:val="00F265BC"/>
    <w:rsid w:val="00F26AA0"/>
    <w:rsid w:val="00F26B6D"/>
    <w:rsid w:val="00F27C8F"/>
    <w:rsid w:val="00F32749"/>
    <w:rsid w:val="00F33181"/>
    <w:rsid w:val="00F3584E"/>
    <w:rsid w:val="00F359EA"/>
    <w:rsid w:val="00F35B12"/>
    <w:rsid w:val="00F364BA"/>
    <w:rsid w:val="00F36AEA"/>
    <w:rsid w:val="00F37172"/>
    <w:rsid w:val="00F40445"/>
    <w:rsid w:val="00F41A54"/>
    <w:rsid w:val="00F41FF4"/>
    <w:rsid w:val="00F42162"/>
    <w:rsid w:val="00F42D6D"/>
    <w:rsid w:val="00F42D8D"/>
    <w:rsid w:val="00F43B9F"/>
    <w:rsid w:val="00F4477E"/>
    <w:rsid w:val="00F46045"/>
    <w:rsid w:val="00F46269"/>
    <w:rsid w:val="00F4742E"/>
    <w:rsid w:val="00F47622"/>
    <w:rsid w:val="00F5119A"/>
    <w:rsid w:val="00F5126F"/>
    <w:rsid w:val="00F51B42"/>
    <w:rsid w:val="00F52478"/>
    <w:rsid w:val="00F52F81"/>
    <w:rsid w:val="00F5533C"/>
    <w:rsid w:val="00F55A5F"/>
    <w:rsid w:val="00F55B1D"/>
    <w:rsid w:val="00F57340"/>
    <w:rsid w:val="00F60427"/>
    <w:rsid w:val="00F60BA8"/>
    <w:rsid w:val="00F62561"/>
    <w:rsid w:val="00F62F54"/>
    <w:rsid w:val="00F638FD"/>
    <w:rsid w:val="00F65396"/>
    <w:rsid w:val="00F65B5B"/>
    <w:rsid w:val="00F65EC5"/>
    <w:rsid w:val="00F6798A"/>
    <w:rsid w:val="00F67D8F"/>
    <w:rsid w:val="00F711A9"/>
    <w:rsid w:val="00F71D6E"/>
    <w:rsid w:val="00F72307"/>
    <w:rsid w:val="00F72BF5"/>
    <w:rsid w:val="00F72DA9"/>
    <w:rsid w:val="00F73271"/>
    <w:rsid w:val="00F73B32"/>
    <w:rsid w:val="00F75661"/>
    <w:rsid w:val="00F75AA4"/>
    <w:rsid w:val="00F7640C"/>
    <w:rsid w:val="00F764D8"/>
    <w:rsid w:val="00F800D6"/>
    <w:rsid w:val="00F802BE"/>
    <w:rsid w:val="00F80750"/>
    <w:rsid w:val="00F80E93"/>
    <w:rsid w:val="00F81A37"/>
    <w:rsid w:val="00F81B0C"/>
    <w:rsid w:val="00F8237D"/>
    <w:rsid w:val="00F83525"/>
    <w:rsid w:val="00F83628"/>
    <w:rsid w:val="00F85669"/>
    <w:rsid w:val="00F856EC"/>
    <w:rsid w:val="00F86024"/>
    <w:rsid w:val="00F8611A"/>
    <w:rsid w:val="00F86589"/>
    <w:rsid w:val="00F8702E"/>
    <w:rsid w:val="00F91006"/>
    <w:rsid w:val="00F911FA"/>
    <w:rsid w:val="00F91B22"/>
    <w:rsid w:val="00F9371A"/>
    <w:rsid w:val="00F94394"/>
    <w:rsid w:val="00F94EDD"/>
    <w:rsid w:val="00F957C1"/>
    <w:rsid w:val="00F95B77"/>
    <w:rsid w:val="00F95C3A"/>
    <w:rsid w:val="00F9614B"/>
    <w:rsid w:val="00F962FB"/>
    <w:rsid w:val="00F9657D"/>
    <w:rsid w:val="00FA0EA4"/>
    <w:rsid w:val="00FA138C"/>
    <w:rsid w:val="00FA172A"/>
    <w:rsid w:val="00FA1857"/>
    <w:rsid w:val="00FA1D59"/>
    <w:rsid w:val="00FA3173"/>
    <w:rsid w:val="00FA459A"/>
    <w:rsid w:val="00FA4CB5"/>
    <w:rsid w:val="00FA5128"/>
    <w:rsid w:val="00FA5504"/>
    <w:rsid w:val="00FA554F"/>
    <w:rsid w:val="00FA5B7A"/>
    <w:rsid w:val="00FA6153"/>
    <w:rsid w:val="00FA65BF"/>
    <w:rsid w:val="00FA6DEF"/>
    <w:rsid w:val="00FA6E1B"/>
    <w:rsid w:val="00FA6FAB"/>
    <w:rsid w:val="00FA7064"/>
    <w:rsid w:val="00FB0833"/>
    <w:rsid w:val="00FB103C"/>
    <w:rsid w:val="00FB2103"/>
    <w:rsid w:val="00FB3498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C74B3"/>
    <w:rsid w:val="00FD1730"/>
    <w:rsid w:val="00FD1B14"/>
    <w:rsid w:val="00FD2877"/>
    <w:rsid w:val="00FD329D"/>
    <w:rsid w:val="00FD4051"/>
    <w:rsid w:val="00FD5EA7"/>
    <w:rsid w:val="00FD7480"/>
    <w:rsid w:val="00FD758E"/>
    <w:rsid w:val="00FD779A"/>
    <w:rsid w:val="00FE0954"/>
    <w:rsid w:val="00FE1003"/>
    <w:rsid w:val="00FE124A"/>
    <w:rsid w:val="00FE36CF"/>
    <w:rsid w:val="00FE40F5"/>
    <w:rsid w:val="00FE4BE0"/>
    <w:rsid w:val="00FE4EC2"/>
    <w:rsid w:val="00FE576B"/>
    <w:rsid w:val="00FE6DDE"/>
    <w:rsid w:val="00FF0246"/>
    <w:rsid w:val="00FF0872"/>
    <w:rsid w:val="00FF0B64"/>
    <w:rsid w:val="00FF3037"/>
    <w:rsid w:val="00FF34B3"/>
    <w:rsid w:val="00FF3F78"/>
    <w:rsid w:val="00FF672A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A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60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bdm.stat.gov.pl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budownictwo_mieszkaniowe_w_okresie_styczen-listopad_2024_r.docx</NazwaPliku>
    <Odbiorcy2 xmlns="1E9983FF-DC4B-4F4E-A072-0441E2B88E6D" xsi:nil="true"/>
    <Osoba xmlns="1E9983FF-DC4B-4F4E-A072-0441E2B88E6D">STAT\MataczA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D4F378C9-456A-486A-AC4E-37AC9E70A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28ECB-AFB5-4C37-911D-2EE18DBE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5</Pages>
  <Words>1037</Words>
  <Characters>6226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styczeń-sierpiień 2025</dc:title>
  <dc:creator>Główny Urząd Statystyczny</dc:creator>
  <dc:description/>
  <cp:lastPrinted>2025-05-21T11:23:00Z</cp:lastPrinted>
  <dcterms:created xsi:type="dcterms:W3CDTF">2025-06-16T07:32:00Z</dcterms:created>
  <dcterms:modified xsi:type="dcterms:W3CDTF">2025-09-17T06:45:00Z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LUB-OSB.6360.2.2025.18</vt:lpwstr>
  </op:property>
  <op:property fmtid="{D5CDD505-2E9C-101B-9397-08002B2CF9AE}" pid="4" name="UNPPisma">
    <vt:lpwstr>2025-172822</vt:lpwstr>
  </op:property>
  <op:property fmtid="{D5CDD505-2E9C-101B-9397-08002B2CF9AE}" pid="5" name="ZnakSprawy">
    <vt:lpwstr>LUB-OSB.6360.2.2025</vt:lpwstr>
  </op:property>
  <op:property fmtid="{D5CDD505-2E9C-101B-9397-08002B2CF9AE}" pid="6" name="ZnakSprawy2">
    <vt:lpwstr>Znak sprawy: LUB-OSB.6360.2.2025</vt:lpwstr>
  </op:property>
  <op:property fmtid="{D5CDD505-2E9C-101B-9397-08002B2CF9AE}" pid="7" name="AktualnaDataSlownie">
    <vt:lpwstr>17 wrzeœnia 2025</vt:lpwstr>
  </op:property>
  <op:property fmtid="{D5CDD505-2E9C-101B-9397-08002B2CF9AE}" pid="8" name="ZnakSprawyPrzedPrzeniesieniem">
    <vt:lpwstr/>
  </op:property>
  <op:property fmtid="{D5CDD505-2E9C-101B-9397-08002B2CF9AE}" pid="9" name="Autor">
    <vt:lpwstr>Kuchno Ewelina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EK</vt:lpwstr>
  </op:property>
  <op:property fmtid="{D5CDD505-2E9C-101B-9397-08002B2CF9AE}" pid="13" name="AutorNrTelefonu">
    <vt:lpwstr/>
  </op:property>
  <op:property fmtid="{D5CDD505-2E9C-101B-9397-08002B2CF9AE}" pid="14" name="Stanowisko">
    <vt:lpwstr>Zastępca Kierownika Ośrodka</vt:lpwstr>
  </op:property>
  <op:property fmtid="{D5CDD505-2E9C-101B-9397-08002B2CF9AE}" pid="15" name="OpisPisma">
    <vt:lpwstr>Informacja sygnalna Budownictwo mieszkaniowe w okresie styczeń-sierpień 2025 r.
Termin publikacji 18 września 2025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2025-09-17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2025-09-17 16:42:15</vt:lpwstr>
  </op:property>
  <op:property fmtid="{D5CDD505-2E9C-101B-9397-08002B2CF9AE}" pid="42" name="TematSprawy">
    <vt:lpwstr>Opracowanie sygnalne "Budownictwo mieszkaniowe" 2025 r.</vt:lpwstr>
  </op:property>
  <op:property fmtid="{D5CDD505-2E9C-101B-9397-08002B2CF9AE}" pid="43" name="ProwadzacySprawe">
    <vt:lpwstr>Słomka Katarzyna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