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2028EC4F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201</w:t>
      </w:r>
      <w:r w:rsidR="00293919">
        <w:rPr>
          <w:shd w:val="clear" w:color="auto" w:fill="FFFFFF"/>
        </w:rPr>
        <w:t>8</w:t>
      </w:r>
      <w:r>
        <w:rPr>
          <w:shd w:val="clear" w:color="auto" w:fill="FFFFFF"/>
        </w:rPr>
        <w:t xml:space="preserve"> r.</w:t>
      </w:r>
    </w:p>
    <w:p w14:paraId="2AB58789" w14:textId="2DB8BF45" w:rsidR="002870A3" w:rsidRDefault="002870A3" w:rsidP="00BA7C7E">
      <w:pPr>
        <w:pStyle w:val="tytuinformacji"/>
      </w:pPr>
    </w:p>
    <w:p w14:paraId="4EC16EC7" w14:textId="75049A1B" w:rsidR="002870A3" w:rsidRPr="002870A3" w:rsidRDefault="0054342C" w:rsidP="008F6C1C">
      <w:pPr>
        <w:pStyle w:val="LID"/>
      </w:pPr>
      <w:r w:rsidRPr="0054342C">
        <w:drawing>
          <wp:anchor distT="0" distB="0" distL="114300" distR="114300" simplePos="0" relativeHeight="251779072" behindDoc="0" locked="0" layoutInCell="1" allowOverlap="1" wp14:anchorId="1A8E3786" wp14:editId="7A3419B9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2124000" cy="1234800"/>
            <wp:effectExtent l="0" t="0" r="0" b="381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2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0A3" w:rsidRPr="002870A3">
        <w:t>Transport intermodalny pozwala tworzyć nowoczesne łańcuchy transportowe łączące dwa lub więcej rodzajów transportu w jeden system. Oparty jest on na węzłach stanowiących punkty styku różnych gałęzi transportu</w:t>
      </w:r>
      <w:r w:rsidR="009D53ED">
        <w:t>,</w:t>
      </w:r>
      <w:r w:rsidR="002870A3" w:rsidRPr="002870A3">
        <w:t xml:space="preserve"> uczestniczących </w:t>
      </w:r>
      <w:r>
        <w:br/>
      </w:r>
      <w:r w:rsidR="002870A3" w:rsidRPr="002870A3">
        <w:t>w przemieszczaniu towarów bez zmiany jednostki ładunkowej. Im większa liczba węzłów (terminali lądowych i lądowo-morskich), tym łatwiejszy jest dostęp do sieci połączeń.</w:t>
      </w:r>
    </w:p>
    <w:p w14:paraId="1B93F5A3" w14:textId="52E8CAC0" w:rsidR="002870A3" w:rsidRDefault="00BA7C7E" w:rsidP="000F478F">
      <w:pPr>
        <w:rPr>
          <w:rFonts w:cs="Fira Sans"/>
          <w:color w:val="000000"/>
          <w:szCs w:val="24"/>
        </w:rPr>
      </w:pPr>
      <w:r w:rsidRPr="00D211D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D8DB563" wp14:editId="33D8918E">
                <wp:simplePos x="0" y="0"/>
                <wp:positionH relativeFrom="column">
                  <wp:posOffset>5219700</wp:posOffset>
                </wp:positionH>
                <wp:positionV relativeFrom="paragraph">
                  <wp:posOffset>93980</wp:posOffset>
                </wp:positionV>
                <wp:extent cx="1771650" cy="692150"/>
                <wp:effectExtent l="0" t="0" r="0" b="0"/>
                <wp:wrapTight wrapText="bothSides">
                  <wp:wrapPolygon edited="0">
                    <wp:start x="697" y="0"/>
                    <wp:lineTo x="697" y="20807"/>
                    <wp:lineTo x="20671" y="20807"/>
                    <wp:lineTo x="20671" y="0"/>
                    <wp:lineTo x="697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65D65" w14:textId="51EEF8E8" w:rsidR="00BA7C7E" w:rsidRPr="00BA7C7E" w:rsidRDefault="00BA7C7E" w:rsidP="00BA7C7E">
                            <w:pPr>
                              <w:pStyle w:val="tekstzboku"/>
                            </w:pPr>
                            <w:r w:rsidRPr="00BA7C7E">
                              <w:t xml:space="preserve">W 2018 r. aktywnych było </w:t>
                            </w:r>
                            <w:r w:rsidR="002D1A2E">
                              <w:br/>
                            </w:r>
                            <w:r w:rsidRPr="00BA7C7E">
                              <w:t xml:space="preserve">35 terminali, tj. o 5 więcej </w:t>
                            </w:r>
                            <w:r w:rsidR="002D1A2E">
                              <w:br/>
                            </w:r>
                            <w:r w:rsidRPr="00BA7C7E">
                              <w:t>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DB5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7.4pt;width:139.5pt;height:54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" filled="f" stroked="f">
                <v:textbox>
                  <w:txbxContent>
                    <w:p w14:paraId="58365D65" w14:textId="51EEF8E8" w:rsidR="00BA7C7E" w:rsidRPr="00BA7C7E" w:rsidRDefault="00BA7C7E" w:rsidP="00BA7C7E">
                      <w:pPr>
                        <w:pStyle w:val="tekstzboku"/>
                      </w:pPr>
                      <w:r w:rsidRPr="00BA7C7E">
                        <w:t xml:space="preserve">W 2018 r. aktywnych było </w:t>
                      </w:r>
                      <w:r w:rsidR="002D1A2E">
                        <w:br/>
                      </w:r>
                      <w:r w:rsidRPr="00BA7C7E">
                        <w:t xml:space="preserve">35 terminali, tj. o 5 więcej </w:t>
                      </w:r>
                      <w:r w:rsidR="002D1A2E">
                        <w:br/>
                      </w:r>
                      <w:r w:rsidRPr="00BA7C7E">
                        <w:t>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18998D" w14:textId="533254C5" w:rsidR="002870A3" w:rsidRDefault="002870A3" w:rsidP="002870A3">
      <w:pPr>
        <w:rPr>
          <w:szCs w:val="19"/>
        </w:rPr>
      </w:pPr>
      <w:r>
        <w:rPr>
          <w:szCs w:val="19"/>
        </w:rPr>
        <w:t xml:space="preserve">Terminal intermodalny jest miejscem pozwalającym na szybkie i bezpieczne dokonanie przeładunku jednostek ładunkowych pomiędzy środkami transportowymi dwóch różnych rodzajów transportu. Na terenie Polski w 2018 r. zlokalizowanych było 35 aktywnych terminali, </w:t>
      </w:r>
      <w:r w:rsidR="0054342C">
        <w:rPr>
          <w:szCs w:val="19"/>
        </w:rPr>
        <w:br/>
      </w:r>
      <w:r>
        <w:rPr>
          <w:szCs w:val="19"/>
        </w:rPr>
        <w:t>z tego:</w:t>
      </w:r>
    </w:p>
    <w:p w14:paraId="16D83690" w14:textId="7591F0D4" w:rsidR="002870A3" w:rsidRDefault="00942EAD" w:rsidP="008F6C1C">
      <w:r>
        <w:t>–</w:t>
      </w:r>
      <w:r w:rsidR="002870A3">
        <w:t xml:space="preserve"> 6 obsługiwało przesyłki morze-kolej, morze-droga (terminale morskie),</w:t>
      </w:r>
      <w:r w:rsidR="007B5DFA">
        <w:t xml:space="preserve"> </w:t>
      </w:r>
      <w:r w:rsidR="007B5DFA">
        <w:br/>
      </w:r>
      <w:r>
        <w:t>–</w:t>
      </w:r>
      <w:r w:rsidR="002870A3">
        <w:t xml:space="preserve"> 29 obsługiwało przesyłki kolej-droga (terminale lądowe).</w:t>
      </w:r>
    </w:p>
    <w:p w14:paraId="2B989361" w14:textId="548BC6A0" w:rsidR="00A33D0C" w:rsidRDefault="00A33D0C" w:rsidP="007800C7"/>
    <w:p w14:paraId="0AFF1539" w14:textId="30326E31" w:rsidR="00942EAD" w:rsidRPr="00503734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</w:p>
    <w:p w14:paraId="7D66C9E1" w14:textId="017305A4" w:rsidR="00293919" w:rsidRPr="00916499" w:rsidRDefault="000017E6" w:rsidP="007F6584">
      <w:pPr>
        <w:pStyle w:val="Brakstyluakapitowego"/>
        <w:jc w:val="center"/>
      </w:pPr>
      <w:r w:rsidRPr="000017E6">
        <w:drawing>
          <wp:inline distT="0" distB="0" distL="0" distR="0" wp14:anchorId="33CCAF33" wp14:editId="453E9BC1">
            <wp:extent cx="3630549" cy="3420000"/>
            <wp:effectExtent l="0" t="0" r="8255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549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C7BE3" w14:textId="1471211C" w:rsidR="002870A3" w:rsidRPr="00FE485F" w:rsidRDefault="00BA7C7E" w:rsidP="008F6C1C">
      <w:pPr>
        <w:pStyle w:val="Nagwek1"/>
      </w:pPr>
      <w:r w:rsidRPr="00D211D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53FD7A4" wp14:editId="4C4F67DC">
                <wp:simplePos x="0" y="0"/>
                <wp:positionH relativeFrom="column">
                  <wp:posOffset>5219700</wp:posOffset>
                </wp:positionH>
                <wp:positionV relativeFrom="paragraph">
                  <wp:posOffset>240191</wp:posOffset>
                </wp:positionV>
                <wp:extent cx="1771650" cy="781050"/>
                <wp:effectExtent l="0" t="0" r="0" b="0"/>
                <wp:wrapTight wrapText="bothSides">
                  <wp:wrapPolygon edited="0">
                    <wp:start x="697" y="0"/>
                    <wp:lineTo x="697" y="21073"/>
                    <wp:lineTo x="20671" y="21073"/>
                    <wp:lineTo x="20671" y="0"/>
                    <wp:lineTo x="697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28D0" w14:textId="57CFAC14" w:rsidR="00BA7C7E" w:rsidRPr="00BA7C7E" w:rsidRDefault="00BA7C7E" w:rsidP="00BA7C7E">
                            <w:pPr>
                              <w:pStyle w:val="tekstzboku"/>
                            </w:pPr>
                            <w:r w:rsidRPr="00BA7C7E">
                              <w:t xml:space="preserve">Pojemność placów składowych wyniosła w terminalach morskich 93,2 tys. TEU, </w:t>
                            </w:r>
                            <w:r w:rsidR="002D1A2E">
                              <w:br/>
                            </w:r>
                            <w:r w:rsidRPr="00BA7C7E">
                              <w:t>a w lądowych – 90,7 tys. TEU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D7A4" id="_x0000_s1027" type="#_x0000_t202" style="position:absolute;margin-left:411pt;margin-top:18.9pt;width:139.5pt;height:61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" filled="f" stroked="f">
                <v:textbox>
                  <w:txbxContent>
                    <w:p w14:paraId="7B3828D0" w14:textId="57CFAC14" w:rsidR="00BA7C7E" w:rsidRPr="00BA7C7E" w:rsidRDefault="00BA7C7E" w:rsidP="00BA7C7E">
                      <w:pPr>
                        <w:pStyle w:val="tekstzboku"/>
                      </w:pPr>
                      <w:r w:rsidRPr="00BA7C7E">
                        <w:t xml:space="preserve">Pojemność placów składowych wyniosła w terminalach morskich 93,2 tys. TEU, </w:t>
                      </w:r>
                      <w:r w:rsidR="002D1A2E">
                        <w:br/>
                      </w:r>
                      <w:r w:rsidRPr="00BA7C7E">
                        <w:t>a w lądowych – 90,7 tys. TEU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870A3" w:rsidRPr="00FE485F">
        <w:t>Infrastruktura terminali morskich</w:t>
      </w:r>
    </w:p>
    <w:p w14:paraId="3149AE33" w14:textId="65B47CF4" w:rsidR="002870A3" w:rsidRDefault="002870A3" w:rsidP="008F6C1C">
      <w:r>
        <w:t>Długość nabrzeży przeładunkowych w terminalach morskich w 2018 r. w</w:t>
      </w:r>
      <w:r w:rsidR="00A6486C">
        <w:t xml:space="preserve">yniosła łącznie </w:t>
      </w:r>
      <w:r w:rsidR="00942EAD">
        <w:br/>
      </w:r>
      <w:r w:rsidR="00A6486C">
        <w:t>7,1 km, w tym 88,6</w:t>
      </w:r>
      <w:r>
        <w:t>% stanowiły nabrzeża do obsługi jednostek ładunkowych w systemie lo-lo.</w:t>
      </w:r>
    </w:p>
    <w:p w14:paraId="72ACA261" w14:textId="58F3ADDE" w:rsidR="002870A3" w:rsidRDefault="002870A3" w:rsidP="008F6C1C">
      <w:r>
        <w:t>Powierzchnia parkingowo-manewrowa zajmowała 7,1 ha, a łączna powierzchnia składowa terminali – 162,0 ha, w tym dla jednostek skonteneryzowanych – 134,0 ha. Pojemność placów składowych wyniosła 93,2 tys. TEU</w:t>
      </w:r>
      <w:r w:rsidR="00942EAD">
        <w:t>.</w:t>
      </w:r>
    </w:p>
    <w:p w14:paraId="66B64B11" w14:textId="22FC9A5C" w:rsidR="002870A3" w:rsidRDefault="002870A3" w:rsidP="008F6C1C">
      <w:r w:rsidRPr="007F6584">
        <w:rPr>
          <w:spacing w:val="-2"/>
        </w:rPr>
        <w:t xml:space="preserve">Terminale morskie posiadały łącznie 13,5 </w:t>
      </w:r>
      <w:r w:rsidR="009B5C44" w:rsidRPr="007F6584">
        <w:rPr>
          <w:spacing w:val="-2"/>
        </w:rPr>
        <w:t>km</w:t>
      </w:r>
      <w:r w:rsidRPr="007F6584">
        <w:rPr>
          <w:spacing w:val="-2"/>
        </w:rPr>
        <w:t xml:space="preserve"> torów dla kolei normalnotorowej, z czego 67,9% przeznaczon</w:t>
      </w:r>
      <w:r w:rsidR="009D53ED" w:rsidRPr="007F6584">
        <w:rPr>
          <w:spacing w:val="-2"/>
        </w:rPr>
        <w:t>ych</w:t>
      </w:r>
      <w:r w:rsidRPr="007F6584">
        <w:rPr>
          <w:spacing w:val="-2"/>
        </w:rPr>
        <w:t xml:space="preserve"> było bezpośrednio do załadunku/wyładunku jednostek intermodalnych. </w:t>
      </w:r>
      <w:r>
        <w:t>Średnia długość składu (liczba wagonów) obsługiwanego na terminalu morskim wyniosła 53 szt.</w:t>
      </w:r>
    </w:p>
    <w:p w14:paraId="77E36F09" w14:textId="59679263" w:rsidR="002870A3" w:rsidRPr="00FE485F" w:rsidRDefault="002870A3" w:rsidP="007800C7">
      <w:pPr>
        <w:pStyle w:val="Nagwek1"/>
      </w:pPr>
      <w:r w:rsidRPr="00FE485F">
        <w:lastRenderedPageBreak/>
        <w:t>Infrastruktura terminali lądowych</w:t>
      </w:r>
    </w:p>
    <w:p w14:paraId="6B27AD38" w14:textId="5CF2C0C5" w:rsidR="002870A3" w:rsidRDefault="002870A3" w:rsidP="007800C7">
      <w:r>
        <w:t>W 2018 r. powierzchnia parkingowo-manewrowa w terminalach lądowych zajmowała łącznie 22,4 ha, a łączna powierzchnia składowa terminali – 124,3 ha, w tym dla jednostek skonteneryzowanych – 78,0 ha. Pojemność placów składowych wyniosła 90,7 tys. TEU.</w:t>
      </w:r>
    </w:p>
    <w:p w14:paraId="2E0BB753" w14:textId="3E965B38" w:rsidR="00B27A55" w:rsidRDefault="002870A3" w:rsidP="007800C7">
      <w:r>
        <w:t xml:space="preserve">Terminale lądowe w 2018 r. posiadały łącznie 78,2 </w:t>
      </w:r>
      <w:r w:rsidR="00870EE4">
        <w:t>km</w:t>
      </w:r>
      <w:r>
        <w:t xml:space="preserve"> torów dla kolei normalnotorowej, </w:t>
      </w:r>
      <w:r w:rsidR="007B5DFA">
        <w:br/>
      </w:r>
      <w:r>
        <w:t>w tym 51,1% przeznaczon</w:t>
      </w:r>
      <w:r w:rsidR="009D53ED">
        <w:t>ych</w:t>
      </w:r>
      <w:r>
        <w:t xml:space="preserve"> było bezpośrednio do załadunku/wyładunku jednostek intermodalnych. Średnia długość składu (liczba wagonów) obsługiwanego na te</w:t>
      </w:r>
      <w:r w:rsidR="00B27A55">
        <w:t xml:space="preserve">rminalu lądowym </w:t>
      </w:r>
      <w:r w:rsidR="000A78F5">
        <w:br/>
      </w:r>
      <w:r w:rsidR="00B27A55">
        <w:t>wyniosła 33 szt.</w:t>
      </w:r>
    </w:p>
    <w:p w14:paraId="6B246F42" w14:textId="77777777" w:rsidR="002B0600" w:rsidRDefault="002B0600" w:rsidP="007B5DFA"/>
    <w:p w14:paraId="09D6BDD6" w14:textId="77777777" w:rsidR="00B27A55" w:rsidRDefault="00B27A55" w:rsidP="007800C7">
      <w:pPr>
        <w:pStyle w:val="tytuwykresu"/>
      </w:pPr>
      <w:r>
        <w:t>Tablica 1. Urządzenia przeładunkowe w terminalach intermodalnych w 2018 r.</w:t>
      </w:r>
    </w:p>
    <w:p w14:paraId="0E3D82FA" w14:textId="77777777" w:rsidR="00B27A55" w:rsidRDefault="00B27A55" w:rsidP="00B27A55">
      <w:pPr>
        <w:pStyle w:val="Default"/>
        <w:rPr>
          <w:sz w:val="19"/>
          <w:szCs w:val="19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2B0600" w14:paraId="3564B808" w14:textId="77777777" w:rsidTr="002B0600"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897B9E8" w14:textId="77777777" w:rsidR="002B0600" w:rsidRPr="007C0404" w:rsidRDefault="002B0600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C3A138" w14:textId="090683B8" w:rsidR="002B0600" w:rsidRPr="008600ED" w:rsidRDefault="002B0600" w:rsidP="002C5A1B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morskie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0CB410" w14:textId="1623D061" w:rsidR="002B0600" w:rsidRPr="008600ED" w:rsidRDefault="002B0600" w:rsidP="002C5A1B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lądowe</w:t>
            </w:r>
          </w:p>
        </w:tc>
      </w:tr>
      <w:tr w:rsidR="002B0600" w14:paraId="4CFE96EE" w14:textId="77777777" w:rsidTr="00A33D0C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DF4B9E" w14:textId="77777777" w:rsidR="002B0600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29F86AE" w14:textId="4DC26122" w:rsidR="002B0600" w:rsidRDefault="00B83805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sztukach</w:t>
            </w:r>
          </w:p>
        </w:tc>
      </w:tr>
      <w:tr w:rsidR="002B0600" w14:paraId="309DCF47" w14:textId="77777777" w:rsidTr="002B0600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F4EC29" w14:textId="792A88B2" w:rsidR="002B0600" w:rsidRPr="007C0404" w:rsidRDefault="00D6731D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Suwnice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4D842" w14:textId="14E17050" w:rsidR="002B0600" w:rsidRPr="007C0404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8B91D17" w14:textId="017764FB" w:rsidR="002B0600" w:rsidRPr="007C0404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</w:tr>
      <w:tr w:rsidR="002B0600" w14:paraId="3594045E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259B0E" w14:textId="336A04B8" w:rsidR="002B0600" w:rsidRPr="007C0404" w:rsidRDefault="002B0600" w:rsidP="002B0600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BA2DC6" w14:textId="7CF50E8C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37AB58F" w14:textId="7A9B4DAA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–</w:t>
            </w:r>
          </w:p>
        </w:tc>
      </w:tr>
      <w:tr w:rsidR="002B0600" w14:paraId="54E71ED7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7866B0" w14:textId="222CB280" w:rsidR="002B0600" w:rsidRPr="007C0404" w:rsidRDefault="009602E3" w:rsidP="009602E3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082DED" w14:textId="0AB3D2AB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D6BB94" w14:textId="028FC63F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</w:tr>
      <w:tr w:rsidR="002B0600" w14:paraId="6E5FC564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1970488" w14:textId="74EA6C56" w:rsidR="002B0600" w:rsidRPr="007C0404" w:rsidRDefault="009602E3" w:rsidP="009602E3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95BADC" w14:textId="2A47C443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02E6183" w14:textId="42189095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</w:tr>
      <w:tr w:rsidR="002B0600" w14:paraId="36DA88AA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899245" w14:textId="004540FC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BD5415" w14:textId="7BDAAE2E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B4F9380" w14:textId="0F59021E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–</w:t>
            </w:r>
          </w:p>
        </w:tc>
      </w:tr>
      <w:tr w:rsidR="002B0600" w14:paraId="727E38B4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D7DE0A6" w14:textId="6FCAFB9D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201A4A" w14:textId="2B6D1D88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9D8EDA" w14:textId="1412BC75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</w:p>
        </w:tc>
      </w:tr>
      <w:tr w:rsidR="002B0600" w14:paraId="047B8420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62BC022" w14:textId="6EA460C1" w:rsidR="002B0600" w:rsidRDefault="009602E3" w:rsidP="009602E3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76A8C1" w14:textId="6DED75B5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34A3C5" w14:textId="49C98CF3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</w:t>
            </w:r>
          </w:p>
        </w:tc>
      </w:tr>
      <w:tr w:rsidR="002B0600" w14:paraId="2C928A71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70AB91" w14:textId="6122E13E" w:rsidR="002B0600" w:rsidRDefault="009602E3" w:rsidP="002D435A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wozy pozostałe</w:t>
            </w:r>
            <w:r w:rsidR="002D435A">
              <w:rPr>
                <w:rFonts w:ascii="Fira Sans" w:eastAsia="Times New Roman" w:hAnsi="Fira Sans"/>
                <w:sz w:val="16"/>
                <w:vertAlign w:val="superscript"/>
              </w:rPr>
              <w:t>a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72CE1D" w14:textId="1E41DF16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A5A12DD" w14:textId="601821F0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</w:tr>
      <w:tr w:rsidR="002B0600" w14:paraId="73E8B47E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A08CCC8" w14:textId="0AAE9D1C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A4EF3F" w14:textId="67CDF1A5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7B0E85" w14:textId="62BC22CD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</w:tr>
      <w:tr w:rsidR="002B0600" w14:paraId="3F59CA42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0CD7FA" w14:textId="7B5A94FA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Naczepy niskie (rolltrailery)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C65076" w14:textId="5D1240F1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9099304" w14:textId="20523CC9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</w:tr>
      <w:tr w:rsidR="002B0600" w14:paraId="1342380A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BF289D5" w14:textId="77F0FF26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29E9C80" w14:textId="737955E7" w:rsidR="002B0600" w:rsidRPr="007C0404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9E6B889" w14:textId="10E17DED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</w:tr>
    </w:tbl>
    <w:p w14:paraId="52A420C9" w14:textId="2C49EBEF" w:rsidR="00B27A55" w:rsidRPr="0032742A" w:rsidRDefault="002D435A" w:rsidP="0032742A">
      <w:pPr>
        <w:rPr>
          <w:sz w:val="16"/>
        </w:rPr>
      </w:pPr>
      <w:r>
        <w:rPr>
          <w:sz w:val="16"/>
          <w:vertAlign w:val="superscript"/>
        </w:rPr>
        <w:t>a</w:t>
      </w:r>
      <w:r w:rsidR="00A6486C" w:rsidRPr="0032742A">
        <w:rPr>
          <w:sz w:val="16"/>
        </w:rPr>
        <w:t xml:space="preserve"> </w:t>
      </w:r>
      <w:r w:rsidR="00B27A55" w:rsidRPr="0032742A">
        <w:rPr>
          <w:sz w:val="16"/>
        </w:rPr>
        <w:t>Wozy kontenerowe podsiębierne, kontenerowe boczne, czołowe piętrzące</w:t>
      </w:r>
      <w:r w:rsidR="00C92E47">
        <w:rPr>
          <w:sz w:val="16"/>
        </w:rPr>
        <w:t>.</w:t>
      </w:r>
    </w:p>
    <w:p w14:paraId="0A3A805D" w14:textId="77777777" w:rsidR="00A6486C" w:rsidRDefault="00A6486C" w:rsidP="007800C7"/>
    <w:p w14:paraId="572DAF1B" w14:textId="22578AEF" w:rsidR="00B27A55" w:rsidRPr="00451D63" w:rsidRDefault="000F478F" w:rsidP="007800C7">
      <w:pPr>
        <w:pStyle w:val="Nagwek1"/>
      </w:pPr>
      <w:r w:rsidRPr="00D211D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61996BD" wp14:editId="40A997D8">
                <wp:simplePos x="0" y="0"/>
                <wp:positionH relativeFrom="column">
                  <wp:posOffset>5270500</wp:posOffset>
                </wp:positionH>
                <wp:positionV relativeFrom="paragraph">
                  <wp:posOffset>165100</wp:posOffset>
                </wp:positionV>
                <wp:extent cx="1771650" cy="825500"/>
                <wp:effectExtent l="0" t="0" r="0" b="0"/>
                <wp:wrapTight wrapText="bothSides">
                  <wp:wrapPolygon edited="0">
                    <wp:start x="697" y="0"/>
                    <wp:lineTo x="697" y="20935"/>
                    <wp:lineTo x="20671" y="20935"/>
                    <wp:lineTo x="20671" y="0"/>
                    <wp:lineTo x="697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A1DA0" w14:textId="07A2E045" w:rsidR="00BA7C7E" w:rsidRPr="00BA7C7E" w:rsidRDefault="00BA7C7E" w:rsidP="00BA7C7E">
                            <w:pPr>
                              <w:pStyle w:val="tekstzboku"/>
                            </w:pPr>
                            <w:r w:rsidRPr="00BA7C7E">
                              <w:t>W 2018 r. w terminalach intermodalnych przeładowano łącznie 67,3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996BD" id="_x0000_s1028" type="#_x0000_t202" style="position:absolute;margin-left:415pt;margin-top:13pt;width:139.5pt;height:6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" filled="f" stroked="f">
                <v:textbox>
                  <w:txbxContent>
                    <w:p w14:paraId="29BA1DA0" w14:textId="07A2E045" w:rsidR="00BA7C7E" w:rsidRPr="00BA7C7E" w:rsidRDefault="00BA7C7E" w:rsidP="00BA7C7E">
                      <w:pPr>
                        <w:pStyle w:val="tekstzboku"/>
                      </w:pPr>
                      <w:r w:rsidRPr="00BA7C7E">
                        <w:t>W 2018 r. w terminalach intermodalnych przeładowano łącznie 67,3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7A55" w:rsidRPr="00451D63">
        <w:t>Przeładunki w terminalach intermodalnych morskich i lądowych</w:t>
      </w:r>
    </w:p>
    <w:p w14:paraId="31667DD2" w14:textId="435C858A" w:rsidR="00B27A55" w:rsidRDefault="00B27A55" w:rsidP="007800C7">
      <w:r>
        <w:t xml:space="preserve">Łączna roczna zdolność przeładunkowa terminali transportu intermodalnego wyniosła </w:t>
      </w:r>
      <w:r w:rsidR="000F478F">
        <w:br/>
      </w:r>
      <w:r>
        <w:t>9,1 mln TEU, w tym terminal</w:t>
      </w:r>
      <w:r w:rsidR="0006267F">
        <w:t xml:space="preserve">i </w:t>
      </w:r>
      <w:r>
        <w:t>morskich – 6,3 mln TEU, a terminal</w:t>
      </w:r>
      <w:r w:rsidR="0006267F">
        <w:t>i</w:t>
      </w:r>
      <w:r>
        <w:t xml:space="preserve"> lądowych – 2,8 mln TEU.</w:t>
      </w:r>
    </w:p>
    <w:p w14:paraId="4477B9E7" w14:textId="050CF1C9" w:rsidR="00B27A55" w:rsidRDefault="00B27A55" w:rsidP="007800C7">
      <w:r>
        <w:t>W 2018 r. w terminalach intermodalnych przeładowano łącznie 67,3 mln ton ładunków skonteneryzowanych, w tym przewiezionych transportem morskim – 27,</w:t>
      </w:r>
      <w:r w:rsidR="007F6584">
        <w:t>6</w:t>
      </w:r>
      <w:r>
        <w:t xml:space="preserve"> mln ton (co stanowiło 41,0% ogółu ładunków przeładowanych w terminalach morskich i lądowych), transportem </w:t>
      </w:r>
      <w:r w:rsidR="000F478F">
        <w:br/>
      </w:r>
      <w:r>
        <w:t>samochodowym – 22,</w:t>
      </w:r>
      <w:r w:rsidR="007F6584">
        <w:t>4</w:t>
      </w:r>
      <w:r>
        <w:t xml:space="preserve"> mln ton (33,3%), a transportem kolejowym – 17,3 mln ton (25,7%).</w:t>
      </w:r>
    </w:p>
    <w:p w14:paraId="33AD1FE4" w14:textId="05DBAE1F" w:rsidR="00B27A55" w:rsidRDefault="00B27A55" w:rsidP="007800C7">
      <w:r>
        <w:t xml:space="preserve">W ogólnej liczbie przeładowanych kontenerów w terminalach morskich i lądowych przeważały kontenery 40’ (59,0%). Udział kontenerów 20’ wyniósł 34,2%, kontenerów 45’ i więcej </w:t>
      </w:r>
      <w:r w:rsidR="000F478F">
        <w:br/>
      </w:r>
      <w:r>
        <w:t>– 5,5%, a 30’ – 1,3%.</w:t>
      </w:r>
    </w:p>
    <w:p w14:paraId="7855CBCB" w14:textId="30AAD653" w:rsidR="00B27A55" w:rsidRPr="00451D63" w:rsidRDefault="00B27A55" w:rsidP="007800C7">
      <w:r w:rsidRPr="00451D63">
        <w:t>W przewozie transportem intermodalnym w 2018 r</w:t>
      </w:r>
      <w:r w:rsidR="009261E1">
        <w:t>.</w:t>
      </w:r>
      <w:r w:rsidRPr="00451D63">
        <w:t xml:space="preserve"> dominowały ładunki z grupy towary mieszane</w:t>
      </w:r>
      <w:r w:rsidR="00D6731D">
        <w:t>,</w:t>
      </w:r>
      <w:r w:rsidRPr="00451D63">
        <w:t xml:space="preserve"> bez spożywczych </w:t>
      </w:r>
      <w:r w:rsidR="000F478F">
        <w:t>–</w:t>
      </w:r>
      <w:r w:rsidRPr="00451D63">
        <w:t xml:space="preserve"> 23,9% (</w:t>
      </w:r>
      <w:r w:rsidRPr="0075154F">
        <w:t>wzrost o 10</w:t>
      </w:r>
      <w:r w:rsidR="0075154F">
        <w:t>,2</w:t>
      </w:r>
      <w:r w:rsidRPr="0075154F">
        <w:t xml:space="preserve"> p.</w:t>
      </w:r>
      <w:r w:rsidR="0075154F">
        <w:t xml:space="preserve"> </w:t>
      </w:r>
      <w:r w:rsidRPr="00451D63">
        <w:t>p</w:t>
      </w:r>
      <w:r w:rsidR="0075154F">
        <w:t>roc</w:t>
      </w:r>
      <w:r w:rsidRPr="00451D63">
        <w:t xml:space="preserve">. w stosunku do roku </w:t>
      </w:r>
      <w:r w:rsidR="0075154F">
        <w:t>poprzedniego</w:t>
      </w:r>
      <w:r w:rsidRPr="00451D63">
        <w:t xml:space="preserve">), </w:t>
      </w:r>
      <w:r w:rsidR="000F478F">
        <w:br/>
      </w:r>
      <w:r w:rsidRPr="00451D63">
        <w:t>ładunki z grupy chemikalia, produkty chemiczne, włókna sztuczne, wyroby z gumy i z tworzyw sztucznych</w:t>
      </w:r>
      <w:r w:rsidR="0006267F">
        <w:t>;</w:t>
      </w:r>
      <w:r w:rsidRPr="00451D63">
        <w:t xml:space="preserve"> paliwo jądrowe – 15</w:t>
      </w:r>
      <w:r w:rsidR="00D6731D">
        <w:t>,</w:t>
      </w:r>
      <w:r w:rsidRPr="00451D63">
        <w:t>5% (wzrost o 7</w:t>
      </w:r>
      <w:r w:rsidR="0075154F">
        <w:t>,4</w:t>
      </w:r>
      <w:r w:rsidRPr="00451D63">
        <w:t xml:space="preserve"> p.</w:t>
      </w:r>
      <w:r w:rsidR="0075154F">
        <w:t xml:space="preserve"> </w:t>
      </w:r>
      <w:r w:rsidRPr="00451D63">
        <w:t>p</w:t>
      </w:r>
      <w:r w:rsidR="0075154F">
        <w:t>roc</w:t>
      </w:r>
      <w:r w:rsidRPr="00451D63">
        <w:t>.</w:t>
      </w:r>
      <w:r w:rsidR="0075154F">
        <w:t>)</w:t>
      </w:r>
      <w:r w:rsidRPr="00451D63">
        <w:t xml:space="preserve"> oraz ładunki z grupy produkty spożywcze, napoje i tyto</w:t>
      </w:r>
      <w:r w:rsidR="0006267F">
        <w:t>ń</w:t>
      </w:r>
      <w:bookmarkStart w:id="0" w:name="_GoBack"/>
      <w:bookmarkEnd w:id="0"/>
      <w:r w:rsidRPr="00451D63">
        <w:t xml:space="preserve"> – 11,7% (wzrost o 7</w:t>
      </w:r>
      <w:r w:rsidR="0075154F">
        <w:t>,2</w:t>
      </w:r>
      <w:r w:rsidRPr="00451D63">
        <w:t xml:space="preserve"> p.</w:t>
      </w:r>
      <w:r w:rsidR="0075154F">
        <w:t xml:space="preserve"> </w:t>
      </w:r>
      <w:r w:rsidRPr="00451D63">
        <w:t>p</w:t>
      </w:r>
      <w:r w:rsidR="0075154F">
        <w:t>roc</w:t>
      </w:r>
      <w:r w:rsidRPr="00451D63">
        <w:t>.</w:t>
      </w:r>
      <w:r w:rsidR="0075154F">
        <w:t>).</w:t>
      </w:r>
    </w:p>
    <w:p w14:paraId="3AA2E75F" w14:textId="40B6F5BF" w:rsidR="00B27A55" w:rsidRDefault="00B27A55" w:rsidP="00656816">
      <w:pPr>
        <w:pStyle w:val="tytuwykresu"/>
        <w:spacing w:after="0"/>
        <w:ind w:left="794" w:hanging="794"/>
      </w:pPr>
      <w:r w:rsidRPr="00451D63">
        <w:lastRenderedPageBreak/>
        <w:t>Wykres 1. Struktura przeładunków ładunków w kontenerach w terminalach intermodalnych według grup ładunków w 201</w:t>
      </w:r>
      <w:r>
        <w:t>8</w:t>
      </w:r>
      <w:r w:rsidRPr="00451D63">
        <w:t xml:space="preserve"> r. (na podstawie liczby ton)</w:t>
      </w:r>
    </w:p>
    <w:p w14:paraId="1FB6363C" w14:textId="2489B910" w:rsidR="00B27A55" w:rsidRDefault="003527CA" w:rsidP="00656816">
      <w:pPr>
        <w:pStyle w:val="Brakstyluakapitowego"/>
        <w:spacing w:line="240" w:lineRule="auto"/>
        <w:jc w:val="center"/>
        <w:rPr>
          <w:noProof/>
        </w:rPr>
      </w:pPr>
      <w:r>
        <w:rPr>
          <w:noProof/>
          <w:lang w:val="pl-PL"/>
        </w:rPr>
        <w:drawing>
          <wp:inline distT="0" distB="0" distL="0" distR="0" wp14:anchorId="16C1021E" wp14:editId="528D54A8">
            <wp:extent cx="2520000" cy="2772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70B13CA" w14:textId="77312CCF" w:rsidR="00D5012D" w:rsidRDefault="00180DAD" w:rsidP="00CD5A81">
      <w:pPr>
        <w:pStyle w:val="Brakstyluakapitowego"/>
        <w:rPr>
          <w:szCs w:val="19"/>
        </w:rPr>
      </w:pPr>
      <w:r w:rsidRPr="00180DAD">
        <w:drawing>
          <wp:inline distT="0" distB="0" distL="0" distR="0" wp14:anchorId="02CB5A72" wp14:editId="7BB20548">
            <wp:extent cx="5184000" cy="78921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78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702"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65715B" wp14:editId="5CED5637">
                <wp:simplePos x="0" y="0"/>
                <wp:positionH relativeFrom="column">
                  <wp:posOffset>0</wp:posOffset>
                </wp:positionH>
                <wp:positionV relativeFrom="paragraph">
                  <wp:posOffset>6977572</wp:posOffset>
                </wp:positionV>
                <wp:extent cx="638175" cy="379990"/>
                <wp:effectExtent l="0" t="0" r="0" b="0"/>
                <wp:wrapNone/>
                <wp:docPr id="4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79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C0F6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5107</w:t>
                            </w:r>
                          </w:p>
                          <w:p w14:paraId="2BB66C1E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tys. ton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5E65715B" id="pole tekstowe 1" o:spid="_x0000_s1029" type="#_x0000_t202" style="position:absolute;margin-left:0;margin-top:549.4pt;width:50.25pt;height:29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" filled="f" strokecolor="#7f7f7f [1601]">
                <v:textbox>
                  <w:txbxContent>
                    <w:p w14:paraId="28CBC0F6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5107</w:t>
                      </w:r>
                    </w:p>
                    <w:p w14:paraId="2BB66C1E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tys. ton</w:t>
                      </w:r>
                    </w:p>
                  </w:txbxContent>
                </v:textbox>
              </v:shape>
            </w:pict>
          </mc:Fallback>
        </mc:AlternateContent>
      </w:r>
    </w:p>
    <w:p w14:paraId="7DE075E2" w14:textId="77777777" w:rsidR="00645E0E" w:rsidRDefault="00645E0E" w:rsidP="00645E0E"/>
    <w:p w14:paraId="5C65CBD7" w14:textId="40FC8389" w:rsidR="00B27A55" w:rsidRPr="00451D63" w:rsidRDefault="00A33D0C" w:rsidP="007800C7">
      <w:pPr>
        <w:pStyle w:val="Nagwek1"/>
      </w:pPr>
      <w:r w:rsidRPr="00D211D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5756099" wp14:editId="70CE9AC8">
                <wp:simplePos x="0" y="0"/>
                <wp:positionH relativeFrom="column">
                  <wp:posOffset>5232400</wp:posOffset>
                </wp:positionH>
                <wp:positionV relativeFrom="paragraph">
                  <wp:posOffset>171450</wp:posOffset>
                </wp:positionV>
                <wp:extent cx="1771650" cy="825500"/>
                <wp:effectExtent l="0" t="0" r="0" b="0"/>
                <wp:wrapTight wrapText="bothSides">
                  <wp:wrapPolygon edited="0">
                    <wp:start x="697" y="0"/>
                    <wp:lineTo x="697" y="20935"/>
                    <wp:lineTo x="20671" y="20935"/>
                    <wp:lineTo x="20671" y="0"/>
                    <wp:lineTo x="697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F6305" w14:textId="3AB16DB3" w:rsidR="005734D4" w:rsidRPr="005734D4" w:rsidRDefault="005734D4" w:rsidP="005734D4">
                            <w:pPr>
                              <w:pStyle w:val="tekstzboku"/>
                            </w:pPr>
                            <w:r w:rsidRPr="005734D4">
                              <w:t>W transporcie samochodowym intermodalnym udział przewozów krajowych wyniósł ponad 98%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6099" id="_x0000_s1030" type="#_x0000_t202" style="position:absolute;margin-left:412pt;margin-top:13.5pt;width:139.5pt;height:6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" filled="f" stroked="f">
                <v:textbox>
                  <w:txbxContent>
                    <w:p w14:paraId="459F6305" w14:textId="3AB16DB3" w:rsidR="005734D4" w:rsidRPr="005734D4" w:rsidRDefault="005734D4" w:rsidP="005734D4">
                      <w:pPr>
                        <w:pStyle w:val="tekstzboku"/>
                      </w:pPr>
                      <w:r w:rsidRPr="005734D4">
                        <w:t>W transporcie samochodowym intermodalnym udział przewozów krajowych wyniósł ponad 98%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7A55" w:rsidRPr="00451D63">
        <w:t>Przewóz ładunków skonteneryzowanych transportem samochodowym intermodalnym</w:t>
      </w:r>
    </w:p>
    <w:p w14:paraId="63B20B40" w14:textId="4E8539FF" w:rsidR="001B019A" w:rsidRPr="00451D63" w:rsidRDefault="00B27A55" w:rsidP="001B019A">
      <w:r w:rsidRPr="00451D63">
        <w:t>W 2018 r. transportem samochodowym intermod</w:t>
      </w:r>
      <w:r w:rsidR="001E77A9">
        <w:t>alnym przewieziono ponad 22 mln</w:t>
      </w:r>
      <w:r w:rsidRPr="00451D63">
        <w:t xml:space="preserve"> ton </w:t>
      </w:r>
      <w:r w:rsidR="000F478F">
        <w:br/>
      </w:r>
      <w:r w:rsidRPr="00451D63">
        <w:t xml:space="preserve">ładunków w kontenerach. </w:t>
      </w:r>
      <w:r w:rsidR="001B019A" w:rsidRPr="00451D63">
        <w:t>Udział przewozów krajowych</w:t>
      </w:r>
      <w:r w:rsidR="00D6731D">
        <w:t>,</w:t>
      </w:r>
      <w:r w:rsidR="001B019A" w:rsidRPr="00451D63">
        <w:t xml:space="preserve"> podobnie jak </w:t>
      </w:r>
      <w:r w:rsidR="001B019A">
        <w:t>przed rokiem</w:t>
      </w:r>
      <w:r w:rsidR="001B019A" w:rsidRPr="00451D63">
        <w:t xml:space="preserve"> wyniósł ponad 98%. Najwięcej ładunków transportem samochodowym intermodalnym krajowym</w:t>
      </w:r>
      <w:r w:rsidR="001B019A">
        <w:t xml:space="preserve"> przewieziono </w:t>
      </w:r>
      <w:r w:rsidR="001B019A" w:rsidRPr="00510112">
        <w:t>do i z województw:</w:t>
      </w:r>
      <w:r w:rsidR="001B019A" w:rsidRPr="00451D63">
        <w:t xml:space="preserve"> pomorskiego (26,5%), łódzkiego (23,7%) i wielkopolskiego (6,3%). Największy wzrost przewiezionych ton ładunków skonteneryzowanych w porównaniu </w:t>
      </w:r>
      <w:r w:rsidR="001B019A">
        <w:br/>
      </w:r>
      <w:r w:rsidR="001B019A" w:rsidRPr="00451D63">
        <w:t xml:space="preserve">z rokiem </w:t>
      </w:r>
      <w:r w:rsidR="001B019A">
        <w:t>poprzednim odnotowano w województwach</w:t>
      </w:r>
      <w:r w:rsidR="001B019A" w:rsidRPr="00451D63">
        <w:t xml:space="preserve"> zachodniopomorskim i lubuskim. Mniej ładunków</w:t>
      </w:r>
      <w:r w:rsidR="001B019A">
        <w:t xml:space="preserve"> niż przed rokiem </w:t>
      </w:r>
      <w:r w:rsidR="001B019A" w:rsidRPr="00451D63">
        <w:t xml:space="preserve">przewieziono natomiast </w:t>
      </w:r>
      <w:r w:rsidR="001B019A" w:rsidRPr="00510112">
        <w:rPr>
          <w:color w:val="000000" w:themeColor="text1"/>
        </w:rPr>
        <w:t xml:space="preserve">do i z województw </w:t>
      </w:r>
      <w:r w:rsidR="001B019A" w:rsidRPr="00451D63">
        <w:t xml:space="preserve">wielkopolskiego </w:t>
      </w:r>
      <w:r w:rsidR="001B019A">
        <w:br/>
      </w:r>
      <w:r w:rsidR="001B019A" w:rsidRPr="00451D63">
        <w:t>i lubuskiego. W transporcie międzynarodowym</w:t>
      </w:r>
      <w:r w:rsidR="00D6731D">
        <w:t>,</w:t>
      </w:r>
      <w:r w:rsidR="001B019A" w:rsidRPr="00451D63">
        <w:t xml:space="preserve"> podobnie jak w </w:t>
      </w:r>
      <w:r w:rsidR="001B019A">
        <w:t xml:space="preserve">2017 </w:t>
      </w:r>
      <w:r w:rsidR="001B019A" w:rsidRPr="00451D63">
        <w:t>r</w:t>
      </w:r>
      <w:r w:rsidR="001B019A">
        <w:t>.</w:t>
      </w:r>
      <w:r w:rsidR="001B019A" w:rsidRPr="00451D63">
        <w:t xml:space="preserve"> dominowały przewozy do i z Niemiec.</w:t>
      </w:r>
      <w:r w:rsidR="001B019A">
        <w:t xml:space="preserve"> </w:t>
      </w:r>
    </w:p>
    <w:p w14:paraId="7E52EEFE" w14:textId="77777777" w:rsidR="00CD5A81" w:rsidRDefault="00CD5A81" w:rsidP="00CD5A81"/>
    <w:p w14:paraId="68092C57" w14:textId="393799F7" w:rsidR="00503734" w:rsidRDefault="00503734" w:rsidP="00656816">
      <w:pPr>
        <w:pStyle w:val="tytuwykresu"/>
        <w:spacing w:after="0"/>
        <w:ind w:left="794" w:hanging="794"/>
        <w:rPr>
          <w:vertAlign w:val="superscript"/>
        </w:rPr>
      </w:pPr>
      <w:r>
        <w:t>W</w:t>
      </w:r>
      <w:r w:rsidRPr="00A00F21">
        <w:t xml:space="preserve">ykres 2. </w:t>
      </w:r>
      <w:r>
        <w:t>U</w:t>
      </w:r>
      <w:r w:rsidRPr="00A00F21">
        <w:t xml:space="preserve">dział województw w przewozach ładunków skonteneryzowanych transportem </w:t>
      </w:r>
      <w:r w:rsidR="007F6584">
        <w:br/>
      </w:r>
      <w:r w:rsidRPr="00A00F21">
        <w:t xml:space="preserve">samochodowym intermodalnym </w:t>
      </w:r>
      <w:r>
        <w:t xml:space="preserve">w 2018 r. </w:t>
      </w:r>
      <w:r w:rsidRPr="00A00F21">
        <w:t>(na podstawie liczby ton)</w:t>
      </w:r>
      <w:r w:rsidRPr="00A00F21">
        <w:rPr>
          <w:vertAlign w:val="superscript"/>
        </w:rPr>
        <w:t>a</w:t>
      </w:r>
      <w:r>
        <w:rPr>
          <w:vertAlign w:val="superscript"/>
        </w:rPr>
        <w:t>b</w:t>
      </w:r>
    </w:p>
    <w:p w14:paraId="42F6FCF7" w14:textId="529B2D23" w:rsidR="00503734" w:rsidRDefault="00D215F1" w:rsidP="00CD5A81">
      <w:pPr>
        <w:pStyle w:val="Brakstyluakapitowego"/>
      </w:pPr>
      <w:r w:rsidRPr="00D215F1">
        <w:drawing>
          <wp:inline distT="0" distB="0" distL="0" distR="0" wp14:anchorId="71EBD8F6" wp14:editId="3E4CB709">
            <wp:extent cx="5022942" cy="2844000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942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574CB" w14:textId="77777777" w:rsidR="00503734" w:rsidRDefault="00503734" w:rsidP="00656816">
      <w:pPr>
        <w:pStyle w:val="Default"/>
        <w:rPr>
          <w:color w:val="auto"/>
          <w:sz w:val="16"/>
          <w:szCs w:val="19"/>
        </w:rPr>
      </w:pPr>
      <w:r w:rsidRPr="001C0DA6">
        <w:rPr>
          <w:color w:val="auto"/>
          <w:sz w:val="16"/>
          <w:szCs w:val="19"/>
          <w:vertAlign w:val="superscript"/>
        </w:rPr>
        <w:t>a</w:t>
      </w:r>
      <w:r w:rsidRPr="00A00F21">
        <w:rPr>
          <w:color w:val="auto"/>
          <w:sz w:val="16"/>
          <w:szCs w:val="19"/>
        </w:rPr>
        <w:t xml:space="preserve"> Dane obejmują przewóz do/z terminali intermodalnych zlokalizowanych na terenie Polski.</w:t>
      </w:r>
    </w:p>
    <w:p w14:paraId="5B9E69CF" w14:textId="77777777" w:rsidR="00503734" w:rsidRPr="00A00F21" w:rsidRDefault="00503734" w:rsidP="00503734">
      <w:pPr>
        <w:pStyle w:val="Default"/>
        <w:rPr>
          <w:color w:val="auto"/>
          <w:sz w:val="16"/>
          <w:szCs w:val="19"/>
        </w:rPr>
      </w:pPr>
      <w:r w:rsidRPr="001C0DA6">
        <w:rPr>
          <w:color w:val="auto"/>
          <w:sz w:val="16"/>
          <w:szCs w:val="19"/>
          <w:vertAlign w:val="superscript"/>
        </w:rPr>
        <w:t>b</w:t>
      </w:r>
      <w:r>
        <w:rPr>
          <w:color w:val="auto"/>
          <w:sz w:val="16"/>
          <w:szCs w:val="19"/>
        </w:rPr>
        <w:t xml:space="preserve"> Dane szacunkowe.</w:t>
      </w:r>
    </w:p>
    <w:p w14:paraId="50952CB5" w14:textId="53855B96" w:rsidR="00B27A55" w:rsidRPr="008A376C" w:rsidRDefault="00B27A55" w:rsidP="007800C7">
      <w:pPr>
        <w:pStyle w:val="Nagwek1"/>
      </w:pPr>
      <w:r>
        <w:lastRenderedPageBreak/>
        <w:t>Podstawowe definicje</w:t>
      </w:r>
    </w:p>
    <w:p w14:paraId="69C174AA" w14:textId="152E1D9A" w:rsidR="007F63A2" w:rsidRDefault="00B27A55" w:rsidP="007800C7">
      <w:r w:rsidRPr="00AF2424">
        <w:rPr>
          <w:rFonts w:cs="Fira Sans"/>
          <w:b/>
          <w:bCs/>
          <w:color w:val="000000"/>
          <w:szCs w:val="19"/>
        </w:rPr>
        <w:t xml:space="preserve">Terminal transportu intermodalnego </w:t>
      </w:r>
      <w:r w:rsidRPr="00AF2424">
        <w:rPr>
          <w:rFonts w:cs="Fira Sans"/>
          <w:color w:val="000000"/>
          <w:szCs w:val="19"/>
        </w:rPr>
        <w:t xml:space="preserve">– </w:t>
      </w:r>
      <w:r w:rsidR="007F63A2">
        <w:t>miejsce przystosowane do przeładunku i składowania intermodalnych jednostek transportowych między poszczególnymi etapami transportu.</w:t>
      </w:r>
    </w:p>
    <w:p w14:paraId="6508E0A7" w14:textId="680EDB0E" w:rsidR="00B27A55" w:rsidRPr="00AF2424" w:rsidRDefault="00B27A55" w:rsidP="007800C7">
      <w:pPr>
        <w:rPr>
          <w:rFonts w:cs="Fira Sans"/>
          <w:color w:val="000000"/>
          <w:szCs w:val="19"/>
        </w:rPr>
      </w:pPr>
      <w:r w:rsidRPr="00AF2424">
        <w:rPr>
          <w:rFonts w:cs="Fira Sans"/>
          <w:b/>
          <w:bCs/>
          <w:color w:val="000000"/>
          <w:szCs w:val="19"/>
        </w:rPr>
        <w:t>Kontener</w:t>
      </w:r>
      <w:r w:rsidRPr="00D6731D">
        <w:rPr>
          <w:rFonts w:cs="Fira Sans"/>
          <w:bCs/>
          <w:color w:val="000000"/>
          <w:szCs w:val="19"/>
        </w:rPr>
        <w:t xml:space="preserve"> </w:t>
      </w:r>
      <w:r w:rsidRPr="00AF2424">
        <w:rPr>
          <w:rFonts w:cs="Fira Sans"/>
          <w:color w:val="000000"/>
          <w:szCs w:val="19"/>
        </w:rPr>
        <w:t>–</w:t>
      </w:r>
      <w:r w:rsidR="00D6731D">
        <w:rPr>
          <w:rFonts w:cs="Fira Sans"/>
          <w:color w:val="000000"/>
          <w:szCs w:val="19"/>
        </w:rPr>
        <w:t xml:space="preserve"> </w:t>
      </w:r>
      <w:r w:rsidRPr="00AF2424">
        <w:rPr>
          <w:rFonts w:cs="Fira Sans"/>
          <w:color w:val="000000"/>
          <w:szCs w:val="19"/>
        </w:rPr>
        <w:t xml:space="preserve">pojemnik przeznaczony do wielokrotnego przewożenia towarów, bez potrzeby </w:t>
      </w:r>
      <w:r w:rsidR="001C0DA6">
        <w:rPr>
          <w:rFonts w:cs="Fira Sans"/>
          <w:color w:val="000000"/>
          <w:szCs w:val="19"/>
        </w:rPr>
        <w:br/>
      </w:r>
      <w:r w:rsidRPr="00AF2424">
        <w:rPr>
          <w:rFonts w:cs="Fira Sans"/>
          <w:color w:val="000000"/>
          <w:szCs w:val="19"/>
        </w:rPr>
        <w:t>ich przeładowywania przy zmianie środka transportu, wy</w:t>
      </w:r>
      <w:r>
        <w:rPr>
          <w:rFonts w:cs="Fira Sans"/>
          <w:color w:val="000000"/>
          <w:szCs w:val="19"/>
        </w:rPr>
        <w:t>posażony w urządzenia umożliwia</w:t>
      </w:r>
      <w:r w:rsidRPr="00AF2424">
        <w:rPr>
          <w:rFonts w:cs="Fira Sans"/>
          <w:color w:val="000000"/>
          <w:szCs w:val="19"/>
        </w:rPr>
        <w:t>jące łatwy transport i przeładunek, przystosowany do pięt</w:t>
      </w:r>
      <w:r w:rsidR="001E77A9">
        <w:rPr>
          <w:rFonts w:cs="Fira Sans"/>
          <w:color w:val="000000"/>
          <w:szCs w:val="19"/>
        </w:rPr>
        <w:t>rzenia, odporny na warunki prze</w:t>
      </w:r>
      <w:r w:rsidRPr="00AF2424">
        <w:rPr>
          <w:rFonts w:cs="Fira Sans"/>
          <w:color w:val="000000"/>
          <w:szCs w:val="19"/>
        </w:rPr>
        <w:t xml:space="preserve">wozu, mający możliwie znormalizowane wymiary, które najczęściej wynoszą: szerokość </w:t>
      </w:r>
      <w:r w:rsidR="001C0DA6">
        <w:rPr>
          <w:rFonts w:cs="Fira Sans"/>
          <w:color w:val="000000"/>
          <w:szCs w:val="19"/>
        </w:rPr>
        <w:br/>
      </w:r>
      <w:r w:rsidRPr="00AF2424">
        <w:rPr>
          <w:rFonts w:cs="Fira Sans"/>
          <w:color w:val="000000"/>
          <w:szCs w:val="19"/>
        </w:rPr>
        <w:t>i wysokość</w:t>
      </w:r>
      <w:r w:rsidR="001E77A9">
        <w:rPr>
          <w:rFonts w:cs="Fira Sans"/>
          <w:color w:val="000000"/>
          <w:szCs w:val="19"/>
        </w:rPr>
        <w:t xml:space="preserve"> po </w:t>
      </w:r>
      <w:r w:rsidRPr="00AF2424">
        <w:rPr>
          <w:rFonts w:cs="Fira Sans"/>
          <w:color w:val="000000"/>
          <w:szCs w:val="19"/>
        </w:rPr>
        <w:t xml:space="preserve">8 stóp (lub 8 stóp x 8 stóp 6 cali), długość 10, 20, 30 lub 40 stóp (Standardy ISO – Międzynarodowej Organizacji Normalizacyjnej). Kategoria ładunkowa „kontenery duże” obejmuje kontenery o długości 20 stóp lub większe. Kontenery mniejsze (krótsze niż 20 stóp) wliczone są do pozostałych ładunków drobnicowych. </w:t>
      </w:r>
    </w:p>
    <w:p w14:paraId="1B09EF6A" w14:textId="13122664" w:rsidR="00B27A55" w:rsidRPr="00AF2424" w:rsidRDefault="00B27A55" w:rsidP="007800C7">
      <w:r w:rsidRPr="00AF2424">
        <w:rPr>
          <w:b/>
          <w:bCs/>
        </w:rPr>
        <w:t>TEU (Twenty-foot Equivalent Unit)</w:t>
      </w:r>
      <w:r w:rsidRPr="001C0DA6">
        <w:rPr>
          <w:bCs/>
        </w:rPr>
        <w:t xml:space="preserve"> </w:t>
      </w:r>
      <w:r w:rsidRPr="00AF2424">
        <w:t xml:space="preserve">– jednostka standardowa odpowiadająca pojemności </w:t>
      </w:r>
      <w:r w:rsidR="001C0DA6">
        <w:br/>
      </w:r>
      <w:r w:rsidRPr="00AF2424">
        <w:t xml:space="preserve">20-stopowego kontenera ISO o wymiarach 20x8x8,5 stóp (6,10x2,44x2,59 m; 1 TEU = 1 kontener 20-stopowy ISO), służąca do przeliczania kontenerów o różnej długości oraz do opisywania </w:t>
      </w:r>
      <w:r w:rsidR="001C0DA6">
        <w:br/>
      </w:r>
      <w:r w:rsidRPr="00AF2424">
        <w:t xml:space="preserve">i porównywania statków lub terminali kontenerowych. </w:t>
      </w:r>
    </w:p>
    <w:p w14:paraId="67327C03" w14:textId="77777777" w:rsidR="00B27A55" w:rsidRPr="00AF2424" w:rsidRDefault="00B27A55" w:rsidP="007800C7">
      <w:r w:rsidRPr="00AF2424">
        <w:t xml:space="preserve">Dane o przewozach ładunków w podziale na </w:t>
      </w:r>
      <w:r w:rsidRPr="00D215F1">
        <w:rPr>
          <w:b/>
        </w:rPr>
        <w:t>grupy ładunków</w:t>
      </w:r>
      <w:r w:rsidRPr="00AF2424">
        <w:t xml:space="preserve"> podano zgodnie z klasyfikacją NST 2007 wprowadzoną rozporządzeniem Komisji (WE) nr 1304/2007 z dnia 7 listopada 2007 r. zmieniającym dyrektywę Rady 95/64/WE, rozporządzenie Ra</w:t>
      </w:r>
      <w:r>
        <w:t>dy (WE) nr 1172/98, rozporządze</w:t>
      </w:r>
      <w:r w:rsidRPr="00AF2424">
        <w:t>nia (WE) nr 91/2003i (WE) nr 1365/2006 Parlamentu Europej</w:t>
      </w:r>
      <w:r>
        <w:t>skiego i Rady, w celu ustanowie</w:t>
      </w:r>
      <w:r w:rsidRPr="00AF2424">
        <w:t>nia NST 2007 jako jedynej klasyfikacji w odniesieniu do t</w:t>
      </w:r>
      <w:r>
        <w:t>owarów transportowanych określo</w:t>
      </w:r>
      <w:r w:rsidRPr="00AF2424">
        <w:t xml:space="preserve">nymi środkami transportu. </w:t>
      </w:r>
    </w:p>
    <w:p w14:paraId="3DCC16F6" w14:textId="3A579615" w:rsidR="00B27A55" w:rsidRPr="00AF2424" w:rsidRDefault="00B27A55" w:rsidP="007800C7">
      <w:r w:rsidRPr="00AF2424">
        <w:rPr>
          <w:b/>
          <w:bCs/>
        </w:rPr>
        <w:t>Lo-lo, lift-on-lift-off</w:t>
      </w:r>
      <w:r w:rsidRPr="001C0DA6">
        <w:rPr>
          <w:bCs/>
        </w:rPr>
        <w:t xml:space="preserve"> </w:t>
      </w:r>
      <w:r w:rsidRPr="00AF2424">
        <w:t>– pionowy system przeładunku. Załad</w:t>
      </w:r>
      <w:r>
        <w:t>owanie i wyładowanie intermodal</w:t>
      </w:r>
      <w:r w:rsidRPr="00AF2424">
        <w:t>nej jednostki transportowej (ITU) przy wykorzystaniu urząd</w:t>
      </w:r>
      <w:r>
        <w:t>zeń podnoszących (żurawi okręto</w:t>
      </w:r>
      <w:r w:rsidRPr="00AF2424">
        <w:t>wych</w:t>
      </w:r>
      <w:r>
        <w:t xml:space="preserve"> </w:t>
      </w:r>
      <w:r w:rsidRPr="00AF2424">
        <w:t xml:space="preserve">masztowych/dźwigów lub dźwigów nabrzeżnych). </w:t>
      </w:r>
    </w:p>
    <w:p w14:paraId="79CF1827" w14:textId="5A60B899" w:rsidR="00B27A55" w:rsidRPr="00451D63" w:rsidRDefault="00B27A55" w:rsidP="007800C7">
      <w:r w:rsidRPr="00AF2424">
        <w:rPr>
          <w:b/>
          <w:bCs/>
        </w:rPr>
        <w:t xml:space="preserve">Jednostka transportu intermodalnego </w:t>
      </w:r>
      <w:r w:rsidRPr="00AF2424">
        <w:t>(ITU) – pojemnik, nadwozie wymienne lub naczepa/</w:t>
      </w:r>
      <w:r w:rsidR="00113CD3">
        <w:br/>
      </w:r>
      <w:r w:rsidRPr="00AF2424">
        <w:t>towarowy pojazd silnikowy odpowiedni do transportu intermodalnego.</w:t>
      </w:r>
    </w:p>
    <w:p w14:paraId="2F0F7AF4" w14:textId="77777777" w:rsidR="00B27A55" w:rsidRDefault="00B27A55" w:rsidP="007800C7"/>
    <w:p w14:paraId="7EF9DD1A" w14:textId="77777777" w:rsidR="00B27A55" w:rsidRDefault="00B27A55" w:rsidP="007800C7"/>
    <w:p w14:paraId="6F02EFF7" w14:textId="77777777" w:rsidR="00D5012D" w:rsidRDefault="00D5012D" w:rsidP="007800C7"/>
    <w:p w14:paraId="142144C4" w14:textId="77777777" w:rsidR="00D5012D" w:rsidRDefault="00D5012D" w:rsidP="007800C7"/>
    <w:p w14:paraId="574E7451" w14:textId="32C461FE" w:rsidR="00694AF0" w:rsidRPr="00001C5B" w:rsidRDefault="00B27A55" w:rsidP="007800C7">
      <w:pPr>
        <w:rPr>
          <w:sz w:val="18"/>
        </w:rPr>
        <w:sectPr w:rsidR="00694AF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32F01D00" wp14:editId="409546AB">
            <wp:extent cx="4248000" cy="2484000"/>
            <wp:effectExtent l="0" t="0" r="635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74E745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0470AA" w:rsidRPr="00242C9B" w14:paraId="574E745C" w14:textId="77777777" w:rsidTr="002B180F">
        <w:trPr>
          <w:trHeight w:val="1912"/>
        </w:trPr>
        <w:tc>
          <w:tcPr>
            <w:tcW w:w="4257" w:type="dxa"/>
          </w:tcPr>
          <w:p w14:paraId="7D041A86" w14:textId="77777777" w:rsidR="00784C9A" w:rsidRPr="005734D4" w:rsidRDefault="00784C9A" w:rsidP="00784C9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5734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17A7CD8" w14:textId="77777777" w:rsidR="00784C9A" w:rsidRPr="005734D4" w:rsidRDefault="00784C9A" w:rsidP="00784C9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734D4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3142F2D" w14:textId="15CCB641" w:rsidR="00784C9A" w:rsidRPr="005734D4" w:rsidRDefault="00784C9A" w:rsidP="00784C9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5734D4">
              <w:rPr>
                <w:rFonts w:cs="Arial"/>
                <w:b/>
                <w:color w:val="000000" w:themeColor="text1"/>
                <w:sz w:val="20"/>
              </w:rPr>
              <w:t xml:space="preserve">Ośrodek Statystyki Transportu i Łączności </w:t>
            </w:r>
            <w:r w:rsidR="005734D4" w:rsidRPr="005734D4">
              <w:rPr>
                <w:rFonts w:cs="Arial"/>
                <w:b/>
                <w:color w:val="000000" w:themeColor="text1"/>
                <w:sz w:val="20"/>
                <w:szCs w:val="28"/>
              </w:rPr>
              <w:t>Grzegorz Schodowski</w:t>
            </w:r>
          </w:p>
          <w:p w14:paraId="6862C0D7" w14:textId="61AA8E9A" w:rsidR="00784C9A" w:rsidRPr="005734D4" w:rsidRDefault="00784C9A" w:rsidP="00784C9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734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564D43" w:rsidRPr="005734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Pr="005734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91</w:t>
            </w:r>
            <w:r w:rsidR="00DE11D3" w:rsidRPr="005734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459 75 33</w:t>
            </w:r>
          </w:p>
          <w:p w14:paraId="7321C113" w14:textId="77777777" w:rsidR="000470AA" w:rsidRDefault="00784C9A" w:rsidP="00451C55">
            <w:pPr>
              <w:pStyle w:val="Nagwek3"/>
              <w:spacing w:before="0" w:line="240" w:lineRule="auto"/>
              <w:rPr>
                <w:rStyle w:val="Hipercze"/>
                <w:rFonts w:ascii="Fira Sans" w:hAnsi="Fira Sans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734D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5734D4" w:rsidRPr="00D21A31">
                <w:rPr>
                  <w:rStyle w:val="Hipercze"/>
                  <w:rFonts w:ascii="Fira Sans" w:hAnsi="Fira Sans"/>
                  <w:b/>
                  <w:bCs/>
                  <w:color w:val="000000" w:themeColor="text1"/>
                  <w:sz w:val="20"/>
                  <w:szCs w:val="20"/>
                  <w:lang w:val="en-US"/>
                </w:rPr>
                <w:t>g.schodowski@stat.gov.pl</w:t>
              </w:r>
            </w:hyperlink>
          </w:p>
          <w:p w14:paraId="574E7457" w14:textId="5EFCBDF5" w:rsidR="00F90D06" w:rsidRPr="00F90D06" w:rsidRDefault="00F90D06" w:rsidP="00F90D06">
            <w:pPr>
              <w:rPr>
                <w:lang w:val="en-US"/>
              </w:rPr>
            </w:pPr>
          </w:p>
        </w:tc>
        <w:tc>
          <w:tcPr>
            <w:tcW w:w="3810" w:type="dxa"/>
          </w:tcPr>
          <w:p w14:paraId="574E745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74E7459" w14:textId="148A88C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062A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74E745A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74E745B" w14:textId="3C8C38B1" w:rsidR="000470AA" w:rsidRPr="008F3638" w:rsidRDefault="00FA0D6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72AC0A16" w:rsidR="000470AA" w:rsidRPr="00C91687" w:rsidRDefault="00B55A87" w:rsidP="000470AA">
            <w:pPr>
              <w:rPr>
                <w:sz w:val="20"/>
              </w:rPr>
            </w:pPr>
            <w:r w:rsidRPr="00B55A87">
              <w:rPr>
                <w:sz w:val="20"/>
              </w:rPr>
              <w:t>T</w:t>
            </w:r>
            <w:r w:rsidR="000470AA" w:rsidRPr="00B55A87">
              <w:rPr>
                <w:sz w:val="20"/>
              </w:rPr>
              <w:t>el:</w:t>
            </w:r>
            <w:r w:rsidR="000470AA" w:rsidRPr="00B616DE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574E7462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20" w:history="1">
              <w:r w:rsidRPr="001E3B7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74E746E" w14:textId="5D981E00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0D3D0500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1143000"/>
                <wp:effectExtent l="0" t="0" r="12700" b="1905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36FF" w14:textId="77777777" w:rsidR="00784C9A" w:rsidRDefault="00784C9A" w:rsidP="00784C9A">
                            <w:pPr>
                              <w:rPr>
                                <w:b/>
                              </w:rPr>
                            </w:pPr>
                          </w:p>
                          <w:p w14:paraId="1663BB5E" w14:textId="77777777" w:rsidR="00784C9A" w:rsidRPr="007A3192" w:rsidRDefault="00784C9A" w:rsidP="00784C9A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CF57AC8" w14:textId="77777777" w:rsidR="00DE11D3" w:rsidRPr="00CE292E" w:rsidRDefault="00722577" w:rsidP="00DE11D3">
                            <w:pPr>
                              <w:rPr>
                                <w:color w:val="002060"/>
                                <w:sz w:val="18"/>
                                <w:szCs w:val="20"/>
                              </w:rPr>
                            </w:pPr>
                            <w:hyperlink r:id="rId24" w:history="1">
                              <w:r w:rsidR="00DE11D3" w:rsidRPr="00CE292E">
                                <w:rPr>
                                  <w:rStyle w:val="Hipercze"/>
                                  <w:color w:val="002060"/>
                                  <w:sz w:val="18"/>
                                  <w:szCs w:val="20"/>
                                </w:rPr>
                                <w:t>Transport - wyniki działalności w 2017 roku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BF64" id="_x0000_s1031" type="#_x0000_t202" style="position:absolute;margin-left:0;margin-top:27.45pt;width:516.5pt;height:90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" fillcolor="#f2f2f2 [3052]" strokecolor="white [3212]">
                <v:textbox>
                  <w:txbxContent>
                    <w:p w14:paraId="3BED36FF" w14:textId="77777777" w:rsidR="00784C9A" w:rsidRDefault="00784C9A" w:rsidP="00784C9A">
                      <w:pPr>
                        <w:rPr>
                          <w:b/>
                        </w:rPr>
                      </w:pPr>
                    </w:p>
                    <w:p w14:paraId="1663BB5E" w14:textId="77777777" w:rsidR="00784C9A" w:rsidRPr="007A3192" w:rsidRDefault="00784C9A" w:rsidP="00784C9A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3CF57AC8" w14:textId="77777777" w:rsidR="00DE11D3" w:rsidRPr="00CE292E" w:rsidRDefault="00722577" w:rsidP="00DE11D3">
                      <w:pPr>
                        <w:rPr>
                          <w:color w:val="002060"/>
                          <w:sz w:val="18"/>
                          <w:szCs w:val="20"/>
                        </w:rPr>
                      </w:pPr>
                      <w:hyperlink r:id="rId25" w:history="1">
                        <w:r w:rsidR="00DE11D3" w:rsidRPr="00CE292E">
                          <w:rPr>
                            <w:rStyle w:val="Hipercze"/>
                            <w:color w:val="002060"/>
                            <w:sz w:val="18"/>
                            <w:szCs w:val="20"/>
                          </w:rPr>
                          <w:t>Transport - wyniki działalności w 2017 roku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4D47B" w14:textId="77777777" w:rsidR="00722577" w:rsidRDefault="00722577" w:rsidP="000662E2">
      <w:pPr>
        <w:spacing w:after="0" w:line="240" w:lineRule="auto"/>
      </w:pPr>
      <w:r>
        <w:separator/>
      </w:r>
    </w:p>
  </w:endnote>
  <w:endnote w:type="continuationSeparator" w:id="0">
    <w:p w14:paraId="0313F7B3" w14:textId="77777777" w:rsidR="00722577" w:rsidRDefault="007225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BF7FED8-3ABB-4861-9E92-45FE6B8F1890}"/>
    <w:embedBold r:id="rId2" w:fontKey="{5BC0DAB5-EB70-496C-A697-3E345933571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2C0351F-A8A9-489E-B811-10F5CCCBFE75}"/>
    <w:embedBold r:id="rId4" w:fontKey="{7842AC39-4545-4525-83AD-6157101899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78E9B8-615D-4D15-82E0-013F5DE49953}"/>
    <w:embedBold r:id="rId6" w:fontKey="{4716970E-EE9D-4088-8386-BDC7E11136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8109B6D-F681-40F9-A694-C43A5F7D7E4A}"/>
    <w:embedItalic r:id="rId8" w:fontKey="{2DCA1C24-F879-4262-BD12-BB2B206203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0BD9EE9-29BF-464D-8168-5847F63BA5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85E95A3-CB53-4AF6-AE8A-406A41D52733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AA22F4B7-11FC-4365-A1B2-3061A9C6EE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67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67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67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14A2B" w14:textId="77777777" w:rsidR="00722577" w:rsidRDefault="00722577" w:rsidP="000662E2">
      <w:pPr>
        <w:spacing w:after="0" w:line="240" w:lineRule="auto"/>
      </w:pPr>
      <w:r>
        <w:separator/>
      </w:r>
    </w:p>
  </w:footnote>
  <w:footnote w:type="continuationSeparator" w:id="0">
    <w:p w14:paraId="71714AB9" w14:textId="77777777" w:rsidR="00722577" w:rsidRDefault="0072257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0B390B5F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10A7C1A0" w:rsidR="00F37172" w:rsidRPr="00C97596" w:rsidRDefault="008F6C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C816C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C816CA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D5&#10;rse53gAAAAoBAAAPAAAAAAAAAAAAAAAAAGoEAABkcnMvZG93bnJldi54bWxQSwUGAAAAAAQABADz&#10;AAAAdQUAAAAA&#10;" filled="f" stroked="f">
              <v:textbox>
                <w:txbxContent>
                  <w:p w14:paraId="574E74B0" w14:textId="10A7C1A0" w:rsidR="00F37172" w:rsidRPr="00C97596" w:rsidRDefault="008F6C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C816C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C816CA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23.6pt;height:125.75pt;visibility:visible;mso-wrap-style:square" o:bullet="t">
        <v:imagedata r:id="rId1" o:title=""/>
      </v:shape>
    </w:pict>
  </w:numPicBullet>
  <w:numPicBullet w:numPicBulletId="1">
    <w:pict>
      <v:shape id="_x0000_i1097" type="#_x0000_t75" style="width:123.6pt;height:125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E6"/>
    <w:rsid w:val="00001C5B"/>
    <w:rsid w:val="00003437"/>
    <w:rsid w:val="0000709F"/>
    <w:rsid w:val="000108B8"/>
    <w:rsid w:val="000119E5"/>
    <w:rsid w:val="000152F5"/>
    <w:rsid w:val="00016B6F"/>
    <w:rsid w:val="00027A63"/>
    <w:rsid w:val="0004539A"/>
    <w:rsid w:val="0004582E"/>
    <w:rsid w:val="00045FB1"/>
    <w:rsid w:val="000470AA"/>
    <w:rsid w:val="00057CA1"/>
    <w:rsid w:val="00060556"/>
    <w:rsid w:val="0006267F"/>
    <w:rsid w:val="000627AC"/>
    <w:rsid w:val="00062A8E"/>
    <w:rsid w:val="000662E2"/>
    <w:rsid w:val="00066883"/>
    <w:rsid w:val="00066C9B"/>
    <w:rsid w:val="00073C70"/>
    <w:rsid w:val="0007423C"/>
    <w:rsid w:val="00074DD8"/>
    <w:rsid w:val="00074E04"/>
    <w:rsid w:val="000806F7"/>
    <w:rsid w:val="0008412D"/>
    <w:rsid w:val="0008677C"/>
    <w:rsid w:val="00097840"/>
    <w:rsid w:val="000A78F5"/>
    <w:rsid w:val="000B0727"/>
    <w:rsid w:val="000C135D"/>
    <w:rsid w:val="000D1D43"/>
    <w:rsid w:val="000D225C"/>
    <w:rsid w:val="000D2A5C"/>
    <w:rsid w:val="000E0918"/>
    <w:rsid w:val="000F478F"/>
    <w:rsid w:val="001011C3"/>
    <w:rsid w:val="00102764"/>
    <w:rsid w:val="0010463D"/>
    <w:rsid w:val="00110D87"/>
    <w:rsid w:val="00113CD3"/>
    <w:rsid w:val="00114DB9"/>
    <w:rsid w:val="00116087"/>
    <w:rsid w:val="00130296"/>
    <w:rsid w:val="0013575A"/>
    <w:rsid w:val="0013585E"/>
    <w:rsid w:val="001423B6"/>
    <w:rsid w:val="001448A7"/>
    <w:rsid w:val="0014613A"/>
    <w:rsid w:val="00146621"/>
    <w:rsid w:val="001617C5"/>
    <w:rsid w:val="00162325"/>
    <w:rsid w:val="00165D20"/>
    <w:rsid w:val="00174A5E"/>
    <w:rsid w:val="00177555"/>
    <w:rsid w:val="00180DAD"/>
    <w:rsid w:val="00183B88"/>
    <w:rsid w:val="001951DA"/>
    <w:rsid w:val="001B019A"/>
    <w:rsid w:val="001B0A49"/>
    <w:rsid w:val="001C0491"/>
    <w:rsid w:val="001C0DA6"/>
    <w:rsid w:val="001C1375"/>
    <w:rsid w:val="001C3269"/>
    <w:rsid w:val="001D1365"/>
    <w:rsid w:val="001D1DB4"/>
    <w:rsid w:val="001D517F"/>
    <w:rsid w:val="001E25F0"/>
    <w:rsid w:val="001E3B72"/>
    <w:rsid w:val="001E77A9"/>
    <w:rsid w:val="001F44C0"/>
    <w:rsid w:val="001F47CA"/>
    <w:rsid w:val="00212A0A"/>
    <w:rsid w:val="00220767"/>
    <w:rsid w:val="002331F1"/>
    <w:rsid w:val="00242C9B"/>
    <w:rsid w:val="00243B22"/>
    <w:rsid w:val="00256E61"/>
    <w:rsid w:val="002574F9"/>
    <w:rsid w:val="00261F38"/>
    <w:rsid w:val="00262B61"/>
    <w:rsid w:val="002645DF"/>
    <w:rsid w:val="00266AE3"/>
    <w:rsid w:val="0027203A"/>
    <w:rsid w:val="002757DD"/>
    <w:rsid w:val="00276748"/>
    <w:rsid w:val="00276811"/>
    <w:rsid w:val="00282699"/>
    <w:rsid w:val="00283960"/>
    <w:rsid w:val="002870A3"/>
    <w:rsid w:val="002926DF"/>
    <w:rsid w:val="00293919"/>
    <w:rsid w:val="00296697"/>
    <w:rsid w:val="002B0472"/>
    <w:rsid w:val="002B0600"/>
    <w:rsid w:val="002B180F"/>
    <w:rsid w:val="002B4AC2"/>
    <w:rsid w:val="002B6B12"/>
    <w:rsid w:val="002C311D"/>
    <w:rsid w:val="002C3A22"/>
    <w:rsid w:val="002D1A2E"/>
    <w:rsid w:val="002D435A"/>
    <w:rsid w:val="002E6140"/>
    <w:rsid w:val="002E6985"/>
    <w:rsid w:val="002E71B6"/>
    <w:rsid w:val="002F5CF0"/>
    <w:rsid w:val="002F77C8"/>
    <w:rsid w:val="00304468"/>
    <w:rsid w:val="00304F22"/>
    <w:rsid w:val="00306C7C"/>
    <w:rsid w:val="00317A05"/>
    <w:rsid w:val="00322EDD"/>
    <w:rsid w:val="0032742A"/>
    <w:rsid w:val="00332320"/>
    <w:rsid w:val="00347D72"/>
    <w:rsid w:val="00350C7E"/>
    <w:rsid w:val="003527CA"/>
    <w:rsid w:val="00354902"/>
    <w:rsid w:val="00355FBF"/>
    <w:rsid w:val="00357611"/>
    <w:rsid w:val="00367237"/>
    <w:rsid w:val="0037077F"/>
    <w:rsid w:val="00372411"/>
    <w:rsid w:val="00373882"/>
    <w:rsid w:val="003843DB"/>
    <w:rsid w:val="00385377"/>
    <w:rsid w:val="00393761"/>
    <w:rsid w:val="00395113"/>
    <w:rsid w:val="00395861"/>
    <w:rsid w:val="00397D18"/>
    <w:rsid w:val="003A1B36"/>
    <w:rsid w:val="003B1454"/>
    <w:rsid w:val="003B18B6"/>
    <w:rsid w:val="003C59E0"/>
    <w:rsid w:val="003C5D62"/>
    <w:rsid w:val="003C6C8D"/>
    <w:rsid w:val="003D4F95"/>
    <w:rsid w:val="003D5F42"/>
    <w:rsid w:val="003D6049"/>
    <w:rsid w:val="003D60A9"/>
    <w:rsid w:val="003E2BAE"/>
    <w:rsid w:val="003E7D89"/>
    <w:rsid w:val="003F2287"/>
    <w:rsid w:val="003F4C97"/>
    <w:rsid w:val="003F7FE6"/>
    <w:rsid w:val="00400193"/>
    <w:rsid w:val="00416D00"/>
    <w:rsid w:val="0041755C"/>
    <w:rsid w:val="004212E7"/>
    <w:rsid w:val="00423A77"/>
    <w:rsid w:val="0042446D"/>
    <w:rsid w:val="00427BF8"/>
    <w:rsid w:val="0043158D"/>
    <w:rsid w:val="00431C02"/>
    <w:rsid w:val="00435D7F"/>
    <w:rsid w:val="00437395"/>
    <w:rsid w:val="00445047"/>
    <w:rsid w:val="00451C55"/>
    <w:rsid w:val="00451C56"/>
    <w:rsid w:val="00463E39"/>
    <w:rsid w:val="00464D9E"/>
    <w:rsid w:val="004657FC"/>
    <w:rsid w:val="004733F6"/>
    <w:rsid w:val="00474A20"/>
    <w:rsid w:val="00474E69"/>
    <w:rsid w:val="00492640"/>
    <w:rsid w:val="0049621B"/>
    <w:rsid w:val="004A7E15"/>
    <w:rsid w:val="004B338E"/>
    <w:rsid w:val="004C0BD8"/>
    <w:rsid w:val="004C1895"/>
    <w:rsid w:val="004C1DAA"/>
    <w:rsid w:val="004C6D40"/>
    <w:rsid w:val="004D147C"/>
    <w:rsid w:val="004D3640"/>
    <w:rsid w:val="004E5A30"/>
    <w:rsid w:val="004F0C3C"/>
    <w:rsid w:val="004F63FC"/>
    <w:rsid w:val="00503734"/>
    <w:rsid w:val="00504702"/>
    <w:rsid w:val="00505A92"/>
    <w:rsid w:val="00507AD2"/>
    <w:rsid w:val="00510112"/>
    <w:rsid w:val="00516562"/>
    <w:rsid w:val="005165FD"/>
    <w:rsid w:val="005203F1"/>
    <w:rsid w:val="00521BC3"/>
    <w:rsid w:val="00533632"/>
    <w:rsid w:val="00541E6E"/>
    <w:rsid w:val="0054251F"/>
    <w:rsid w:val="0054342C"/>
    <w:rsid w:val="00544D76"/>
    <w:rsid w:val="005520D8"/>
    <w:rsid w:val="00556CF1"/>
    <w:rsid w:val="00557272"/>
    <w:rsid w:val="00564D43"/>
    <w:rsid w:val="00570150"/>
    <w:rsid w:val="005734D4"/>
    <w:rsid w:val="005762A7"/>
    <w:rsid w:val="0058671E"/>
    <w:rsid w:val="005916D7"/>
    <w:rsid w:val="005A6050"/>
    <w:rsid w:val="005A698C"/>
    <w:rsid w:val="005C7D0E"/>
    <w:rsid w:val="005E0799"/>
    <w:rsid w:val="005E092A"/>
    <w:rsid w:val="005F4C8F"/>
    <w:rsid w:val="005F5A80"/>
    <w:rsid w:val="005F60D4"/>
    <w:rsid w:val="00601F86"/>
    <w:rsid w:val="006044FF"/>
    <w:rsid w:val="00607CC5"/>
    <w:rsid w:val="0061124D"/>
    <w:rsid w:val="006251E0"/>
    <w:rsid w:val="006261FF"/>
    <w:rsid w:val="006303B2"/>
    <w:rsid w:val="00633014"/>
    <w:rsid w:val="0063437B"/>
    <w:rsid w:val="00645E0E"/>
    <w:rsid w:val="00656816"/>
    <w:rsid w:val="006673CA"/>
    <w:rsid w:val="00667A5E"/>
    <w:rsid w:val="00671D08"/>
    <w:rsid w:val="00673C26"/>
    <w:rsid w:val="006812AF"/>
    <w:rsid w:val="0068327D"/>
    <w:rsid w:val="00694AF0"/>
    <w:rsid w:val="006A0208"/>
    <w:rsid w:val="006A4686"/>
    <w:rsid w:val="006B0E9E"/>
    <w:rsid w:val="006B5AE4"/>
    <w:rsid w:val="006C49BE"/>
    <w:rsid w:val="006C76A4"/>
    <w:rsid w:val="006D1507"/>
    <w:rsid w:val="006D4054"/>
    <w:rsid w:val="006E02EC"/>
    <w:rsid w:val="006F1AE2"/>
    <w:rsid w:val="007069D4"/>
    <w:rsid w:val="00715FFC"/>
    <w:rsid w:val="007211B1"/>
    <w:rsid w:val="00722082"/>
    <w:rsid w:val="00722577"/>
    <w:rsid w:val="00731F5A"/>
    <w:rsid w:val="00740E3C"/>
    <w:rsid w:val="007436CF"/>
    <w:rsid w:val="00746187"/>
    <w:rsid w:val="00746770"/>
    <w:rsid w:val="0075154F"/>
    <w:rsid w:val="0076254F"/>
    <w:rsid w:val="00762831"/>
    <w:rsid w:val="00766A16"/>
    <w:rsid w:val="00775B46"/>
    <w:rsid w:val="007800C7"/>
    <w:rsid w:val="007801F5"/>
    <w:rsid w:val="00780567"/>
    <w:rsid w:val="00783CA4"/>
    <w:rsid w:val="007842FB"/>
    <w:rsid w:val="00784C9A"/>
    <w:rsid w:val="00786124"/>
    <w:rsid w:val="0079514B"/>
    <w:rsid w:val="00797BDA"/>
    <w:rsid w:val="007A2DC1"/>
    <w:rsid w:val="007A4061"/>
    <w:rsid w:val="007B5DFA"/>
    <w:rsid w:val="007C0404"/>
    <w:rsid w:val="007C6C5D"/>
    <w:rsid w:val="007D3319"/>
    <w:rsid w:val="007D335D"/>
    <w:rsid w:val="007D7641"/>
    <w:rsid w:val="007E2EE1"/>
    <w:rsid w:val="007E3314"/>
    <w:rsid w:val="007E3877"/>
    <w:rsid w:val="007E4B03"/>
    <w:rsid w:val="007F1F8B"/>
    <w:rsid w:val="007F324B"/>
    <w:rsid w:val="007F63A2"/>
    <w:rsid w:val="007F6584"/>
    <w:rsid w:val="007F74AD"/>
    <w:rsid w:val="00802F48"/>
    <w:rsid w:val="0080553C"/>
    <w:rsid w:val="00805B46"/>
    <w:rsid w:val="00807530"/>
    <w:rsid w:val="00820E4E"/>
    <w:rsid w:val="00825DC2"/>
    <w:rsid w:val="00834AD3"/>
    <w:rsid w:val="008352F3"/>
    <w:rsid w:val="00840763"/>
    <w:rsid w:val="00841FDC"/>
    <w:rsid w:val="00842C10"/>
    <w:rsid w:val="00843795"/>
    <w:rsid w:val="00847F0F"/>
    <w:rsid w:val="00852448"/>
    <w:rsid w:val="00854FF6"/>
    <w:rsid w:val="008600ED"/>
    <w:rsid w:val="00864685"/>
    <w:rsid w:val="00864E01"/>
    <w:rsid w:val="00865EAD"/>
    <w:rsid w:val="00870EE4"/>
    <w:rsid w:val="0088258A"/>
    <w:rsid w:val="00886332"/>
    <w:rsid w:val="008A26D9"/>
    <w:rsid w:val="008A376C"/>
    <w:rsid w:val="008A4EDE"/>
    <w:rsid w:val="008B2C4B"/>
    <w:rsid w:val="008C0C29"/>
    <w:rsid w:val="008F3638"/>
    <w:rsid w:val="008F4441"/>
    <w:rsid w:val="008F6C1C"/>
    <w:rsid w:val="008F6F31"/>
    <w:rsid w:val="008F74DF"/>
    <w:rsid w:val="00901C49"/>
    <w:rsid w:val="009127BA"/>
    <w:rsid w:val="00916499"/>
    <w:rsid w:val="009227A6"/>
    <w:rsid w:val="009261E1"/>
    <w:rsid w:val="0092661C"/>
    <w:rsid w:val="00933899"/>
    <w:rsid w:val="00933EC1"/>
    <w:rsid w:val="0093726B"/>
    <w:rsid w:val="00942EAD"/>
    <w:rsid w:val="009530DB"/>
    <w:rsid w:val="00953676"/>
    <w:rsid w:val="009602E3"/>
    <w:rsid w:val="009633BC"/>
    <w:rsid w:val="009705EE"/>
    <w:rsid w:val="00971766"/>
    <w:rsid w:val="00976DEA"/>
    <w:rsid w:val="00977927"/>
    <w:rsid w:val="0098135C"/>
    <w:rsid w:val="0098156A"/>
    <w:rsid w:val="00990C2E"/>
    <w:rsid w:val="00991BAC"/>
    <w:rsid w:val="009A635A"/>
    <w:rsid w:val="009A6EA0"/>
    <w:rsid w:val="009B4EF8"/>
    <w:rsid w:val="009B5C44"/>
    <w:rsid w:val="009C1335"/>
    <w:rsid w:val="009C1AB2"/>
    <w:rsid w:val="009C7251"/>
    <w:rsid w:val="009D099A"/>
    <w:rsid w:val="009D53ED"/>
    <w:rsid w:val="009E2E91"/>
    <w:rsid w:val="009F27BC"/>
    <w:rsid w:val="00A02031"/>
    <w:rsid w:val="00A05463"/>
    <w:rsid w:val="00A139F5"/>
    <w:rsid w:val="00A169A9"/>
    <w:rsid w:val="00A30D5E"/>
    <w:rsid w:val="00A33D0C"/>
    <w:rsid w:val="00A365F4"/>
    <w:rsid w:val="00A40EDB"/>
    <w:rsid w:val="00A47D80"/>
    <w:rsid w:val="00A53132"/>
    <w:rsid w:val="00A54ADD"/>
    <w:rsid w:val="00A5588B"/>
    <w:rsid w:val="00A563F2"/>
    <w:rsid w:val="00A566E8"/>
    <w:rsid w:val="00A57980"/>
    <w:rsid w:val="00A619B7"/>
    <w:rsid w:val="00A6486C"/>
    <w:rsid w:val="00A72C47"/>
    <w:rsid w:val="00A75316"/>
    <w:rsid w:val="00A769C3"/>
    <w:rsid w:val="00A810F9"/>
    <w:rsid w:val="00A8214C"/>
    <w:rsid w:val="00A86ECC"/>
    <w:rsid w:val="00A86FCC"/>
    <w:rsid w:val="00A902EB"/>
    <w:rsid w:val="00A90568"/>
    <w:rsid w:val="00AA710D"/>
    <w:rsid w:val="00AA7768"/>
    <w:rsid w:val="00AB50DD"/>
    <w:rsid w:val="00AB6D25"/>
    <w:rsid w:val="00AB73CF"/>
    <w:rsid w:val="00AC53B0"/>
    <w:rsid w:val="00AC6F03"/>
    <w:rsid w:val="00AE2D4B"/>
    <w:rsid w:val="00AE4F99"/>
    <w:rsid w:val="00AE593C"/>
    <w:rsid w:val="00AF70DB"/>
    <w:rsid w:val="00AF748B"/>
    <w:rsid w:val="00B100B2"/>
    <w:rsid w:val="00B11B69"/>
    <w:rsid w:val="00B14952"/>
    <w:rsid w:val="00B168A8"/>
    <w:rsid w:val="00B27A55"/>
    <w:rsid w:val="00B31E5A"/>
    <w:rsid w:val="00B37D1B"/>
    <w:rsid w:val="00B51ED0"/>
    <w:rsid w:val="00B55A87"/>
    <w:rsid w:val="00B572E4"/>
    <w:rsid w:val="00B616DE"/>
    <w:rsid w:val="00B653AB"/>
    <w:rsid w:val="00B65D63"/>
    <w:rsid w:val="00B65F9E"/>
    <w:rsid w:val="00B66B19"/>
    <w:rsid w:val="00B83805"/>
    <w:rsid w:val="00B914E9"/>
    <w:rsid w:val="00B956EE"/>
    <w:rsid w:val="00B96A56"/>
    <w:rsid w:val="00BA2BA1"/>
    <w:rsid w:val="00BA3562"/>
    <w:rsid w:val="00BA7C7E"/>
    <w:rsid w:val="00BB217D"/>
    <w:rsid w:val="00BB4F09"/>
    <w:rsid w:val="00BC7125"/>
    <w:rsid w:val="00BD1D9C"/>
    <w:rsid w:val="00BD4E33"/>
    <w:rsid w:val="00BD7607"/>
    <w:rsid w:val="00BE07B5"/>
    <w:rsid w:val="00BE3F3B"/>
    <w:rsid w:val="00BE6C43"/>
    <w:rsid w:val="00BF1F77"/>
    <w:rsid w:val="00C030DE"/>
    <w:rsid w:val="00C06054"/>
    <w:rsid w:val="00C07130"/>
    <w:rsid w:val="00C22105"/>
    <w:rsid w:val="00C229B7"/>
    <w:rsid w:val="00C244B6"/>
    <w:rsid w:val="00C32866"/>
    <w:rsid w:val="00C3702F"/>
    <w:rsid w:val="00C436FF"/>
    <w:rsid w:val="00C4500A"/>
    <w:rsid w:val="00C4563C"/>
    <w:rsid w:val="00C47DAF"/>
    <w:rsid w:val="00C47EE8"/>
    <w:rsid w:val="00C54235"/>
    <w:rsid w:val="00C61652"/>
    <w:rsid w:val="00C62B3A"/>
    <w:rsid w:val="00C64A37"/>
    <w:rsid w:val="00C7158E"/>
    <w:rsid w:val="00C7250B"/>
    <w:rsid w:val="00C7346B"/>
    <w:rsid w:val="00C77C0E"/>
    <w:rsid w:val="00C816CA"/>
    <w:rsid w:val="00C82E3C"/>
    <w:rsid w:val="00C87139"/>
    <w:rsid w:val="00C87565"/>
    <w:rsid w:val="00C91687"/>
    <w:rsid w:val="00C924A8"/>
    <w:rsid w:val="00C92E47"/>
    <w:rsid w:val="00C945FE"/>
    <w:rsid w:val="00C96FAA"/>
    <w:rsid w:val="00C97A04"/>
    <w:rsid w:val="00CA107B"/>
    <w:rsid w:val="00CA484D"/>
    <w:rsid w:val="00CA4FB6"/>
    <w:rsid w:val="00CB1D19"/>
    <w:rsid w:val="00CC739E"/>
    <w:rsid w:val="00CD12BA"/>
    <w:rsid w:val="00CD134F"/>
    <w:rsid w:val="00CD57DE"/>
    <w:rsid w:val="00CD58B7"/>
    <w:rsid w:val="00CD5A81"/>
    <w:rsid w:val="00CE292E"/>
    <w:rsid w:val="00CE4A91"/>
    <w:rsid w:val="00CF2011"/>
    <w:rsid w:val="00CF4099"/>
    <w:rsid w:val="00D00796"/>
    <w:rsid w:val="00D117F0"/>
    <w:rsid w:val="00D177D0"/>
    <w:rsid w:val="00D211DB"/>
    <w:rsid w:val="00D215F1"/>
    <w:rsid w:val="00D21A31"/>
    <w:rsid w:val="00D261A2"/>
    <w:rsid w:val="00D5012D"/>
    <w:rsid w:val="00D616D2"/>
    <w:rsid w:val="00D63B5F"/>
    <w:rsid w:val="00D6731D"/>
    <w:rsid w:val="00D67A4C"/>
    <w:rsid w:val="00D70EF7"/>
    <w:rsid w:val="00D75131"/>
    <w:rsid w:val="00D76E22"/>
    <w:rsid w:val="00D81CEC"/>
    <w:rsid w:val="00D8397C"/>
    <w:rsid w:val="00D94EED"/>
    <w:rsid w:val="00D95EBC"/>
    <w:rsid w:val="00D96026"/>
    <w:rsid w:val="00DA7C1C"/>
    <w:rsid w:val="00DB147A"/>
    <w:rsid w:val="00DB1B7A"/>
    <w:rsid w:val="00DC6708"/>
    <w:rsid w:val="00DE0515"/>
    <w:rsid w:val="00DE11D3"/>
    <w:rsid w:val="00DE51EE"/>
    <w:rsid w:val="00E01436"/>
    <w:rsid w:val="00E045BD"/>
    <w:rsid w:val="00E07C7D"/>
    <w:rsid w:val="00E17B77"/>
    <w:rsid w:val="00E23337"/>
    <w:rsid w:val="00E259EA"/>
    <w:rsid w:val="00E26485"/>
    <w:rsid w:val="00E32061"/>
    <w:rsid w:val="00E339FB"/>
    <w:rsid w:val="00E36079"/>
    <w:rsid w:val="00E42FF9"/>
    <w:rsid w:val="00E4714C"/>
    <w:rsid w:val="00E51AEB"/>
    <w:rsid w:val="00E522A7"/>
    <w:rsid w:val="00E54452"/>
    <w:rsid w:val="00E664C5"/>
    <w:rsid w:val="00E671A2"/>
    <w:rsid w:val="00E76D26"/>
    <w:rsid w:val="00E845BC"/>
    <w:rsid w:val="00E93D5E"/>
    <w:rsid w:val="00EB1390"/>
    <w:rsid w:val="00EB2C71"/>
    <w:rsid w:val="00EB4340"/>
    <w:rsid w:val="00EB556D"/>
    <w:rsid w:val="00EB5A7D"/>
    <w:rsid w:val="00ED55C0"/>
    <w:rsid w:val="00ED6250"/>
    <w:rsid w:val="00ED682B"/>
    <w:rsid w:val="00ED764A"/>
    <w:rsid w:val="00EE41D5"/>
    <w:rsid w:val="00F037A4"/>
    <w:rsid w:val="00F074C9"/>
    <w:rsid w:val="00F13CB6"/>
    <w:rsid w:val="00F20AA7"/>
    <w:rsid w:val="00F27C8F"/>
    <w:rsid w:val="00F31521"/>
    <w:rsid w:val="00F32749"/>
    <w:rsid w:val="00F37172"/>
    <w:rsid w:val="00F4477E"/>
    <w:rsid w:val="00F5179F"/>
    <w:rsid w:val="00F56455"/>
    <w:rsid w:val="00F57073"/>
    <w:rsid w:val="00F67D8F"/>
    <w:rsid w:val="00F72B4B"/>
    <w:rsid w:val="00F74A48"/>
    <w:rsid w:val="00F759DD"/>
    <w:rsid w:val="00F802BE"/>
    <w:rsid w:val="00F80E93"/>
    <w:rsid w:val="00F86024"/>
    <w:rsid w:val="00F8611A"/>
    <w:rsid w:val="00F90D06"/>
    <w:rsid w:val="00FA0D6B"/>
    <w:rsid w:val="00FA16D0"/>
    <w:rsid w:val="00FA5128"/>
    <w:rsid w:val="00FB42D4"/>
    <w:rsid w:val="00FB43FC"/>
    <w:rsid w:val="00FB5906"/>
    <w:rsid w:val="00FB6C45"/>
    <w:rsid w:val="00FB762F"/>
    <w:rsid w:val="00FB7C68"/>
    <w:rsid w:val="00FC2AED"/>
    <w:rsid w:val="00FC6258"/>
    <w:rsid w:val="00FD3259"/>
    <w:rsid w:val="00FD3FCE"/>
    <w:rsid w:val="00FD48D3"/>
    <w:rsid w:val="00FD5EA7"/>
    <w:rsid w:val="00FD7A25"/>
    <w:rsid w:val="00FE0CCA"/>
    <w:rsid w:val="00FE136C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18" Type="http://schemas.openxmlformats.org/officeDocument/2006/relationships/hyperlink" Target="mailto:g.schodowski@stat.gov.pl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chart" Target="charts/chart2.xml"/><Relationship Id="rId25" Type="http://schemas.openxmlformats.org/officeDocument/2006/relationships/hyperlink" Target="https://stat.gov.pl/obszary-tematyczne/transport-i-lacznosc/transport/transport-wyniki-dzialalnosci-w-2017-roku,9,17.htm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hyperlink" Target="https://stat.gov.pl/obszary-tematyczne/transport-i-lacznosc/transport/transport-wyniki-dzialalnosci-w-2017-roku,9,17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mailto:rzecznik@stat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INTERMODALNY_W_POLSCE_W_2018\do_wyslania_gus\Sygnalna%20transport%20intermodalny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455018260011554E-2"/>
          <c:y val="0.14597851098488207"/>
          <c:w val="0.80177660019157615"/>
          <c:h val="0.71397089367978384"/>
        </c:manualLayout>
      </c:layout>
      <c:pieChart>
        <c:varyColors val="1"/>
        <c:ser>
          <c:idx val="1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CCE7D9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99CEB3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66B68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339D68"/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008542"/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rgbClr val="000000">
                  <a:alpha val="60000"/>
                </a:srgb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8.7044063781720873E-2"/>
                  <c:y val="9.877745544964773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ECC11A0-1BE1-4417-A57E-7AAB58DCA4E7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58EE604-9A11-4EC0-B5CD-188CC1D02ADD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6170924574209244"/>
                  <c:y val="2.12885694910146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AF88046-F658-4171-9424-673EC16EB703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E9C480D-4849-4A7C-98CD-3CFD55404A34}" type="VALUE">
                      <a:rPr lang="en-US" sz="800"/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8.7295005378978163E-2"/>
                  <c:y val="-0.1016881999061858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3DE3FCA2-7429-48D5-A456-0CEAA656524C}" type="VALUE">
                      <a:rPr lang="en-US" sz="800"/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2.028576511501522E-2"/>
                  <c:y val="-1.429096183551207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77D61CDE-9A28-406E-8834-E79BE79D3B22}" type="VALUE">
                      <a:rPr lang="en-US" sz="800"/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1.9561969795558287E-3"/>
                  <c:y val="-8.174801265870473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3744D695-5E15-4672-9E99-9BC04774E15E}" type="VALUE">
                      <a:rPr lang="en-US" sz="800"/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DF2117E-8A9D-4428-AE0C-4CBBCBEA82D2}" type="VALUE">
                      <a:rPr lang="en-US" sz="800"/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D98ABA8-FE1B-445A-83C5-D528FEFA6891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8A3F1A74-A500-40FA-AB6C-D1AD66995B95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AB38A28-EC5D-42D4-9384-14DC78171FE6}" type="VALUE">
                      <a:rPr lang="en-US" sz="800">
                        <a:solidFill>
                          <a:schemeClr val="bg1"/>
                        </a:solidFill>
                      </a:rPr>
                      <a:pPr>
                        <a:defRPr sz="800"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'wyk1'!$A$7:$A$17</c:f>
              <c:strCache>
                <c:ptCount val="11"/>
                <c:pt idx="0">
                  <c:v>Produkty spożywcze, napoje i tytoń</c:v>
                </c:pt>
                <c:pt idx="1">
                  <c:v>Wyroby włókiennicze i odzieżowe; skóra i produkty skórzane</c:v>
                </c:pt>
                <c:pt idx="2">
                  <c:v>Drewno i wyroby z drewna oraz z korka (z wyłączeniem mebli); artykuły ze słomy i z materiałów do wyplatania; masa włóknista, papier i wyroby z papieru; druki i zapisane nośniki informacji</c:v>
                </c:pt>
                <c:pt idx="3">
                  <c:v>Chemikalia, produkty chemiczne, włókna sztuczne; produkty z gumy i tworzyw sztucznych; paliwo jądrowe</c:v>
                </c:pt>
                <c:pt idx="4">
                  <c:v>Metale podstawowe; wyroby metalowe gotowe, z wyłączeniem maszyn i wyposażenia</c:v>
                </c:pt>
                <c:pt idx="5">
                  <c:v>Maszyny i sprzęt gdzie indziej niesklasyfikowane urządzenia biurowe i komputery; maszyny i urządzenia gdzie indziej niesklasyfikowane; sprzęt i urządzenia radiowe, telewizyjne i komunikacyjne; narzędzia medyczne, precyzyjne i optyczne; zegarki i zegary</c:v>
                </c:pt>
                <c:pt idx="6">
                  <c:v>Meble; inne wyroby, gdzie indziej niesklasyfikowane</c:v>
                </c:pt>
                <c:pt idx="7">
                  <c:v>Wyposażenie i materiały wykorzystywane w transporcie towarów</c:v>
                </c:pt>
                <c:pt idx="8">
                  <c:v>Towary mieszane: zbiór różnych rodzajów towarów transportowanych razem</c:v>
                </c:pt>
                <c:pt idx="9">
                  <c:v>Pozostałe grupy </c:v>
                </c:pt>
                <c:pt idx="10">
                  <c:v>Towary nieidentyfikowalne</c:v>
                </c:pt>
              </c:strCache>
            </c:strRef>
          </c:cat>
          <c:val>
            <c:numRef>
              <c:f>'wyk1'!$B$7:$B$17</c:f>
              <c:numCache>
                <c:formatCode>0.0</c:formatCode>
                <c:ptCount val="11"/>
                <c:pt idx="0">
                  <c:v>11.7</c:v>
                </c:pt>
                <c:pt idx="1">
                  <c:v>8.3000000000000007</c:v>
                </c:pt>
                <c:pt idx="2">
                  <c:v>6.3</c:v>
                </c:pt>
                <c:pt idx="3">
                  <c:v>15.5</c:v>
                </c:pt>
                <c:pt idx="4" formatCode="General">
                  <c:v>3.6</c:v>
                </c:pt>
                <c:pt idx="5">
                  <c:v>2.2999999999999998</c:v>
                </c:pt>
                <c:pt idx="6">
                  <c:v>4.3</c:v>
                </c:pt>
                <c:pt idx="7">
                  <c:v>7.5</c:v>
                </c:pt>
                <c:pt idx="8">
                  <c:v>23.9</c:v>
                </c:pt>
                <c:pt idx="9">
                  <c:v>8.6000000000000085</c:v>
                </c:pt>
                <c:pt idx="10">
                  <c:v>8</c:v>
                </c:pt>
              </c:numCache>
            </c:numRef>
          </c:val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'wyk1'!$A$24:$A$34</c:f>
              <c:strCache>
                <c:ptCount val="11"/>
                <c:pt idx="0">
                  <c:v>Produkty spożywcze, napoje i tytoń</c:v>
                </c:pt>
                <c:pt idx="1">
                  <c:v>Wyroby włókiennicze i odzieżowe; skóra i produkty skórzane</c:v>
                </c:pt>
                <c:pt idx="2">
                  <c:v>Drewno i wyroby z drewna oraz z korka (z wyłączeniem mebli); artykuły ze słomy i z materiałów do wyplatania; masa włóknista, papier i wyroby z papieru; druki i zapisane nośniki informacji</c:v>
                </c:pt>
                <c:pt idx="3">
                  <c:v>Chemikalia, produkty chemiczne, włókna sztuczne; produkty z gumy i tworzyw sztucznych; paliwo jądrowe</c:v>
                </c:pt>
                <c:pt idx="4">
                  <c:v>Metale podstawowe; wyroby metalowe gotowe, z wyłączeniem maszyn i wyposażenia</c:v>
                </c:pt>
                <c:pt idx="5">
                  <c:v>Maszyny i sprzęt gdzie indziej niesklasyfikowane urządzenia biurowe i komputery; maszyny i urządzenia gdzie indziej niesklasyfikowane; sprzęt i urządzenia radiowe, telewizyjne i komunikacyjne; narzędzia medyczne, precyzyjne i optyczne; zegarki i zegary</c:v>
                </c:pt>
                <c:pt idx="6">
                  <c:v>Meble; inne wyroby, gdzie indziej niesklasyfikowane</c:v>
                </c:pt>
                <c:pt idx="7">
                  <c:v>Wyposażenie i materiały wykorzystywane w transporcie towarów</c:v>
                </c:pt>
                <c:pt idx="8">
                  <c:v>Towary mieszane: zbiór różnych rodzajów towarów transportowanych razem</c:v>
                </c:pt>
                <c:pt idx="9">
                  <c:v>Pozostałe grupy </c:v>
                </c:pt>
                <c:pt idx="10">
                  <c:v>Towary nieidentyfikowalne</c:v>
                </c:pt>
              </c:strCache>
            </c:strRef>
          </c:cat>
          <c:val>
            <c:numRef>
              <c:f>'wyk1'!$B$24:$B$34</c:f>
              <c:numCache>
                <c:formatCode>0.0</c:formatCode>
                <c:ptCount val="11"/>
                <c:pt idx="0">
                  <c:v>11.7</c:v>
                </c:pt>
                <c:pt idx="1">
                  <c:v>8.3000000000000007</c:v>
                </c:pt>
                <c:pt idx="2">
                  <c:v>6.3</c:v>
                </c:pt>
                <c:pt idx="3">
                  <c:v>15.5</c:v>
                </c:pt>
                <c:pt idx="4" formatCode="General">
                  <c:v>3.6</c:v>
                </c:pt>
                <c:pt idx="5">
                  <c:v>2.2999999999999998</c:v>
                </c:pt>
                <c:pt idx="6">
                  <c:v>4.3</c:v>
                </c:pt>
                <c:pt idx="7">
                  <c:v>7.5</c:v>
                </c:pt>
                <c:pt idx="8">
                  <c:v>23.9</c:v>
                </c:pt>
                <c:pt idx="9">
                  <c:v>8.6000000000000085</c:v>
                </c:pt>
                <c:pt idx="1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2EB55-3BC6-4AEF-9599-4671BB40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2019-08-07T08:03:00Z</dcterms:created>
  <dcterms:modified xsi:type="dcterms:W3CDTF">2019-08-07T08:25:00Z</dcterms:modified>
</cp:coreProperties>
</file>