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9711F5" w:rsidRDefault="009711F5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9711F5">
        <w:rPr>
          <w:shd w:val="clear" w:color="auto" w:fill="FFFFFF"/>
        </w:rPr>
        <w:t>Wyniki finansowe zakładów ubezpieczeń</w:t>
      </w:r>
      <w:r>
        <w:rPr>
          <w:shd w:val="clear" w:color="auto" w:fill="FFFFFF"/>
        </w:rPr>
        <w:br/>
        <w:t>w 201</w:t>
      </w:r>
      <w:r w:rsidR="00462B64">
        <w:rPr>
          <w:shd w:val="clear" w:color="auto" w:fill="FFFFFF"/>
        </w:rPr>
        <w:t>8</w:t>
      </w:r>
      <w:r>
        <w:rPr>
          <w:shd w:val="clear" w:color="auto" w:fill="FFFFFF"/>
        </w:rPr>
        <w:t xml:space="preserve"> roku</w:t>
      </w:r>
    </w:p>
    <w:p w:rsidR="00393761" w:rsidRPr="009711F5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61E484" wp14:editId="7A61E48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9711F5" w:rsidRDefault="00ED7291" w:rsidP="00074DD8">
                            <w:pPr>
                              <w:pStyle w:val="tekstzboku"/>
                            </w:pPr>
                            <w:r>
                              <w:t>Dynamika składki zarobionej</w:t>
                            </w:r>
                            <w:r w:rsidR="00D4540A">
                              <w:br/>
                            </w:r>
                            <w:r w:rsidR="00C65F9D">
                              <w:t>ogółem</w:t>
                            </w:r>
                            <w:r w:rsidR="00D4540A">
                              <w:t xml:space="preserve"> </w:t>
                            </w:r>
                            <w:r w:rsidR="00C65F9D">
                              <w:t>wyni</w:t>
                            </w:r>
                            <w:r>
                              <w:t>o</w:t>
                            </w:r>
                            <w:r w:rsidR="00D4540A">
                              <w:t>sł</w:t>
                            </w:r>
                            <w:r>
                              <w:t>a</w:t>
                            </w:r>
                            <w:r w:rsidR="00C65F9D">
                              <w:t xml:space="preserve"> </w:t>
                            </w:r>
                            <w:r>
                              <w:t>100,1</w:t>
                            </w:r>
                            <w:r w:rsidR="00C65F9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E4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C65F9D" w:rsidRPr="009711F5" w:rsidRDefault="00ED7291" w:rsidP="00074DD8">
                      <w:pPr>
                        <w:pStyle w:val="tekstzboku"/>
                      </w:pPr>
                      <w:r>
                        <w:t>Dynamika składki zarobionej</w:t>
                      </w:r>
                      <w:r w:rsidR="00D4540A">
                        <w:br/>
                      </w:r>
                      <w:r w:rsidR="00C65F9D">
                        <w:t>ogółem</w:t>
                      </w:r>
                      <w:r w:rsidR="00D4540A">
                        <w:t xml:space="preserve"> </w:t>
                      </w:r>
                      <w:r w:rsidR="00C65F9D">
                        <w:t>wyni</w:t>
                      </w:r>
                      <w:r>
                        <w:t>o</w:t>
                      </w:r>
                      <w:r w:rsidR="00D4540A">
                        <w:t>sł</w:t>
                      </w:r>
                      <w:r>
                        <w:t>a</w:t>
                      </w:r>
                      <w:r w:rsidR="00C65F9D">
                        <w:t xml:space="preserve"> </w:t>
                      </w:r>
                      <w:r>
                        <w:t>100,1</w:t>
                      </w:r>
                      <w:r w:rsidR="00C65F9D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45551C">
      <w:pPr>
        <w:pStyle w:val="LID"/>
        <w:spacing w:after="620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7FFAE1" wp14:editId="6CC88B9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B66B19" w:rsidRDefault="0060339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7A61E4C3">
                                <v:shape id="Obraz 33" o:spid="_x0000_i1025" type="#_x0000_t75" style="width:26.25pt;height:26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C65F9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65F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338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14,5</w:t>
                            </w:r>
                          </w:p>
                          <w:p w:rsidR="00C65F9D" w:rsidRPr="00C829C4" w:rsidRDefault="00C65F9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C829C4">
                              <w:t xml:space="preserve">Dynamika </w:t>
                            </w:r>
                            <w:r w:rsidR="00B338F6">
                              <w:t>wyniku</w:t>
                            </w:r>
                            <w:r>
                              <w:br/>
                            </w:r>
                            <w:r w:rsidR="00B338F6">
                              <w:t xml:space="preserve">finansowego </w:t>
                            </w:r>
                            <w:r w:rsidRPr="00C829C4">
                              <w:t xml:space="preserve">w </w:t>
                            </w:r>
                            <w:r>
                              <w:t>2018</w:t>
                            </w:r>
                            <w:r w:rsidRPr="00C829C4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FAE1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65F9D" w:rsidRPr="00B66B19" w:rsidRDefault="0060339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7A61E4C3">
                          <v:shape id="Obraz 33" o:spid="_x0000_i1025" type="#_x0000_t75" style="width:26.25pt;height:26.25pt;visibility:visible;mso-wrap-style:square" o:bullet="t">
                            <v:imagedata r:id="rId11" o:title=""/>
                          </v:shape>
                        </w:pict>
                      </w:r>
                      <w:r w:rsidR="00C65F9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65F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338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14,5</w:t>
                      </w:r>
                    </w:p>
                    <w:p w:rsidR="00C65F9D" w:rsidRPr="00C829C4" w:rsidRDefault="00C65F9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C829C4">
                        <w:t xml:space="preserve">Dynamika </w:t>
                      </w:r>
                      <w:r w:rsidR="00B338F6">
                        <w:t>wyniku</w:t>
                      </w:r>
                      <w:r>
                        <w:br/>
                      </w:r>
                      <w:r w:rsidR="00B338F6">
                        <w:t xml:space="preserve">finansowego </w:t>
                      </w:r>
                      <w:r w:rsidRPr="00C829C4">
                        <w:t xml:space="preserve">w </w:t>
                      </w:r>
                      <w:r>
                        <w:t>2018</w:t>
                      </w:r>
                      <w:r w:rsidRPr="00C829C4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2EC3" w:rsidRPr="00342EC3">
        <w:t>Wyniki finans</w:t>
      </w:r>
      <w:r w:rsidR="00342EC3">
        <w:t>owe</w:t>
      </w:r>
      <w:r w:rsidR="00873659">
        <w:t xml:space="preserve"> zakładów ubezpieczeń</w:t>
      </w:r>
      <w:r w:rsidR="00FC4A80">
        <w:t xml:space="preserve"> </w:t>
      </w:r>
      <w:r w:rsidR="00342EC3">
        <w:t>ogółem</w:t>
      </w:r>
      <w:r w:rsidR="00FC4A80">
        <w:br/>
      </w:r>
      <w:r w:rsidR="00342EC3" w:rsidRPr="00342EC3">
        <w:t xml:space="preserve">w </w:t>
      </w:r>
      <w:r w:rsidR="00462B64">
        <w:t>2018</w:t>
      </w:r>
      <w:r w:rsidR="00342EC3" w:rsidRPr="00342EC3">
        <w:t xml:space="preserve"> r</w:t>
      </w:r>
      <w:r w:rsidR="00873659">
        <w:t>. były lepsze niż przed rokiem</w:t>
      </w:r>
      <w:r w:rsidR="000939BA">
        <w:t xml:space="preserve"> i wyniosły </w:t>
      </w:r>
      <w:r w:rsidR="000939BA">
        <w:br/>
        <w:t>6,6</w:t>
      </w:r>
      <w:r w:rsidR="00873659">
        <w:t>.</w:t>
      </w:r>
      <w:r w:rsidR="00DD09F5">
        <w:t xml:space="preserve"> </w:t>
      </w:r>
      <w:r w:rsidR="000939BA">
        <w:t xml:space="preserve">mld zł. </w:t>
      </w:r>
      <w:r w:rsidR="00342EC3" w:rsidRPr="00342EC3">
        <w:t>Wpłyn</w:t>
      </w:r>
      <w:r w:rsidR="00873659">
        <w:t>ęły na to korzystniejsze wyniki</w:t>
      </w:r>
      <w:r w:rsidR="00377780">
        <w:t xml:space="preserve"> </w:t>
      </w:r>
      <w:r w:rsidR="00342EC3" w:rsidRPr="00342EC3">
        <w:t>uzy</w:t>
      </w:r>
      <w:r w:rsidR="00873659">
        <w:t xml:space="preserve">skane </w:t>
      </w:r>
      <w:r w:rsidR="009E11E1">
        <w:t xml:space="preserve">tak </w:t>
      </w:r>
      <w:r w:rsidR="00873659">
        <w:t>przez zakłady ubezpieczeń</w:t>
      </w:r>
      <w:r w:rsidR="00832467">
        <w:t xml:space="preserve"> </w:t>
      </w:r>
      <w:r w:rsidR="00DB7A9D" w:rsidRPr="00342EC3">
        <w:t xml:space="preserve">na życie </w:t>
      </w:r>
      <w:r w:rsidR="00DB7A9D">
        <w:t>(dział I</w:t>
      </w:r>
      <w:r w:rsidR="00342EC3" w:rsidRPr="00342EC3">
        <w:t>)</w:t>
      </w:r>
      <w:r w:rsidR="009E11E1">
        <w:t>,</w:t>
      </w:r>
      <w:r w:rsidR="00342EC3" w:rsidRPr="00342EC3">
        <w:t xml:space="preserve"> </w:t>
      </w:r>
      <w:r w:rsidR="009E11E1">
        <w:t>jak i</w:t>
      </w:r>
      <w:r w:rsidR="00342EC3" w:rsidRPr="00342EC3">
        <w:t xml:space="preserve"> zakład</w:t>
      </w:r>
      <w:r w:rsidR="009E11E1">
        <w:t>y</w:t>
      </w:r>
      <w:r w:rsidR="00342EC3" w:rsidRPr="00342EC3">
        <w:t xml:space="preserve"> ubezpieczeń </w:t>
      </w:r>
      <w:r w:rsidR="00DB7A9D" w:rsidRPr="00342EC3">
        <w:t xml:space="preserve">majątkowych </w:t>
      </w:r>
      <w:r w:rsidR="00342EC3" w:rsidRPr="00342EC3">
        <w:t>(dział I</w:t>
      </w:r>
      <w:r w:rsidR="00DB7A9D">
        <w:t>I</w:t>
      </w:r>
      <w:r w:rsidR="00873659">
        <w:t>)</w:t>
      </w:r>
      <w:r w:rsidR="00342EC3" w:rsidRPr="00873659">
        <w:t>.</w:t>
      </w:r>
    </w:p>
    <w:p w:rsidR="00003437" w:rsidRPr="00342EC3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873659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61E488" wp14:editId="7A61E48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074DD8" w:rsidRDefault="00C65F9D" w:rsidP="00074DD8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Pr="00AB329A">
                              <w:t>kładka przypisana brutto ogółem wyniosła</w:t>
                            </w:r>
                            <w:r w:rsidR="00D4540A">
                              <w:t xml:space="preserve"> </w:t>
                            </w:r>
                            <w:r>
                              <w:t>62,2 mld zł.</w:t>
                            </w:r>
                          </w:p>
                          <w:p w:rsidR="00C65F9D" w:rsidRPr="00D616D2" w:rsidRDefault="00C65F9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8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C65F9D" w:rsidRPr="00074DD8" w:rsidRDefault="00C65F9D" w:rsidP="00074DD8">
                      <w:pPr>
                        <w:pStyle w:val="tekstzboku"/>
                      </w:pPr>
                      <w:r>
                        <w:t>S</w:t>
                      </w:r>
                      <w:r w:rsidRPr="00AB329A">
                        <w:t>kładka przypisana brutto ogółem wyniosła</w:t>
                      </w:r>
                      <w:r w:rsidR="00D4540A">
                        <w:t xml:space="preserve"> </w:t>
                      </w:r>
                      <w:r>
                        <w:t>62,2 mld zł.</w:t>
                      </w:r>
                    </w:p>
                    <w:p w:rsidR="00C65F9D" w:rsidRPr="00D616D2" w:rsidRDefault="00C65F9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4939BC">
        <w:rPr>
          <w:shd w:val="clear" w:color="auto" w:fill="FFFFFF"/>
        </w:rPr>
        <w:t xml:space="preserve"> </w:t>
      </w:r>
      <w:r w:rsidR="00AB329A" w:rsidRPr="00C829C4">
        <w:t>Przychody i koszty</w:t>
      </w:r>
    </w:p>
    <w:p w:rsidR="0098156A" w:rsidRPr="008F6E53" w:rsidRDefault="008F6E53" w:rsidP="00074DD8">
      <w:r w:rsidRPr="008F6E53">
        <w:rPr>
          <w:shd w:val="clear" w:color="auto" w:fill="FFFFFF"/>
        </w:rPr>
        <w:t>W strukturze przychodów ogółem dominuj</w:t>
      </w:r>
      <w:r w:rsidR="000A4081">
        <w:rPr>
          <w:shd w:val="clear" w:color="auto" w:fill="FFFFFF"/>
        </w:rPr>
        <w:t xml:space="preserve">ącą pozycję stanowi składka. W </w:t>
      </w:r>
      <w:r w:rsidR="00462B64">
        <w:rPr>
          <w:shd w:val="clear" w:color="auto" w:fill="FFFFFF"/>
        </w:rPr>
        <w:t>2018</w:t>
      </w:r>
      <w:r w:rsidRPr="008F6E53">
        <w:rPr>
          <w:shd w:val="clear" w:color="auto" w:fill="FFFFFF"/>
        </w:rPr>
        <w:t xml:space="preserve"> r. składka przypisana brutto ogółem wyniosła </w:t>
      </w:r>
      <w:r w:rsidR="00DB7A9D">
        <w:rPr>
          <w:shd w:val="clear" w:color="auto" w:fill="FFFFFF"/>
        </w:rPr>
        <w:t>62</w:t>
      </w:r>
      <w:r w:rsidR="004262B0">
        <w:rPr>
          <w:shd w:val="clear" w:color="auto" w:fill="FFFFFF"/>
        </w:rPr>
        <w:t xml:space="preserve"> 169,8</w:t>
      </w:r>
      <w:r w:rsidRPr="008F6E53">
        <w:rPr>
          <w:shd w:val="clear" w:color="auto" w:fill="FFFFFF"/>
        </w:rPr>
        <w:t xml:space="preserve"> mln zł (</w:t>
      </w:r>
      <w:r w:rsidR="004262B0">
        <w:rPr>
          <w:shd w:val="clear" w:color="auto" w:fill="FFFFFF"/>
        </w:rPr>
        <w:t>mni</w:t>
      </w:r>
      <w:r w:rsidRPr="008F6E53">
        <w:rPr>
          <w:shd w:val="clear" w:color="auto" w:fill="FFFFFF"/>
        </w:rPr>
        <w:t xml:space="preserve">ej o </w:t>
      </w:r>
      <w:r w:rsidR="004262B0">
        <w:rPr>
          <w:shd w:val="clear" w:color="auto" w:fill="FFFFFF"/>
        </w:rPr>
        <w:t>0,3</w:t>
      </w:r>
      <w:r w:rsidRPr="008F6E53">
        <w:rPr>
          <w:shd w:val="clear" w:color="auto" w:fill="FFFFFF"/>
        </w:rPr>
        <w:t>% niż w</w:t>
      </w:r>
      <w:r>
        <w:rPr>
          <w:shd w:val="clear" w:color="auto" w:fill="FFFFFF"/>
        </w:rPr>
        <w:t xml:space="preserve"> 201</w:t>
      </w:r>
      <w:r w:rsidR="001F6897">
        <w:rPr>
          <w:shd w:val="clear" w:color="auto" w:fill="FFFFFF"/>
        </w:rPr>
        <w:t>7</w:t>
      </w:r>
      <w:r>
        <w:rPr>
          <w:shd w:val="clear" w:color="auto" w:fill="FFFFFF"/>
        </w:rPr>
        <w:t xml:space="preserve"> r.), z czego</w:t>
      </w:r>
      <w:r>
        <w:rPr>
          <w:shd w:val="clear" w:color="auto" w:fill="FFFFFF"/>
        </w:rPr>
        <w:br/>
      </w:r>
      <w:r w:rsidR="00DB7A9D">
        <w:rPr>
          <w:shd w:val="clear" w:color="auto" w:fill="FFFFFF"/>
        </w:rPr>
        <w:t>2</w:t>
      </w:r>
      <w:r w:rsidR="004262B0">
        <w:rPr>
          <w:shd w:val="clear" w:color="auto" w:fill="FFFFFF"/>
        </w:rPr>
        <w:t>1</w:t>
      </w:r>
      <w:r w:rsidRPr="008F6E53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704</w:t>
      </w:r>
      <w:r w:rsidRPr="008F6E53">
        <w:rPr>
          <w:shd w:val="clear" w:color="auto" w:fill="FFFFFF"/>
        </w:rPr>
        <w:t>,</w:t>
      </w:r>
      <w:r w:rsidR="004262B0">
        <w:rPr>
          <w:shd w:val="clear" w:color="auto" w:fill="FFFFFF"/>
        </w:rPr>
        <w:t>8</w:t>
      </w:r>
      <w:r w:rsidRPr="008F6E53">
        <w:rPr>
          <w:shd w:val="clear" w:color="auto" w:fill="FFFFFF"/>
        </w:rPr>
        <w:t xml:space="preserve"> mln zł stanowiła składka działu I, a </w:t>
      </w:r>
      <w:r w:rsidR="004262B0">
        <w:rPr>
          <w:shd w:val="clear" w:color="auto" w:fill="FFFFFF"/>
        </w:rPr>
        <w:t>40</w:t>
      </w:r>
      <w:r w:rsidRPr="008F6E53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465</w:t>
      </w:r>
      <w:r w:rsidRPr="008F6E53">
        <w:rPr>
          <w:shd w:val="clear" w:color="auto" w:fill="FFFFFF"/>
        </w:rPr>
        <w:t>,</w:t>
      </w:r>
      <w:r w:rsidR="004262B0">
        <w:rPr>
          <w:shd w:val="clear" w:color="auto" w:fill="FFFFFF"/>
        </w:rPr>
        <w:t>0</w:t>
      </w:r>
      <w:r w:rsidRPr="008F6E53">
        <w:rPr>
          <w:shd w:val="clear" w:color="auto" w:fill="FFFFFF"/>
        </w:rPr>
        <w:t xml:space="preserve"> mln zł działu II.</w:t>
      </w:r>
      <w:r w:rsidR="00074DD8" w:rsidRPr="008F6E53">
        <w:rPr>
          <w:shd w:val="clear" w:color="auto" w:fill="FFFFFF"/>
        </w:rPr>
        <w:t xml:space="preserve"> </w:t>
      </w:r>
      <w:r w:rsidRPr="008F6E53">
        <w:rPr>
          <w:shd w:val="clear" w:color="auto" w:fill="FFFFFF"/>
        </w:rPr>
        <w:t xml:space="preserve">W strukturze kosztów ogółem dominującą pozycję stanowią odszkodowania. Odszkodowania i świadczenia wypłacone brutto ogółem w </w:t>
      </w:r>
      <w:r w:rsidR="00462B64">
        <w:rPr>
          <w:shd w:val="clear" w:color="auto" w:fill="FFFFFF"/>
        </w:rPr>
        <w:t>2018</w:t>
      </w:r>
      <w:r w:rsidRPr="008F6E53">
        <w:rPr>
          <w:shd w:val="clear" w:color="auto" w:fill="FFFFFF"/>
        </w:rPr>
        <w:t xml:space="preserve"> r. wyniosły </w:t>
      </w:r>
      <w:r w:rsidR="004262B0">
        <w:rPr>
          <w:shd w:val="clear" w:color="auto" w:fill="FFFFFF"/>
        </w:rPr>
        <w:t>41</w:t>
      </w:r>
      <w:r w:rsidRPr="008F6E53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675</w:t>
      </w:r>
      <w:r w:rsidRPr="008F6E53">
        <w:rPr>
          <w:shd w:val="clear" w:color="auto" w:fill="FFFFFF"/>
        </w:rPr>
        <w:t>,</w:t>
      </w:r>
      <w:r w:rsidR="004262B0">
        <w:rPr>
          <w:shd w:val="clear" w:color="auto" w:fill="FFFFFF"/>
        </w:rPr>
        <w:t>4</w:t>
      </w:r>
      <w:r w:rsidRPr="008F6E53">
        <w:rPr>
          <w:shd w:val="clear" w:color="auto" w:fill="FFFFFF"/>
        </w:rPr>
        <w:t xml:space="preserve"> mln zł i by</w:t>
      </w:r>
      <w:r w:rsidR="004A4F94">
        <w:rPr>
          <w:shd w:val="clear" w:color="auto" w:fill="FFFFFF"/>
        </w:rPr>
        <w:t xml:space="preserve">ły wyższe o </w:t>
      </w:r>
      <w:r w:rsidR="004262B0">
        <w:rPr>
          <w:shd w:val="clear" w:color="auto" w:fill="FFFFFF"/>
        </w:rPr>
        <w:t>4</w:t>
      </w:r>
      <w:r w:rsidR="00DB7A9D">
        <w:rPr>
          <w:shd w:val="clear" w:color="auto" w:fill="FFFFFF"/>
        </w:rPr>
        <w:t>,6</w:t>
      </w:r>
      <w:r w:rsidR="004A4F94">
        <w:rPr>
          <w:shd w:val="clear" w:color="auto" w:fill="FFFFFF"/>
        </w:rPr>
        <w:t>% niż w 201</w:t>
      </w:r>
      <w:r w:rsidR="001F6897">
        <w:rPr>
          <w:shd w:val="clear" w:color="auto" w:fill="FFFFFF"/>
        </w:rPr>
        <w:t>7</w:t>
      </w:r>
      <w:r w:rsidR="004A4F94">
        <w:rPr>
          <w:shd w:val="clear" w:color="auto" w:fill="FFFFFF"/>
        </w:rPr>
        <w:t xml:space="preserve"> r.,</w:t>
      </w:r>
      <w:r w:rsidR="004A4F94">
        <w:rPr>
          <w:shd w:val="clear" w:color="auto" w:fill="FFFFFF"/>
        </w:rPr>
        <w:br/>
      </w:r>
      <w:r w:rsidRPr="008F6E53">
        <w:rPr>
          <w:shd w:val="clear" w:color="auto" w:fill="FFFFFF"/>
        </w:rPr>
        <w:t xml:space="preserve">w dziale I wzrosły do </w:t>
      </w:r>
      <w:r w:rsidR="00DB7A9D">
        <w:rPr>
          <w:shd w:val="clear" w:color="auto" w:fill="FFFFFF"/>
        </w:rPr>
        <w:t>2</w:t>
      </w:r>
      <w:r w:rsidR="004262B0">
        <w:rPr>
          <w:shd w:val="clear" w:color="auto" w:fill="FFFFFF"/>
        </w:rPr>
        <w:t>1</w:t>
      </w:r>
      <w:r w:rsidRPr="008F6E53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486</w:t>
      </w:r>
      <w:r w:rsidRPr="008F6E53">
        <w:rPr>
          <w:shd w:val="clear" w:color="auto" w:fill="FFFFFF"/>
        </w:rPr>
        <w:t>,</w:t>
      </w:r>
      <w:r w:rsidR="004262B0">
        <w:rPr>
          <w:shd w:val="clear" w:color="auto" w:fill="FFFFFF"/>
        </w:rPr>
        <w:t>8</w:t>
      </w:r>
      <w:r w:rsidRPr="008F6E53">
        <w:rPr>
          <w:shd w:val="clear" w:color="auto" w:fill="FFFFFF"/>
        </w:rPr>
        <w:t xml:space="preserve"> mln zł, a w dziale II do </w:t>
      </w:r>
      <w:r w:rsidR="004262B0">
        <w:rPr>
          <w:shd w:val="clear" w:color="auto" w:fill="FFFFFF"/>
        </w:rPr>
        <w:t>20</w:t>
      </w:r>
      <w:r w:rsidRPr="008F6E53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188</w:t>
      </w:r>
      <w:r w:rsidRPr="008F6E53">
        <w:rPr>
          <w:shd w:val="clear" w:color="auto" w:fill="FFFFFF"/>
        </w:rPr>
        <w:t>,</w:t>
      </w:r>
      <w:r w:rsidR="004262B0">
        <w:rPr>
          <w:shd w:val="clear" w:color="auto" w:fill="FFFFFF"/>
        </w:rPr>
        <w:t>6</w:t>
      </w:r>
      <w:r w:rsidRPr="008F6E53">
        <w:rPr>
          <w:shd w:val="clear" w:color="auto" w:fill="FFFFFF"/>
        </w:rPr>
        <w:t xml:space="preserve"> mln zł</w:t>
      </w:r>
      <w:r w:rsidR="00656E04">
        <w:rPr>
          <w:shd w:val="clear" w:color="auto" w:fill="FFFFFF"/>
        </w:rPr>
        <w:t>.</w:t>
      </w:r>
    </w:p>
    <w:p w:rsidR="00116087" w:rsidRPr="00C01503" w:rsidRDefault="00B260F3" w:rsidP="00B260F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A3D5061" wp14:editId="3D41605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074DD8" w:rsidRDefault="00C65F9D" w:rsidP="00B260F3">
                            <w:pPr>
                              <w:pStyle w:val="tekstzboku"/>
                            </w:pPr>
                            <w:r>
                              <w:t xml:space="preserve">Odszkodowania </w:t>
                            </w:r>
                            <w:r>
                              <w:br/>
                              <w:t xml:space="preserve">i świadczenia wypłacone </w:t>
                            </w:r>
                            <w:r w:rsidRPr="00AB329A">
                              <w:t>brutto ogółem wyniosł</w:t>
                            </w:r>
                            <w:r>
                              <w:t>y</w:t>
                            </w:r>
                            <w:r w:rsidRPr="00AB329A">
                              <w:t xml:space="preserve"> </w:t>
                            </w:r>
                            <w:r>
                              <w:br/>
                              <w:t>41,7 mld zł.</w:t>
                            </w:r>
                          </w:p>
                          <w:p w:rsidR="00C65F9D" w:rsidRPr="00D616D2" w:rsidRDefault="00C65F9D" w:rsidP="00B260F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5061" id="Pole tekstowe 13" o:spid="_x0000_s1029" type="#_x0000_t202" style="position:absolute;margin-left:412.05pt;margin-top:12.2pt;width:135.85pt;height:65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RjR3&#10;4hECAAAABA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:rsidR="00C65F9D" w:rsidRPr="00074DD8" w:rsidRDefault="00C65F9D" w:rsidP="00B260F3">
                      <w:pPr>
                        <w:pStyle w:val="tekstzboku"/>
                      </w:pPr>
                      <w:r>
                        <w:t xml:space="preserve">Odszkodowania </w:t>
                      </w:r>
                      <w:r>
                        <w:br/>
                        <w:t xml:space="preserve">i świadczenia wypłacone </w:t>
                      </w:r>
                      <w:r w:rsidRPr="00AB329A">
                        <w:t>brutto ogółem wyniosł</w:t>
                      </w:r>
                      <w:r>
                        <w:t>y</w:t>
                      </w:r>
                      <w:r w:rsidRPr="00AB329A">
                        <w:t xml:space="preserve"> </w:t>
                      </w:r>
                      <w:r>
                        <w:br/>
                        <w:t>41,7 mld zł.</w:t>
                      </w:r>
                    </w:p>
                    <w:p w:rsidR="00C65F9D" w:rsidRPr="00D616D2" w:rsidRDefault="00C65F9D" w:rsidP="00B260F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939BC">
        <w:rPr>
          <w:shd w:val="clear" w:color="auto" w:fill="FFFFFF"/>
        </w:rPr>
        <w:t xml:space="preserve"> </w:t>
      </w:r>
      <w:r w:rsidR="00FB5906" w:rsidRPr="0019592F">
        <w:t xml:space="preserve">Wykres </w:t>
      </w:r>
      <w:r w:rsidR="00074DD8" w:rsidRPr="0019592F">
        <w:t>1</w:t>
      </w:r>
      <w:r w:rsidR="008F4441" w:rsidRPr="0019592F">
        <w:t>.</w:t>
      </w:r>
      <w:r w:rsidR="00074DD8" w:rsidRPr="0019592F">
        <w:rPr>
          <w:shd w:val="clear" w:color="auto" w:fill="FFFFFF"/>
        </w:rPr>
        <w:t xml:space="preserve"> </w:t>
      </w:r>
      <w:r w:rsidR="00C01503" w:rsidRPr="00C01503">
        <w:rPr>
          <w:shd w:val="clear" w:color="auto" w:fill="FFFFFF"/>
        </w:rPr>
        <w:t>Wyniki finansowe ubezpieczycieli na życie (dział I)</w:t>
      </w:r>
    </w:p>
    <w:p w:rsidR="00F802BE" w:rsidRDefault="0072493B" w:rsidP="00F802BE">
      <w:pPr>
        <w:pStyle w:val="Nagwek1"/>
      </w:pPr>
      <w:r>
        <w:rPr>
          <w:noProof/>
        </w:rPr>
        <w:drawing>
          <wp:inline distT="0" distB="0" distL="0" distR="0" wp14:anchorId="7A67041E" wp14:editId="5D15F01A">
            <wp:extent cx="4687200" cy="19440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592F" w:rsidRPr="00656E04" w:rsidRDefault="0019592F" w:rsidP="0019592F">
      <w:pPr>
        <w:rPr>
          <w:b/>
          <w:sz w:val="18"/>
          <w:szCs w:val="18"/>
          <w:lang w:eastAsia="pl-PL"/>
        </w:rPr>
      </w:pPr>
    </w:p>
    <w:p w:rsidR="0019592F" w:rsidRPr="00C01503" w:rsidRDefault="0019592F" w:rsidP="0019592F">
      <w:pPr>
        <w:pStyle w:val="tytuwykresu"/>
      </w:pPr>
      <w:r w:rsidRPr="0019592F">
        <w:t xml:space="preserve">Wykres </w:t>
      </w:r>
      <w:r w:rsidR="00696765">
        <w:t>2</w:t>
      </w:r>
      <w:r w:rsidRPr="0019592F">
        <w:t>.</w:t>
      </w:r>
      <w:r w:rsidRPr="0019592F">
        <w:rPr>
          <w:shd w:val="clear" w:color="auto" w:fill="FFFFFF"/>
        </w:rPr>
        <w:t xml:space="preserve"> </w:t>
      </w:r>
      <w:r w:rsidRPr="00C01503">
        <w:rPr>
          <w:shd w:val="clear" w:color="auto" w:fill="FFFFFF"/>
        </w:rPr>
        <w:t xml:space="preserve">Wyniki finansowe ubezpieczycieli </w:t>
      </w:r>
      <w:r w:rsidR="00696765">
        <w:rPr>
          <w:shd w:val="clear" w:color="auto" w:fill="FFFFFF"/>
        </w:rPr>
        <w:t>majątkowych</w:t>
      </w:r>
      <w:r w:rsidRPr="00C01503">
        <w:rPr>
          <w:shd w:val="clear" w:color="auto" w:fill="FFFFFF"/>
        </w:rPr>
        <w:t xml:space="preserve"> (dział I</w:t>
      </w:r>
      <w:r w:rsidR="00696765">
        <w:rPr>
          <w:shd w:val="clear" w:color="auto" w:fill="FFFFFF"/>
        </w:rPr>
        <w:t>I</w:t>
      </w:r>
      <w:r w:rsidRPr="00C01503">
        <w:rPr>
          <w:shd w:val="clear" w:color="auto" w:fill="FFFFFF"/>
        </w:rPr>
        <w:t>)</w:t>
      </w:r>
    </w:p>
    <w:p w:rsidR="0019592F" w:rsidRDefault="0072493B" w:rsidP="0019592F">
      <w:pPr>
        <w:pStyle w:val="Nagwek1"/>
      </w:pPr>
      <w:r>
        <w:rPr>
          <w:noProof/>
        </w:rPr>
        <w:drawing>
          <wp:inline distT="0" distB="0" distL="0" distR="0" wp14:anchorId="37D06B27" wp14:editId="51AB92BB">
            <wp:extent cx="4686300" cy="19440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17AB" w:rsidRDefault="000D17AB">
      <w:pPr>
        <w:spacing w:before="0" w:after="160" w:line="259" w:lineRule="auto"/>
      </w:pPr>
      <w:r>
        <w:br w:type="page"/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377780" w:rsidRPr="00FA5128" w:rsidTr="00377780">
        <w:trPr>
          <w:trHeight w:val="57"/>
        </w:trPr>
        <w:tc>
          <w:tcPr>
            <w:tcW w:w="2154" w:type="dxa"/>
            <w:vMerge w:val="restart"/>
            <w:vAlign w:val="center"/>
          </w:tcPr>
          <w:p w:rsidR="00377780" w:rsidRPr="009C7251" w:rsidRDefault="00377780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377780" w:rsidRPr="00FA5128" w:rsidRDefault="001700C7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  <w:r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92" w:type="dxa"/>
            <w:gridSpan w:val="3"/>
          </w:tcPr>
          <w:p w:rsidR="00377780" w:rsidRPr="00FA5128" w:rsidRDefault="00377780" w:rsidP="00B11B6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  <w:r w:rsidR="001700C7" w:rsidRPr="001700C7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b</w:t>
            </w:r>
          </w:p>
        </w:tc>
      </w:tr>
      <w:tr w:rsidR="00D21705" w:rsidRPr="00FA5128" w:rsidTr="00194DFB">
        <w:trPr>
          <w:trHeight w:val="57"/>
        </w:trPr>
        <w:tc>
          <w:tcPr>
            <w:tcW w:w="2154" w:type="dxa"/>
            <w:vMerge/>
            <w:vAlign w:val="center"/>
          </w:tcPr>
          <w:p w:rsidR="00D21705" w:rsidRPr="00FA5128" w:rsidRDefault="00D21705" w:rsidP="00D2170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D21705" w:rsidP="001F6897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1F689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D21705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  <w:r w:rsidR="00D21705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21705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D21705" w:rsidRPr="00FA5128" w:rsidRDefault="00462B64" w:rsidP="00D2170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  <w:r w:rsidR="00D21705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1745A" w:rsidRPr="00FA5128" w:rsidTr="00194DFB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01745A" w:rsidRPr="00FA5128" w:rsidRDefault="00D21705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01745A" w:rsidRPr="00FA5128" w:rsidRDefault="0001745A" w:rsidP="00B11B6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983CF4" w:rsidRPr="00FA5128" w:rsidRDefault="00983CF4" w:rsidP="00B11B69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PRZYCHODY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33 787,0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27 680,3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81,9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33 704,0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36 891,4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109,5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0200A8" w:rsidRDefault="00983CF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</w:tr>
      <w:tr w:rsidR="00983CF4" w:rsidRPr="00FA5128" w:rsidTr="00983CF4">
        <w:trPr>
          <w:trHeight w:val="480"/>
        </w:trPr>
        <w:tc>
          <w:tcPr>
            <w:tcW w:w="2154" w:type="dxa"/>
            <w:vAlign w:val="center"/>
          </w:tcPr>
          <w:p w:rsidR="00983CF4" w:rsidRPr="000200A8" w:rsidRDefault="00983CF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Składki zarobione na udziale własnym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24 672,4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21 481,3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87,1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28 611,8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31 876,6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111,4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0200A8" w:rsidRDefault="00983CF4" w:rsidP="00363948">
            <w:pPr>
              <w:pStyle w:val="Nagwek8"/>
              <w:tabs>
                <w:tab w:val="right" w:leader="dot" w:pos="4156"/>
              </w:tabs>
              <w:spacing w:before="0"/>
              <w:ind w:left="283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</w:t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tym składki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0200A8">
              <w:rPr>
                <w:rFonts w:ascii="Fira Sans" w:hAnsi="Fira Sans"/>
                <w:color w:val="000000" w:themeColor="text1"/>
                <w:sz w:val="16"/>
                <w:szCs w:val="16"/>
              </w:rPr>
              <w:t>przypisane brutto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24 561,3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21 704,8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88,4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37 777,5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40 465,0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107,1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684617" w:rsidRDefault="00983CF4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Przychody z lokat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8 874,4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5 985,9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67,5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3 885,2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4 157,5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107,0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0200A8" w:rsidRDefault="00983CF4" w:rsidP="00861BC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KOSZTY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 OGÓŁEM</w:t>
            </w:r>
            <w:r w:rsidRPr="000200A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31 509,0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25 231,2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30 218,0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32 738,7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108,3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C3702F" w:rsidRDefault="00983CF4" w:rsidP="00363948">
            <w:pPr>
              <w:tabs>
                <w:tab w:val="right" w:leader="dot" w:pos="4156"/>
              </w:tabs>
              <w:spacing w:before="0" w:after="0"/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C3702F" w:rsidRDefault="00983CF4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Odszkodowania</w:t>
            </w:r>
            <w:r>
              <w:rPr>
                <w:color w:val="000000" w:themeColor="text1"/>
                <w:sz w:val="16"/>
                <w:szCs w:val="16"/>
              </w:rPr>
              <w:br/>
              <w:t>i świadczenia</w:t>
            </w:r>
            <w:r w:rsidRPr="001700C7">
              <w:rPr>
                <w:i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20 444,6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21 496,5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17 812,1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19 490,8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109,4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FA5128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w tym Odszkodowania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i świadczenia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wypłacone brutto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20 354,6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21 486,8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105,6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19 485,4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20 188,6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103,6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0200A8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Zmiany stanu innych rezerw techniczno-ubezpieczeniowych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1 787,2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-8 626,0</w:t>
            </w:r>
          </w:p>
        </w:tc>
        <w:tc>
          <w:tcPr>
            <w:tcW w:w="964" w:type="dxa"/>
            <w:vAlign w:val="center"/>
          </w:tcPr>
          <w:p w:rsidR="00983CF4" w:rsidRDefault="00983CF4" w:rsidP="00983FCE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5,9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10,9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185,2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F5773F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 w:rsidRPr="00F5773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ubezpieczeniowej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5 338,8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5 129,7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96,1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8 391,5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9 150,9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109,0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FA5128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lokacyjnej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2 525,5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6 063,3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240,1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1 077,4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1 107,0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102,7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F5773F" w:rsidRDefault="00983CF4" w:rsidP="00C829C4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WYNIK FINANSOWY NETTO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2 278,0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2 449,1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107,5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3 486,0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4 152,7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119,1</w:t>
            </w:r>
          </w:p>
        </w:tc>
      </w:tr>
      <w:tr w:rsidR="00983CF4" w:rsidRPr="00FA5128" w:rsidTr="00983CF4">
        <w:trPr>
          <w:trHeight w:val="57"/>
        </w:trPr>
        <w:tc>
          <w:tcPr>
            <w:tcW w:w="7938" w:type="dxa"/>
            <w:gridSpan w:val="7"/>
            <w:vAlign w:val="center"/>
          </w:tcPr>
          <w:p w:rsidR="00983CF4" w:rsidRPr="00CF7628" w:rsidRDefault="00983CF4" w:rsidP="007C55B2">
            <w:pPr>
              <w:jc w:val="center"/>
              <w:rPr>
                <w:sz w:val="16"/>
                <w:szCs w:val="16"/>
              </w:rPr>
            </w:pPr>
            <w:r w:rsidRPr="00CF7628">
              <w:rPr>
                <w:sz w:val="16"/>
                <w:szCs w:val="16"/>
              </w:rPr>
              <w:t>***</w:t>
            </w:r>
          </w:p>
        </w:tc>
      </w:tr>
      <w:tr w:rsidR="00983CF4" w:rsidRPr="00FA5128" w:rsidTr="00983CF4">
        <w:trPr>
          <w:trHeight w:val="57"/>
        </w:trPr>
        <w:tc>
          <w:tcPr>
            <w:tcW w:w="2154" w:type="dxa"/>
            <w:vAlign w:val="center"/>
          </w:tcPr>
          <w:p w:rsidR="00983CF4" w:rsidRPr="001700C7" w:rsidRDefault="00983CF4" w:rsidP="00861BC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WYNIK TECHNICZNY 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3 043,3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3 081,6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101,3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2 069,4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2 953,2</w:t>
            </w:r>
          </w:p>
        </w:tc>
        <w:tc>
          <w:tcPr>
            <w:tcW w:w="964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142,7</w:t>
            </w:r>
          </w:p>
        </w:tc>
      </w:tr>
    </w:tbl>
    <w:p w:rsidR="00991BAC" w:rsidRPr="00696765" w:rsidRDefault="00BA3562" w:rsidP="00E76D26">
      <w:pPr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1.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Przychody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koszty </w:t>
      </w:r>
      <w:r w:rsidR="00C56ED8">
        <w:rPr>
          <w:b/>
          <w:spacing w:val="-2"/>
          <w:sz w:val="18"/>
          <w:shd w:val="clear" w:color="auto" w:fill="FFFFFF"/>
        </w:rPr>
        <w:t>oraz wynik techniczny</w:t>
      </w:r>
      <w:r w:rsidR="00C56ED8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zakładów ubezpieczeń w dziale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</w:t>
      </w:r>
      <w:r w:rsidR="00696765">
        <w:rPr>
          <w:b/>
          <w:spacing w:val="-2"/>
          <w:sz w:val="18"/>
          <w:shd w:val="clear" w:color="auto" w:fill="FFFFFF"/>
        </w:rPr>
        <w:t>i</w:t>
      </w:r>
      <w:r w:rsidR="00696765" w:rsidRPr="00696765">
        <w:rPr>
          <w:b/>
          <w:spacing w:val="-2"/>
          <w:sz w:val="18"/>
          <w:shd w:val="clear" w:color="auto" w:fill="FFFFFF"/>
        </w:rPr>
        <w:t xml:space="preserve"> dziale II</w:t>
      </w:r>
      <w:r w:rsidR="00C829C4">
        <w:rPr>
          <w:b/>
          <w:spacing w:val="-2"/>
          <w:sz w:val="18"/>
          <w:shd w:val="clear" w:color="auto" w:fill="FFFFFF"/>
        </w:rPr>
        <w:t>.</w:t>
      </w:r>
    </w:p>
    <w:p w:rsidR="004B3C88" w:rsidRDefault="001700C7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Ubezpieczenia na życie, </w:t>
      </w:r>
      <w:r w:rsidRPr="001700C7">
        <w:rPr>
          <w:i/>
          <w:sz w:val="16"/>
          <w:szCs w:val="16"/>
          <w:vertAlign w:val="superscript"/>
        </w:rPr>
        <w:t>b</w:t>
      </w:r>
      <w:r w:rsidRPr="001700C7">
        <w:rPr>
          <w:sz w:val="16"/>
          <w:szCs w:val="16"/>
        </w:rPr>
        <w:t xml:space="preserve"> Pozostałe ubezpieczenia osobowe oraz ubezpieczenia majątkowe, </w:t>
      </w:r>
      <w:r w:rsidRPr="001700C7">
        <w:rPr>
          <w:i/>
          <w:sz w:val="16"/>
          <w:szCs w:val="16"/>
          <w:vertAlign w:val="superscript"/>
        </w:rPr>
        <w:t>c</w:t>
      </w:r>
      <w:r>
        <w:rPr>
          <w:sz w:val="16"/>
          <w:szCs w:val="16"/>
        </w:rPr>
        <w:t>na udziale</w:t>
      </w:r>
      <w:r>
        <w:rPr>
          <w:sz w:val="16"/>
          <w:szCs w:val="16"/>
        </w:rPr>
        <w:br/>
      </w:r>
      <w:r w:rsidRPr="001700C7">
        <w:rPr>
          <w:sz w:val="16"/>
          <w:szCs w:val="16"/>
        </w:rPr>
        <w:t>własnym z uwzględnieniem zmiany stanu rezerw.</w:t>
      </w:r>
    </w:p>
    <w:p w:rsidR="00AA1B06" w:rsidRPr="004B3C88" w:rsidRDefault="00AA1B06" w:rsidP="00AA1B0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4D9A0BF" wp14:editId="6BF8A284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4939BC" w:rsidRDefault="00C65F9D" w:rsidP="00AA1B06">
                            <w:pPr>
                              <w:pStyle w:val="tekstzboku"/>
                            </w:pPr>
                            <w:r w:rsidRPr="004939BC">
                              <w:t>Wynik</w:t>
                            </w:r>
                            <w:r>
                              <w:t xml:space="preserve"> finansowy netto</w:t>
                            </w:r>
                            <w:r>
                              <w:br/>
                              <w:t xml:space="preserve">w dziale I </w:t>
                            </w:r>
                            <w:r w:rsidRPr="004939BC">
                              <w:t xml:space="preserve">wyniósł </w:t>
                            </w:r>
                            <w:r>
                              <w:t>2,4</w:t>
                            </w:r>
                            <w:r w:rsidRPr="004939BC">
                              <w:t xml:space="preserve"> mld</w:t>
                            </w:r>
                            <w:r>
                              <w:t xml:space="preserve"> zł, a dziale II 4,2 mld zł</w:t>
                            </w:r>
                            <w:r w:rsidRPr="004939BC">
                              <w:t>.</w:t>
                            </w:r>
                          </w:p>
                          <w:p w:rsidR="00C65F9D" w:rsidRPr="004939BC" w:rsidRDefault="00C65F9D" w:rsidP="00AA1B0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A0BF" id="Pole tekstowe 5" o:spid="_x0000_s1030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QqEQIAAP4D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" filled="f" stroked="f">
                <v:textbox>
                  <w:txbxContent>
                    <w:p w:rsidR="00C65F9D" w:rsidRPr="004939BC" w:rsidRDefault="00C65F9D" w:rsidP="00AA1B06">
                      <w:pPr>
                        <w:pStyle w:val="tekstzboku"/>
                      </w:pPr>
                      <w:r w:rsidRPr="004939BC">
                        <w:t>Wynik</w:t>
                      </w:r>
                      <w:r>
                        <w:t xml:space="preserve"> finansowy netto</w:t>
                      </w:r>
                      <w:r>
                        <w:br/>
                        <w:t xml:space="preserve">w dziale I </w:t>
                      </w:r>
                      <w:r w:rsidRPr="004939BC">
                        <w:t xml:space="preserve">wyniósł </w:t>
                      </w:r>
                      <w:r>
                        <w:t>2,4</w:t>
                      </w:r>
                      <w:r w:rsidRPr="004939BC">
                        <w:t xml:space="preserve"> mld</w:t>
                      </w:r>
                      <w:r>
                        <w:t xml:space="preserve"> zł, a dziale II 4,2 mld zł</w:t>
                      </w:r>
                      <w:r w:rsidRPr="004939BC">
                        <w:t>.</w:t>
                      </w:r>
                    </w:p>
                    <w:p w:rsidR="00C65F9D" w:rsidRPr="004939BC" w:rsidRDefault="00C65F9D" w:rsidP="00AA1B0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939BC" w:rsidRPr="004939BC">
        <w:t>Wynik finansowy i wynik techniczny</w:t>
      </w:r>
    </w:p>
    <w:p w:rsidR="004A4F94" w:rsidRDefault="00AA1B06" w:rsidP="00AA1B06">
      <w:pPr>
        <w:rPr>
          <w:shd w:val="clear" w:color="auto" w:fill="FFFFFF"/>
        </w:rPr>
      </w:pPr>
      <w:r w:rsidRPr="00656E04">
        <w:rPr>
          <w:shd w:val="clear" w:color="auto" w:fill="FFFFFF"/>
        </w:rPr>
        <w:t>Łączny wynik finansowy netto zakładów ubezpieczeń wyni</w:t>
      </w:r>
      <w:r>
        <w:rPr>
          <w:shd w:val="clear" w:color="auto" w:fill="FFFFFF"/>
        </w:rPr>
        <w:t xml:space="preserve">ósł </w:t>
      </w:r>
      <w:r w:rsidR="004262B0">
        <w:rPr>
          <w:shd w:val="clear" w:color="auto" w:fill="FFFFFF"/>
        </w:rPr>
        <w:t>6</w:t>
      </w:r>
      <w:r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601</w:t>
      </w:r>
      <w:r>
        <w:rPr>
          <w:shd w:val="clear" w:color="auto" w:fill="FFFFFF"/>
        </w:rPr>
        <w:t>,</w:t>
      </w:r>
      <w:r w:rsidR="004262B0">
        <w:rPr>
          <w:shd w:val="clear" w:color="auto" w:fill="FFFFFF"/>
        </w:rPr>
        <w:t>8</w:t>
      </w:r>
      <w:r>
        <w:rPr>
          <w:shd w:val="clear" w:color="auto" w:fill="FFFFFF"/>
        </w:rPr>
        <w:t xml:space="preserve"> mln zł i był wyższy</w:t>
      </w:r>
      <w:r w:rsidR="006035D3">
        <w:rPr>
          <w:shd w:val="clear" w:color="auto" w:fill="FFFFFF"/>
        </w:rPr>
        <w:br/>
      </w:r>
      <w:r w:rsidRPr="00656E04">
        <w:rPr>
          <w:shd w:val="clear" w:color="auto" w:fill="FFFFFF"/>
        </w:rPr>
        <w:t xml:space="preserve">o </w:t>
      </w:r>
      <w:r w:rsidR="004262B0">
        <w:rPr>
          <w:shd w:val="clear" w:color="auto" w:fill="FFFFFF"/>
        </w:rPr>
        <w:t>14,5</w:t>
      </w:r>
      <w:r w:rsidRPr="00656E04">
        <w:rPr>
          <w:shd w:val="clear" w:color="auto" w:fill="FFFFFF"/>
        </w:rPr>
        <w:t xml:space="preserve">% niż w </w:t>
      </w:r>
      <w:r w:rsidR="00462B64">
        <w:rPr>
          <w:shd w:val="clear" w:color="auto" w:fill="FFFFFF"/>
        </w:rPr>
        <w:t>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>Towarzystwa ubezpieczeń w dziale I wypracowały wynik w wyso</w:t>
      </w:r>
      <w:r>
        <w:rPr>
          <w:shd w:val="clear" w:color="auto" w:fill="FFFFFF"/>
        </w:rPr>
        <w:t>kości</w:t>
      </w:r>
      <w:r>
        <w:rPr>
          <w:shd w:val="clear" w:color="auto" w:fill="FFFFFF"/>
        </w:rPr>
        <w:br/>
      </w:r>
      <w:r w:rsidR="00D315A1">
        <w:rPr>
          <w:shd w:val="clear" w:color="auto" w:fill="FFFFFF"/>
        </w:rPr>
        <w:t>2</w:t>
      </w:r>
      <w:r w:rsidRPr="00656E04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449</w:t>
      </w:r>
      <w:r w:rsidRPr="00656E04">
        <w:rPr>
          <w:shd w:val="clear" w:color="auto" w:fill="FFFFFF"/>
        </w:rPr>
        <w:t>,</w:t>
      </w:r>
      <w:r w:rsidR="004262B0">
        <w:rPr>
          <w:shd w:val="clear" w:color="auto" w:fill="FFFFFF"/>
        </w:rPr>
        <w:t>1</w:t>
      </w:r>
      <w:r w:rsidRPr="00656E04">
        <w:rPr>
          <w:shd w:val="clear" w:color="auto" w:fill="FFFFFF"/>
        </w:rPr>
        <w:t xml:space="preserve"> mln zł,</w:t>
      </w:r>
      <w:r w:rsidR="00D315A1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a w dziale II wynik ten wyniósł </w:t>
      </w:r>
      <w:r w:rsidR="004262B0">
        <w:rPr>
          <w:shd w:val="clear" w:color="auto" w:fill="FFFFFF"/>
        </w:rPr>
        <w:t>4</w:t>
      </w:r>
      <w:r w:rsidRPr="00656E04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152</w:t>
      </w:r>
      <w:r w:rsidRPr="00656E04">
        <w:rPr>
          <w:shd w:val="clear" w:color="auto" w:fill="FFFFFF"/>
        </w:rPr>
        <w:t>,</w:t>
      </w:r>
      <w:r w:rsidR="004262B0">
        <w:rPr>
          <w:shd w:val="clear" w:color="auto" w:fill="FFFFFF"/>
        </w:rPr>
        <w:t>7</w:t>
      </w:r>
      <w:r w:rsidRPr="00656E04">
        <w:rPr>
          <w:shd w:val="clear" w:color="auto" w:fill="FFFFFF"/>
        </w:rPr>
        <w:t xml:space="preserve"> mln</w:t>
      </w:r>
      <w:r>
        <w:rPr>
          <w:shd w:val="clear" w:color="auto" w:fill="FFFFFF"/>
        </w:rPr>
        <w:t xml:space="preserve"> zł. Wynik techniczny (w ujęciu</w:t>
      </w:r>
      <w:r w:rsidR="004939BC"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zagregowanym) ukształtował się na poziomie </w:t>
      </w:r>
      <w:r w:rsidR="004262B0">
        <w:rPr>
          <w:shd w:val="clear" w:color="auto" w:fill="FFFFFF"/>
        </w:rPr>
        <w:t>6</w:t>
      </w:r>
      <w:r w:rsidR="00D315A1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034</w:t>
      </w:r>
      <w:r w:rsidR="00D315A1">
        <w:rPr>
          <w:shd w:val="clear" w:color="auto" w:fill="FFFFFF"/>
        </w:rPr>
        <w:t>,</w:t>
      </w:r>
      <w:r w:rsidR="004262B0">
        <w:rPr>
          <w:shd w:val="clear" w:color="auto" w:fill="FFFFFF"/>
        </w:rPr>
        <w:t>8</w:t>
      </w:r>
      <w:r w:rsidRPr="00656E04">
        <w:rPr>
          <w:shd w:val="clear" w:color="auto" w:fill="FFFFFF"/>
        </w:rPr>
        <w:t xml:space="preserve"> mln zł i był wyższy o </w:t>
      </w:r>
      <w:r w:rsidR="004262B0">
        <w:rPr>
          <w:shd w:val="clear" w:color="auto" w:fill="FFFFFF"/>
        </w:rPr>
        <w:t>18,0</w:t>
      </w:r>
      <w:r w:rsidRPr="00656E04">
        <w:rPr>
          <w:shd w:val="clear" w:color="auto" w:fill="FFFFFF"/>
        </w:rPr>
        <w:t xml:space="preserve">% niż </w:t>
      </w:r>
      <w:r w:rsidR="00DD09F5">
        <w:rPr>
          <w:shd w:val="clear" w:color="auto" w:fill="FFFFFF"/>
        </w:rPr>
        <w:t xml:space="preserve">w </w:t>
      </w:r>
      <w:r w:rsidR="00462B64">
        <w:rPr>
          <w:shd w:val="clear" w:color="auto" w:fill="FFFFFF"/>
        </w:rPr>
        <w:t>2017</w:t>
      </w:r>
      <w:r w:rsidRPr="00656E04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Wynik techniczny w ubezpieczeniach na życie zwiększył się do </w:t>
      </w:r>
      <w:r w:rsidR="00D315A1">
        <w:rPr>
          <w:shd w:val="clear" w:color="auto" w:fill="FFFFFF"/>
        </w:rPr>
        <w:t>3</w:t>
      </w:r>
      <w:r w:rsidRPr="00656E04">
        <w:rPr>
          <w:shd w:val="clear" w:color="auto" w:fill="FFFFFF"/>
        </w:rPr>
        <w:t xml:space="preserve"> </w:t>
      </w:r>
      <w:r w:rsidR="00D315A1">
        <w:rPr>
          <w:shd w:val="clear" w:color="auto" w:fill="FFFFFF"/>
        </w:rPr>
        <w:t>0</w:t>
      </w:r>
      <w:r w:rsidR="004262B0">
        <w:rPr>
          <w:shd w:val="clear" w:color="auto" w:fill="FFFFFF"/>
        </w:rPr>
        <w:t>81</w:t>
      </w:r>
      <w:r w:rsidRPr="00656E04">
        <w:rPr>
          <w:shd w:val="clear" w:color="auto" w:fill="FFFFFF"/>
        </w:rPr>
        <w:t>,</w:t>
      </w:r>
      <w:r w:rsidR="004262B0">
        <w:rPr>
          <w:shd w:val="clear" w:color="auto" w:fill="FFFFFF"/>
        </w:rPr>
        <w:t>6</w:t>
      </w:r>
      <w:r w:rsidRPr="00656E04">
        <w:rPr>
          <w:shd w:val="clear" w:color="auto" w:fill="FFFFFF"/>
        </w:rPr>
        <w:t xml:space="preserve"> mln zł,</w:t>
      </w:r>
      <w:r>
        <w:rPr>
          <w:shd w:val="clear" w:color="auto" w:fill="FFFFFF"/>
        </w:rPr>
        <w:t xml:space="preserve"> </w:t>
      </w:r>
      <w:r w:rsidRPr="00656E04">
        <w:rPr>
          <w:shd w:val="clear" w:color="auto" w:fill="FFFFFF"/>
        </w:rPr>
        <w:t xml:space="preserve">w ubezpieczeniach majątkowych do </w:t>
      </w:r>
      <w:r w:rsidR="00D315A1">
        <w:rPr>
          <w:shd w:val="clear" w:color="auto" w:fill="FFFFFF"/>
        </w:rPr>
        <w:t>2</w:t>
      </w:r>
      <w:r w:rsidRPr="00656E04">
        <w:rPr>
          <w:shd w:val="clear" w:color="auto" w:fill="FFFFFF"/>
        </w:rPr>
        <w:t xml:space="preserve"> </w:t>
      </w:r>
      <w:r w:rsidR="004262B0">
        <w:rPr>
          <w:shd w:val="clear" w:color="auto" w:fill="FFFFFF"/>
        </w:rPr>
        <w:t>953</w:t>
      </w:r>
      <w:r w:rsidRPr="00656E04">
        <w:rPr>
          <w:shd w:val="clear" w:color="auto" w:fill="FFFFFF"/>
        </w:rPr>
        <w:t>,</w:t>
      </w:r>
      <w:r w:rsidR="004262B0">
        <w:rPr>
          <w:shd w:val="clear" w:color="auto" w:fill="FFFFFF"/>
        </w:rPr>
        <w:t>2</w:t>
      </w:r>
      <w:r w:rsidRPr="00656E04">
        <w:rPr>
          <w:shd w:val="clear" w:color="auto" w:fill="FFFFFF"/>
        </w:rPr>
        <w:t xml:space="preserve"> mln zł.</w:t>
      </w:r>
      <w:r w:rsidRPr="00AA1B06">
        <w:rPr>
          <w:shd w:val="clear" w:color="auto" w:fill="FFFFFF"/>
        </w:rPr>
        <w:t xml:space="preserve"> </w:t>
      </w:r>
    </w:p>
    <w:p w:rsidR="004A4F94" w:rsidRDefault="004A4F9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1"/>
        <w:tblpPr w:leftFromText="141" w:rightFromText="141" w:vertAnchor="text" w:horzAnchor="margin" w:tblpY="803"/>
        <w:tblW w:w="7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53"/>
        <w:gridCol w:w="8"/>
        <w:gridCol w:w="842"/>
        <w:gridCol w:w="8"/>
        <w:gridCol w:w="843"/>
        <w:gridCol w:w="7"/>
        <w:gridCol w:w="731"/>
        <w:gridCol w:w="6"/>
        <w:gridCol w:w="844"/>
        <w:gridCol w:w="8"/>
        <w:gridCol w:w="843"/>
        <w:gridCol w:w="7"/>
        <w:gridCol w:w="737"/>
      </w:tblGrid>
      <w:tr w:rsidR="003616C1" w:rsidRPr="00FA5128" w:rsidTr="003616C1">
        <w:trPr>
          <w:trHeight w:val="57"/>
        </w:trPr>
        <w:tc>
          <w:tcPr>
            <w:tcW w:w="3053" w:type="dxa"/>
            <w:vMerge w:val="restart"/>
            <w:vAlign w:val="center"/>
          </w:tcPr>
          <w:p w:rsidR="003616C1" w:rsidRPr="009C7251" w:rsidRDefault="003616C1" w:rsidP="003616C1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2439" w:type="dxa"/>
            <w:gridSpan w:val="6"/>
            <w:vAlign w:val="center"/>
          </w:tcPr>
          <w:p w:rsidR="003616C1" w:rsidRPr="00FA5128" w:rsidRDefault="003616C1" w:rsidP="004B3C88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Składki przypisane brutto</w:t>
            </w:r>
          </w:p>
        </w:tc>
        <w:tc>
          <w:tcPr>
            <w:tcW w:w="2445" w:type="dxa"/>
            <w:gridSpan w:val="6"/>
          </w:tcPr>
          <w:p w:rsidR="003616C1" w:rsidRPr="00FA5128" w:rsidRDefault="003616C1" w:rsidP="003E24D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Odszkodowania i świadczenia wypłacone brutto</w:t>
            </w:r>
          </w:p>
        </w:tc>
      </w:tr>
      <w:tr w:rsidR="003616C1" w:rsidRPr="00FA5128" w:rsidTr="003616C1">
        <w:trPr>
          <w:trHeight w:val="57"/>
        </w:trPr>
        <w:tc>
          <w:tcPr>
            <w:tcW w:w="3053" w:type="dxa"/>
            <w:vMerge/>
            <w:vAlign w:val="center"/>
          </w:tcPr>
          <w:p w:rsidR="003616C1" w:rsidRPr="00FA5128" w:rsidRDefault="003616C1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:rsidR="003616C1" w:rsidRPr="00FA5128" w:rsidRDefault="00462B64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  <w:r w:rsidR="003616C1">
              <w:rPr>
                <w:color w:val="000000" w:themeColor="text1"/>
                <w:sz w:val="16"/>
                <w:szCs w:val="16"/>
              </w:rPr>
              <w:t>= =100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51" w:type="dxa"/>
            <w:gridSpan w:val="2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616C1" w:rsidRPr="00FA5128" w:rsidRDefault="00462B64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744" w:type="dxa"/>
            <w:gridSpan w:val="2"/>
            <w:vMerge w:val="restart"/>
            <w:vAlign w:val="center"/>
          </w:tcPr>
          <w:p w:rsidR="003616C1" w:rsidRPr="00FA5128" w:rsidRDefault="00462B64" w:rsidP="00623516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  <w:r w:rsidR="003616C1">
              <w:rPr>
                <w:color w:val="000000" w:themeColor="text1"/>
                <w:sz w:val="16"/>
                <w:szCs w:val="16"/>
              </w:rPr>
              <w:t>= =100</w:t>
            </w:r>
          </w:p>
        </w:tc>
      </w:tr>
      <w:tr w:rsidR="003616C1" w:rsidRPr="00FA5128" w:rsidTr="003616C1">
        <w:trPr>
          <w:trHeight w:val="57"/>
        </w:trPr>
        <w:tc>
          <w:tcPr>
            <w:tcW w:w="3053" w:type="dxa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73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194DF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744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3616C1" w:rsidRPr="00FA5128" w:rsidRDefault="003616C1" w:rsidP="004B3C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tcBorders>
              <w:top w:val="single" w:sz="12" w:space="0" w:color="212492"/>
            </w:tcBorders>
            <w:vAlign w:val="center"/>
          </w:tcPr>
          <w:p w:rsidR="004653FA" w:rsidRPr="004B10CA" w:rsidRDefault="003616C1" w:rsidP="003616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</w:t>
            </w:r>
          </w:p>
        </w:tc>
      </w:tr>
      <w:tr w:rsidR="00983CF4" w:rsidRPr="00FA5128" w:rsidTr="00983CF4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FA5128" w:rsidRDefault="00983CF4" w:rsidP="0062351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24 538,6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21 704,8</w:t>
            </w:r>
          </w:p>
        </w:tc>
        <w:tc>
          <w:tcPr>
            <w:tcW w:w="737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88,5</w:t>
            </w:r>
          </w:p>
        </w:tc>
        <w:tc>
          <w:tcPr>
            <w:tcW w:w="852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20 345,8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21 484,9</w:t>
            </w:r>
          </w:p>
        </w:tc>
        <w:tc>
          <w:tcPr>
            <w:tcW w:w="737" w:type="dxa"/>
            <w:tcBorders>
              <w:bottom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105,6</w:t>
            </w:r>
          </w:p>
        </w:tc>
      </w:tr>
      <w:tr w:rsidR="00983CF4" w:rsidRPr="00FA5128" w:rsidTr="00983CF4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0200A8" w:rsidRDefault="00983CF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983CF4" w:rsidRDefault="00983CF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83CF4" w:rsidRDefault="00983CF4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983CF4" w:rsidRPr="00FA5128" w:rsidTr="00983CF4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0200A8" w:rsidRDefault="00983CF4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na życie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7 496,6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7 609,1</w:t>
            </w:r>
          </w:p>
        </w:tc>
        <w:tc>
          <w:tcPr>
            <w:tcW w:w="737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101,5</w:t>
            </w:r>
          </w:p>
        </w:tc>
        <w:tc>
          <w:tcPr>
            <w:tcW w:w="852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5 804,4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5 754,0</w:t>
            </w:r>
          </w:p>
        </w:tc>
        <w:tc>
          <w:tcPr>
            <w:tcW w:w="737" w:type="dxa"/>
            <w:tcBorders>
              <w:top w:val="single" w:sz="4" w:space="0" w:color="212492"/>
            </w:tcBorders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99,1</w:t>
            </w:r>
          </w:p>
        </w:tc>
      </w:tr>
      <w:tr w:rsidR="00983CF4" w:rsidRPr="00FA5128" w:rsidTr="00983CF4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0A4081" w:rsidRDefault="00983CF4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U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t>bezpieczenia na życie, związane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  <w:t>z ubezpieczeniowym funduszem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0A4081">
              <w:rPr>
                <w:rFonts w:cstheme="majorBidi"/>
                <w:color w:val="000000" w:themeColor="text1"/>
                <w:sz w:val="16"/>
                <w:szCs w:val="16"/>
              </w:rPr>
              <w:t>kapitałowym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11 284,6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7 928,4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70,3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11 943,2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13 028,1</w:t>
            </w:r>
          </w:p>
        </w:tc>
        <w:tc>
          <w:tcPr>
            <w:tcW w:w="737" w:type="dxa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109,1</w:t>
            </w:r>
          </w:p>
        </w:tc>
      </w:tr>
      <w:tr w:rsidR="00983CF4" w:rsidRPr="00FA5128" w:rsidTr="00983CF4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4653FA" w:rsidRDefault="00983CF4" w:rsidP="00363948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Ubezpieczenia wypadkowe</w:t>
            </w:r>
            <w:r w:rsidRPr="004653FA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chorobowe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5 510,1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5 918,3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107,4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2 402,0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2 495,6</w:t>
            </w:r>
          </w:p>
        </w:tc>
        <w:tc>
          <w:tcPr>
            <w:tcW w:w="737" w:type="dxa"/>
            <w:vAlign w:val="center"/>
          </w:tcPr>
          <w:p w:rsidR="00983CF4" w:rsidRDefault="00983CF4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103,9</w:t>
            </w:r>
          </w:p>
        </w:tc>
      </w:tr>
      <w:tr w:rsidR="004653FA" w:rsidRPr="00FA5128" w:rsidTr="00F20E8E">
        <w:trPr>
          <w:trHeight w:val="57"/>
        </w:trPr>
        <w:tc>
          <w:tcPr>
            <w:tcW w:w="7937" w:type="dxa"/>
            <w:gridSpan w:val="13"/>
            <w:vAlign w:val="center"/>
          </w:tcPr>
          <w:p w:rsidR="004653FA" w:rsidRPr="004B10CA" w:rsidRDefault="003616C1" w:rsidP="003616C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DZIAŁ II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FA5128" w:rsidRDefault="00983CF4" w:rsidP="004653FA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35 801,0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38 153,1</w:t>
            </w:r>
          </w:p>
        </w:tc>
        <w:tc>
          <w:tcPr>
            <w:tcW w:w="737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106,6</w:t>
            </w:r>
          </w:p>
        </w:tc>
        <w:tc>
          <w:tcPr>
            <w:tcW w:w="852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18 582,7</w:t>
            </w:r>
          </w:p>
        </w:tc>
        <w:tc>
          <w:tcPr>
            <w:tcW w:w="850" w:type="dxa"/>
            <w:gridSpan w:val="2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19 194,1</w:t>
            </w:r>
          </w:p>
        </w:tc>
        <w:tc>
          <w:tcPr>
            <w:tcW w:w="737" w:type="dxa"/>
            <w:tcBorders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103,3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0200A8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tym: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983CF4" w:rsidRDefault="00983CF4" w:rsidP="007C55B2">
            <w:pPr>
              <w:rPr>
                <w:rFonts w:cs="Arial CE"/>
                <w:sz w:val="16"/>
                <w:szCs w:val="16"/>
              </w:rPr>
            </w:pP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F5773F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wypadkowe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i chorobowe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2 181,3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2 465,3</w:t>
            </w:r>
          </w:p>
        </w:tc>
        <w:tc>
          <w:tcPr>
            <w:tcW w:w="737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113,0</w:t>
            </w:r>
          </w:p>
        </w:tc>
        <w:tc>
          <w:tcPr>
            <w:tcW w:w="852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542,9</w:t>
            </w:r>
          </w:p>
        </w:tc>
        <w:tc>
          <w:tcPr>
            <w:tcW w:w="850" w:type="dxa"/>
            <w:gridSpan w:val="2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601,5</w:t>
            </w:r>
          </w:p>
        </w:tc>
        <w:tc>
          <w:tcPr>
            <w:tcW w:w="737" w:type="dxa"/>
            <w:tcBorders>
              <w:top w:val="single" w:sz="4" w:space="0" w:color="212492"/>
            </w:tcBorders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110,8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FA5128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casco pojazdów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lądowych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7 652,8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8 302,2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108,5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4 507,5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4 959,8</w:t>
            </w:r>
          </w:p>
        </w:tc>
        <w:tc>
          <w:tcPr>
            <w:tcW w:w="737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110,0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7738B5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spowodowanych żywiołami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3 180,1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3 302,4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103,8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1 687,6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1 315,5</w:t>
            </w:r>
          </w:p>
        </w:tc>
        <w:tc>
          <w:tcPr>
            <w:tcW w:w="737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78,0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7738B5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Ubezpieczenia pozostałych szkód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rzeczowych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3 041,3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3 486,3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114,6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1 081,0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1 233,8</w:t>
            </w:r>
          </w:p>
        </w:tc>
        <w:tc>
          <w:tcPr>
            <w:tcW w:w="737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114,1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7738B5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nej wynikającej z posiadania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pojazdów lądowych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14 810,1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15 182,5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102,5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8 553,4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8 954,1</w:t>
            </w:r>
          </w:p>
        </w:tc>
        <w:tc>
          <w:tcPr>
            <w:tcW w:w="737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104,7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7738B5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283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w tym obowiązkowe OC posiadaczy pojazdów mechanicznych</w:t>
            </w:r>
            <w:r w:rsidRPr="003E2A1B">
              <w:rPr>
                <w:rFonts w:ascii="Fira Sans" w:hAnsi="Fira Sans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14 447,8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14 766,6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102,2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8 363,2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8 757,1</w:t>
            </w:r>
          </w:p>
        </w:tc>
        <w:tc>
          <w:tcPr>
            <w:tcW w:w="737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104,7</w:t>
            </w:r>
          </w:p>
        </w:tc>
      </w:tr>
      <w:tr w:rsidR="00983CF4" w:rsidRPr="00FA5128" w:rsidTr="007C55B2">
        <w:trPr>
          <w:trHeight w:val="57"/>
        </w:trPr>
        <w:tc>
          <w:tcPr>
            <w:tcW w:w="3061" w:type="dxa"/>
            <w:gridSpan w:val="2"/>
            <w:vAlign w:val="center"/>
          </w:tcPr>
          <w:p w:rsidR="00983CF4" w:rsidRPr="007738B5" w:rsidRDefault="00983CF4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Ubezpieczenia odpowiedzialności </w:t>
            </w:r>
            <w:r w:rsidRPr="007738B5">
              <w:rPr>
                <w:rFonts w:ascii="Fira Sans" w:hAnsi="Fira Sans"/>
                <w:color w:val="000000" w:themeColor="text1"/>
                <w:sz w:val="16"/>
                <w:szCs w:val="16"/>
              </w:rPr>
              <w:t>cywilnej ogólnej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1 953,3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2 174,1</w:t>
            </w:r>
          </w:p>
        </w:tc>
        <w:tc>
          <w:tcPr>
            <w:tcW w:w="737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111,3</w:t>
            </w:r>
          </w:p>
        </w:tc>
        <w:tc>
          <w:tcPr>
            <w:tcW w:w="852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937,1</w:t>
            </w:r>
          </w:p>
        </w:tc>
        <w:tc>
          <w:tcPr>
            <w:tcW w:w="850" w:type="dxa"/>
            <w:gridSpan w:val="2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904,8</w:t>
            </w:r>
          </w:p>
        </w:tc>
        <w:tc>
          <w:tcPr>
            <w:tcW w:w="737" w:type="dxa"/>
            <w:vAlign w:val="center"/>
          </w:tcPr>
          <w:p w:rsidR="00983CF4" w:rsidRDefault="00983CF4" w:rsidP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96,5</w:t>
            </w:r>
          </w:p>
        </w:tc>
      </w:tr>
    </w:tbl>
    <w:p w:rsidR="004B3C88" w:rsidRPr="00696765" w:rsidRDefault="004B3C88" w:rsidP="004B3C88">
      <w:pPr>
        <w:ind w:left="794" w:hanging="794"/>
        <w:rPr>
          <w:b/>
          <w:spacing w:val="-2"/>
          <w:sz w:val="18"/>
          <w:shd w:val="clear" w:color="auto" w:fill="FFFFFF"/>
        </w:rPr>
      </w:pPr>
      <w:r w:rsidRPr="004B3C88">
        <w:rPr>
          <w:b/>
          <w:spacing w:val="-2"/>
          <w:sz w:val="18"/>
          <w:shd w:val="clear" w:color="auto" w:fill="FFFFFF"/>
        </w:rPr>
        <w:t xml:space="preserve">Tablica 2. </w:t>
      </w:r>
      <w:r>
        <w:rPr>
          <w:b/>
          <w:spacing w:val="-2"/>
          <w:sz w:val="18"/>
          <w:shd w:val="clear" w:color="auto" w:fill="FFFFFF"/>
        </w:rPr>
        <w:t xml:space="preserve">Składki przypisane brutto oraz odszkodowania i świadczenia wypłacone brutto </w:t>
      </w:r>
      <w:r>
        <w:rPr>
          <w:b/>
          <w:spacing w:val="-2"/>
          <w:sz w:val="18"/>
          <w:shd w:val="clear" w:color="auto" w:fill="FFFFFF"/>
        </w:rPr>
        <w:br/>
        <w:t>w podziale na wybrane rodzaje ubezpieczeń z działalności bezpośredniej</w:t>
      </w:r>
    </w:p>
    <w:p w:rsidR="00694AF0" w:rsidRDefault="003E2A1B" w:rsidP="00E76D26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CF1504">
        <w:rPr>
          <w:sz w:val="16"/>
          <w:szCs w:val="16"/>
        </w:rPr>
        <w:t>dane 2017 r. wg stanu na dzień 3</w:t>
      </w:r>
      <w:r>
        <w:rPr>
          <w:sz w:val="16"/>
          <w:szCs w:val="16"/>
        </w:rPr>
        <w:t>1</w:t>
      </w:r>
      <w:r w:rsidRPr="00CF1504">
        <w:rPr>
          <w:sz w:val="16"/>
          <w:szCs w:val="16"/>
        </w:rPr>
        <w:t>.</w:t>
      </w:r>
      <w:r>
        <w:rPr>
          <w:sz w:val="16"/>
          <w:szCs w:val="16"/>
        </w:rPr>
        <w:t>12</w:t>
      </w:r>
      <w:r w:rsidRPr="00CF1504">
        <w:rPr>
          <w:sz w:val="16"/>
          <w:szCs w:val="16"/>
        </w:rPr>
        <w:t>.2017.</w:t>
      </w:r>
    </w:p>
    <w:p w:rsidR="004A4F94" w:rsidRPr="00755B7D" w:rsidRDefault="004A4F94" w:rsidP="004A4F94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7B26C7B" wp14:editId="42F8A93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074DD8" w:rsidRDefault="00C65F9D" w:rsidP="00ED68C3">
                            <w:pPr>
                              <w:pStyle w:val="tekstzboku"/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>
                              <w:br/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wyniosły 23,5 mld zł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6C7B" id="Pole tekstowe 6" o:spid="_x0000_s1031" type="#_x0000_t202" style="position:absolute;margin-left:411pt;margin-top:13pt;width:135.85pt;height:65.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+&#10;TYfJ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C65F9D" w:rsidRPr="00074DD8" w:rsidRDefault="00C65F9D" w:rsidP="00ED68C3">
                      <w:pPr>
                        <w:pStyle w:val="tekstzboku"/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>
                        <w:br/>
                      </w:r>
                      <w:r w:rsidRPr="00755B7D">
                        <w:t>polis komunikacyjnych</w:t>
                      </w:r>
                      <w:r>
                        <w:t xml:space="preserve"> </w:t>
                      </w:r>
                      <w:r>
                        <w:br/>
                        <w:t>wyniosły 23,5 mld zł 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55B7D" w:rsidRPr="00755B7D">
        <w:t>Wybrane rodzaje ubezpieczeń z działalności bezpośredniej</w:t>
      </w:r>
    </w:p>
    <w:p w:rsidR="00847BA7" w:rsidRDefault="00847BA7" w:rsidP="00847BA7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strukturze składki przypisanej brutto z działalności bezpośredniej ogółem, składka zakładów działu I stanowiła </w:t>
      </w:r>
      <w:r>
        <w:rPr>
          <w:shd w:val="clear" w:color="auto" w:fill="FFFFFF"/>
        </w:rPr>
        <w:t>36,</w:t>
      </w:r>
      <w:r w:rsidR="004262B0">
        <w:rPr>
          <w:shd w:val="clear" w:color="auto" w:fill="FFFFFF"/>
        </w:rPr>
        <w:t>3</w:t>
      </w:r>
      <w:r w:rsidRPr="004A4F94">
        <w:rPr>
          <w:shd w:val="clear" w:color="auto" w:fill="FFFFFF"/>
        </w:rPr>
        <w:t xml:space="preserve">%, a zakładów działu II – </w:t>
      </w:r>
      <w:r>
        <w:rPr>
          <w:shd w:val="clear" w:color="auto" w:fill="FFFFFF"/>
        </w:rPr>
        <w:t>63,</w:t>
      </w:r>
      <w:r w:rsidR="00C65F9D">
        <w:rPr>
          <w:shd w:val="clear" w:color="auto" w:fill="FFFFFF"/>
        </w:rPr>
        <w:t>7</w:t>
      </w:r>
      <w:r w:rsidRPr="004A4F94">
        <w:rPr>
          <w:shd w:val="clear" w:color="auto" w:fill="FFFFFF"/>
        </w:rPr>
        <w:t xml:space="preserve">%. Dominującą pozycję w dziale I, pod względem wartości zebranej składki brutto, </w:t>
      </w:r>
      <w:r w:rsidRPr="00B62CC2">
        <w:rPr>
          <w:shd w:val="clear" w:color="auto" w:fill="FFFFFF"/>
        </w:rPr>
        <w:t>pomimo istotnego spadku, stanowi</w:t>
      </w:r>
      <w:r>
        <w:rPr>
          <w:shd w:val="clear" w:color="auto" w:fill="FFFFFF"/>
        </w:rPr>
        <w:t>ły</w:t>
      </w:r>
      <w:r w:rsidRPr="00B62CC2">
        <w:rPr>
          <w:shd w:val="clear" w:color="auto" w:fill="FFFFFF"/>
        </w:rPr>
        <w:t xml:space="preserve"> nadal ubezpieczenia na życie związane z ubezpieczeniowym funduszem kapitałowym. Kolejną pozycję zajm</w:t>
      </w:r>
      <w:r>
        <w:rPr>
          <w:shd w:val="clear" w:color="auto" w:fill="FFFFFF"/>
        </w:rPr>
        <w:t>owała</w:t>
      </w:r>
      <w:r w:rsidRPr="00B62CC2">
        <w:rPr>
          <w:shd w:val="clear" w:color="auto" w:fill="FFFFFF"/>
        </w:rPr>
        <w:t xml:space="preserve"> grupa I – ubezpieczenia na życie</w:t>
      </w:r>
      <w:r w:rsidRPr="004A4F94">
        <w:rPr>
          <w:shd w:val="clear" w:color="auto" w:fill="FFFFFF"/>
        </w:rPr>
        <w:t xml:space="preserve">. Udział tych dwóch grup ubezpieczeń na życie wyniósł odpowiednio </w:t>
      </w:r>
      <w:r w:rsidR="00C65F9D">
        <w:rPr>
          <w:shd w:val="clear" w:color="auto" w:fill="FFFFFF"/>
        </w:rPr>
        <w:t>36,5</w:t>
      </w:r>
      <w:r w:rsidRPr="004A4F94">
        <w:rPr>
          <w:shd w:val="clear" w:color="auto" w:fill="FFFFFF"/>
        </w:rPr>
        <w:t xml:space="preserve">% i </w:t>
      </w:r>
      <w:r w:rsidR="00C65F9D">
        <w:rPr>
          <w:shd w:val="clear" w:color="auto" w:fill="FFFFFF"/>
        </w:rPr>
        <w:t>35,1</w:t>
      </w:r>
      <w:r w:rsidRPr="004A4F94">
        <w:rPr>
          <w:shd w:val="clear" w:color="auto" w:fill="FFFFFF"/>
        </w:rPr>
        <w:t>% wartości składek przypisa</w:t>
      </w:r>
      <w:r>
        <w:rPr>
          <w:shd w:val="clear" w:color="auto" w:fill="FFFFFF"/>
        </w:rPr>
        <w:t>nych brutto działu I.</w:t>
      </w:r>
      <w:r>
        <w:rPr>
          <w:shd w:val="clear" w:color="auto" w:fill="FFFFFF"/>
        </w:rPr>
        <w:br/>
      </w:r>
      <w:r w:rsidRPr="004A4F94">
        <w:rPr>
          <w:shd w:val="clear" w:color="auto" w:fill="FFFFFF"/>
        </w:rPr>
        <w:t>W dziale II największą pozycję (</w:t>
      </w:r>
      <w:r w:rsidR="00C65F9D">
        <w:rPr>
          <w:shd w:val="clear" w:color="auto" w:fill="FFFFFF"/>
        </w:rPr>
        <w:t>61,6</w:t>
      </w:r>
      <w:r w:rsidRPr="004A4F94">
        <w:rPr>
          <w:shd w:val="clear" w:color="auto" w:fill="FFFFFF"/>
        </w:rPr>
        <w:t>% wartości składek) s</w:t>
      </w:r>
      <w:r>
        <w:rPr>
          <w:shd w:val="clear" w:color="auto" w:fill="FFFFFF"/>
        </w:rPr>
        <w:t>tanowiły składki brutto zebrane</w:t>
      </w:r>
      <w:r>
        <w:rPr>
          <w:shd w:val="clear" w:color="auto" w:fill="FFFFFF"/>
        </w:rPr>
        <w:br/>
      </w:r>
      <w:r w:rsidRPr="004A4F94">
        <w:rPr>
          <w:shd w:val="clear" w:color="auto" w:fill="FFFFFF"/>
        </w:rPr>
        <w:t>z tytułu polis komunikacyjnych. Składki te zw</w:t>
      </w:r>
      <w:r>
        <w:rPr>
          <w:shd w:val="clear" w:color="auto" w:fill="FFFFFF"/>
        </w:rPr>
        <w:t xml:space="preserve">iększyły się o </w:t>
      </w:r>
      <w:r w:rsidR="00C65F9D">
        <w:rPr>
          <w:shd w:val="clear" w:color="auto" w:fill="FFFFFF"/>
        </w:rPr>
        <w:t>4,5</w:t>
      </w:r>
      <w:r>
        <w:rPr>
          <w:shd w:val="clear" w:color="auto" w:fill="FFFFFF"/>
        </w:rPr>
        <w:t xml:space="preserve">% i wyniosły </w:t>
      </w:r>
      <w:r w:rsidR="00C65F9D">
        <w:rPr>
          <w:shd w:val="clear" w:color="auto" w:fill="FFFFFF"/>
        </w:rPr>
        <w:t>23</w:t>
      </w:r>
      <w:r>
        <w:rPr>
          <w:shd w:val="clear" w:color="auto" w:fill="FFFFFF"/>
        </w:rPr>
        <w:t xml:space="preserve"> </w:t>
      </w:r>
      <w:r w:rsidR="00C65F9D">
        <w:rPr>
          <w:shd w:val="clear" w:color="auto" w:fill="FFFFFF"/>
        </w:rPr>
        <w:t>484</w:t>
      </w:r>
      <w:r>
        <w:rPr>
          <w:shd w:val="clear" w:color="auto" w:fill="FFFFFF"/>
        </w:rPr>
        <w:t>,</w:t>
      </w:r>
      <w:r w:rsidR="00C65F9D">
        <w:rPr>
          <w:shd w:val="clear" w:color="auto" w:fill="FFFFFF"/>
        </w:rPr>
        <w:t>7</w:t>
      </w:r>
      <w:r w:rsidRPr="004A4F94">
        <w:rPr>
          <w:shd w:val="clear" w:color="auto" w:fill="FFFFFF"/>
        </w:rPr>
        <w:t xml:space="preserve"> mln zł. </w:t>
      </w:r>
      <w:r w:rsidRPr="004A4F94">
        <w:rPr>
          <w:shd w:val="clear" w:color="auto" w:fill="FFFFFF"/>
        </w:rPr>
        <w:lastRenderedPageBreak/>
        <w:t xml:space="preserve">Udział ubezpieczeń casco pojazdów lądowych w składkach działu II wyniósł </w:t>
      </w:r>
      <w:r>
        <w:rPr>
          <w:shd w:val="clear" w:color="auto" w:fill="FFFFFF"/>
        </w:rPr>
        <w:t>21,8</w:t>
      </w:r>
      <w:r w:rsidRPr="004A4F94">
        <w:rPr>
          <w:shd w:val="clear" w:color="auto" w:fill="FFFFFF"/>
        </w:rPr>
        <w:t xml:space="preserve">%, a obowiązkowych ubezpieczeń odpowiedzialności cywilnej posiadaczy pojazdów mechanicznych </w:t>
      </w:r>
      <w:r w:rsidR="00C65F9D">
        <w:rPr>
          <w:shd w:val="clear" w:color="auto" w:fill="FFFFFF"/>
        </w:rPr>
        <w:t>38,7</w:t>
      </w:r>
      <w:r w:rsidRPr="004A4F94">
        <w:rPr>
          <w:shd w:val="clear" w:color="auto" w:fill="FFFFFF"/>
        </w:rPr>
        <w:t>%.</w:t>
      </w:r>
    </w:p>
    <w:p w:rsidR="00847BA7" w:rsidRDefault="00847BA7" w:rsidP="00847BA7">
      <w:pPr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grupie </w:t>
      </w:r>
      <w:r w:rsidRPr="004A4F94">
        <w:rPr>
          <w:shd w:val="clear" w:color="auto" w:fill="FFFFFF"/>
        </w:rPr>
        <w:t>ubezpiecze</w:t>
      </w:r>
      <w:r>
        <w:rPr>
          <w:shd w:val="clear" w:color="auto" w:fill="FFFFFF"/>
        </w:rPr>
        <w:t>ń</w:t>
      </w:r>
      <w:r w:rsidRPr="004A4F94">
        <w:rPr>
          <w:shd w:val="clear" w:color="auto" w:fill="FFFFFF"/>
        </w:rPr>
        <w:t xml:space="preserve"> casco pojazdów lądowych </w:t>
      </w:r>
      <w:r>
        <w:rPr>
          <w:shd w:val="clear" w:color="auto" w:fill="FFFFFF"/>
        </w:rPr>
        <w:t>osiągnięto zysk techniczny w wysokości</w:t>
      </w:r>
      <w:r>
        <w:rPr>
          <w:shd w:val="clear" w:color="auto" w:fill="FFFFFF"/>
        </w:rPr>
        <w:br/>
      </w:r>
      <w:r w:rsidR="00C65F9D">
        <w:rPr>
          <w:shd w:val="clear" w:color="auto" w:fill="FFFFFF"/>
        </w:rPr>
        <w:t>802</w:t>
      </w:r>
      <w:r>
        <w:rPr>
          <w:shd w:val="clear" w:color="auto" w:fill="FFFFFF"/>
        </w:rPr>
        <w:t>,</w:t>
      </w:r>
      <w:r w:rsidR="00C65F9D">
        <w:rPr>
          <w:shd w:val="clear" w:color="auto" w:fill="FFFFFF"/>
        </w:rPr>
        <w:t>4</w:t>
      </w:r>
      <w:r w:rsidRPr="004A4F94">
        <w:rPr>
          <w:shd w:val="clear" w:color="auto" w:fill="FFFFFF"/>
        </w:rPr>
        <w:t xml:space="preserve"> mln zł wobec </w:t>
      </w:r>
      <w:r w:rsidR="00C65F9D">
        <w:rPr>
          <w:shd w:val="clear" w:color="auto" w:fill="FFFFFF"/>
        </w:rPr>
        <w:t>440</w:t>
      </w:r>
      <w:r>
        <w:rPr>
          <w:shd w:val="clear" w:color="auto" w:fill="FFFFFF"/>
        </w:rPr>
        <w:t>,</w:t>
      </w:r>
      <w:r w:rsidR="00C65F9D">
        <w:rPr>
          <w:shd w:val="clear" w:color="auto" w:fill="FFFFFF"/>
        </w:rPr>
        <w:t>9</w:t>
      </w:r>
      <w:r w:rsidRPr="004A4F94">
        <w:rPr>
          <w:shd w:val="clear" w:color="auto" w:fill="FFFFFF"/>
        </w:rPr>
        <w:t xml:space="preserve"> mln zł zysku w</w:t>
      </w:r>
      <w:r>
        <w:rPr>
          <w:shd w:val="clear" w:color="auto" w:fill="FFFFFF"/>
        </w:rPr>
        <w:t xml:space="preserve"> 2017</w:t>
      </w:r>
      <w:r w:rsidRPr="004A4F94">
        <w:rPr>
          <w:shd w:val="clear" w:color="auto" w:fill="FFFFFF"/>
        </w:rPr>
        <w:t xml:space="preserve"> r. W ubezpieczeniach odpowiedzialności cywilnej wynikającej z posiadania pojazdów lądowych osiągni</w:t>
      </w:r>
      <w:r>
        <w:rPr>
          <w:shd w:val="clear" w:color="auto" w:fill="FFFFFF"/>
        </w:rPr>
        <w:t xml:space="preserve">ęto zysk techniczny na poziomie </w:t>
      </w:r>
      <w:r w:rsidR="00C65F9D">
        <w:rPr>
          <w:shd w:val="clear" w:color="auto" w:fill="FFFFFF"/>
        </w:rPr>
        <w:t>459,2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 xml:space="preserve">wobec </w:t>
      </w:r>
      <w:r w:rsidR="00C65F9D">
        <w:rPr>
          <w:shd w:val="clear" w:color="auto" w:fill="FFFFFF"/>
        </w:rPr>
        <w:t>474,5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>
        <w:rPr>
          <w:shd w:val="clear" w:color="auto" w:fill="FFFFFF"/>
        </w:rPr>
        <w:t>roku poprzednim</w:t>
      </w:r>
      <w:r w:rsidRPr="004A4F94">
        <w:rPr>
          <w:shd w:val="clear" w:color="auto" w:fill="FFFFFF"/>
        </w:rPr>
        <w:t xml:space="preserve">. </w:t>
      </w:r>
    </w:p>
    <w:p w:rsidR="00ED68C3" w:rsidRPr="004B3C88" w:rsidRDefault="00ED68C3" w:rsidP="00ED68C3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05180C3" wp14:editId="01C59F32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Pr="00755B7D" w:rsidRDefault="00C65F9D" w:rsidP="00ED68C3">
                            <w:pPr>
                              <w:pStyle w:val="tekstzboku"/>
                            </w:pPr>
                            <w:r>
                              <w:t>Aktywa</w:t>
                            </w:r>
                            <w:r w:rsidRPr="00755B7D">
                              <w:t xml:space="preserve"> </w:t>
                            </w:r>
                            <w:r>
                              <w:t xml:space="preserve">zakładów </w:t>
                            </w:r>
                            <w:r>
                              <w:br/>
                              <w:t xml:space="preserve">ubezpieczeń zmniejszyły się </w:t>
                            </w:r>
                            <w:r w:rsidRPr="00755B7D">
                              <w:t xml:space="preserve">w skali roku o </w:t>
                            </w:r>
                            <w:r>
                              <w:t>2,3</w:t>
                            </w:r>
                            <w:r w:rsidRPr="00755B7D"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80C3" id="Pole tekstowe 7" o:spid="_x0000_s1032" type="#_x0000_t202" style="position:absolute;margin-left:411pt;margin-top:13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r&#10;iu4E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C65F9D" w:rsidRPr="00755B7D" w:rsidRDefault="00C65F9D" w:rsidP="00ED68C3">
                      <w:pPr>
                        <w:pStyle w:val="tekstzboku"/>
                      </w:pPr>
                      <w:r>
                        <w:t>Aktywa</w:t>
                      </w:r>
                      <w:r w:rsidRPr="00755B7D">
                        <w:t xml:space="preserve"> </w:t>
                      </w:r>
                      <w:r>
                        <w:t xml:space="preserve">zakładów </w:t>
                      </w:r>
                      <w:r>
                        <w:br/>
                        <w:t xml:space="preserve">ubezpieczeń zmniejszyły się </w:t>
                      </w:r>
                      <w:r w:rsidRPr="00755B7D">
                        <w:t xml:space="preserve">w skali roku o </w:t>
                      </w:r>
                      <w:r>
                        <w:t>2,3</w:t>
                      </w:r>
                      <w:r w:rsidRPr="00755B7D">
                        <w:t>%.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829C4">
        <w:t>Aktywa i pasywa</w:t>
      </w:r>
    </w:p>
    <w:p w:rsidR="00ED68C3" w:rsidRDefault="00ED68C3" w:rsidP="00ED68C3">
      <w:pPr>
        <w:rPr>
          <w:shd w:val="clear" w:color="auto" w:fill="FFFFFF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>koniec grudnia 2018 r. wyniosła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19</w:t>
      </w:r>
      <w:r w:rsidR="00C65F9D">
        <w:rPr>
          <w:shd w:val="clear" w:color="auto" w:fill="FFFFFF"/>
        </w:rPr>
        <w:t>2</w:t>
      </w:r>
      <w:r w:rsidRPr="006B122A">
        <w:rPr>
          <w:shd w:val="clear" w:color="auto" w:fill="FFFFFF"/>
        </w:rPr>
        <w:t xml:space="preserve"> </w:t>
      </w:r>
      <w:r w:rsidR="00C65F9D">
        <w:rPr>
          <w:shd w:val="clear" w:color="auto" w:fill="FFFFFF"/>
        </w:rPr>
        <w:t>080</w:t>
      </w:r>
      <w:r w:rsidRPr="006B122A">
        <w:rPr>
          <w:shd w:val="clear" w:color="auto" w:fill="FFFFFF"/>
        </w:rPr>
        <w:t>,</w:t>
      </w:r>
      <w:r w:rsidR="00C65F9D">
        <w:rPr>
          <w:shd w:val="clear" w:color="auto" w:fill="FFFFFF"/>
        </w:rPr>
        <w:t>5</w:t>
      </w:r>
      <w:r w:rsidRPr="006B122A">
        <w:rPr>
          <w:shd w:val="clear" w:color="auto" w:fill="FFFFFF"/>
        </w:rPr>
        <w:t xml:space="preserve"> mln zł (</w:t>
      </w:r>
      <w:r w:rsidR="00C65F9D">
        <w:rPr>
          <w:shd w:val="clear" w:color="auto" w:fill="FFFFFF"/>
        </w:rPr>
        <w:t>spadek</w:t>
      </w:r>
      <w:r w:rsidRPr="006B122A">
        <w:rPr>
          <w:shd w:val="clear" w:color="auto" w:fill="FFFFFF"/>
        </w:rPr>
        <w:t xml:space="preserve"> w skali roku o </w:t>
      </w:r>
      <w:r w:rsidR="00C65F9D">
        <w:rPr>
          <w:shd w:val="clear" w:color="auto" w:fill="FFFFFF"/>
        </w:rPr>
        <w:t>2,3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</w:t>
      </w:r>
      <w:r w:rsidR="00C65F9D">
        <w:rPr>
          <w:shd w:val="clear" w:color="auto" w:fill="FFFFFF"/>
        </w:rPr>
        <w:t>94</w:t>
      </w:r>
      <w:r>
        <w:rPr>
          <w:shd w:val="clear" w:color="auto" w:fill="FFFFFF"/>
        </w:rPr>
        <w:t xml:space="preserve"> </w:t>
      </w:r>
      <w:r w:rsidR="00C65F9D">
        <w:rPr>
          <w:shd w:val="clear" w:color="auto" w:fill="FFFFFF"/>
        </w:rPr>
        <w:t>951</w:t>
      </w:r>
      <w:r>
        <w:rPr>
          <w:shd w:val="clear" w:color="auto" w:fill="FFFFFF"/>
        </w:rPr>
        <w:t>,</w:t>
      </w:r>
      <w:r w:rsidR="00C65F9D">
        <w:rPr>
          <w:shd w:val="clear" w:color="auto" w:fill="FFFFFF"/>
        </w:rPr>
        <w:t>3</w:t>
      </w:r>
      <w:r>
        <w:rPr>
          <w:shd w:val="clear" w:color="auto" w:fill="FFFFFF"/>
        </w:rPr>
        <w:t xml:space="preserve"> mln zł,</w:t>
      </w:r>
      <w:r>
        <w:rPr>
          <w:shd w:val="clear" w:color="auto" w:fill="FFFFFF"/>
        </w:rPr>
        <w:br/>
      </w:r>
      <w:r w:rsidRPr="006B122A">
        <w:rPr>
          <w:shd w:val="clear" w:color="auto" w:fill="FFFFFF"/>
        </w:rPr>
        <w:t>a 9</w:t>
      </w:r>
      <w:r w:rsidR="00C65F9D">
        <w:rPr>
          <w:shd w:val="clear" w:color="auto" w:fill="FFFFFF"/>
        </w:rPr>
        <w:t>7</w:t>
      </w:r>
      <w:r w:rsidRPr="006B122A">
        <w:rPr>
          <w:shd w:val="clear" w:color="auto" w:fill="FFFFFF"/>
        </w:rPr>
        <w:t xml:space="preserve"> </w:t>
      </w:r>
      <w:r w:rsidR="00C65F9D">
        <w:rPr>
          <w:shd w:val="clear" w:color="auto" w:fill="FFFFFF"/>
        </w:rPr>
        <w:t>129</w:t>
      </w:r>
      <w:r w:rsidRPr="006B122A">
        <w:rPr>
          <w:shd w:val="clear" w:color="auto" w:fill="FFFFFF"/>
        </w:rPr>
        <w:t>,</w:t>
      </w:r>
      <w:r w:rsidR="00C65F9D">
        <w:rPr>
          <w:shd w:val="clear" w:color="auto" w:fill="FFFFFF"/>
        </w:rPr>
        <w:t>2</w:t>
      </w:r>
      <w:r w:rsidRPr="006B122A">
        <w:rPr>
          <w:shd w:val="clear" w:color="auto" w:fill="FFFFFF"/>
        </w:rPr>
        <w:t xml:space="preserve"> mln zł na dział II.</w:t>
      </w:r>
    </w:p>
    <w:tbl>
      <w:tblPr>
        <w:tblStyle w:val="Siatkatabelijasna1"/>
        <w:tblpPr w:leftFromText="141" w:rightFromText="141" w:vertAnchor="text" w:horzAnchor="margin" w:tblpY="59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AA12DB" w:rsidRPr="00FA5128" w:rsidTr="00600665">
        <w:trPr>
          <w:trHeight w:val="57"/>
        </w:trPr>
        <w:tc>
          <w:tcPr>
            <w:tcW w:w="2154" w:type="dxa"/>
            <w:vMerge w:val="restart"/>
            <w:vAlign w:val="center"/>
          </w:tcPr>
          <w:p w:rsidR="00AA12DB" w:rsidRPr="009C7251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700C7">
              <w:rPr>
                <w:rFonts w:ascii="Fira Sans" w:hAnsi="Fira Sans"/>
                <w:color w:val="000000" w:themeColor="text1"/>
                <w:sz w:val="16"/>
                <w:szCs w:val="16"/>
              </w:rPr>
              <w:t>Dział I</w:t>
            </w:r>
          </w:p>
        </w:tc>
        <w:tc>
          <w:tcPr>
            <w:tcW w:w="2892" w:type="dxa"/>
            <w:gridSpan w:val="3"/>
          </w:tcPr>
          <w:p w:rsidR="00AA12DB" w:rsidRPr="00FA5128" w:rsidRDefault="00AA12DB" w:rsidP="0060066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Dział II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462B64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462B64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12DB" w:rsidRPr="00FA5128" w:rsidRDefault="00462B64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  <w:r w:rsidR="00AA12DB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462B64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AA12DB" w:rsidRPr="00FA5128" w:rsidRDefault="00462B64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4" w:type="dxa"/>
            <w:vMerge w:val="restart"/>
            <w:vAlign w:val="center"/>
          </w:tcPr>
          <w:p w:rsidR="00AA12DB" w:rsidRPr="00FA5128" w:rsidRDefault="00462B64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</w:t>
            </w:r>
            <w:r w:rsidR="00AA12DB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A12DB" w:rsidRPr="00FA5128" w:rsidTr="00600665">
        <w:trPr>
          <w:trHeight w:val="57"/>
        </w:trPr>
        <w:tc>
          <w:tcPr>
            <w:tcW w:w="215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mln zł</w:t>
            </w:r>
          </w:p>
        </w:tc>
        <w:tc>
          <w:tcPr>
            <w:tcW w:w="964" w:type="dxa"/>
            <w:vMerge/>
            <w:tcBorders>
              <w:bottom w:val="single" w:sz="12" w:space="0" w:color="212492"/>
            </w:tcBorders>
            <w:vAlign w:val="center"/>
          </w:tcPr>
          <w:p w:rsidR="00AA12DB" w:rsidRPr="00FA5128" w:rsidRDefault="00AA12DB" w:rsidP="006006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tcBorders>
              <w:top w:val="single" w:sz="12" w:space="0" w:color="212492"/>
            </w:tcBorders>
            <w:vAlign w:val="center"/>
          </w:tcPr>
          <w:p w:rsidR="007C55B2" w:rsidRPr="00FA5128" w:rsidRDefault="007C55B2" w:rsidP="00600665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AKTYWA </w:t>
            </w: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104 675,9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94 951,3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90,7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92 011,7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97 129,2</w:t>
            </w:r>
          </w:p>
        </w:tc>
        <w:tc>
          <w:tcPr>
            <w:tcW w:w="96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105,6</w:t>
            </w: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0200A8" w:rsidRDefault="007C55B2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7C55B2" w:rsidRDefault="007C55B2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0200A8" w:rsidRDefault="007C55B2" w:rsidP="00363948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Lokaty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40 667,0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39 770,4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97,8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72 156,0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76 966,1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106,7</w:t>
            </w: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8D4206" w:rsidRDefault="007C55B2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Aktywa netto</w:t>
            </w:r>
            <w:r>
              <w:rPr>
                <w:rFonts w:cstheme="majorBidi"/>
                <w:color w:val="000000" w:themeColor="text1"/>
                <w:sz w:val="16"/>
                <w:szCs w:val="16"/>
              </w:rPr>
              <w:br/>
            </w:r>
            <w:r w:rsidRPr="008D4206">
              <w:rPr>
                <w:rFonts w:cstheme="majorBidi"/>
                <w:color w:val="000000" w:themeColor="text1"/>
                <w:sz w:val="16"/>
                <w:szCs w:val="16"/>
              </w:rPr>
              <w:t>ubezpieczeń na życie</w:t>
            </w:r>
            <w:r w:rsidRPr="008D4206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59 130,6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50 763,1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85,8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x</w:t>
            </w: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8D4206" w:rsidRDefault="007C55B2" w:rsidP="0060066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PASYWA </w:t>
            </w:r>
            <w:r w:rsidRPr="000200A8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OGÓŁEM</w:t>
            </w:r>
            <w:r w:rsidRPr="008D4206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104 675,9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94 951,3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90,7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92 011,7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97 129,2</w:t>
            </w:r>
          </w:p>
        </w:tc>
        <w:tc>
          <w:tcPr>
            <w:tcW w:w="964" w:type="dxa"/>
            <w:tcBorders>
              <w:bottom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b/>
                <w:bCs/>
                <w:sz w:val="16"/>
                <w:szCs w:val="16"/>
              </w:rPr>
            </w:pPr>
            <w:r>
              <w:rPr>
                <w:rFonts w:cs="Arial CE"/>
                <w:b/>
                <w:bCs/>
                <w:sz w:val="16"/>
                <w:szCs w:val="16"/>
              </w:rPr>
              <w:t>105,6</w:t>
            </w: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C3702F" w:rsidRDefault="007C55B2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w tym: </w:t>
            </w:r>
          </w:p>
        </w:tc>
        <w:tc>
          <w:tcPr>
            <w:tcW w:w="96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C55B2" w:rsidRDefault="007C55B2">
            <w:pPr>
              <w:rPr>
                <w:rFonts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bottom"/>
          </w:tcPr>
          <w:p w:rsidR="007C55B2" w:rsidRDefault="007C55B2">
            <w:pPr>
              <w:rPr>
                <w:rFonts w:cs="Arial CE"/>
                <w:b/>
                <w:bCs/>
                <w:sz w:val="16"/>
                <w:szCs w:val="16"/>
              </w:rPr>
            </w:pP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C3702F" w:rsidRDefault="007C55B2" w:rsidP="00363948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Kapitał własny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11 933,9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11 544,4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96,7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24 654,6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25 973,8</w:t>
            </w:r>
          </w:p>
        </w:tc>
        <w:tc>
          <w:tcPr>
            <w:tcW w:w="964" w:type="dxa"/>
            <w:tcBorders>
              <w:top w:val="single" w:sz="4" w:space="0" w:color="212492"/>
            </w:tcBorders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105,4</w:t>
            </w:r>
          </w:p>
        </w:tc>
      </w:tr>
      <w:tr w:rsidR="007C55B2" w:rsidRPr="00FA5128" w:rsidTr="00600665">
        <w:trPr>
          <w:trHeight w:val="57"/>
        </w:trPr>
        <w:tc>
          <w:tcPr>
            <w:tcW w:w="2154" w:type="dxa"/>
            <w:vAlign w:val="center"/>
          </w:tcPr>
          <w:p w:rsidR="007C55B2" w:rsidRPr="00FA5128" w:rsidRDefault="007C55B2" w:rsidP="00363948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Rezerwy techniczno-ubezpieczeniowe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88 843,2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80 256,2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90,3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60 911,0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65 994,5</w:t>
            </w:r>
          </w:p>
        </w:tc>
        <w:tc>
          <w:tcPr>
            <w:tcW w:w="964" w:type="dxa"/>
            <w:vAlign w:val="bottom"/>
          </w:tcPr>
          <w:p w:rsidR="007C55B2" w:rsidRDefault="007C55B2">
            <w:pPr>
              <w:jc w:val="right"/>
              <w:rPr>
                <w:rFonts w:cs="Arial CE"/>
                <w:sz w:val="16"/>
                <w:szCs w:val="16"/>
              </w:rPr>
            </w:pPr>
            <w:r>
              <w:rPr>
                <w:rFonts w:cs="Arial CE"/>
                <w:sz w:val="16"/>
                <w:szCs w:val="16"/>
              </w:rPr>
              <w:t>108,3</w:t>
            </w:r>
          </w:p>
        </w:tc>
      </w:tr>
    </w:tbl>
    <w:p w:rsidR="00AA12DB" w:rsidRPr="00AA12DB" w:rsidRDefault="00AA12DB" w:rsidP="00AA12DB">
      <w:pPr>
        <w:rPr>
          <w:b/>
          <w:spacing w:val="-2"/>
          <w:sz w:val="18"/>
          <w:shd w:val="clear" w:color="auto" w:fill="FFFFFF"/>
        </w:rPr>
      </w:pPr>
      <w:r w:rsidRPr="00AA12DB">
        <w:rPr>
          <w:b/>
          <w:spacing w:val="-2"/>
          <w:sz w:val="18"/>
          <w:shd w:val="clear" w:color="auto" w:fill="FFFFFF"/>
        </w:rPr>
        <w:t xml:space="preserve">Tablica 3. Aktywa </w:t>
      </w:r>
      <w:r w:rsidR="002C1B93">
        <w:rPr>
          <w:b/>
          <w:spacing w:val="-2"/>
          <w:sz w:val="18"/>
          <w:shd w:val="clear" w:color="auto" w:fill="FFFFFF"/>
        </w:rPr>
        <w:t>i</w:t>
      </w:r>
      <w:r w:rsidRPr="00AA12DB">
        <w:rPr>
          <w:b/>
          <w:spacing w:val="-2"/>
          <w:sz w:val="18"/>
          <w:shd w:val="clear" w:color="auto" w:fill="FFFFFF"/>
        </w:rPr>
        <w:t xml:space="preserve"> pasywa zakładów ubezpieczeń (według stanu w dniu 31 XII)</w:t>
      </w:r>
    </w:p>
    <w:p w:rsidR="00AA12DB" w:rsidRDefault="008D4206" w:rsidP="004A4F94">
      <w:pPr>
        <w:rPr>
          <w:sz w:val="16"/>
          <w:szCs w:val="16"/>
        </w:rPr>
      </w:pPr>
      <w:r w:rsidRPr="001700C7">
        <w:rPr>
          <w:i/>
          <w:sz w:val="16"/>
          <w:szCs w:val="16"/>
          <w:vertAlign w:val="superscript"/>
        </w:rPr>
        <w:t>a</w:t>
      </w:r>
      <w:r w:rsidRPr="001700C7">
        <w:rPr>
          <w:sz w:val="16"/>
          <w:szCs w:val="16"/>
        </w:rPr>
        <w:t xml:space="preserve"> </w:t>
      </w:r>
      <w:r w:rsidRPr="008D4206">
        <w:rPr>
          <w:sz w:val="16"/>
          <w:szCs w:val="16"/>
        </w:rPr>
        <w:t>Gdy ryzyko lokaty (inwestycyjne) ponosi ubezpieczający.</w:t>
      </w:r>
    </w:p>
    <w:p w:rsidR="00694AF0" w:rsidRDefault="00EE5155" w:rsidP="00E76D26">
      <w:pPr>
        <w:rPr>
          <w:sz w:val="18"/>
        </w:r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445A2B6" wp14:editId="0E7FFF81">
                <wp:simplePos x="0" y="0"/>
                <wp:positionH relativeFrom="margin">
                  <wp:posOffset>-18415</wp:posOffset>
                </wp:positionH>
                <wp:positionV relativeFrom="paragraph">
                  <wp:posOffset>163195</wp:posOffset>
                </wp:positionV>
                <wp:extent cx="5105400" cy="5029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Default="00C65F9D" w:rsidP="00EE5155">
                            <w:pPr>
                              <w:spacing w:before="80"/>
                            </w:pP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Niniejszą informację opracowano na podstawie danych otrzymanych 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13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>.03.201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9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r.</w:t>
                            </w:r>
                            <w:r w:rsidRPr="002C1B93">
                              <w:rPr>
                                <w:rFonts w:cs="Arial"/>
                                <w:bCs/>
                                <w:szCs w:val="19"/>
                              </w:rPr>
                              <w:br/>
                              <w:t>z Urzędu Komisji Nadzoru Finansowego</w:t>
                            </w:r>
                            <w:r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A2B6" id="_x0000_s1033" type="#_x0000_t202" style="position:absolute;margin-left:-1.45pt;margin-top:12.85pt;width:402pt;height:39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" stroked="f">
                <v:textbox>
                  <w:txbxContent>
                    <w:p w:rsidR="00C65F9D" w:rsidRDefault="00C65F9D" w:rsidP="00EE5155">
                      <w:pPr>
                        <w:spacing w:before="80"/>
                      </w:pP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Niniejszą informację opracowano na podstawie danych otrzymanych 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13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>.03.201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9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t xml:space="preserve"> r.</w:t>
                      </w:r>
                      <w:r w:rsidRPr="002C1B93">
                        <w:rPr>
                          <w:rFonts w:cs="Arial"/>
                          <w:bCs/>
                          <w:szCs w:val="19"/>
                        </w:rPr>
                        <w:br/>
                        <w:t>z Urzędu Komisji Nadzoru Finansowego</w:t>
                      </w:r>
                      <w:r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00C7" w:rsidRPr="00001C5B" w:rsidRDefault="001700C7" w:rsidP="00E76D26">
      <w:pPr>
        <w:rPr>
          <w:sz w:val="18"/>
        </w:rPr>
        <w:sectPr w:rsidR="001700C7" w:rsidRPr="00001C5B" w:rsidSect="00EC722E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4B3C88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55873">
              <w:rPr>
                <w:rFonts w:cs="Arial"/>
                <w:b/>
                <w:color w:val="000000" w:themeColor="text1"/>
                <w:sz w:val="20"/>
              </w:rPr>
              <w:t>Studiów Makroekonomicznych i Finansów</w:t>
            </w:r>
          </w:p>
          <w:p w:rsidR="000470AA" w:rsidRPr="00BB4F09" w:rsidRDefault="00155873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Halina Mrowiec-Nalepa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15587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3620</w:t>
            </w:r>
          </w:p>
          <w:p w:rsidR="000470AA" w:rsidRPr="008F3638" w:rsidRDefault="000470AA" w:rsidP="00D4542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D4542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="00D45424" w:rsidRPr="005960D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h.nalepa@stat.gov.pl</w:t>
              </w:r>
            </w:hyperlink>
          </w:p>
        </w:tc>
        <w:tc>
          <w:tcPr>
            <w:tcW w:w="3942" w:type="dxa"/>
          </w:tcPr>
          <w:p w:rsidR="00E761AE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8F3638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  <w:r w:rsidR="005E50FA">
              <w:rPr>
                <w:rFonts w:cs="Arial"/>
                <w:b/>
                <w:color w:val="000000" w:themeColor="text1"/>
                <w:sz w:val="20"/>
              </w:rPr>
              <w:br/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0A408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0A408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0A4081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52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5960DB" w:rsidTr="005960DB">
        <w:trPr>
          <w:trHeight w:val="610"/>
        </w:trPr>
        <w:tc>
          <w:tcPr>
            <w:tcW w:w="2721" w:type="pct"/>
            <w:vMerge w:val="restart"/>
            <w:vAlign w:val="center"/>
          </w:tcPr>
          <w:p w:rsidR="005960DB" w:rsidRPr="00C91687" w:rsidRDefault="005960DB" w:rsidP="005960D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5960DB" w:rsidRPr="005960DB" w:rsidRDefault="005960DB" w:rsidP="005960DB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B62131">
              <w:rPr>
                <w:sz w:val="20"/>
              </w:rPr>
              <w:t>:</w:t>
            </w:r>
            <w:r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22 608 3491, 22 608 38</w:t>
            </w:r>
            <w:r w:rsidRPr="00C91687">
              <w:rPr>
                <w:sz w:val="20"/>
              </w:rPr>
              <w:t xml:space="preserve">04 </w:t>
            </w:r>
          </w:p>
          <w:p w:rsidR="005960DB" w:rsidRPr="00684617" w:rsidRDefault="005960DB" w:rsidP="005960DB">
            <w:pPr>
              <w:rPr>
                <w:sz w:val="18"/>
                <w:lang w:val="en-US"/>
              </w:rPr>
            </w:pPr>
            <w:r w:rsidRPr="00684617">
              <w:rPr>
                <w:b/>
                <w:sz w:val="20"/>
                <w:lang w:val="en-US"/>
              </w:rPr>
              <w:t>e-mail:</w:t>
            </w:r>
            <w:r w:rsidRPr="00684617">
              <w:rPr>
                <w:sz w:val="20"/>
                <w:lang w:val="en-US"/>
              </w:rPr>
              <w:t xml:space="preserve"> </w:t>
            </w:r>
            <w:hyperlink r:id="rId20" w:history="1">
              <w:r w:rsidRPr="005960D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5960DB" w:rsidRPr="00684617" w:rsidRDefault="005960DB" w:rsidP="005960DB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1DC8F7B" wp14:editId="55790A5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5960DB" w:rsidRDefault="005960DB" w:rsidP="005960DB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960DB" w:rsidTr="005960DB">
        <w:trPr>
          <w:trHeight w:val="436"/>
        </w:trPr>
        <w:tc>
          <w:tcPr>
            <w:tcW w:w="2721" w:type="pct"/>
            <w:vMerge/>
            <w:vAlign w:val="center"/>
          </w:tcPr>
          <w:p w:rsidR="005960DB" w:rsidRDefault="005960DB" w:rsidP="005960DB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5960DB" w:rsidRDefault="005960DB" w:rsidP="005960DB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F8FAA31" wp14:editId="6580DEC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5960DB" w:rsidRDefault="005960DB" w:rsidP="005960DB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960DB" w:rsidTr="005960DB">
        <w:trPr>
          <w:trHeight w:val="436"/>
        </w:trPr>
        <w:tc>
          <w:tcPr>
            <w:tcW w:w="2721" w:type="pct"/>
            <w:vMerge/>
            <w:vAlign w:val="center"/>
          </w:tcPr>
          <w:p w:rsidR="005960DB" w:rsidRDefault="005960DB" w:rsidP="005960DB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5960DB" w:rsidRDefault="005960DB" w:rsidP="005960DB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BF09035" wp14:editId="76D8EF0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5960DB" w:rsidRDefault="005960DB" w:rsidP="005960DB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0470AA" w:rsidRDefault="000470AA" w:rsidP="000470AA">
      <w:pPr>
        <w:rPr>
          <w:sz w:val="20"/>
        </w:rPr>
      </w:pPr>
    </w:p>
    <w:p w:rsidR="005960DB" w:rsidRDefault="005960DB" w:rsidP="000470AA">
      <w:pPr>
        <w:rPr>
          <w:sz w:val="20"/>
        </w:rPr>
      </w:pPr>
    </w:p>
    <w:p w:rsidR="00D261A2" w:rsidRPr="00001C5B" w:rsidRDefault="005960DB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A61E494" wp14:editId="7A61E495">
                <wp:simplePos x="0" y="0"/>
                <wp:positionH relativeFrom="margin">
                  <wp:posOffset>19050</wp:posOffset>
                </wp:positionH>
                <wp:positionV relativeFrom="paragraph">
                  <wp:posOffset>422910</wp:posOffset>
                </wp:positionV>
                <wp:extent cx="6559550" cy="2930525"/>
                <wp:effectExtent l="0" t="0" r="12700" b="2222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93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9D" w:rsidRDefault="00C65F9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5F9D" w:rsidRPr="005960DB" w:rsidRDefault="0060339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65F9D" w:rsidRPr="005960D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Polski rynek ubezpieczeniowy 2016</w:t>
                              </w:r>
                            </w:hyperlink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65F9D" w:rsidRPr="005960DB" w:rsidRDefault="0060339B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65F9D" w:rsidRPr="005960D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zakładów ubezpieczeń</w:t>
                              </w:r>
                            </w:hyperlink>
                          </w:p>
                          <w:p w:rsidR="00C65F9D" w:rsidRPr="000A4081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65F9D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65F9D" w:rsidRPr="005960DB" w:rsidRDefault="0060339B" w:rsidP="00673C26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C65F9D" w:rsidRPr="005960DB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Zakład ubezpieczeń</w:t>
                              </w:r>
                            </w:hyperlink>
                          </w:p>
                          <w:p w:rsidR="00C65F9D" w:rsidRPr="005960DB" w:rsidRDefault="0060339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65F9D" w:rsidRPr="005960D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Składka przypisana brutto</w:t>
                              </w:r>
                            </w:hyperlink>
                          </w:p>
                          <w:p w:rsidR="00C65F9D" w:rsidRPr="008B7EFE" w:rsidRDefault="00C65F9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E494" id="_x0000_s1034" type="#_x0000_t202" style="position:absolute;margin-left:1.5pt;margin-top:33.3pt;width:516.5pt;height:23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" fillcolor="#f2f2f2 [3052]" strokecolor="white [3212]">
                <v:textbox>
                  <w:txbxContent>
                    <w:p w:rsidR="00C65F9D" w:rsidRDefault="00C65F9D" w:rsidP="00AB6D25">
                      <w:pPr>
                        <w:rPr>
                          <w:b/>
                        </w:rPr>
                      </w:pPr>
                    </w:p>
                    <w:p w:rsidR="00C65F9D" w:rsidRPr="000A4081" w:rsidRDefault="00C65F9D" w:rsidP="00AB6D25">
                      <w:pPr>
                        <w:rPr>
                          <w:b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C65F9D" w:rsidRPr="005960DB" w:rsidRDefault="0060339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C65F9D" w:rsidRPr="005960D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Polski rynek ubezpieczeniowy 2016</w:t>
                        </w:r>
                      </w:hyperlink>
                    </w:p>
                    <w:p w:rsidR="00C65F9D" w:rsidRPr="000A4081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65F9D" w:rsidRPr="000A4081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65F9D" w:rsidRPr="005960DB" w:rsidRDefault="0060339B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C65F9D" w:rsidRPr="005960D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zakładów ubezpieczeń</w:t>
                        </w:r>
                      </w:hyperlink>
                    </w:p>
                    <w:p w:rsidR="00C65F9D" w:rsidRPr="000A4081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65F9D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65F9D" w:rsidRPr="005960DB" w:rsidRDefault="0060339B" w:rsidP="00673C26">
                      <w:pPr>
                        <w:rPr>
                          <w:color w:val="001D77"/>
                        </w:rPr>
                      </w:pPr>
                      <w:hyperlink r:id="rId30" w:history="1">
                        <w:r w:rsidR="00C65F9D" w:rsidRPr="005960DB">
                          <w:rPr>
                            <w:rStyle w:val="Hipercze"/>
                            <w:rFonts w:cstheme="minorBidi"/>
                            <w:color w:val="001D77"/>
                          </w:rPr>
                          <w:t>Zakład ubezpieczeń</w:t>
                        </w:r>
                      </w:hyperlink>
                    </w:p>
                    <w:p w:rsidR="00C65F9D" w:rsidRPr="005960DB" w:rsidRDefault="0060339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C65F9D" w:rsidRPr="005960D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Składka przypisana brutto</w:t>
                        </w:r>
                      </w:hyperlink>
                    </w:p>
                    <w:p w:rsidR="00C65F9D" w:rsidRPr="008B7EFE" w:rsidRDefault="00C65F9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9B" w:rsidRDefault="0060339B" w:rsidP="000662E2">
      <w:pPr>
        <w:spacing w:after="0" w:line="240" w:lineRule="auto"/>
      </w:pPr>
      <w:r>
        <w:separator/>
      </w:r>
    </w:p>
  </w:endnote>
  <w:endnote w:type="continuationSeparator" w:id="0">
    <w:p w:rsidR="0060339B" w:rsidRDefault="006033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C65F9D" w:rsidRDefault="00C65F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9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C65F9D" w:rsidRDefault="00C65F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9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C65F9D" w:rsidRDefault="00C65F9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9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9B" w:rsidRDefault="0060339B" w:rsidP="000662E2">
      <w:pPr>
        <w:spacing w:after="0" w:line="240" w:lineRule="auto"/>
      </w:pPr>
      <w:r>
        <w:separator/>
      </w:r>
    </w:p>
  </w:footnote>
  <w:footnote w:type="continuationSeparator" w:id="0">
    <w:p w:rsidR="0060339B" w:rsidRDefault="006033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9D" w:rsidRDefault="00C65F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0A6E3" wp14:editId="1AFF25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5D87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C65F9D" w:rsidRDefault="00C65F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9D" w:rsidRDefault="00C65F9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53A984" wp14:editId="299B1BD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5F9D" w:rsidRPr="003C6C8D" w:rsidRDefault="00C65F9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3A98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65F9D" w:rsidRPr="003C6C8D" w:rsidRDefault="00C65F9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E882714" wp14:editId="084FFC8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68C8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F97FE8A" wp14:editId="050CEE1F">
          <wp:extent cx="1153274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F9D" w:rsidRDefault="00C65F9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17C3A6" wp14:editId="16B98D7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5F9D" w:rsidRPr="00C97596" w:rsidRDefault="00C65F9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05.04.2019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7C3A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65F9D" w:rsidRPr="00C97596" w:rsidRDefault="00C65F9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05.04.2019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F9D" w:rsidRDefault="00C65F9D">
    <w:pPr>
      <w:pStyle w:val="Nagwek"/>
    </w:pPr>
  </w:p>
  <w:p w:rsidR="00C65F9D" w:rsidRDefault="00C65F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071C8"/>
    <w:rsid w:val="000108B8"/>
    <w:rsid w:val="000152F5"/>
    <w:rsid w:val="0001745A"/>
    <w:rsid w:val="000200A8"/>
    <w:rsid w:val="0004582E"/>
    <w:rsid w:val="000470AA"/>
    <w:rsid w:val="00057CA1"/>
    <w:rsid w:val="000662E2"/>
    <w:rsid w:val="00066883"/>
    <w:rsid w:val="00074DD8"/>
    <w:rsid w:val="000806F7"/>
    <w:rsid w:val="000939BA"/>
    <w:rsid w:val="00097840"/>
    <w:rsid w:val="000A4081"/>
    <w:rsid w:val="000B0727"/>
    <w:rsid w:val="000C0D18"/>
    <w:rsid w:val="000C135D"/>
    <w:rsid w:val="000D17AB"/>
    <w:rsid w:val="000D1D43"/>
    <w:rsid w:val="000D225C"/>
    <w:rsid w:val="000D25D6"/>
    <w:rsid w:val="000D2A5C"/>
    <w:rsid w:val="000E0918"/>
    <w:rsid w:val="001011C3"/>
    <w:rsid w:val="00110D87"/>
    <w:rsid w:val="00114DB9"/>
    <w:rsid w:val="00116087"/>
    <w:rsid w:val="00130296"/>
    <w:rsid w:val="001423B6"/>
    <w:rsid w:val="001448A7"/>
    <w:rsid w:val="00146621"/>
    <w:rsid w:val="00155873"/>
    <w:rsid w:val="00162325"/>
    <w:rsid w:val="00165484"/>
    <w:rsid w:val="001700C7"/>
    <w:rsid w:val="00194DFB"/>
    <w:rsid w:val="001951DA"/>
    <w:rsid w:val="0019592F"/>
    <w:rsid w:val="001A4AE5"/>
    <w:rsid w:val="001A519B"/>
    <w:rsid w:val="001C3269"/>
    <w:rsid w:val="001D1DB4"/>
    <w:rsid w:val="001F6897"/>
    <w:rsid w:val="00253565"/>
    <w:rsid w:val="00256D94"/>
    <w:rsid w:val="002574F9"/>
    <w:rsid w:val="00262B61"/>
    <w:rsid w:val="002764F5"/>
    <w:rsid w:val="00276811"/>
    <w:rsid w:val="002816E0"/>
    <w:rsid w:val="00282699"/>
    <w:rsid w:val="00287AB5"/>
    <w:rsid w:val="002926DF"/>
    <w:rsid w:val="00296697"/>
    <w:rsid w:val="002B0472"/>
    <w:rsid w:val="002B6B12"/>
    <w:rsid w:val="002C1B93"/>
    <w:rsid w:val="002D7B1A"/>
    <w:rsid w:val="002E6140"/>
    <w:rsid w:val="002E6985"/>
    <w:rsid w:val="002E71B6"/>
    <w:rsid w:val="002F77C8"/>
    <w:rsid w:val="00304F22"/>
    <w:rsid w:val="00306C7C"/>
    <w:rsid w:val="00322EDD"/>
    <w:rsid w:val="00332320"/>
    <w:rsid w:val="00342EC3"/>
    <w:rsid w:val="00347D72"/>
    <w:rsid w:val="00357611"/>
    <w:rsid w:val="003616C1"/>
    <w:rsid w:val="00363948"/>
    <w:rsid w:val="00365F62"/>
    <w:rsid w:val="00367237"/>
    <w:rsid w:val="0037077F"/>
    <w:rsid w:val="00372411"/>
    <w:rsid w:val="00373882"/>
    <w:rsid w:val="00377780"/>
    <w:rsid w:val="003843DB"/>
    <w:rsid w:val="00393761"/>
    <w:rsid w:val="00397D18"/>
    <w:rsid w:val="003A1B36"/>
    <w:rsid w:val="003B1454"/>
    <w:rsid w:val="003B18B6"/>
    <w:rsid w:val="003C0CB1"/>
    <w:rsid w:val="003C59E0"/>
    <w:rsid w:val="003C6C8D"/>
    <w:rsid w:val="003D4F95"/>
    <w:rsid w:val="003D5F42"/>
    <w:rsid w:val="003D60A9"/>
    <w:rsid w:val="003D7087"/>
    <w:rsid w:val="003E24D5"/>
    <w:rsid w:val="003E2A1B"/>
    <w:rsid w:val="003F4C97"/>
    <w:rsid w:val="003F7FE6"/>
    <w:rsid w:val="00400193"/>
    <w:rsid w:val="004212E7"/>
    <w:rsid w:val="0042446D"/>
    <w:rsid w:val="004262B0"/>
    <w:rsid w:val="00427BF8"/>
    <w:rsid w:val="00431C02"/>
    <w:rsid w:val="00437395"/>
    <w:rsid w:val="00445047"/>
    <w:rsid w:val="0045551C"/>
    <w:rsid w:val="004567A0"/>
    <w:rsid w:val="00462B64"/>
    <w:rsid w:val="00463E39"/>
    <w:rsid w:val="004652B1"/>
    <w:rsid w:val="004653FA"/>
    <w:rsid w:val="004657FC"/>
    <w:rsid w:val="004733F6"/>
    <w:rsid w:val="00474E69"/>
    <w:rsid w:val="004939BC"/>
    <w:rsid w:val="0049621B"/>
    <w:rsid w:val="004A4F94"/>
    <w:rsid w:val="004B10CA"/>
    <w:rsid w:val="004B3C88"/>
    <w:rsid w:val="004C1895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511D2"/>
    <w:rsid w:val="005520D8"/>
    <w:rsid w:val="00556CF1"/>
    <w:rsid w:val="005762A7"/>
    <w:rsid w:val="005916D7"/>
    <w:rsid w:val="005960DB"/>
    <w:rsid w:val="005A698C"/>
    <w:rsid w:val="005D14B0"/>
    <w:rsid w:val="005E0799"/>
    <w:rsid w:val="005E50FA"/>
    <w:rsid w:val="005F5A80"/>
    <w:rsid w:val="00600665"/>
    <w:rsid w:val="0060339B"/>
    <w:rsid w:val="006035D3"/>
    <w:rsid w:val="006044FF"/>
    <w:rsid w:val="00607CC5"/>
    <w:rsid w:val="00623516"/>
    <w:rsid w:val="00633014"/>
    <w:rsid w:val="0063437B"/>
    <w:rsid w:val="00656E04"/>
    <w:rsid w:val="006673CA"/>
    <w:rsid w:val="00673C26"/>
    <w:rsid w:val="006812AF"/>
    <w:rsid w:val="0068260F"/>
    <w:rsid w:val="0068327D"/>
    <w:rsid w:val="00684617"/>
    <w:rsid w:val="00694AF0"/>
    <w:rsid w:val="00696765"/>
    <w:rsid w:val="006A4686"/>
    <w:rsid w:val="006B0E9E"/>
    <w:rsid w:val="006B122A"/>
    <w:rsid w:val="006B5AE4"/>
    <w:rsid w:val="006B5C98"/>
    <w:rsid w:val="006D1507"/>
    <w:rsid w:val="006D4054"/>
    <w:rsid w:val="006D6FBE"/>
    <w:rsid w:val="006E02EC"/>
    <w:rsid w:val="006E4E0E"/>
    <w:rsid w:val="0070499A"/>
    <w:rsid w:val="007211B1"/>
    <w:rsid w:val="0072493B"/>
    <w:rsid w:val="00746187"/>
    <w:rsid w:val="00755B7D"/>
    <w:rsid w:val="0076254F"/>
    <w:rsid w:val="007738B5"/>
    <w:rsid w:val="0077644F"/>
    <w:rsid w:val="007801F5"/>
    <w:rsid w:val="00783CA4"/>
    <w:rsid w:val="007842FB"/>
    <w:rsid w:val="0078596A"/>
    <w:rsid w:val="00786124"/>
    <w:rsid w:val="0079472D"/>
    <w:rsid w:val="0079514B"/>
    <w:rsid w:val="007A2DC1"/>
    <w:rsid w:val="007C55B2"/>
    <w:rsid w:val="007C7EA9"/>
    <w:rsid w:val="007D3319"/>
    <w:rsid w:val="007D335D"/>
    <w:rsid w:val="007E3314"/>
    <w:rsid w:val="007E4B03"/>
    <w:rsid w:val="007F324B"/>
    <w:rsid w:val="0080553C"/>
    <w:rsid w:val="00805B46"/>
    <w:rsid w:val="00825DC2"/>
    <w:rsid w:val="00832467"/>
    <w:rsid w:val="00834AD3"/>
    <w:rsid w:val="00843795"/>
    <w:rsid w:val="00847BA7"/>
    <w:rsid w:val="00847F0F"/>
    <w:rsid w:val="00852448"/>
    <w:rsid w:val="00861BC1"/>
    <w:rsid w:val="00873659"/>
    <w:rsid w:val="0088258A"/>
    <w:rsid w:val="00886332"/>
    <w:rsid w:val="008A17A7"/>
    <w:rsid w:val="008A26D9"/>
    <w:rsid w:val="008B1F13"/>
    <w:rsid w:val="008B7EFE"/>
    <w:rsid w:val="008C0C29"/>
    <w:rsid w:val="008D3D66"/>
    <w:rsid w:val="008D4206"/>
    <w:rsid w:val="008F3638"/>
    <w:rsid w:val="008F4441"/>
    <w:rsid w:val="008F6E53"/>
    <w:rsid w:val="008F6F31"/>
    <w:rsid w:val="008F74DF"/>
    <w:rsid w:val="009127BA"/>
    <w:rsid w:val="009227A6"/>
    <w:rsid w:val="00933EC1"/>
    <w:rsid w:val="009530DB"/>
    <w:rsid w:val="00953676"/>
    <w:rsid w:val="00955419"/>
    <w:rsid w:val="0095545E"/>
    <w:rsid w:val="009705EE"/>
    <w:rsid w:val="009711F5"/>
    <w:rsid w:val="00977927"/>
    <w:rsid w:val="0098135C"/>
    <w:rsid w:val="0098156A"/>
    <w:rsid w:val="00982EEF"/>
    <w:rsid w:val="00983CF4"/>
    <w:rsid w:val="00983FCE"/>
    <w:rsid w:val="00991BAC"/>
    <w:rsid w:val="009A6EA0"/>
    <w:rsid w:val="009A78BA"/>
    <w:rsid w:val="009C1335"/>
    <w:rsid w:val="009C1AB2"/>
    <w:rsid w:val="009C7251"/>
    <w:rsid w:val="009E11E1"/>
    <w:rsid w:val="009E2E91"/>
    <w:rsid w:val="009E2EC4"/>
    <w:rsid w:val="009F59D6"/>
    <w:rsid w:val="00A139F5"/>
    <w:rsid w:val="00A246AF"/>
    <w:rsid w:val="00A365F4"/>
    <w:rsid w:val="00A47D80"/>
    <w:rsid w:val="00A53132"/>
    <w:rsid w:val="00A5355A"/>
    <w:rsid w:val="00A563F2"/>
    <w:rsid w:val="00A566E8"/>
    <w:rsid w:val="00A810F9"/>
    <w:rsid w:val="00A8212F"/>
    <w:rsid w:val="00A839C2"/>
    <w:rsid w:val="00A86ECC"/>
    <w:rsid w:val="00A86FCC"/>
    <w:rsid w:val="00AA0CF6"/>
    <w:rsid w:val="00AA12DB"/>
    <w:rsid w:val="00AA1B06"/>
    <w:rsid w:val="00AA710D"/>
    <w:rsid w:val="00AB329A"/>
    <w:rsid w:val="00AB6D25"/>
    <w:rsid w:val="00AE2D4B"/>
    <w:rsid w:val="00AE4F99"/>
    <w:rsid w:val="00AF19F2"/>
    <w:rsid w:val="00B11B69"/>
    <w:rsid w:val="00B14952"/>
    <w:rsid w:val="00B17C91"/>
    <w:rsid w:val="00B260F3"/>
    <w:rsid w:val="00B31E5A"/>
    <w:rsid w:val="00B338F6"/>
    <w:rsid w:val="00B5447C"/>
    <w:rsid w:val="00B62131"/>
    <w:rsid w:val="00B653AB"/>
    <w:rsid w:val="00B65F9E"/>
    <w:rsid w:val="00B66B19"/>
    <w:rsid w:val="00B914E9"/>
    <w:rsid w:val="00B956EE"/>
    <w:rsid w:val="00BA2BA1"/>
    <w:rsid w:val="00BA3562"/>
    <w:rsid w:val="00BB4F09"/>
    <w:rsid w:val="00BD4E33"/>
    <w:rsid w:val="00C01503"/>
    <w:rsid w:val="00C030DE"/>
    <w:rsid w:val="00C22105"/>
    <w:rsid w:val="00C244B6"/>
    <w:rsid w:val="00C3702F"/>
    <w:rsid w:val="00C4500A"/>
    <w:rsid w:val="00C56ED8"/>
    <w:rsid w:val="00C64A37"/>
    <w:rsid w:val="00C65F9D"/>
    <w:rsid w:val="00C7158E"/>
    <w:rsid w:val="00C7250B"/>
    <w:rsid w:val="00C7346B"/>
    <w:rsid w:val="00C75769"/>
    <w:rsid w:val="00C77C0E"/>
    <w:rsid w:val="00C81C3B"/>
    <w:rsid w:val="00C829C4"/>
    <w:rsid w:val="00C83C12"/>
    <w:rsid w:val="00C91687"/>
    <w:rsid w:val="00C924A8"/>
    <w:rsid w:val="00C945FE"/>
    <w:rsid w:val="00C96FAA"/>
    <w:rsid w:val="00C97A04"/>
    <w:rsid w:val="00CA107B"/>
    <w:rsid w:val="00CA484D"/>
    <w:rsid w:val="00CA4FB6"/>
    <w:rsid w:val="00CC739E"/>
    <w:rsid w:val="00CD58B7"/>
    <w:rsid w:val="00CD7F9D"/>
    <w:rsid w:val="00CF4099"/>
    <w:rsid w:val="00CF7628"/>
    <w:rsid w:val="00D00796"/>
    <w:rsid w:val="00D21705"/>
    <w:rsid w:val="00D261A2"/>
    <w:rsid w:val="00D315A1"/>
    <w:rsid w:val="00D4540A"/>
    <w:rsid w:val="00D45424"/>
    <w:rsid w:val="00D616D2"/>
    <w:rsid w:val="00D63B5F"/>
    <w:rsid w:val="00D70EF7"/>
    <w:rsid w:val="00D8397C"/>
    <w:rsid w:val="00D94EED"/>
    <w:rsid w:val="00D96026"/>
    <w:rsid w:val="00DA7C1C"/>
    <w:rsid w:val="00DB147A"/>
    <w:rsid w:val="00DB1B7A"/>
    <w:rsid w:val="00DB7A9D"/>
    <w:rsid w:val="00DC6708"/>
    <w:rsid w:val="00DD09F5"/>
    <w:rsid w:val="00DE79A4"/>
    <w:rsid w:val="00DF1C87"/>
    <w:rsid w:val="00E01436"/>
    <w:rsid w:val="00E045BD"/>
    <w:rsid w:val="00E178CE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664C5"/>
    <w:rsid w:val="00E671A2"/>
    <w:rsid w:val="00E761AE"/>
    <w:rsid w:val="00E76D26"/>
    <w:rsid w:val="00EB1390"/>
    <w:rsid w:val="00EB2C71"/>
    <w:rsid w:val="00EB4340"/>
    <w:rsid w:val="00EB556D"/>
    <w:rsid w:val="00EB5A7D"/>
    <w:rsid w:val="00EC722E"/>
    <w:rsid w:val="00ED55C0"/>
    <w:rsid w:val="00ED682B"/>
    <w:rsid w:val="00ED68C3"/>
    <w:rsid w:val="00ED7291"/>
    <w:rsid w:val="00EE41D5"/>
    <w:rsid w:val="00EE5155"/>
    <w:rsid w:val="00F037A4"/>
    <w:rsid w:val="00F20E8E"/>
    <w:rsid w:val="00F27C8F"/>
    <w:rsid w:val="00F32749"/>
    <w:rsid w:val="00F37172"/>
    <w:rsid w:val="00F4477E"/>
    <w:rsid w:val="00F5773F"/>
    <w:rsid w:val="00F67D8F"/>
    <w:rsid w:val="00F802BE"/>
    <w:rsid w:val="00F80E93"/>
    <w:rsid w:val="00F86024"/>
    <w:rsid w:val="00F8611A"/>
    <w:rsid w:val="00FA5128"/>
    <w:rsid w:val="00FB3F03"/>
    <w:rsid w:val="00FB42D4"/>
    <w:rsid w:val="00FB5906"/>
    <w:rsid w:val="00FB762F"/>
    <w:rsid w:val="00FC2AED"/>
    <w:rsid w:val="00FC3C55"/>
    <w:rsid w:val="00FC4A80"/>
    <w:rsid w:val="00FD5EA7"/>
    <w:rsid w:val="00FE7826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3D432-B92A-4E91-A717-C29F64E2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h.nalepa@stat.gov.pl" TargetMode="External"/><Relationship Id="rId26" Type="http://schemas.openxmlformats.org/officeDocument/2006/relationships/hyperlink" Target="http://stat.gov.pl/metainformacje/slownik-pojec/pojecia-stosowane-w-statystyce-publicznej/156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obszary-tematyczne/podmioty-gospodarcze-wyniki-finansowe/przedsiebiorstwa-finansowe/polski-rynek-ubezpieczeniowy-2016,11,7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156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metainformacje/slownik-pojec/pojecia-stosowane-w-statystyce-publicznej/1562,pojecie.html" TargetMode="External"/><Relationship Id="rId30" Type="http://schemas.openxmlformats.org/officeDocument/2006/relationships/hyperlink" Target="http://stat.gov.pl/metainformacje/slownik-pojec/pojecia-stosowane-w-statystyce-publicznej/1568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V-Kw_dane%20przekopiowane_wst&#281;pn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mrowiec\Halina\Tablice%20pomocnicze%20Halina\GUS-2018_IV-Kw_dane%20przekopiowane_wst&#281;pne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1876112450327365"/>
          <c:w val="0.82527744793412139"/>
          <c:h val="0.7614738369616711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numRef>
              <c:f>Arkusz1!$C$7:$G$7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Arkusz1!$C$8:$G$8</c:f>
              <c:numCache>
                <c:formatCode>0</c:formatCode>
                <c:ptCount val="5"/>
                <c:pt idx="0">
                  <c:v>3279.5049152399997</c:v>
                </c:pt>
                <c:pt idx="1">
                  <c:v>2844.71210935</c:v>
                </c:pt>
                <c:pt idx="2">
                  <c:v>2939.87522868</c:v>
                </c:pt>
                <c:pt idx="3">
                  <c:v>3043.26913848</c:v>
                </c:pt>
                <c:pt idx="4">
                  <c:v>3081.6145913300002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339D68"/>
            </a:solidFill>
          </c:spPr>
          <c:invertIfNegative val="0"/>
          <c:cat>
            <c:numRef>
              <c:f>Arkusz1!$C$7:$G$7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Arkusz1!$C$9:$G$9</c:f>
              <c:numCache>
                <c:formatCode>0</c:formatCode>
                <c:ptCount val="5"/>
                <c:pt idx="0">
                  <c:v>2963.0240780599997</c:v>
                </c:pt>
                <c:pt idx="1">
                  <c:v>3046.1789553100002</c:v>
                </c:pt>
                <c:pt idx="2">
                  <c:v>2169.8536620599998</c:v>
                </c:pt>
                <c:pt idx="3">
                  <c:v>2277.96521575</c:v>
                </c:pt>
                <c:pt idx="4">
                  <c:v>2449.13042898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681216"/>
        <c:axId val="68682848"/>
      </c:barChart>
      <c:catAx>
        <c:axId val="6868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68682848"/>
        <c:crossesAt val="0"/>
        <c:auto val="1"/>
        <c:lblAlgn val="ctr"/>
        <c:lblOffset val="100"/>
        <c:noMultiLvlLbl val="0"/>
      </c:catAx>
      <c:valAx>
        <c:axId val="68682848"/>
        <c:scaling>
          <c:orientation val="minMax"/>
          <c:max val="52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90405365995917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68681216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42073605610431897"/>
          <c:y val="9.5847823520357006E-2"/>
          <c:w val="0.49252641630531768"/>
          <c:h val="0.2714016666666666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150148852544818E-2"/>
          <c:y val="0.10868798450796947"/>
          <c:w val="0.82527744793412139"/>
          <c:h val="0.75470040819026785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Arkusz1!$B$8</c:f>
              <c:strCache>
                <c:ptCount val="1"/>
                <c:pt idx="0">
                  <c:v>Wynik
techniczny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numRef>
              <c:f>Arkusz1!$K$7:$O$7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Arkusz1!$K$8:$O$8</c:f>
              <c:numCache>
                <c:formatCode>0</c:formatCode>
                <c:ptCount val="5"/>
                <c:pt idx="0">
                  <c:v>785.5944821300003</c:v>
                </c:pt>
                <c:pt idx="1">
                  <c:v>246.15721783000001</c:v>
                </c:pt>
                <c:pt idx="2">
                  <c:v>366.47954771999997</c:v>
                </c:pt>
                <c:pt idx="3">
                  <c:v>2069.36215515</c:v>
                </c:pt>
                <c:pt idx="4">
                  <c:v>2953.24291911</c:v>
                </c:pt>
              </c:numCache>
            </c:numRef>
          </c:val>
        </c:ser>
        <c:ser>
          <c:idx val="4"/>
          <c:order val="1"/>
          <c:tx>
            <c:strRef>
              <c:f>Arkusz1!$B$9</c:f>
              <c:strCache>
                <c:ptCount val="1"/>
                <c:pt idx="0">
                  <c:v>Wynik 
finansowy netto</c:v>
                </c:pt>
              </c:strCache>
            </c:strRef>
          </c:tx>
          <c:spPr>
            <a:solidFill>
              <a:srgbClr val="339D68"/>
            </a:solidFill>
          </c:spPr>
          <c:invertIfNegative val="0"/>
          <c:cat>
            <c:numRef>
              <c:f>Arkusz1!$K$7:$O$7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Arkusz1!$K$9:$O$9</c:f>
              <c:numCache>
                <c:formatCode>0</c:formatCode>
                <c:ptCount val="5"/>
                <c:pt idx="0">
                  <c:v>3719.1605763600001</c:v>
                </c:pt>
                <c:pt idx="1">
                  <c:v>2574.1808334299999</c:v>
                </c:pt>
                <c:pt idx="2">
                  <c:v>1928.9474510900002</c:v>
                </c:pt>
                <c:pt idx="3">
                  <c:v>3485.9889288899999</c:v>
                </c:pt>
                <c:pt idx="4">
                  <c:v>4152.7167066299999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681760"/>
        <c:axId val="68683392"/>
      </c:barChart>
      <c:catAx>
        <c:axId val="6868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68683392"/>
        <c:crossesAt val="0"/>
        <c:auto val="1"/>
        <c:lblAlgn val="ctr"/>
        <c:lblOffset val="100"/>
        <c:noMultiLvlLbl val="0"/>
      </c:catAx>
      <c:valAx>
        <c:axId val="68683392"/>
        <c:scaling>
          <c:orientation val="minMax"/>
          <c:max val="5200"/>
          <c:min val="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pl-PL"/>
                  <a:t>mln zł</a:t>
                </a:r>
              </a:p>
            </c:rich>
          </c:tx>
          <c:layout>
            <c:manualLayout>
              <c:xMode val="edge"/>
              <c:yMode val="edge"/>
              <c:x val="2.8380598766617588E-4"/>
              <c:y val="1.0087869451101221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68681760"/>
        <c:crosses val="autoZero"/>
        <c:crossBetween val="between"/>
        <c:majorUnit val="1000"/>
      </c:valAx>
    </c:plotArea>
    <c:legend>
      <c:legendPos val="b"/>
      <c:layout>
        <c:manualLayout>
          <c:xMode val="edge"/>
          <c:yMode val="edge"/>
          <c:x val="0.28137165781106632"/>
          <c:y val="7.1525879435559117E-2"/>
          <c:w val="0.43420971768772809"/>
          <c:h val="0.318122222222222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F9726-C319-4ACD-9904-00D08294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zakładów ubezpieczeń w 2018 roku</dc:title>
  <cp:revision>2</cp:revision>
  <cp:lastPrinted>2019-03-25T08:23:00Z</cp:lastPrinted>
  <dcterms:created xsi:type="dcterms:W3CDTF">2019-04-05T06:16:00Z</dcterms:created>
  <dcterms:modified xsi:type="dcterms:W3CDTF">2019-04-05T06:16:00Z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