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70" w:rsidRDefault="000B7D5D" w:rsidP="000B7D5D">
      <w:pPr>
        <w:pStyle w:val="tytuinformacji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Wyniki finansowe </w:t>
      </w:r>
      <w:r w:rsidR="00C84C99">
        <w:rPr>
          <w:shd w:val="clear" w:color="auto" w:fill="FFFFFF"/>
        </w:rPr>
        <w:t xml:space="preserve"> funduszy inwestycyjnych </w:t>
      </w:r>
    </w:p>
    <w:p w:rsidR="0098135C" w:rsidRPr="009711F5" w:rsidRDefault="00416E70" w:rsidP="000B7D5D">
      <w:pPr>
        <w:pStyle w:val="tytuinformacji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i </w:t>
      </w:r>
      <w:r w:rsidR="00C84C99">
        <w:rPr>
          <w:shd w:val="clear" w:color="auto" w:fill="FFFFFF"/>
        </w:rPr>
        <w:t>towarzystw funduszy inwestycyjnych</w:t>
      </w:r>
      <w:r w:rsidR="002F00B0">
        <w:rPr>
          <w:shd w:val="clear" w:color="auto" w:fill="FFFFFF"/>
        </w:rPr>
        <w:t xml:space="preserve"> </w:t>
      </w:r>
      <w:r w:rsidR="002A266D">
        <w:rPr>
          <w:shd w:val="clear" w:color="auto" w:fill="FFFFFF"/>
        </w:rPr>
        <w:t>w I półroczu</w:t>
      </w:r>
      <w:r w:rsidR="000B7D5D" w:rsidRPr="000B7D5D">
        <w:rPr>
          <w:shd w:val="clear" w:color="auto" w:fill="FFFFFF"/>
        </w:rPr>
        <w:t xml:space="preserve"> </w:t>
      </w:r>
      <w:r w:rsidR="002A266D">
        <w:rPr>
          <w:shd w:val="clear" w:color="auto" w:fill="FFFFFF"/>
        </w:rPr>
        <w:t xml:space="preserve">2019 </w:t>
      </w:r>
      <w:r w:rsidR="000B7D5D" w:rsidRPr="000B7D5D">
        <w:rPr>
          <w:shd w:val="clear" w:color="auto" w:fill="FFFFFF"/>
        </w:rPr>
        <w:t>roku</w:t>
      </w:r>
    </w:p>
    <w:p w:rsidR="00393761" w:rsidRPr="009711F5" w:rsidRDefault="008560D4" w:rsidP="00074DD8">
      <w:pPr>
        <w:pStyle w:val="tytuinformacji"/>
        <w:rPr>
          <w:sz w:val="32"/>
        </w:rPr>
      </w:pPr>
      <w:r w:rsidRPr="008560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411pt;margin-top:17.65pt;width:135.85pt;height:139.9pt;z-index:-2515425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" filled="f" stroked="f">
            <v:textbox>
              <w:txbxContent>
                <w:p w:rsidR="007F28C0" w:rsidRPr="009711F5" w:rsidRDefault="007F28C0" w:rsidP="007F28C0">
                  <w:pPr>
                    <w:pStyle w:val="tekstzboku"/>
                  </w:pPr>
                  <w:r w:rsidRPr="00271812">
                    <w:t xml:space="preserve">Wynik </w:t>
                  </w:r>
                  <w:r>
                    <w:t>finansowy netto TFI wyniósł na koniec</w:t>
                  </w:r>
                  <w:r w:rsidRPr="00271812">
                    <w:t> I półro</w:t>
                  </w:r>
                  <w:r>
                    <w:t>cza</w:t>
                  </w:r>
                  <w:r w:rsidRPr="00271812">
                    <w:t xml:space="preserve"> 2019 </w:t>
                  </w:r>
                  <w:r>
                    <w:t>r. 0</w:t>
                  </w:r>
                  <w:r w:rsidRPr="00271812">
                    <w:t>,5 mld zł</w:t>
                  </w:r>
                </w:p>
              </w:txbxContent>
            </v:textbox>
            <w10:wrap type="tight"/>
          </v:shape>
        </w:pict>
      </w:r>
    </w:p>
    <w:p w:rsidR="00416E70" w:rsidRDefault="008560D4" w:rsidP="005941F7">
      <w:pPr>
        <w:pStyle w:val="LID"/>
        <w:spacing w:after="0"/>
      </w:pPr>
      <w:r>
        <w:pict>
          <v:shape id="Pole tekstowe 2" o:spid="_x0000_s1026" type="#_x0000_t202" style="position:absolute;margin-left:0;margin-top:6.4pt;width:139.9pt;height:117.0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40232D" w:rsidRPr="00B66B19" w:rsidRDefault="0040232D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19050" r="0" b="0"/>
                        <wp:docPr id="5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scene3d>
                                  <a:camera prst="orthographicFront">
                                    <a:rot lat="0" lon="13200000" rev="0"/>
                                  </a:camera>
                                  <a:lightRig rig="threePt" dir="t"/>
                                </a:scene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736C6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3,8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40232D" w:rsidRPr="007C7F88" w:rsidRDefault="00736C64" w:rsidP="005941F7">
                  <w:pPr>
                    <w:pStyle w:val="tekstnaniebieskimtle"/>
                    <w:spacing w:before="120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Spadek aktywów</w:t>
                  </w:r>
                  <w:r w:rsidR="00B977DD">
                    <w:t xml:space="preserve"> </w:t>
                  </w:r>
                  <w:r w:rsidR="0040232D">
                    <w:t xml:space="preserve">funduszy inwestycyjnych </w:t>
                  </w:r>
                </w:p>
              </w:txbxContent>
            </v:textbox>
            <w10:wrap type="square" anchorx="margin"/>
          </v:shape>
        </w:pict>
      </w:r>
      <w:r w:rsidR="00F41498" w:rsidRPr="00271812">
        <w:t xml:space="preserve">Wartość aktywów ogółem zgromadzonych </w:t>
      </w:r>
      <w:r w:rsidR="00276839" w:rsidRPr="00271812">
        <w:t>p</w:t>
      </w:r>
      <w:r w:rsidR="00F41498" w:rsidRPr="00271812">
        <w:t>rze</w:t>
      </w:r>
      <w:r w:rsidR="00276839" w:rsidRPr="00271812">
        <w:t xml:space="preserve">z </w:t>
      </w:r>
      <w:r w:rsidR="00F41498" w:rsidRPr="00271812">
        <w:t xml:space="preserve">fundusze inwestycyjne </w:t>
      </w:r>
      <w:r w:rsidR="00385C33" w:rsidRPr="00271812">
        <w:t>na koniec czerwca 2019</w:t>
      </w:r>
      <w:r w:rsidR="00047E14" w:rsidRPr="00271812">
        <w:t> </w:t>
      </w:r>
      <w:r w:rsidR="00385C33" w:rsidRPr="00271812">
        <w:t>r. wyniosła 321,4</w:t>
      </w:r>
      <w:r w:rsidR="004E177A">
        <w:t> </w:t>
      </w:r>
      <w:r w:rsidR="00385622" w:rsidRPr="00271812">
        <w:t>mld</w:t>
      </w:r>
      <w:r w:rsidR="00047E14" w:rsidRPr="00271812">
        <w:t> </w:t>
      </w:r>
      <w:r w:rsidR="00385C33" w:rsidRPr="00271812">
        <w:t>zł (spadek o 3,8</w:t>
      </w:r>
      <w:r w:rsidR="00385622" w:rsidRPr="00271812">
        <w:t>% w stosunku do</w:t>
      </w:r>
      <w:r w:rsidR="00385C33" w:rsidRPr="00271812">
        <w:t xml:space="preserve"> końca czerwca</w:t>
      </w:r>
      <w:r w:rsidR="00385622" w:rsidRPr="00271812">
        <w:t xml:space="preserve"> roku poprzedniego). </w:t>
      </w:r>
      <w:r w:rsidR="00693F5C" w:rsidRPr="00271812">
        <w:t>Wartość lokat funduszy zm</w:t>
      </w:r>
      <w:r w:rsidR="004C3833" w:rsidRPr="00271812">
        <w:t>n</w:t>
      </w:r>
      <w:r w:rsidR="002B63AC" w:rsidRPr="00271812">
        <w:t>iejszyła się do 280,2 mld zł (o 3,7</w:t>
      </w:r>
      <w:r w:rsidR="00276839" w:rsidRPr="00271812">
        <w:t xml:space="preserve">%). </w:t>
      </w:r>
    </w:p>
    <w:p w:rsidR="007F28C0" w:rsidRDefault="007F28C0" w:rsidP="005941F7">
      <w:pPr>
        <w:pStyle w:val="LID"/>
        <w:spacing w:after="0"/>
      </w:pPr>
    </w:p>
    <w:p w:rsidR="007F28C0" w:rsidRDefault="007F28C0" w:rsidP="005941F7">
      <w:pPr>
        <w:pStyle w:val="LID"/>
        <w:spacing w:after="0"/>
      </w:pPr>
    </w:p>
    <w:p w:rsidR="007F28C0" w:rsidRDefault="007F28C0" w:rsidP="005941F7">
      <w:pPr>
        <w:pStyle w:val="LID"/>
        <w:spacing w:after="0"/>
      </w:pPr>
    </w:p>
    <w:p w:rsidR="007F28C0" w:rsidRPr="00271812" w:rsidRDefault="007F28C0" w:rsidP="005941F7">
      <w:pPr>
        <w:pStyle w:val="LID"/>
        <w:spacing w:after="0"/>
      </w:pPr>
    </w:p>
    <w:p w:rsidR="00027439" w:rsidRPr="00271812" w:rsidRDefault="008560D4" w:rsidP="00027439">
      <w:pPr>
        <w:rPr>
          <w:b/>
          <w:spacing w:val="-2"/>
          <w:sz w:val="18"/>
          <w:shd w:val="clear" w:color="auto" w:fill="FFFFFF"/>
        </w:rPr>
      </w:pPr>
      <w:r w:rsidRPr="008560D4">
        <w:rPr>
          <w:b/>
          <w:noProof/>
          <w:color w:val="212492"/>
          <w:spacing w:val="-2"/>
          <w:szCs w:val="19"/>
          <w:lang w:eastAsia="pl-PL"/>
        </w:rPr>
        <w:pict>
          <v:shape id="_x0000_s1027" type="#_x0000_t202" style="position:absolute;margin-left:412.5pt;margin-top:19pt;width:135.85pt;height:122.25pt;z-index:-2516500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" filled="f" stroked="f">
            <v:textbox>
              <w:txbxContent>
                <w:p w:rsidR="0040232D" w:rsidRPr="009711F5" w:rsidRDefault="0040232D" w:rsidP="005C1D02">
                  <w:pPr>
                    <w:pStyle w:val="tekstzboku"/>
                  </w:pPr>
                  <w:r w:rsidRPr="00271812">
                    <w:t>Wynik z operacji funduszy inwestycyjnych był w I półr</w:t>
                  </w:r>
                  <w:r w:rsidRPr="00271812">
                    <w:t>o</w:t>
                  </w:r>
                  <w:r w:rsidRPr="00271812">
                    <w:t xml:space="preserve">czu 2019 </w:t>
                  </w:r>
                  <w:r w:rsidR="00373FC7" w:rsidRPr="00271812">
                    <w:t>r. dodatni i wyniósł 3,5 mld zł</w:t>
                  </w:r>
                </w:p>
              </w:txbxContent>
            </v:textbox>
            <w10:wrap type="tight"/>
          </v:shape>
        </w:pict>
      </w:r>
      <w:r w:rsidR="00027439" w:rsidRPr="00271812">
        <w:rPr>
          <w:b/>
          <w:spacing w:val="-2"/>
          <w:sz w:val="18"/>
          <w:shd w:val="clear" w:color="auto" w:fill="FFFFFF"/>
        </w:rPr>
        <w:t xml:space="preserve">Tablica 1. </w:t>
      </w:r>
      <w:r w:rsidR="00DE44C0" w:rsidRPr="00271812">
        <w:rPr>
          <w:b/>
          <w:spacing w:val="-2"/>
          <w:sz w:val="18"/>
          <w:shd w:val="clear" w:color="auto" w:fill="FFFFFF"/>
        </w:rPr>
        <w:t xml:space="preserve">Podstawowe dane </w:t>
      </w:r>
      <w:r w:rsidR="0078532B" w:rsidRPr="00271812">
        <w:rPr>
          <w:b/>
          <w:spacing w:val="-2"/>
          <w:sz w:val="18"/>
          <w:shd w:val="clear" w:color="auto" w:fill="FFFFFF"/>
        </w:rPr>
        <w:t>funduszy inwestycyjnych i towarzystw funduszy inwestycyjnych</w:t>
      </w:r>
    </w:p>
    <w:tbl>
      <w:tblPr>
        <w:tblStyle w:val="Siatkatabelijasna1"/>
        <w:tblpPr w:leftFromText="141" w:rightFromText="141" w:vertAnchor="text" w:horzAnchor="margin" w:tblpY="129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/>
      </w:tblPr>
      <w:tblGrid>
        <w:gridCol w:w="2977"/>
        <w:gridCol w:w="1701"/>
        <w:gridCol w:w="1701"/>
        <w:gridCol w:w="1701"/>
      </w:tblGrid>
      <w:tr w:rsidR="00501638" w:rsidRPr="00271812" w:rsidTr="00D755A1">
        <w:trPr>
          <w:trHeight w:val="57"/>
        </w:trPr>
        <w:tc>
          <w:tcPr>
            <w:tcW w:w="2977" w:type="dxa"/>
            <w:vAlign w:val="center"/>
          </w:tcPr>
          <w:p w:rsidR="00501638" w:rsidRPr="00271812" w:rsidRDefault="00501638" w:rsidP="00AF719A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501638" w:rsidRPr="00271812" w:rsidRDefault="00B618C5" w:rsidP="00AF719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9A5580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501638" w:rsidRPr="00271812" w:rsidRDefault="00B618C5" w:rsidP="00AF719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9A5580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501638" w:rsidRPr="00271812" w:rsidRDefault="00B618C5" w:rsidP="00AF719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  <w:r w:rsidR="009A5580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5580" w:rsidRPr="00271812" w:rsidTr="00D755A1">
        <w:trPr>
          <w:trHeight w:val="57"/>
        </w:trPr>
        <w:tc>
          <w:tcPr>
            <w:tcW w:w="8080" w:type="dxa"/>
            <w:gridSpan w:val="4"/>
            <w:tcBorders>
              <w:top w:val="single" w:sz="12" w:space="0" w:color="212492"/>
            </w:tcBorders>
            <w:vAlign w:val="center"/>
          </w:tcPr>
          <w:p w:rsidR="009A5580" w:rsidRPr="00271812" w:rsidRDefault="009A5580" w:rsidP="0078532B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271812">
              <w:rPr>
                <w:b/>
                <w:sz w:val="16"/>
                <w:szCs w:val="16"/>
              </w:rPr>
              <w:t xml:space="preserve">Dane finansowe </w:t>
            </w:r>
            <w:r w:rsidR="0078532B" w:rsidRPr="00271812">
              <w:rPr>
                <w:b/>
                <w:sz w:val="16"/>
                <w:szCs w:val="16"/>
              </w:rPr>
              <w:t xml:space="preserve">funduszy inwestycyjnych </w:t>
            </w:r>
            <w:r w:rsidRPr="00271812">
              <w:rPr>
                <w:b/>
                <w:sz w:val="16"/>
                <w:szCs w:val="16"/>
              </w:rPr>
              <w:t xml:space="preserve"> (w mln zł)</w:t>
            </w:r>
          </w:p>
        </w:tc>
      </w:tr>
      <w:tr w:rsidR="00FB34D2" w:rsidRPr="00271812" w:rsidTr="008D05EF">
        <w:trPr>
          <w:trHeight w:val="57"/>
        </w:trPr>
        <w:tc>
          <w:tcPr>
            <w:tcW w:w="2977" w:type="dxa"/>
          </w:tcPr>
          <w:p w:rsidR="00FB34D2" w:rsidRPr="00271812" w:rsidRDefault="00FB34D2" w:rsidP="00FB34D2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 xml:space="preserve">Aktywa ogółem, w tym: 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FB34D2" w:rsidRPr="00271812" w:rsidRDefault="000D19E0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334 154,1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FB34D2" w:rsidRPr="00271812" w:rsidRDefault="003B2EE1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321 430,5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FB34D2" w:rsidRPr="00271812" w:rsidRDefault="00FA7078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96,2</w:t>
            </w:r>
          </w:p>
        </w:tc>
      </w:tr>
      <w:tr w:rsidR="00FB34D2" w:rsidRPr="00271812" w:rsidTr="008D05EF">
        <w:trPr>
          <w:trHeight w:val="57"/>
        </w:trPr>
        <w:tc>
          <w:tcPr>
            <w:tcW w:w="2977" w:type="dxa"/>
          </w:tcPr>
          <w:p w:rsidR="00FB34D2" w:rsidRPr="00271812" w:rsidRDefault="00FB34D2" w:rsidP="00FB34D2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Lokaty</w:t>
            </w:r>
          </w:p>
        </w:tc>
        <w:tc>
          <w:tcPr>
            <w:tcW w:w="1701" w:type="dxa"/>
            <w:vAlign w:val="center"/>
          </w:tcPr>
          <w:p w:rsidR="00FB34D2" w:rsidRPr="00271812" w:rsidRDefault="000D19E0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290 912,6</w:t>
            </w:r>
          </w:p>
        </w:tc>
        <w:tc>
          <w:tcPr>
            <w:tcW w:w="1701" w:type="dxa"/>
            <w:vAlign w:val="center"/>
          </w:tcPr>
          <w:p w:rsidR="00FB34D2" w:rsidRPr="00271812" w:rsidRDefault="00BA3E54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280 240,4</w:t>
            </w:r>
          </w:p>
        </w:tc>
        <w:tc>
          <w:tcPr>
            <w:tcW w:w="1701" w:type="dxa"/>
            <w:vAlign w:val="center"/>
          </w:tcPr>
          <w:p w:rsidR="00FB34D2" w:rsidRPr="00271812" w:rsidRDefault="00BA3E54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96</w:t>
            </w:r>
            <w:r w:rsidR="00FA7078" w:rsidRPr="00271812">
              <w:rPr>
                <w:sz w:val="16"/>
                <w:szCs w:val="16"/>
              </w:rPr>
              <w:t>,3</w:t>
            </w:r>
          </w:p>
        </w:tc>
      </w:tr>
      <w:tr w:rsidR="00FB34D2" w:rsidRPr="00271812" w:rsidTr="008D05EF">
        <w:trPr>
          <w:trHeight w:val="57"/>
        </w:trPr>
        <w:tc>
          <w:tcPr>
            <w:tcW w:w="2977" w:type="dxa"/>
          </w:tcPr>
          <w:p w:rsidR="00FB34D2" w:rsidRPr="00271812" w:rsidRDefault="00FB34D2" w:rsidP="00FB34D2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Należności</w:t>
            </w:r>
          </w:p>
        </w:tc>
        <w:tc>
          <w:tcPr>
            <w:tcW w:w="1701" w:type="dxa"/>
            <w:vAlign w:val="center"/>
          </w:tcPr>
          <w:p w:rsidR="00FB34D2" w:rsidRPr="00271812" w:rsidRDefault="000D19E0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18 687,0</w:t>
            </w:r>
          </w:p>
        </w:tc>
        <w:tc>
          <w:tcPr>
            <w:tcW w:w="1701" w:type="dxa"/>
            <w:vAlign w:val="center"/>
          </w:tcPr>
          <w:p w:rsidR="00FB34D2" w:rsidRPr="00271812" w:rsidRDefault="00FA7078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14 429,4</w:t>
            </w:r>
          </w:p>
        </w:tc>
        <w:tc>
          <w:tcPr>
            <w:tcW w:w="1701" w:type="dxa"/>
            <w:vAlign w:val="center"/>
          </w:tcPr>
          <w:p w:rsidR="00FB34D2" w:rsidRPr="00271812" w:rsidRDefault="00FA7078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77,2</w:t>
            </w:r>
          </w:p>
        </w:tc>
      </w:tr>
      <w:tr w:rsidR="00FB34D2" w:rsidRPr="00271812" w:rsidTr="008D05EF">
        <w:trPr>
          <w:trHeight w:val="57"/>
        </w:trPr>
        <w:tc>
          <w:tcPr>
            <w:tcW w:w="2977" w:type="dxa"/>
          </w:tcPr>
          <w:p w:rsidR="00FB34D2" w:rsidRPr="00271812" w:rsidRDefault="00FB34D2" w:rsidP="00FB34D2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Środki pieniężne i ich ekwiwalenty</w:t>
            </w:r>
          </w:p>
        </w:tc>
        <w:tc>
          <w:tcPr>
            <w:tcW w:w="1701" w:type="dxa"/>
            <w:vAlign w:val="center"/>
          </w:tcPr>
          <w:p w:rsidR="00FB34D2" w:rsidRPr="00271812" w:rsidRDefault="000D19E0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16 363,8</w:t>
            </w:r>
          </w:p>
        </w:tc>
        <w:tc>
          <w:tcPr>
            <w:tcW w:w="1701" w:type="dxa"/>
            <w:vAlign w:val="center"/>
          </w:tcPr>
          <w:p w:rsidR="00FB34D2" w:rsidRPr="00271812" w:rsidRDefault="00FA7078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14 815,3</w:t>
            </w:r>
          </w:p>
        </w:tc>
        <w:tc>
          <w:tcPr>
            <w:tcW w:w="1701" w:type="dxa"/>
            <w:vAlign w:val="center"/>
          </w:tcPr>
          <w:p w:rsidR="00FB34D2" w:rsidRPr="00271812" w:rsidRDefault="00FA7078" w:rsidP="00FB34D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90,5</w:t>
            </w:r>
          </w:p>
        </w:tc>
      </w:tr>
      <w:tr w:rsidR="0080410D" w:rsidRPr="00271812" w:rsidTr="008D05EF">
        <w:trPr>
          <w:trHeight w:val="57"/>
        </w:trPr>
        <w:tc>
          <w:tcPr>
            <w:tcW w:w="2977" w:type="dxa"/>
          </w:tcPr>
          <w:p w:rsidR="0080410D" w:rsidRPr="00271812" w:rsidRDefault="0080410D" w:rsidP="0022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center"/>
          </w:tcPr>
          <w:p w:rsidR="0080410D" w:rsidRPr="00271812" w:rsidRDefault="0080410D" w:rsidP="00FB34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10 469,7</w:t>
            </w:r>
          </w:p>
        </w:tc>
        <w:tc>
          <w:tcPr>
            <w:tcW w:w="1701" w:type="dxa"/>
            <w:vAlign w:val="center"/>
          </w:tcPr>
          <w:p w:rsidR="0080410D" w:rsidRPr="00271812" w:rsidRDefault="0080410D" w:rsidP="00FB34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3 450,9</w:t>
            </w:r>
          </w:p>
        </w:tc>
        <w:tc>
          <w:tcPr>
            <w:tcW w:w="1701" w:type="dxa"/>
            <w:vAlign w:val="center"/>
          </w:tcPr>
          <w:p w:rsidR="0080410D" w:rsidRPr="00271812" w:rsidRDefault="0080410D" w:rsidP="00FB34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</w:tr>
      <w:tr w:rsidR="00FB34D2" w:rsidRPr="00271812" w:rsidTr="00D755A1">
        <w:trPr>
          <w:trHeight w:val="57"/>
        </w:trPr>
        <w:tc>
          <w:tcPr>
            <w:tcW w:w="8080" w:type="dxa"/>
            <w:gridSpan w:val="4"/>
            <w:vAlign w:val="center"/>
          </w:tcPr>
          <w:p w:rsidR="00FB34D2" w:rsidRPr="00271812" w:rsidRDefault="00FB34D2" w:rsidP="00FB34D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271812">
              <w:rPr>
                <w:b/>
                <w:color w:val="000000" w:themeColor="text1"/>
                <w:sz w:val="16"/>
                <w:szCs w:val="16"/>
              </w:rPr>
              <w:t>Dane finansowe towarzystw funduszy inwestycyjnych (w mln zł)</w:t>
            </w:r>
          </w:p>
        </w:tc>
      </w:tr>
      <w:tr w:rsidR="00214A12" w:rsidRPr="00271812" w:rsidTr="0040232D">
        <w:trPr>
          <w:trHeight w:val="57"/>
        </w:trPr>
        <w:tc>
          <w:tcPr>
            <w:tcW w:w="2977" w:type="dxa"/>
          </w:tcPr>
          <w:p w:rsidR="00214A12" w:rsidRPr="00271812" w:rsidRDefault="00214A12" w:rsidP="00214A12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 xml:space="preserve">Aktywa ogółem 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214A12" w:rsidRPr="00271812" w:rsidRDefault="00214A12" w:rsidP="00214A1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2</w:t>
            </w:r>
            <w:r w:rsidR="00DA2D79" w:rsidRPr="00271812">
              <w:rPr>
                <w:sz w:val="16"/>
                <w:szCs w:val="16"/>
              </w:rPr>
              <w:t> 227,8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214A12" w:rsidRPr="00271812" w:rsidRDefault="00472FD1" w:rsidP="00214A1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2 559,2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214A12" w:rsidRPr="00271812" w:rsidRDefault="00472FD1" w:rsidP="00214A1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114,9</w:t>
            </w:r>
          </w:p>
        </w:tc>
      </w:tr>
      <w:tr w:rsidR="00214A12" w:rsidRPr="00271812" w:rsidTr="0040232D">
        <w:trPr>
          <w:trHeight w:val="57"/>
        </w:trPr>
        <w:tc>
          <w:tcPr>
            <w:tcW w:w="2977" w:type="dxa"/>
          </w:tcPr>
          <w:p w:rsidR="00214A12" w:rsidRPr="00271812" w:rsidRDefault="00214A12" w:rsidP="00214A12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Wynik finansowy netto</w:t>
            </w:r>
          </w:p>
        </w:tc>
        <w:tc>
          <w:tcPr>
            <w:tcW w:w="1701" w:type="dxa"/>
            <w:vAlign w:val="center"/>
          </w:tcPr>
          <w:p w:rsidR="00214A12" w:rsidRPr="00271812" w:rsidRDefault="00DA2D79" w:rsidP="00214A1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499,3</w:t>
            </w:r>
          </w:p>
        </w:tc>
        <w:tc>
          <w:tcPr>
            <w:tcW w:w="1701" w:type="dxa"/>
            <w:vAlign w:val="center"/>
          </w:tcPr>
          <w:p w:rsidR="00214A12" w:rsidRPr="00271812" w:rsidRDefault="00472FD1" w:rsidP="00214A1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471,9</w:t>
            </w:r>
          </w:p>
        </w:tc>
        <w:tc>
          <w:tcPr>
            <w:tcW w:w="1701" w:type="dxa"/>
            <w:vAlign w:val="center"/>
          </w:tcPr>
          <w:p w:rsidR="00214A12" w:rsidRPr="00271812" w:rsidRDefault="00472FD1" w:rsidP="00214A12">
            <w:pPr>
              <w:jc w:val="right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94,5</w:t>
            </w:r>
            <w:r w:rsidR="00B83B7D" w:rsidRPr="00271812">
              <w:rPr>
                <w:sz w:val="16"/>
                <w:szCs w:val="16"/>
              </w:rPr>
              <w:t xml:space="preserve"> </w:t>
            </w:r>
          </w:p>
        </w:tc>
      </w:tr>
    </w:tbl>
    <w:p w:rsidR="00137DE0" w:rsidRPr="00271812" w:rsidRDefault="00137DE0" w:rsidP="00074DD8">
      <w:pPr>
        <w:pStyle w:val="Nagwek1"/>
      </w:pPr>
    </w:p>
    <w:p w:rsidR="00C22105" w:rsidRPr="00271812" w:rsidRDefault="008560D4" w:rsidP="00074DD8">
      <w:pPr>
        <w:pStyle w:val="Nagwek1"/>
      </w:pPr>
      <w:r w:rsidRPr="008560D4">
        <w:rPr>
          <w:rFonts w:ascii="Fira Sans" w:hAnsi="Fira Sans"/>
          <w:b/>
          <w:noProof/>
          <w:spacing w:val="-2"/>
          <w:szCs w:val="19"/>
        </w:rPr>
        <w:pict>
          <v:shape id="_x0000_s1028" type="#_x0000_t202" style="position:absolute;margin-left:411pt;margin-top:13.65pt;width:135.85pt;height:150.2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" filled="f" stroked="f">
            <v:textbox>
              <w:txbxContent>
                <w:p w:rsidR="0040232D" w:rsidRPr="00074DD8" w:rsidRDefault="0040232D" w:rsidP="001568E3">
                  <w:pPr>
                    <w:pStyle w:val="tekstzboku"/>
                  </w:pPr>
                  <w:r w:rsidRPr="00271812">
                    <w:t xml:space="preserve">W </w:t>
                  </w:r>
                  <w:r w:rsidR="000B1A34">
                    <w:t xml:space="preserve">I półroczu 2019 r. liczba </w:t>
                  </w:r>
                  <w:r w:rsidRPr="00271812">
                    <w:t xml:space="preserve"> funduszy inwestycyj</w:t>
                  </w:r>
                  <w:r w:rsidR="00373FC7" w:rsidRPr="00271812">
                    <w:t xml:space="preserve">nych  wyniosła </w:t>
                  </w:r>
                  <w:r w:rsidR="000B1A34">
                    <w:t xml:space="preserve">ogółem </w:t>
                  </w:r>
                  <w:r w:rsidR="00373FC7" w:rsidRPr="00271812">
                    <w:t>870</w:t>
                  </w:r>
                </w:p>
                <w:p w:rsidR="0040232D" w:rsidRPr="00D616D2" w:rsidRDefault="0040232D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p w:rsidR="0098156A" w:rsidRPr="00271812" w:rsidRDefault="00226BCA" w:rsidP="005C1D02">
      <w:pPr>
        <w:rPr>
          <w:shd w:val="clear" w:color="auto" w:fill="FFFFFF"/>
        </w:rPr>
      </w:pPr>
      <w:r w:rsidRPr="00271812">
        <w:rPr>
          <w:shd w:val="clear" w:color="auto" w:fill="FFFFFF"/>
        </w:rPr>
        <w:t xml:space="preserve">W końcu </w:t>
      </w:r>
      <w:r w:rsidR="00547E8A" w:rsidRPr="00271812">
        <w:rPr>
          <w:shd w:val="clear" w:color="auto" w:fill="FFFFFF"/>
        </w:rPr>
        <w:t>czerwca 2019</w:t>
      </w:r>
      <w:r w:rsidR="001568E3" w:rsidRPr="00271812">
        <w:rPr>
          <w:shd w:val="clear" w:color="auto" w:fill="FFFFFF"/>
        </w:rPr>
        <w:t> </w:t>
      </w:r>
      <w:r w:rsidR="002D7403" w:rsidRPr="00271812">
        <w:rPr>
          <w:shd w:val="clear" w:color="auto" w:fill="FFFFFF"/>
        </w:rPr>
        <w:t>r. na polskim rynku fin</w:t>
      </w:r>
      <w:r w:rsidRPr="00271812">
        <w:rPr>
          <w:shd w:val="clear" w:color="auto" w:fill="FFFFFF"/>
        </w:rPr>
        <w:t>ansowym funkcjonowało ogółem</w:t>
      </w:r>
      <w:r w:rsidR="00EB5E7F" w:rsidRPr="00271812">
        <w:rPr>
          <w:shd w:val="clear" w:color="auto" w:fill="FFFFFF"/>
        </w:rPr>
        <w:t xml:space="preserve"> 870</w:t>
      </w:r>
      <w:r w:rsidR="002D7403" w:rsidRPr="00271812">
        <w:rPr>
          <w:shd w:val="clear" w:color="auto" w:fill="FFFFFF"/>
        </w:rPr>
        <w:t xml:space="preserve"> funduszy inwestycyjnych</w:t>
      </w:r>
      <w:r w:rsidR="005D3F15" w:rsidRPr="00271812">
        <w:rPr>
          <w:rStyle w:val="Odwoanieprzypisukocowego"/>
          <w:shd w:val="clear" w:color="auto" w:fill="FFFFFF"/>
        </w:rPr>
        <w:endnoteReference w:id="1"/>
      </w:r>
      <w:r w:rsidR="00EB5E7F" w:rsidRPr="00271812">
        <w:rPr>
          <w:shd w:val="clear" w:color="auto" w:fill="FFFFFF"/>
        </w:rPr>
        <w:t xml:space="preserve"> (o 31</w:t>
      </w:r>
      <w:r w:rsidR="002D7403" w:rsidRPr="00271812">
        <w:rPr>
          <w:shd w:val="clear" w:color="auto" w:fill="FFFFFF"/>
        </w:rPr>
        <w:t xml:space="preserve"> mniej niż przed rokiem). Liczba otwartych fun</w:t>
      </w:r>
      <w:r w:rsidR="00DD4C9C" w:rsidRPr="00271812">
        <w:rPr>
          <w:shd w:val="clear" w:color="auto" w:fill="FFFFFF"/>
        </w:rPr>
        <w:t xml:space="preserve">duszy inwestycyjnych wyniosła </w:t>
      </w:r>
      <w:r w:rsidR="008A698E" w:rsidRPr="00271812">
        <w:rPr>
          <w:shd w:val="clear" w:color="auto" w:fill="FFFFFF"/>
        </w:rPr>
        <w:t>46</w:t>
      </w:r>
      <w:r w:rsidR="00F3752A" w:rsidRPr="00271812">
        <w:rPr>
          <w:shd w:val="clear" w:color="auto" w:fill="FFFFFF"/>
        </w:rPr>
        <w:t> </w:t>
      </w:r>
      <w:r w:rsidR="00572D52" w:rsidRPr="00271812">
        <w:rPr>
          <w:shd w:val="clear" w:color="auto" w:fill="FFFFFF"/>
        </w:rPr>
        <w:t>(45</w:t>
      </w:r>
      <w:r w:rsidR="002D7403" w:rsidRPr="00271812">
        <w:rPr>
          <w:shd w:val="clear" w:color="auto" w:fill="FFFFFF"/>
        </w:rPr>
        <w:t xml:space="preserve"> przed rokiem</w:t>
      </w:r>
      <w:r w:rsidR="00F56602" w:rsidRPr="00271812">
        <w:rPr>
          <w:shd w:val="clear" w:color="auto" w:fill="FFFFFF"/>
        </w:rPr>
        <w:t>);</w:t>
      </w:r>
      <w:r w:rsidR="002D7403" w:rsidRPr="00271812">
        <w:rPr>
          <w:shd w:val="clear" w:color="auto" w:fill="FFFFFF"/>
        </w:rPr>
        <w:t xml:space="preserve"> liczba specjalistycznych funduszy inwestycyjnych otwar</w:t>
      </w:r>
      <w:r w:rsidR="007244A4" w:rsidRPr="00271812">
        <w:rPr>
          <w:shd w:val="clear" w:color="auto" w:fill="FFFFFF"/>
        </w:rPr>
        <w:t>tych wzrosła z 54 do 66</w:t>
      </w:r>
      <w:r w:rsidR="00F3752A" w:rsidRPr="00271812">
        <w:rPr>
          <w:shd w:val="clear" w:color="auto" w:fill="FFFFFF"/>
        </w:rPr>
        <w:t>. W grupie funduszy inwestycyjnych zamkniętych liczba funduszy zmniej</w:t>
      </w:r>
      <w:r w:rsidR="006F4DAF" w:rsidRPr="00271812">
        <w:rPr>
          <w:shd w:val="clear" w:color="auto" w:fill="FFFFFF"/>
        </w:rPr>
        <w:t>sz</w:t>
      </w:r>
      <w:r w:rsidR="006F4DAF" w:rsidRPr="00271812">
        <w:rPr>
          <w:shd w:val="clear" w:color="auto" w:fill="FFFFFF"/>
        </w:rPr>
        <w:t>y</w:t>
      </w:r>
      <w:r w:rsidR="006F4DAF" w:rsidRPr="00271812">
        <w:rPr>
          <w:shd w:val="clear" w:color="auto" w:fill="FFFFFF"/>
        </w:rPr>
        <w:t>ła się z</w:t>
      </w:r>
      <w:r w:rsidR="00F56602" w:rsidRPr="00271812">
        <w:rPr>
          <w:shd w:val="clear" w:color="auto" w:fill="FFFFFF"/>
        </w:rPr>
        <w:t xml:space="preserve"> 802 do 758</w:t>
      </w:r>
      <w:r w:rsidR="00F3752A" w:rsidRPr="00271812">
        <w:rPr>
          <w:shd w:val="clear" w:color="auto" w:fill="FFFFFF"/>
        </w:rPr>
        <w:t xml:space="preserve">. </w:t>
      </w:r>
    </w:p>
    <w:p w:rsidR="000A6AA4" w:rsidRPr="00271812" w:rsidRDefault="000A6AA4" w:rsidP="00F3752A">
      <w:pPr>
        <w:jc w:val="both"/>
        <w:rPr>
          <w:shd w:val="clear" w:color="auto" w:fill="FFFFFF"/>
        </w:rPr>
      </w:pPr>
    </w:p>
    <w:p w:rsidR="000A6AA4" w:rsidRPr="00271812" w:rsidRDefault="000A6AA4" w:rsidP="00F3752A">
      <w:pPr>
        <w:jc w:val="both"/>
        <w:rPr>
          <w:shd w:val="clear" w:color="auto" w:fill="FFFFFF"/>
        </w:rPr>
      </w:pPr>
    </w:p>
    <w:p w:rsidR="000A6AA4" w:rsidRPr="00271812" w:rsidRDefault="000A6AA4" w:rsidP="00F3752A">
      <w:pPr>
        <w:jc w:val="both"/>
        <w:rPr>
          <w:shd w:val="clear" w:color="auto" w:fill="FFFFFF"/>
        </w:rPr>
      </w:pPr>
    </w:p>
    <w:p w:rsidR="00F3752A" w:rsidRPr="00271812" w:rsidRDefault="008560D4" w:rsidP="00B62159">
      <w:pPr>
        <w:rPr>
          <w:shd w:val="clear" w:color="auto" w:fill="FFFFFF"/>
        </w:rPr>
      </w:pPr>
      <w:r w:rsidRPr="008560D4">
        <w:rPr>
          <w:b/>
          <w:noProof/>
          <w:spacing w:val="-2"/>
          <w:szCs w:val="19"/>
          <w:lang w:eastAsia="pl-PL"/>
        </w:rPr>
        <w:pict>
          <v:shape id="Pole tekstowe 15" o:spid="_x0000_s1029" type="#_x0000_t202" style="position:absolute;margin-left:411.75pt;margin-top:0;width:135.85pt;height:70.5pt;z-index:-25157120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" filled="f" stroked="f">
            <v:textbox>
              <w:txbxContent>
                <w:p w:rsidR="0040232D" w:rsidRPr="00074DD8" w:rsidRDefault="0040232D" w:rsidP="006F7FF7">
                  <w:pPr>
                    <w:pStyle w:val="tekstzboku"/>
                  </w:pPr>
                  <w:r w:rsidRPr="00271812">
                    <w:t>W I półroczu 2018 r. wartość aktywów ogółem funduszy inwes</w:t>
                  </w:r>
                  <w:r w:rsidR="00373FC7" w:rsidRPr="00271812">
                    <w:t>tycyjnych wyniosła 321,4 mld zł</w:t>
                  </w:r>
                </w:p>
                <w:p w:rsidR="0040232D" w:rsidRPr="00D616D2" w:rsidRDefault="0040232D" w:rsidP="00BF4D8E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273838" w:rsidRPr="00271812">
        <w:rPr>
          <w:shd w:val="clear" w:color="auto" w:fill="FFFFFF"/>
        </w:rPr>
        <w:t>Według stanu na 30 czerwca 2019</w:t>
      </w:r>
      <w:r w:rsidR="001568E3" w:rsidRPr="00271812">
        <w:rPr>
          <w:shd w:val="clear" w:color="auto" w:fill="FFFFFF"/>
        </w:rPr>
        <w:t> </w:t>
      </w:r>
      <w:r w:rsidR="000A6AA4" w:rsidRPr="00271812">
        <w:rPr>
          <w:shd w:val="clear" w:color="auto" w:fill="FFFFFF"/>
        </w:rPr>
        <w:t>r. wartość aktywów ogółem zgromadzonych przez fu</w:t>
      </w:r>
      <w:r w:rsidR="001C0488" w:rsidRPr="00271812">
        <w:rPr>
          <w:shd w:val="clear" w:color="auto" w:fill="FFFFFF"/>
        </w:rPr>
        <w:t>ndusze inwe</w:t>
      </w:r>
      <w:r w:rsidR="00273838" w:rsidRPr="00271812">
        <w:rPr>
          <w:shd w:val="clear" w:color="auto" w:fill="FFFFFF"/>
        </w:rPr>
        <w:t>stycyjne wyniosła 321 430,5 mln zł (spadek o 3,8</w:t>
      </w:r>
      <w:r w:rsidR="001C0488" w:rsidRPr="00271812">
        <w:rPr>
          <w:shd w:val="clear" w:color="auto" w:fill="FFFFFF"/>
        </w:rPr>
        <w:t xml:space="preserve">% w stosunku do </w:t>
      </w:r>
      <w:r w:rsidR="00273838" w:rsidRPr="00271812">
        <w:rPr>
          <w:shd w:val="clear" w:color="auto" w:fill="FFFFFF"/>
        </w:rPr>
        <w:t>I półrocza 2018</w:t>
      </w:r>
      <w:r w:rsidR="001568E3" w:rsidRPr="00271812">
        <w:rPr>
          <w:shd w:val="clear" w:color="auto" w:fill="FFFFFF"/>
        </w:rPr>
        <w:t> </w:t>
      </w:r>
      <w:r w:rsidR="00CC0890">
        <w:rPr>
          <w:shd w:val="clear" w:color="auto" w:fill="FFFFFF"/>
        </w:rPr>
        <w:t>r.), z </w:t>
      </w:r>
      <w:r w:rsidR="000A6AA4" w:rsidRPr="00271812">
        <w:rPr>
          <w:shd w:val="clear" w:color="auto" w:fill="FFFFFF"/>
        </w:rPr>
        <w:t>tego aktywa:</w:t>
      </w:r>
    </w:p>
    <w:p w:rsidR="000A6AA4" w:rsidRPr="00271812" w:rsidRDefault="00AD5D19" w:rsidP="00B62159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271812">
        <w:rPr>
          <w:shd w:val="clear" w:color="auto" w:fill="FFFFFF"/>
        </w:rPr>
        <w:t>funduszy inwesty</w:t>
      </w:r>
      <w:r w:rsidR="003C364F" w:rsidRPr="00271812">
        <w:rPr>
          <w:shd w:val="clear" w:color="auto" w:fill="FFFFFF"/>
        </w:rPr>
        <w:t>cyjnyc</w:t>
      </w:r>
      <w:r w:rsidR="00226332" w:rsidRPr="00271812">
        <w:rPr>
          <w:shd w:val="clear" w:color="auto" w:fill="FFFFFF"/>
        </w:rPr>
        <w:t>h zamkniętych wyniosły 145 702,0</w:t>
      </w:r>
      <w:r w:rsidR="005278FB" w:rsidRPr="00271812">
        <w:rPr>
          <w:shd w:val="clear" w:color="auto" w:fill="FFFFFF"/>
        </w:rPr>
        <w:t xml:space="preserve"> mln zł</w:t>
      </w:r>
      <w:r w:rsidR="004E17F8" w:rsidRPr="00271812">
        <w:rPr>
          <w:shd w:val="clear" w:color="auto" w:fill="FFFFFF"/>
        </w:rPr>
        <w:t xml:space="preserve"> (spadek o 9</w:t>
      </w:r>
      <w:r w:rsidR="005278FB" w:rsidRPr="00271812">
        <w:rPr>
          <w:shd w:val="clear" w:color="auto" w:fill="FFFFFF"/>
        </w:rPr>
        <w:t>,1</w:t>
      </w:r>
      <w:r w:rsidRPr="00271812">
        <w:rPr>
          <w:shd w:val="clear" w:color="auto" w:fill="FFFFFF"/>
        </w:rPr>
        <w:t xml:space="preserve">%), udział tej grupy funduszy w aktywach </w:t>
      </w:r>
      <w:r w:rsidR="002346A4" w:rsidRPr="00271812">
        <w:rPr>
          <w:shd w:val="clear" w:color="auto" w:fill="FFFFFF"/>
        </w:rPr>
        <w:t>ogółem zmniejszył się z</w:t>
      </w:r>
      <w:r w:rsidR="00763BC2" w:rsidRPr="00271812">
        <w:rPr>
          <w:shd w:val="clear" w:color="auto" w:fill="FFFFFF"/>
        </w:rPr>
        <w:t xml:space="preserve"> 47,9</w:t>
      </w:r>
      <w:r w:rsidRPr="00271812">
        <w:rPr>
          <w:shd w:val="clear" w:color="auto" w:fill="FFFFFF"/>
        </w:rPr>
        <w:t>%</w:t>
      </w:r>
      <w:r w:rsidR="00763BC2" w:rsidRPr="00271812">
        <w:rPr>
          <w:shd w:val="clear" w:color="auto" w:fill="FFFFFF"/>
        </w:rPr>
        <w:t xml:space="preserve"> do 45,3</w:t>
      </w:r>
      <w:r w:rsidR="002346A4" w:rsidRPr="00271812">
        <w:rPr>
          <w:shd w:val="clear" w:color="auto" w:fill="FFFFFF"/>
        </w:rPr>
        <w:t>%</w:t>
      </w:r>
      <w:r w:rsidRPr="00271812">
        <w:rPr>
          <w:shd w:val="clear" w:color="auto" w:fill="FFFFFF"/>
        </w:rPr>
        <w:t>;</w:t>
      </w:r>
    </w:p>
    <w:p w:rsidR="00AD5D19" w:rsidRPr="00271812" w:rsidRDefault="00AD5D19" w:rsidP="00B62159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271812">
        <w:rPr>
          <w:shd w:val="clear" w:color="auto" w:fill="FFFFFF"/>
        </w:rPr>
        <w:t>otwartych funduszy inwe</w:t>
      </w:r>
      <w:r w:rsidR="00EB4898" w:rsidRPr="00271812">
        <w:rPr>
          <w:shd w:val="clear" w:color="auto" w:fill="FFFFFF"/>
        </w:rPr>
        <w:t>stycyj</w:t>
      </w:r>
      <w:r w:rsidR="00B54129" w:rsidRPr="00271812">
        <w:rPr>
          <w:shd w:val="clear" w:color="auto" w:fill="FFFFFF"/>
        </w:rPr>
        <w:t>nych osiągnęły wartość 119 940,7</w:t>
      </w:r>
      <w:r w:rsidR="001568E3" w:rsidRPr="00271812">
        <w:rPr>
          <w:shd w:val="clear" w:color="auto" w:fill="FFFFFF"/>
        </w:rPr>
        <w:t> </w:t>
      </w:r>
      <w:r w:rsidRPr="00271812">
        <w:rPr>
          <w:shd w:val="clear" w:color="auto" w:fill="FFFFFF"/>
        </w:rPr>
        <w:t>mln</w:t>
      </w:r>
      <w:r w:rsidR="001568E3" w:rsidRPr="00271812">
        <w:rPr>
          <w:shd w:val="clear" w:color="auto" w:fill="FFFFFF"/>
        </w:rPr>
        <w:t> </w:t>
      </w:r>
      <w:r w:rsidRPr="00271812">
        <w:rPr>
          <w:shd w:val="clear" w:color="auto" w:fill="FFFFFF"/>
        </w:rPr>
        <w:t>zł (wzrost o</w:t>
      </w:r>
      <w:r w:rsidR="00C83ED1" w:rsidRPr="00271812">
        <w:rPr>
          <w:shd w:val="clear" w:color="auto" w:fill="FFFFFF"/>
        </w:rPr>
        <w:t> </w:t>
      </w:r>
      <w:r w:rsidR="004E17F8" w:rsidRPr="00271812">
        <w:rPr>
          <w:shd w:val="clear" w:color="auto" w:fill="FFFFFF"/>
        </w:rPr>
        <w:t>4</w:t>
      </w:r>
      <w:r w:rsidR="00EB4898" w:rsidRPr="00271812">
        <w:rPr>
          <w:shd w:val="clear" w:color="auto" w:fill="FFFFFF"/>
        </w:rPr>
        <w:t>,8</w:t>
      </w:r>
      <w:r w:rsidRPr="00271812">
        <w:rPr>
          <w:shd w:val="clear" w:color="auto" w:fill="FFFFFF"/>
        </w:rPr>
        <w:t xml:space="preserve">%), ich udział w aktywach funduszy ogółem </w:t>
      </w:r>
      <w:r w:rsidR="00304F2D" w:rsidRPr="00271812">
        <w:rPr>
          <w:shd w:val="clear" w:color="auto" w:fill="FFFFFF"/>
        </w:rPr>
        <w:t xml:space="preserve">zwiększył się z </w:t>
      </w:r>
      <w:r w:rsidR="00591F59" w:rsidRPr="00271812">
        <w:rPr>
          <w:shd w:val="clear" w:color="auto" w:fill="FFFFFF"/>
        </w:rPr>
        <w:t>34,3</w:t>
      </w:r>
      <w:r w:rsidR="00C83ED1" w:rsidRPr="00271812">
        <w:rPr>
          <w:shd w:val="clear" w:color="auto" w:fill="FFFFFF"/>
        </w:rPr>
        <w:t>%</w:t>
      </w:r>
      <w:r w:rsidR="00591F59" w:rsidRPr="00271812">
        <w:rPr>
          <w:shd w:val="clear" w:color="auto" w:fill="FFFFFF"/>
        </w:rPr>
        <w:t xml:space="preserve"> do 37,3</w:t>
      </w:r>
      <w:r w:rsidR="00304F2D" w:rsidRPr="00271812">
        <w:rPr>
          <w:shd w:val="clear" w:color="auto" w:fill="FFFFFF"/>
        </w:rPr>
        <w:t>%</w:t>
      </w:r>
      <w:r w:rsidR="00C83ED1" w:rsidRPr="00271812">
        <w:rPr>
          <w:shd w:val="clear" w:color="auto" w:fill="FFFFFF"/>
        </w:rPr>
        <w:t>;</w:t>
      </w:r>
    </w:p>
    <w:p w:rsidR="00C83ED1" w:rsidRPr="00271812" w:rsidRDefault="00C83ED1" w:rsidP="00B62159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271812">
        <w:rPr>
          <w:shd w:val="clear" w:color="auto" w:fill="FFFFFF"/>
        </w:rPr>
        <w:t xml:space="preserve">specjalistycznych funduszy inwestycyjnych otwartych ukształtowały się </w:t>
      </w:r>
      <w:r w:rsidR="00017BF3" w:rsidRPr="00271812">
        <w:rPr>
          <w:shd w:val="clear" w:color="auto" w:fill="FFFFFF"/>
        </w:rPr>
        <w:t>na poziomie 55 787,8</w:t>
      </w:r>
      <w:r w:rsidRPr="00271812">
        <w:rPr>
          <w:shd w:val="clear" w:color="auto" w:fill="FFFFFF"/>
        </w:rPr>
        <w:t xml:space="preserve"> mln</w:t>
      </w:r>
      <w:r w:rsidR="001568E3" w:rsidRPr="00271812">
        <w:rPr>
          <w:shd w:val="clear" w:color="auto" w:fill="FFFFFF"/>
        </w:rPr>
        <w:t> </w:t>
      </w:r>
      <w:r w:rsidR="0074305F" w:rsidRPr="00271812">
        <w:rPr>
          <w:shd w:val="clear" w:color="auto" w:fill="FFFFFF"/>
        </w:rPr>
        <w:t>zł</w:t>
      </w:r>
      <w:r w:rsidR="007F5637" w:rsidRPr="00271812">
        <w:rPr>
          <w:shd w:val="clear" w:color="auto" w:fill="FFFFFF"/>
        </w:rPr>
        <w:t xml:space="preserve"> (spadek o 6,2</w:t>
      </w:r>
      <w:r w:rsidRPr="00271812">
        <w:rPr>
          <w:shd w:val="clear" w:color="auto" w:fill="FFFFFF"/>
        </w:rPr>
        <w:t>%), ich udział w aktyw</w:t>
      </w:r>
      <w:r w:rsidR="00FD3130" w:rsidRPr="00271812">
        <w:rPr>
          <w:shd w:val="clear" w:color="auto" w:fill="FFFFFF"/>
        </w:rPr>
        <w:t>ach ogółem zmniejszył się do 17,4</w:t>
      </w:r>
      <w:r w:rsidR="009429A2" w:rsidRPr="00271812">
        <w:rPr>
          <w:shd w:val="clear" w:color="auto" w:fill="FFFFFF"/>
        </w:rPr>
        <w:t>% wo</w:t>
      </w:r>
      <w:r w:rsidR="00FD3130" w:rsidRPr="00271812">
        <w:rPr>
          <w:shd w:val="clear" w:color="auto" w:fill="FFFFFF"/>
        </w:rPr>
        <w:t>bec 17,8</w:t>
      </w:r>
      <w:r w:rsidRPr="00271812">
        <w:rPr>
          <w:shd w:val="clear" w:color="auto" w:fill="FFFFFF"/>
        </w:rPr>
        <w:t>% przed rokiem.</w:t>
      </w:r>
    </w:p>
    <w:p w:rsidR="003631A8" w:rsidRPr="00271812" w:rsidRDefault="003631A8" w:rsidP="001E0053">
      <w:pPr>
        <w:jc w:val="both"/>
        <w:rPr>
          <w:shd w:val="clear" w:color="auto" w:fill="FFFFFF"/>
        </w:rPr>
      </w:pPr>
    </w:p>
    <w:p w:rsidR="003631A8" w:rsidRPr="00271812" w:rsidRDefault="008560D4" w:rsidP="001E0053">
      <w:pPr>
        <w:jc w:val="both"/>
        <w:rPr>
          <w:shd w:val="clear" w:color="auto" w:fill="FFFFFF"/>
        </w:rPr>
      </w:pPr>
      <w:r w:rsidRPr="008560D4">
        <w:rPr>
          <w:b/>
          <w:noProof/>
          <w:spacing w:val="-2"/>
          <w:szCs w:val="19"/>
          <w:lang w:eastAsia="pl-PL"/>
        </w:rPr>
        <w:pict>
          <v:shape id="Pole tekstowe 16" o:spid="_x0000_s1035" type="#_x0000_t202" style="position:absolute;left:0;text-align:left;margin-left:411.75pt;margin-top:9.55pt;width:135.85pt;height:98.05pt;z-index:-25156915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" filled="f" stroked="f">
            <v:textbox>
              <w:txbxContent>
                <w:p w:rsidR="0040232D" w:rsidRPr="00074DD8" w:rsidRDefault="0040232D" w:rsidP="006A210A">
                  <w:pPr>
                    <w:pStyle w:val="tekstzboku"/>
                  </w:pPr>
                  <w:r w:rsidRPr="00271812">
                    <w:t>Główną pozycją aktywów ogółem funduszy inwestycy</w:t>
                  </w:r>
                  <w:r w:rsidRPr="00271812">
                    <w:t>j</w:t>
                  </w:r>
                  <w:r w:rsidRPr="00271812">
                    <w:t>nych były składniki loka</w:t>
                  </w:r>
                  <w:r w:rsidR="00BD097C" w:rsidRPr="00271812">
                    <w:t>t nienotowane na aktywnym rynku</w:t>
                  </w:r>
                </w:p>
                <w:p w:rsidR="0040232D" w:rsidRPr="00D616D2" w:rsidRDefault="0040232D" w:rsidP="0053170A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p w:rsidR="00E74157" w:rsidRPr="00271812" w:rsidRDefault="001E0053" w:rsidP="0046454A">
      <w:pPr>
        <w:rPr>
          <w:shd w:val="clear" w:color="auto" w:fill="FFFFFF"/>
        </w:rPr>
      </w:pPr>
      <w:r w:rsidRPr="00271812">
        <w:rPr>
          <w:shd w:val="clear" w:color="auto" w:fill="FFFFFF"/>
        </w:rPr>
        <w:t>Główną pozycję aktywów ogółem funduszy inwestycyjnych stanowiły składniki lokat nienot</w:t>
      </w:r>
      <w:r w:rsidRPr="00271812">
        <w:rPr>
          <w:shd w:val="clear" w:color="auto" w:fill="FFFFFF"/>
        </w:rPr>
        <w:t>o</w:t>
      </w:r>
      <w:r w:rsidRPr="00271812">
        <w:rPr>
          <w:shd w:val="clear" w:color="auto" w:fill="FFFFFF"/>
        </w:rPr>
        <w:t>wane na aktywnym rynku</w:t>
      </w:r>
      <w:r w:rsidR="005D3F15" w:rsidRPr="00271812">
        <w:rPr>
          <w:rStyle w:val="Odwoanieprzypisukocowego"/>
          <w:shd w:val="clear" w:color="auto" w:fill="FFFFFF"/>
        </w:rPr>
        <w:endnoteReference w:id="2"/>
      </w:r>
      <w:r w:rsidRPr="00271812">
        <w:rPr>
          <w:shd w:val="clear" w:color="auto" w:fill="FFFFFF"/>
        </w:rPr>
        <w:t xml:space="preserve">, </w:t>
      </w:r>
      <w:r w:rsidR="004B32CA" w:rsidRPr="00271812">
        <w:rPr>
          <w:shd w:val="clear" w:color="auto" w:fill="FFFFFF"/>
        </w:rPr>
        <w:t xml:space="preserve">a </w:t>
      </w:r>
      <w:r w:rsidRPr="00271812">
        <w:rPr>
          <w:shd w:val="clear" w:color="auto" w:fill="FFFFFF"/>
        </w:rPr>
        <w:t>ic</w:t>
      </w:r>
      <w:r w:rsidR="004B32CA" w:rsidRPr="00271812">
        <w:rPr>
          <w:shd w:val="clear" w:color="auto" w:fill="FFFFFF"/>
        </w:rPr>
        <w:t>h wartość w końcu czerwca 2019</w:t>
      </w:r>
      <w:r w:rsidR="001568E3" w:rsidRPr="00271812">
        <w:rPr>
          <w:shd w:val="clear" w:color="auto" w:fill="FFFFFF"/>
        </w:rPr>
        <w:t> </w:t>
      </w:r>
      <w:r w:rsidR="004B32CA" w:rsidRPr="00271812">
        <w:rPr>
          <w:shd w:val="clear" w:color="auto" w:fill="FFFFFF"/>
        </w:rPr>
        <w:t>r. wyniosła 147 647,6</w:t>
      </w:r>
      <w:r w:rsidRPr="00271812">
        <w:rPr>
          <w:shd w:val="clear" w:color="auto" w:fill="FFFFFF"/>
        </w:rPr>
        <w:t xml:space="preserve"> mln</w:t>
      </w:r>
      <w:r w:rsidR="001568E3" w:rsidRPr="00271812">
        <w:rPr>
          <w:shd w:val="clear" w:color="auto" w:fill="FFFFFF"/>
        </w:rPr>
        <w:t> </w:t>
      </w:r>
      <w:r w:rsidRPr="00271812">
        <w:rPr>
          <w:shd w:val="clear" w:color="auto" w:fill="FFFFFF"/>
        </w:rPr>
        <w:t>zł</w:t>
      </w:r>
      <w:r w:rsidR="003D2027" w:rsidRPr="00271812">
        <w:rPr>
          <w:shd w:val="clear" w:color="auto" w:fill="FFFFFF"/>
        </w:rPr>
        <w:br/>
      </w:r>
      <w:r w:rsidRPr="00271812">
        <w:rPr>
          <w:shd w:val="clear" w:color="auto" w:fill="FFFFFF"/>
        </w:rPr>
        <w:t xml:space="preserve"> i </w:t>
      </w:r>
      <w:r w:rsidR="0032077B" w:rsidRPr="00271812">
        <w:rPr>
          <w:shd w:val="clear" w:color="auto" w:fill="FFFFFF"/>
        </w:rPr>
        <w:t>była niższa o 6,2% w stosunku do czerwca 2018</w:t>
      </w:r>
      <w:r w:rsidR="001568E3" w:rsidRPr="00271812">
        <w:rPr>
          <w:shd w:val="clear" w:color="auto" w:fill="FFFFFF"/>
        </w:rPr>
        <w:t> </w:t>
      </w:r>
      <w:r w:rsidRPr="00271812">
        <w:rPr>
          <w:shd w:val="clear" w:color="auto" w:fill="FFFFFF"/>
        </w:rPr>
        <w:t>r. Udział te</w:t>
      </w:r>
      <w:r w:rsidR="002E5C86" w:rsidRPr="00271812">
        <w:rPr>
          <w:shd w:val="clear" w:color="auto" w:fill="FFFFFF"/>
        </w:rPr>
        <w:t xml:space="preserve">j </w:t>
      </w:r>
      <w:r w:rsidR="00C279F2" w:rsidRPr="00271812">
        <w:rPr>
          <w:shd w:val="clear" w:color="auto" w:fill="FFFFFF"/>
        </w:rPr>
        <w:t>pozycji w aktywach ogółem zmniejszył się do</w:t>
      </w:r>
      <w:r w:rsidRPr="00271812">
        <w:rPr>
          <w:shd w:val="clear" w:color="auto" w:fill="FFFFFF"/>
        </w:rPr>
        <w:t xml:space="preserve"> </w:t>
      </w:r>
      <w:r w:rsidR="00C279F2" w:rsidRPr="00271812">
        <w:rPr>
          <w:shd w:val="clear" w:color="auto" w:fill="FFFFFF"/>
        </w:rPr>
        <w:t>45,9</w:t>
      </w:r>
      <w:r w:rsidR="002E5C86" w:rsidRPr="00271812">
        <w:rPr>
          <w:shd w:val="clear" w:color="auto" w:fill="FFFFFF"/>
        </w:rPr>
        <w:t>%</w:t>
      </w:r>
      <w:r w:rsidR="00CE05BE">
        <w:rPr>
          <w:shd w:val="clear" w:color="auto" w:fill="FFFFFF"/>
        </w:rPr>
        <w:t xml:space="preserve"> </w:t>
      </w:r>
      <w:r w:rsidR="00C279F2" w:rsidRPr="00271812">
        <w:rPr>
          <w:shd w:val="clear" w:color="auto" w:fill="FFFFFF"/>
        </w:rPr>
        <w:t>(wobec 47,1% przed rokiem</w:t>
      </w:r>
      <w:r w:rsidR="00C52B29">
        <w:rPr>
          <w:shd w:val="clear" w:color="auto" w:fill="FFFFFF"/>
        </w:rPr>
        <w:t>)</w:t>
      </w:r>
      <w:r w:rsidRPr="00271812">
        <w:rPr>
          <w:shd w:val="clear" w:color="auto" w:fill="FFFFFF"/>
        </w:rPr>
        <w:t xml:space="preserve">. </w:t>
      </w:r>
    </w:p>
    <w:p w:rsidR="00E74157" w:rsidRPr="00271812" w:rsidRDefault="008D05EF" w:rsidP="0046454A">
      <w:pPr>
        <w:rPr>
          <w:shd w:val="clear" w:color="auto" w:fill="FFFFFF"/>
        </w:rPr>
      </w:pPr>
      <w:r w:rsidRPr="00271812">
        <w:rPr>
          <w:shd w:val="clear" w:color="auto" w:fill="FFFFFF"/>
        </w:rPr>
        <w:t xml:space="preserve">W </w:t>
      </w:r>
      <w:r w:rsidR="00DA7A18" w:rsidRPr="00271812">
        <w:rPr>
          <w:shd w:val="clear" w:color="auto" w:fill="FFFFFF"/>
        </w:rPr>
        <w:t xml:space="preserve">I półroczu </w:t>
      </w:r>
      <w:r w:rsidR="00AB6AEB">
        <w:rPr>
          <w:shd w:val="clear" w:color="auto" w:fill="FFFFFF"/>
        </w:rPr>
        <w:t>2019</w:t>
      </w:r>
      <w:r w:rsidR="001568E3" w:rsidRPr="00271812">
        <w:rPr>
          <w:shd w:val="clear" w:color="auto" w:fill="FFFFFF"/>
        </w:rPr>
        <w:t> </w:t>
      </w:r>
      <w:r w:rsidR="001E0053" w:rsidRPr="00271812">
        <w:rPr>
          <w:shd w:val="clear" w:color="auto" w:fill="FFFFFF"/>
        </w:rPr>
        <w:t>r. należności fundus</w:t>
      </w:r>
      <w:r w:rsidRPr="00271812">
        <w:rPr>
          <w:shd w:val="clear" w:color="auto" w:fill="FFFFFF"/>
        </w:rPr>
        <w:t xml:space="preserve">zy </w:t>
      </w:r>
      <w:r w:rsidR="00DA7A18" w:rsidRPr="00271812">
        <w:rPr>
          <w:shd w:val="clear" w:color="auto" w:fill="FFFFFF"/>
        </w:rPr>
        <w:t>inwestycyjnych wyniosły 14 429,4</w:t>
      </w:r>
      <w:r w:rsidR="001E0053" w:rsidRPr="00271812">
        <w:rPr>
          <w:shd w:val="clear" w:color="auto" w:fill="FFFFFF"/>
        </w:rPr>
        <w:t xml:space="preserve"> mln</w:t>
      </w:r>
      <w:r w:rsidR="001568E3" w:rsidRPr="00271812">
        <w:rPr>
          <w:shd w:val="clear" w:color="auto" w:fill="FFFFFF"/>
        </w:rPr>
        <w:t> </w:t>
      </w:r>
      <w:r w:rsidR="00DA7A18" w:rsidRPr="00271812">
        <w:rPr>
          <w:shd w:val="clear" w:color="auto" w:fill="FFFFFF"/>
        </w:rPr>
        <w:t>zł i były niższe o 22,8</w:t>
      </w:r>
      <w:r w:rsidR="001E0053" w:rsidRPr="00271812">
        <w:rPr>
          <w:shd w:val="clear" w:color="auto" w:fill="FFFFFF"/>
        </w:rPr>
        <w:t>% w</w:t>
      </w:r>
      <w:r w:rsidR="001568E3" w:rsidRPr="00271812">
        <w:rPr>
          <w:shd w:val="clear" w:color="auto" w:fill="FFFFFF"/>
        </w:rPr>
        <w:t> </w:t>
      </w:r>
      <w:r w:rsidR="00172C32" w:rsidRPr="00271812">
        <w:rPr>
          <w:shd w:val="clear" w:color="auto" w:fill="FFFFFF"/>
        </w:rPr>
        <w:t xml:space="preserve">porównaniu z końcem </w:t>
      </w:r>
      <w:r w:rsidR="00DA7A18" w:rsidRPr="00271812">
        <w:rPr>
          <w:shd w:val="clear" w:color="auto" w:fill="FFFFFF"/>
        </w:rPr>
        <w:t>czerwca 2018</w:t>
      </w:r>
      <w:r w:rsidR="001568E3" w:rsidRPr="00271812">
        <w:rPr>
          <w:shd w:val="clear" w:color="auto" w:fill="FFFFFF"/>
        </w:rPr>
        <w:t> </w:t>
      </w:r>
      <w:r w:rsidR="001E0053" w:rsidRPr="00271812">
        <w:rPr>
          <w:shd w:val="clear" w:color="auto" w:fill="FFFFFF"/>
        </w:rPr>
        <w:t>r</w:t>
      </w:r>
      <w:r w:rsidR="004731FD" w:rsidRPr="00271812">
        <w:rPr>
          <w:shd w:val="clear" w:color="auto" w:fill="FFFFFF"/>
        </w:rPr>
        <w:t>.</w:t>
      </w:r>
      <w:r w:rsidR="00B95CEF" w:rsidRPr="00271812">
        <w:rPr>
          <w:shd w:val="clear" w:color="auto" w:fill="FFFFFF"/>
        </w:rPr>
        <w:t xml:space="preserve"> </w:t>
      </w:r>
    </w:p>
    <w:p w:rsidR="00E74157" w:rsidRPr="00271812" w:rsidRDefault="00B95CEF" w:rsidP="0046454A">
      <w:pPr>
        <w:rPr>
          <w:shd w:val="clear" w:color="auto" w:fill="FFFFFF"/>
        </w:rPr>
      </w:pPr>
      <w:r w:rsidRPr="00271812">
        <w:rPr>
          <w:shd w:val="clear" w:color="auto" w:fill="FFFFFF"/>
        </w:rPr>
        <w:t>Zobowiązania funduszy inwestycyjny</w:t>
      </w:r>
      <w:r w:rsidR="001F48C4" w:rsidRPr="00271812">
        <w:rPr>
          <w:shd w:val="clear" w:color="auto" w:fill="FFFFFF"/>
        </w:rPr>
        <w:t>ch osiągnęły wartość 28 289,5</w:t>
      </w:r>
      <w:r w:rsidRPr="00271812">
        <w:rPr>
          <w:shd w:val="clear" w:color="auto" w:fill="FFFFFF"/>
        </w:rPr>
        <w:t xml:space="preserve"> mln</w:t>
      </w:r>
      <w:r w:rsidR="00EC5F4C" w:rsidRPr="00271812">
        <w:rPr>
          <w:shd w:val="clear" w:color="auto" w:fill="FFFFFF"/>
        </w:rPr>
        <w:t> </w:t>
      </w:r>
      <w:r w:rsidR="001F48C4" w:rsidRPr="00271812">
        <w:rPr>
          <w:shd w:val="clear" w:color="auto" w:fill="FFFFFF"/>
        </w:rPr>
        <w:t>zł (wzrost o 6,7</w:t>
      </w:r>
      <w:r w:rsidR="000D670C" w:rsidRPr="00271812">
        <w:rPr>
          <w:shd w:val="clear" w:color="auto" w:fill="FFFFFF"/>
        </w:rPr>
        <w:t xml:space="preserve">%). </w:t>
      </w:r>
      <w:r w:rsidR="00E74157" w:rsidRPr="00271812">
        <w:rPr>
          <w:shd w:val="clear" w:color="auto" w:fill="FFFFFF"/>
        </w:rPr>
        <w:t>Najwi</w:t>
      </w:r>
      <w:r w:rsidR="00A9552E" w:rsidRPr="00271812">
        <w:rPr>
          <w:shd w:val="clear" w:color="auto" w:fill="FFFFFF"/>
        </w:rPr>
        <w:t>ęk</w:t>
      </w:r>
      <w:r w:rsidR="00836F2A" w:rsidRPr="00271812">
        <w:rPr>
          <w:shd w:val="clear" w:color="auto" w:fill="FFFFFF"/>
        </w:rPr>
        <w:t>sze zobowiązania w kwocie 14 707,5</w:t>
      </w:r>
      <w:r w:rsidR="00E74157" w:rsidRPr="00271812">
        <w:rPr>
          <w:shd w:val="clear" w:color="auto" w:fill="FFFFFF"/>
        </w:rPr>
        <w:t xml:space="preserve"> mln</w:t>
      </w:r>
      <w:r w:rsidR="00EC5F4C" w:rsidRPr="00271812">
        <w:rPr>
          <w:shd w:val="clear" w:color="auto" w:fill="FFFFFF"/>
        </w:rPr>
        <w:t> </w:t>
      </w:r>
      <w:r w:rsidR="00E74157" w:rsidRPr="00271812">
        <w:rPr>
          <w:shd w:val="clear" w:color="auto" w:fill="FFFFFF"/>
        </w:rPr>
        <w:t xml:space="preserve">zł wykazały </w:t>
      </w:r>
      <w:r w:rsidR="00A9552E" w:rsidRPr="00271812">
        <w:rPr>
          <w:shd w:val="clear" w:color="auto" w:fill="FFFFFF"/>
        </w:rPr>
        <w:t>otwarte fundusze inwestycyjne</w:t>
      </w:r>
      <w:r w:rsidR="00E74157" w:rsidRPr="00271812">
        <w:rPr>
          <w:shd w:val="clear" w:color="auto" w:fill="FFFFFF"/>
        </w:rPr>
        <w:t>, co stanowiło</w:t>
      </w:r>
      <w:r w:rsidR="00974707" w:rsidRPr="00271812">
        <w:rPr>
          <w:shd w:val="clear" w:color="auto" w:fill="FFFFFF"/>
        </w:rPr>
        <w:t xml:space="preserve"> 52,0</w:t>
      </w:r>
      <w:r w:rsidR="00E74157" w:rsidRPr="00271812">
        <w:rPr>
          <w:shd w:val="clear" w:color="auto" w:fill="FFFFFF"/>
        </w:rPr>
        <w:t>% wartości zobowiązań wszystkich funduszy inwestycyjnych</w:t>
      </w:r>
      <w:r w:rsidR="00974707" w:rsidRPr="00271812">
        <w:rPr>
          <w:shd w:val="clear" w:color="auto" w:fill="FFFFFF"/>
        </w:rPr>
        <w:t xml:space="preserve"> (50,3</w:t>
      </w:r>
      <w:r w:rsidR="00BA66E4" w:rsidRPr="00271812">
        <w:rPr>
          <w:shd w:val="clear" w:color="auto" w:fill="FFFFFF"/>
        </w:rPr>
        <w:t>% przed rokiem)</w:t>
      </w:r>
      <w:r w:rsidR="00E74157" w:rsidRPr="00271812">
        <w:rPr>
          <w:shd w:val="clear" w:color="auto" w:fill="FFFFFF"/>
        </w:rPr>
        <w:t>.</w:t>
      </w:r>
    </w:p>
    <w:p w:rsidR="00A13AFF" w:rsidRPr="00271812" w:rsidRDefault="00187D7A" w:rsidP="0046454A">
      <w:pPr>
        <w:rPr>
          <w:shd w:val="clear" w:color="auto" w:fill="FFFFFF"/>
        </w:rPr>
      </w:pPr>
      <w:r w:rsidRPr="00271812">
        <w:rPr>
          <w:shd w:val="clear" w:color="auto" w:fill="FFFFFF"/>
        </w:rPr>
        <w:t>W dniu 30 czerwca 2019</w:t>
      </w:r>
      <w:r w:rsidR="00EC5F4C" w:rsidRPr="00271812">
        <w:rPr>
          <w:shd w:val="clear" w:color="auto" w:fill="FFFFFF"/>
        </w:rPr>
        <w:t> </w:t>
      </w:r>
      <w:r w:rsidR="00E74157" w:rsidRPr="00271812">
        <w:rPr>
          <w:shd w:val="clear" w:color="auto" w:fill="FFFFFF"/>
        </w:rPr>
        <w:t xml:space="preserve">r. aktywa netto funduszy </w:t>
      </w:r>
      <w:r w:rsidR="00416E70" w:rsidRPr="00271812">
        <w:rPr>
          <w:shd w:val="clear" w:color="auto" w:fill="FFFFFF"/>
        </w:rPr>
        <w:t>wynosiły</w:t>
      </w:r>
      <w:r w:rsidRPr="00271812">
        <w:rPr>
          <w:shd w:val="clear" w:color="auto" w:fill="FFFFFF"/>
        </w:rPr>
        <w:t xml:space="preserve"> 293 141,3</w:t>
      </w:r>
      <w:r w:rsidR="00E74157" w:rsidRPr="00271812">
        <w:rPr>
          <w:shd w:val="clear" w:color="auto" w:fill="FFFFFF"/>
        </w:rPr>
        <w:t xml:space="preserve"> mln zł, tj. </w:t>
      </w:r>
      <w:r w:rsidR="00416E70" w:rsidRPr="00271812">
        <w:rPr>
          <w:shd w:val="clear" w:color="auto" w:fill="FFFFFF"/>
        </w:rPr>
        <w:t xml:space="preserve">na poziomie </w:t>
      </w:r>
      <w:r w:rsidR="00E74157" w:rsidRPr="00271812">
        <w:rPr>
          <w:shd w:val="clear" w:color="auto" w:fill="FFFFFF"/>
        </w:rPr>
        <w:t>o</w:t>
      </w:r>
      <w:r w:rsidR="00416E70" w:rsidRPr="00271812">
        <w:rPr>
          <w:shd w:val="clear" w:color="auto" w:fill="FFFFFF"/>
        </w:rPr>
        <w:t> </w:t>
      </w:r>
      <w:r w:rsidR="00D947AB" w:rsidRPr="00271812">
        <w:rPr>
          <w:shd w:val="clear" w:color="auto" w:fill="FFFFFF"/>
        </w:rPr>
        <w:t>4,7</w:t>
      </w:r>
      <w:r w:rsidR="00D33311" w:rsidRPr="00271812">
        <w:rPr>
          <w:shd w:val="clear" w:color="auto" w:fill="FFFFFF"/>
        </w:rPr>
        <w:t xml:space="preserve">% niższym niż na koniec </w:t>
      </w:r>
      <w:r w:rsidR="00D86310" w:rsidRPr="00271812">
        <w:rPr>
          <w:shd w:val="clear" w:color="auto" w:fill="FFFFFF"/>
        </w:rPr>
        <w:t>czerwca 2018</w:t>
      </w:r>
      <w:r w:rsidR="00EC5F4C" w:rsidRPr="00271812">
        <w:rPr>
          <w:shd w:val="clear" w:color="auto" w:fill="FFFFFF"/>
        </w:rPr>
        <w:t> </w:t>
      </w:r>
      <w:r w:rsidR="00E74157" w:rsidRPr="00271812">
        <w:rPr>
          <w:shd w:val="clear" w:color="auto" w:fill="FFFFFF"/>
        </w:rPr>
        <w:t>r.</w:t>
      </w:r>
      <w:r w:rsidR="00E44AD2" w:rsidRPr="00271812">
        <w:rPr>
          <w:shd w:val="clear" w:color="auto" w:fill="FFFFFF"/>
        </w:rPr>
        <w:t xml:space="preserve"> </w:t>
      </w:r>
      <w:r w:rsidR="00CB5CC0" w:rsidRPr="00271812">
        <w:rPr>
          <w:shd w:val="clear" w:color="auto" w:fill="FFFFFF"/>
        </w:rPr>
        <w:t>Aktywa netto funduszy inwestycyjnych zamkni</w:t>
      </w:r>
      <w:r w:rsidR="00CB5CC0" w:rsidRPr="00271812">
        <w:rPr>
          <w:shd w:val="clear" w:color="auto" w:fill="FFFFFF"/>
        </w:rPr>
        <w:t>ę</w:t>
      </w:r>
      <w:r w:rsidR="00CB5CC0" w:rsidRPr="00271812">
        <w:rPr>
          <w:shd w:val="clear" w:color="auto" w:fill="FFFFFF"/>
        </w:rPr>
        <w:t>tych osią</w:t>
      </w:r>
      <w:r w:rsidR="0059366D" w:rsidRPr="00271812">
        <w:rPr>
          <w:shd w:val="clear" w:color="auto" w:fill="FFFFFF"/>
        </w:rPr>
        <w:t>gnęły wartość 135 522,5</w:t>
      </w:r>
      <w:r w:rsidR="00CB5CC0" w:rsidRPr="00271812">
        <w:rPr>
          <w:shd w:val="clear" w:color="auto" w:fill="FFFFFF"/>
        </w:rPr>
        <w:t xml:space="preserve"> mln</w:t>
      </w:r>
      <w:r w:rsidR="00EC5F4C" w:rsidRPr="00271812">
        <w:rPr>
          <w:shd w:val="clear" w:color="auto" w:fill="FFFFFF"/>
        </w:rPr>
        <w:t> </w:t>
      </w:r>
      <w:r w:rsidR="00CB5CC0" w:rsidRPr="00271812">
        <w:rPr>
          <w:shd w:val="clear" w:color="auto" w:fill="FFFFFF"/>
        </w:rPr>
        <w:t>zł</w:t>
      </w:r>
      <w:r w:rsidR="00CF592D" w:rsidRPr="00271812">
        <w:rPr>
          <w:shd w:val="clear" w:color="auto" w:fill="FFFFFF"/>
        </w:rPr>
        <w:t xml:space="preserve"> (o 10,3</w:t>
      </w:r>
      <w:r w:rsidR="00330CD0" w:rsidRPr="00271812">
        <w:rPr>
          <w:shd w:val="clear" w:color="auto" w:fill="FFFFFF"/>
        </w:rPr>
        <w:t xml:space="preserve">% niższą niż </w:t>
      </w:r>
      <w:r w:rsidR="00CB5CC0" w:rsidRPr="00271812">
        <w:rPr>
          <w:shd w:val="clear" w:color="auto" w:fill="FFFFFF"/>
        </w:rPr>
        <w:t>przed rokiem), funduszy inwest</w:t>
      </w:r>
      <w:r w:rsidR="00CB5CC0" w:rsidRPr="00271812">
        <w:rPr>
          <w:shd w:val="clear" w:color="auto" w:fill="FFFFFF"/>
        </w:rPr>
        <w:t>y</w:t>
      </w:r>
      <w:r w:rsidR="00CB5CC0" w:rsidRPr="00271812">
        <w:rPr>
          <w:shd w:val="clear" w:color="auto" w:fill="FFFFFF"/>
        </w:rPr>
        <w:t>cyjnych otwar</w:t>
      </w:r>
      <w:r w:rsidR="00011C4E" w:rsidRPr="00271812">
        <w:rPr>
          <w:shd w:val="clear" w:color="auto" w:fill="FFFFFF"/>
        </w:rPr>
        <w:t>tych 105 233,2</w:t>
      </w:r>
      <w:r w:rsidR="00CB5CC0" w:rsidRPr="00271812">
        <w:rPr>
          <w:shd w:val="clear" w:color="auto" w:fill="FFFFFF"/>
        </w:rPr>
        <w:t xml:space="preserve"> mln</w:t>
      </w:r>
      <w:r w:rsidR="00EC5F4C" w:rsidRPr="00271812">
        <w:rPr>
          <w:shd w:val="clear" w:color="auto" w:fill="FFFFFF"/>
        </w:rPr>
        <w:t> </w:t>
      </w:r>
      <w:r w:rsidR="00AF4E19" w:rsidRPr="00271812">
        <w:rPr>
          <w:shd w:val="clear" w:color="auto" w:fill="FFFFFF"/>
        </w:rPr>
        <w:t xml:space="preserve">zł (wyższą o </w:t>
      </w:r>
      <w:r w:rsidR="00C13855" w:rsidRPr="00271812">
        <w:rPr>
          <w:shd w:val="clear" w:color="auto" w:fill="FFFFFF"/>
        </w:rPr>
        <w:t>4,0</w:t>
      </w:r>
      <w:r w:rsidR="00CB5CC0" w:rsidRPr="00271812">
        <w:rPr>
          <w:shd w:val="clear" w:color="auto" w:fill="FFFFFF"/>
        </w:rPr>
        <w:t>%), a specjalistycz</w:t>
      </w:r>
      <w:r w:rsidR="00011C4E" w:rsidRPr="00271812">
        <w:rPr>
          <w:shd w:val="clear" w:color="auto" w:fill="FFFFFF"/>
        </w:rPr>
        <w:t>nych funduszy otwartych 52 385,6</w:t>
      </w:r>
      <w:r w:rsidR="00AF4E19" w:rsidRPr="00271812">
        <w:rPr>
          <w:shd w:val="clear" w:color="auto" w:fill="FFFFFF"/>
        </w:rPr>
        <w:t xml:space="preserve"> mln zł (spa</w:t>
      </w:r>
      <w:r w:rsidR="00CF232E" w:rsidRPr="00271812">
        <w:rPr>
          <w:shd w:val="clear" w:color="auto" w:fill="FFFFFF"/>
        </w:rPr>
        <w:t>dek o 5</w:t>
      </w:r>
      <w:r w:rsidR="00AF4E19" w:rsidRPr="00271812">
        <w:rPr>
          <w:shd w:val="clear" w:color="auto" w:fill="FFFFFF"/>
        </w:rPr>
        <w:t>,3</w:t>
      </w:r>
      <w:r w:rsidR="00CB5CC0" w:rsidRPr="00271812">
        <w:rPr>
          <w:shd w:val="clear" w:color="auto" w:fill="FFFFFF"/>
        </w:rPr>
        <w:t xml:space="preserve">%). </w:t>
      </w:r>
    </w:p>
    <w:p w:rsidR="00F344AD" w:rsidRPr="00271812" w:rsidRDefault="00F344AD" w:rsidP="001E0053">
      <w:pPr>
        <w:jc w:val="both"/>
        <w:rPr>
          <w:shd w:val="clear" w:color="auto" w:fill="FFFFFF"/>
        </w:rPr>
      </w:pPr>
    </w:p>
    <w:p w:rsidR="00DE44C0" w:rsidRPr="00271812" w:rsidRDefault="00DC3686" w:rsidP="00DE44C0">
      <w:pPr>
        <w:rPr>
          <w:b/>
          <w:spacing w:val="-2"/>
          <w:sz w:val="18"/>
          <w:shd w:val="clear" w:color="auto" w:fill="FFFFFF"/>
        </w:rPr>
      </w:pPr>
      <w:r w:rsidRPr="00271812">
        <w:rPr>
          <w:b/>
          <w:spacing w:val="-2"/>
          <w:sz w:val="18"/>
          <w:shd w:val="clear" w:color="auto" w:fill="FFFFFF"/>
        </w:rPr>
        <w:t>Tablica 1</w:t>
      </w:r>
      <w:r w:rsidR="00DE44C0" w:rsidRPr="00271812">
        <w:rPr>
          <w:b/>
          <w:spacing w:val="-2"/>
          <w:sz w:val="18"/>
          <w:shd w:val="clear" w:color="auto" w:fill="FFFFFF"/>
        </w:rPr>
        <w:t xml:space="preserve">. </w:t>
      </w:r>
      <w:r w:rsidR="00CB5CC0" w:rsidRPr="00271812">
        <w:rPr>
          <w:b/>
          <w:spacing w:val="-2"/>
          <w:sz w:val="18"/>
          <w:shd w:val="clear" w:color="auto" w:fill="FFFFFF"/>
        </w:rPr>
        <w:t>Wybrane pozycje z bilansu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/>
      </w:tblPr>
      <w:tblGrid>
        <w:gridCol w:w="2823"/>
        <w:gridCol w:w="1701"/>
        <w:gridCol w:w="1701"/>
        <w:gridCol w:w="1701"/>
      </w:tblGrid>
      <w:tr w:rsidR="00DE44C0" w:rsidRPr="00271812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DE44C0" w:rsidRPr="00271812" w:rsidRDefault="00DE44C0" w:rsidP="00DE44C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DE44C0" w:rsidRPr="00271812" w:rsidRDefault="00566578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DE44C0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DE44C0" w:rsidRPr="00271812" w:rsidRDefault="00566578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DE44C0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DE44C0" w:rsidRPr="00271812" w:rsidRDefault="00566578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  <w:r w:rsidR="00DE44C0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DE44C0" w:rsidRPr="00271812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DE44C0" w:rsidRPr="00271812" w:rsidRDefault="00DE44C0" w:rsidP="00DE44C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DE44C0" w:rsidRPr="00271812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DE44C0" w:rsidRPr="00271812" w:rsidRDefault="00DE44C0" w:rsidP="00DE44C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C1646D" w:rsidRPr="00271812" w:rsidTr="0040232D">
        <w:trPr>
          <w:trHeight w:hRule="exact" w:val="454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1646D" w:rsidRPr="00271812" w:rsidRDefault="00C1646D" w:rsidP="00C1646D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Aktywa ogółem, w tym: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1646D" w:rsidRPr="00271812" w:rsidRDefault="00FB208D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334 154,1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321 430,5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</w:tr>
      <w:tr w:rsidR="00C1646D" w:rsidRPr="00271812" w:rsidTr="0040232D">
        <w:trPr>
          <w:trHeight w:hRule="exact" w:val="454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C1646D" w:rsidRPr="00271812" w:rsidRDefault="00C1646D" w:rsidP="00C1646D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Należności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C1646D" w:rsidRPr="00271812" w:rsidRDefault="00FB208D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18 687,0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14 429,4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77,2</w:t>
            </w:r>
          </w:p>
        </w:tc>
      </w:tr>
      <w:tr w:rsidR="00C1646D" w:rsidRPr="00271812" w:rsidTr="006F7FF7">
        <w:trPr>
          <w:trHeight w:hRule="exact" w:val="680"/>
        </w:trPr>
        <w:tc>
          <w:tcPr>
            <w:tcW w:w="2823" w:type="dxa"/>
            <w:vAlign w:val="center"/>
          </w:tcPr>
          <w:p w:rsidR="00C1646D" w:rsidRPr="00271812" w:rsidRDefault="00C1646D" w:rsidP="00C1646D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Składniki lokat nienotowane na aktywnym rynku</w:t>
            </w:r>
          </w:p>
        </w:tc>
        <w:tc>
          <w:tcPr>
            <w:tcW w:w="1701" w:type="dxa"/>
            <w:vAlign w:val="center"/>
          </w:tcPr>
          <w:p w:rsidR="00C1646D" w:rsidRPr="00271812" w:rsidRDefault="00FB208D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157 335,0</w:t>
            </w:r>
          </w:p>
        </w:tc>
        <w:tc>
          <w:tcPr>
            <w:tcW w:w="1701" w:type="dxa"/>
            <w:vAlign w:val="center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147 647,6</w:t>
            </w:r>
          </w:p>
        </w:tc>
        <w:tc>
          <w:tcPr>
            <w:tcW w:w="1701" w:type="dxa"/>
            <w:vAlign w:val="center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</w:tr>
      <w:tr w:rsidR="00C1646D" w:rsidRPr="00271812" w:rsidTr="006F7FF7">
        <w:trPr>
          <w:trHeight w:hRule="exact" w:val="680"/>
        </w:trPr>
        <w:tc>
          <w:tcPr>
            <w:tcW w:w="2823" w:type="dxa"/>
            <w:vAlign w:val="center"/>
          </w:tcPr>
          <w:p w:rsidR="00C1646D" w:rsidRPr="00271812" w:rsidRDefault="00C1646D" w:rsidP="00C1646D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Składniki lokat notowane na a</w:t>
            </w:r>
            <w:r w:rsidRPr="00271812">
              <w:rPr>
                <w:sz w:val="16"/>
                <w:szCs w:val="16"/>
              </w:rPr>
              <w:t>k</w:t>
            </w:r>
            <w:r w:rsidRPr="00271812">
              <w:rPr>
                <w:sz w:val="16"/>
                <w:szCs w:val="16"/>
              </w:rPr>
              <w:t xml:space="preserve">tywnym rynku </w:t>
            </w:r>
          </w:p>
        </w:tc>
        <w:tc>
          <w:tcPr>
            <w:tcW w:w="1701" w:type="dxa"/>
            <w:vAlign w:val="center"/>
          </w:tcPr>
          <w:p w:rsidR="00C1646D" w:rsidRPr="00271812" w:rsidRDefault="00FB208D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128 504,5</w:t>
            </w:r>
          </w:p>
        </w:tc>
        <w:tc>
          <w:tcPr>
            <w:tcW w:w="1701" w:type="dxa"/>
            <w:vAlign w:val="center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140 125,4</w:t>
            </w:r>
          </w:p>
        </w:tc>
        <w:tc>
          <w:tcPr>
            <w:tcW w:w="1701" w:type="dxa"/>
            <w:vAlign w:val="center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</w:tr>
      <w:tr w:rsidR="00C1646D" w:rsidRPr="00271812" w:rsidTr="006F7FF7">
        <w:trPr>
          <w:trHeight w:hRule="exact" w:val="454"/>
        </w:trPr>
        <w:tc>
          <w:tcPr>
            <w:tcW w:w="2823" w:type="dxa"/>
            <w:vAlign w:val="center"/>
          </w:tcPr>
          <w:p w:rsidR="00C1646D" w:rsidRPr="00271812" w:rsidRDefault="00C1646D" w:rsidP="00C1646D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Zobowiązania</w:t>
            </w:r>
          </w:p>
        </w:tc>
        <w:tc>
          <w:tcPr>
            <w:tcW w:w="1701" w:type="dxa"/>
            <w:vAlign w:val="center"/>
          </w:tcPr>
          <w:p w:rsidR="00C1646D" w:rsidRPr="00271812" w:rsidRDefault="00FB208D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26 502,6</w:t>
            </w:r>
          </w:p>
        </w:tc>
        <w:tc>
          <w:tcPr>
            <w:tcW w:w="1701" w:type="dxa"/>
            <w:vAlign w:val="center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28 289,5</w:t>
            </w:r>
          </w:p>
        </w:tc>
        <w:tc>
          <w:tcPr>
            <w:tcW w:w="1701" w:type="dxa"/>
            <w:vAlign w:val="center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</w:tr>
      <w:tr w:rsidR="00C1646D" w:rsidRPr="00271812" w:rsidTr="006F7FF7">
        <w:trPr>
          <w:trHeight w:hRule="exact" w:val="454"/>
        </w:trPr>
        <w:tc>
          <w:tcPr>
            <w:tcW w:w="2823" w:type="dxa"/>
            <w:vAlign w:val="center"/>
          </w:tcPr>
          <w:p w:rsidR="00C1646D" w:rsidRPr="00271812" w:rsidRDefault="00C1646D" w:rsidP="00C1646D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Aktywa netto</w:t>
            </w:r>
          </w:p>
        </w:tc>
        <w:tc>
          <w:tcPr>
            <w:tcW w:w="1701" w:type="dxa"/>
            <w:vAlign w:val="center"/>
          </w:tcPr>
          <w:p w:rsidR="00C1646D" w:rsidRPr="00271812" w:rsidRDefault="00FB208D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307 651,5</w:t>
            </w:r>
          </w:p>
        </w:tc>
        <w:tc>
          <w:tcPr>
            <w:tcW w:w="1701" w:type="dxa"/>
            <w:vAlign w:val="center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293 141,3</w:t>
            </w:r>
          </w:p>
        </w:tc>
        <w:tc>
          <w:tcPr>
            <w:tcW w:w="1701" w:type="dxa"/>
            <w:vAlign w:val="center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</w:tr>
      <w:tr w:rsidR="00C1646D" w:rsidRPr="00271812" w:rsidTr="0040232D">
        <w:trPr>
          <w:trHeight w:hRule="exact" w:val="454"/>
        </w:trPr>
        <w:tc>
          <w:tcPr>
            <w:tcW w:w="2823" w:type="dxa"/>
            <w:vAlign w:val="center"/>
          </w:tcPr>
          <w:p w:rsidR="00C1646D" w:rsidRPr="00271812" w:rsidRDefault="00C1646D" w:rsidP="00C1646D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Kapitał</w:t>
            </w:r>
          </w:p>
        </w:tc>
        <w:tc>
          <w:tcPr>
            <w:tcW w:w="1701" w:type="dxa"/>
            <w:vAlign w:val="bottom"/>
          </w:tcPr>
          <w:p w:rsidR="00C1646D" w:rsidRPr="00271812" w:rsidRDefault="00FB208D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209 544,3</w:t>
            </w:r>
          </w:p>
        </w:tc>
        <w:tc>
          <w:tcPr>
            <w:tcW w:w="1701" w:type="dxa"/>
            <w:vAlign w:val="bottom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211 829,6</w:t>
            </w:r>
          </w:p>
        </w:tc>
        <w:tc>
          <w:tcPr>
            <w:tcW w:w="1701" w:type="dxa"/>
            <w:vAlign w:val="bottom"/>
          </w:tcPr>
          <w:p w:rsidR="00C1646D" w:rsidRPr="00271812" w:rsidRDefault="009C50B1" w:rsidP="00C164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</w:tr>
    </w:tbl>
    <w:p w:rsidR="006F7FF7" w:rsidRPr="00271812" w:rsidRDefault="006F7FF7" w:rsidP="00E13DA0">
      <w:pPr>
        <w:jc w:val="both"/>
        <w:rPr>
          <w:lang w:eastAsia="pl-PL"/>
        </w:rPr>
      </w:pPr>
    </w:p>
    <w:p w:rsidR="001257D5" w:rsidRPr="00271812" w:rsidRDefault="008560D4" w:rsidP="004A4566">
      <w:pPr>
        <w:rPr>
          <w:lang w:eastAsia="pl-PL"/>
        </w:rPr>
      </w:pPr>
      <w:r w:rsidRPr="008560D4">
        <w:rPr>
          <w:b/>
          <w:noProof/>
          <w:spacing w:val="-2"/>
          <w:szCs w:val="19"/>
          <w:lang w:eastAsia="pl-PL"/>
        </w:rPr>
        <w:pict>
          <v:shape id="Pole tekstowe 18" o:spid="_x0000_s1036" type="#_x0000_t202" style="position:absolute;margin-left:411.75pt;margin-top:5.1pt;width:135.85pt;height:107.25pt;z-index:-2515671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" filled="f" stroked="f">
            <v:textbox>
              <w:txbxContent>
                <w:p w:rsidR="0040232D" w:rsidRPr="00074DD8" w:rsidRDefault="0040232D" w:rsidP="004A4566">
                  <w:pPr>
                    <w:pStyle w:val="tekstzboku"/>
                  </w:pPr>
                  <w:r w:rsidRPr="00271812">
                    <w:t>Na koniec czerwca 2019 r. lokaty funduszy inwestycy</w:t>
                  </w:r>
                  <w:r w:rsidRPr="00271812">
                    <w:t>j</w:t>
                  </w:r>
                  <w:r w:rsidR="004F20AB" w:rsidRPr="00271812">
                    <w:t>nych wyniosły 280,2</w:t>
                  </w:r>
                  <w:r w:rsidR="002710D2" w:rsidRPr="00271812">
                    <w:t xml:space="preserve"> mld zł</w:t>
                  </w:r>
                </w:p>
                <w:p w:rsidR="0040232D" w:rsidRDefault="0040232D" w:rsidP="006F7FF7">
                  <w:pPr>
                    <w:spacing w:after="0"/>
                    <w:jc w:val="both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  <w:p w:rsidR="0040232D" w:rsidRDefault="0040232D" w:rsidP="00130B04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  <w:p w:rsidR="0040232D" w:rsidRPr="00D616D2" w:rsidRDefault="0040232D" w:rsidP="00130B04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Pr="008560D4">
        <w:rPr>
          <w:b/>
          <w:noProof/>
          <w:spacing w:val="-2"/>
          <w:szCs w:val="19"/>
          <w:lang w:eastAsia="pl-PL"/>
        </w:rPr>
        <w:pict>
          <v:shape id="Pole tekstowe 19" o:spid="_x0000_s1037" type="#_x0000_t202" style="position:absolute;margin-left:411.75pt;margin-top:63.35pt;width:135.85pt;height:64.5pt;z-index:-2515650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" filled="f" stroked="f">
            <v:textbox>
              <w:txbxContent>
                <w:p w:rsidR="0040232D" w:rsidRPr="00D616D2" w:rsidRDefault="0040232D" w:rsidP="001257D5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E35E85" w:rsidRPr="00271812">
        <w:rPr>
          <w:lang w:eastAsia="pl-PL"/>
        </w:rPr>
        <w:t xml:space="preserve">Wartość </w:t>
      </w:r>
      <w:r w:rsidR="00C4383D" w:rsidRPr="00271812">
        <w:rPr>
          <w:lang w:eastAsia="pl-PL"/>
        </w:rPr>
        <w:t xml:space="preserve">lokat </w:t>
      </w:r>
      <w:r w:rsidR="008D3DBD">
        <w:rPr>
          <w:lang w:eastAsia="pl-PL"/>
        </w:rPr>
        <w:t xml:space="preserve">ogółem </w:t>
      </w:r>
      <w:r w:rsidR="00FD3C08" w:rsidRPr="00271812">
        <w:rPr>
          <w:lang w:eastAsia="pl-PL"/>
        </w:rPr>
        <w:t>funduszy inwes</w:t>
      </w:r>
      <w:r w:rsidR="00FF5417" w:rsidRPr="00271812">
        <w:rPr>
          <w:lang w:eastAsia="pl-PL"/>
        </w:rPr>
        <w:t>tycyjnych na koniec czerwca 2019</w:t>
      </w:r>
      <w:r w:rsidR="00EC5F4C" w:rsidRPr="00271812">
        <w:rPr>
          <w:lang w:eastAsia="pl-PL"/>
        </w:rPr>
        <w:t> </w:t>
      </w:r>
      <w:r w:rsidR="00563D8D" w:rsidRPr="00271812">
        <w:rPr>
          <w:lang w:eastAsia="pl-PL"/>
        </w:rPr>
        <w:t>r. zmniejszyła się do 280 240,4</w:t>
      </w:r>
      <w:r w:rsidR="00DD21E3" w:rsidRPr="00271812">
        <w:rPr>
          <w:lang w:eastAsia="pl-PL"/>
        </w:rPr>
        <w:t xml:space="preserve"> </w:t>
      </w:r>
      <w:r w:rsidR="00563D8D" w:rsidRPr="00271812">
        <w:rPr>
          <w:lang w:eastAsia="pl-PL"/>
        </w:rPr>
        <w:t>mln zł (o 3</w:t>
      </w:r>
      <w:r w:rsidR="00DD21E3" w:rsidRPr="00271812">
        <w:rPr>
          <w:lang w:eastAsia="pl-PL"/>
        </w:rPr>
        <w:t>,7</w:t>
      </w:r>
      <w:r w:rsidR="00FD3C08" w:rsidRPr="00271812">
        <w:rPr>
          <w:lang w:eastAsia="pl-PL"/>
        </w:rPr>
        <w:t xml:space="preserve">%). </w:t>
      </w:r>
      <w:r w:rsidR="008D3DBD">
        <w:rPr>
          <w:lang w:eastAsia="pl-PL"/>
        </w:rPr>
        <w:t>Główny</w:t>
      </w:r>
      <w:r w:rsidR="004938C3">
        <w:rPr>
          <w:lang w:eastAsia="pl-PL"/>
        </w:rPr>
        <w:t>m</w:t>
      </w:r>
      <w:r w:rsidR="008D3DBD">
        <w:rPr>
          <w:lang w:eastAsia="pl-PL"/>
        </w:rPr>
        <w:t xml:space="preserve"> składnik</w:t>
      </w:r>
      <w:r w:rsidR="004938C3">
        <w:rPr>
          <w:lang w:eastAsia="pl-PL"/>
        </w:rPr>
        <w:t>iem</w:t>
      </w:r>
      <w:r w:rsidR="008D3DBD">
        <w:rPr>
          <w:lang w:eastAsia="pl-PL"/>
        </w:rPr>
        <w:t xml:space="preserve"> lokat </w:t>
      </w:r>
      <w:r w:rsidR="004938C3">
        <w:rPr>
          <w:lang w:eastAsia="pl-PL"/>
        </w:rPr>
        <w:t>były</w:t>
      </w:r>
      <w:r w:rsidR="008D3DBD">
        <w:rPr>
          <w:lang w:eastAsia="pl-PL"/>
        </w:rPr>
        <w:t xml:space="preserve"> d</w:t>
      </w:r>
      <w:r w:rsidR="00FD3C08" w:rsidRPr="00271812">
        <w:rPr>
          <w:lang w:eastAsia="pl-PL"/>
        </w:rPr>
        <w:t>łużne papiery wartościowe</w:t>
      </w:r>
      <w:r w:rsidR="008D3DBD">
        <w:rPr>
          <w:lang w:eastAsia="pl-PL"/>
        </w:rPr>
        <w:t xml:space="preserve"> o</w:t>
      </w:r>
      <w:r w:rsidR="00C757B8">
        <w:rPr>
          <w:lang w:eastAsia="pl-PL"/>
        </w:rPr>
        <w:t> </w:t>
      </w:r>
      <w:r w:rsidR="00230943" w:rsidRPr="00271812">
        <w:rPr>
          <w:lang w:eastAsia="pl-PL"/>
        </w:rPr>
        <w:t>war</w:t>
      </w:r>
      <w:r w:rsidR="008D3DBD">
        <w:rPr>
          <w:lang w:eastAsia="pl-PL"/>
        </w:rPr>
        <w:t xml:space="preserve">tości </w:t>
      </w:r>
      <w:r w:rsidR="00D11F25" w:rsidRPr="00271812">
        <w:rPr>
          <w:lang w:eastAsia="pl-PL"/>
        </w:rPr>
        <w:t xml:space="preserve"> 149 838,9</w:t>
      </w:r>
      <w:r w:rsidR="00230943" w:rsidRPr="00271812">
        <w:rPr>
          <w:lang w:eastAsia="pl-PL"/>
        </w:rPr>
        <w:t xml:space="preserve"> mln zł</w:t>
      </w:r>
      <w:r w:rsidR="0041685F" w:rsidRPr="00271812">
        <w:rPr>
          <w:lang w:eastAsia="pl-PL"/>
        </w:rPr>
        <w:t xml:space="preserve"> </w:t>
      </w:r>
      <w:r w:rsidR="00D11F25" w:rsidRPr="00271812">
        <w:rPr>
          <w:lang w:eastAsia="pl-PL"/>
        </w:rPr>
        <w:t>(wzrost o 8,9</w:t>
      </w:r>
      <w:r w:rsidR="00F078AF" w:rsidRPr="00271812">
        <w:rPr>
          <w:lang w:eastAsia="pl-PL"/>
        </w:rPr>
        <w:t>%).</w:t>
      </w:r>
      <w:r w:rsidR="00FD3C08" w:rsidRPr="00271812">
        <w:rPr>
          <w:lang w:eastAsia="pl-PL"/>
        </w:rPr>
        <w:t xml:space="preserve"> War</w:t>
      </w:r>
      <w:r w:rsidR="00863005" w:rsidRPr="00271812">
        <w:rPr>
          <w:lang w:eastAsia="pl-PL"/>
        </w:rPr>
        <w:t>tość akcji z</w:t>
      </w:r>
      <w:r w:rsidR="000F6DCD" w:rsidRPr="00271812">
        <w:rPr>
          <w:lang w:eastAsia="pl-PL"/>
        </w:rPr>
        <w:t>mniejszyła się do kwoty 72 350,5</w:t>
      </w:r>
      <w:r w:rsidR="00C31691">
        <w:rPr>
          <w:lang w:eastAsia="pl-PL"/>
        </w:rPr>
        <w:t> </w:t>
      </w:r>
      <w:r w:rsidR="00FD3C08" w:rsidRPr="00271812">
        <w:rPr>
          <w:lang w:eastAsia="pl-PL"/>
        </w:rPr>
        <w:t>mln</w:t>
      </w:r>
      <w:r w:rsidR="00EC5F4C" w:rsidRPr="00271812">
        <w:rPr>
          <w:lang w:eastAsia="pl-PL"/>
        </w:rPr>
        <w:t> </w:t>
      </w:r>
      <w:r w:rsidR="00863005" w:rsidRPr="00271812">
        <w:rPr>
          <w:lang w:eastAsia="pl-PL"/>
        </w:rPr>
        <w:t>zł</w:t>
      </w:r>
      <w:r w:rsidR="00F8063B" w:rsidRPr="00271812">
        <w:rPr>
          <w:lang w:eastAsia="pl-PL"/>
        </w:rPr>
        <w:t xml:space="preserve"> (o 17,7</w:t>
      </w:r>
      <w:r w:rsidR="00FD3C08" w:rsidRPr="00271812">
        <w:rPr>
          <w:lang w:eastAsia="pl-PL"/>
        </w:rPr>
        <w:t>%). Wierzytelności ukształtowały się na pozio</w:t>
      </w:r>
      <w:r w:rsidR="00507E20" w:rsidRPr="00271812">
        <w:rPr>
          <w:lang w:eastAsia="pl-PL"/>
        </w:rPr>
        <w:t>mie 18 472,3</w:t>
      </w:r>
      <w:r w:rsidR="00FD3C08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2174FF" w:rsidRPr="00271812">
        <w:rPr>
          <w:lang w:eastAsia="pl-PL"/>
        </w:rPr>
        <w:t>zł</w:t>
      </w:r>
      <w:r w:rsidR="00114446" w:rsidRPr="00271812">
        <w:rPr>
          <w:lang w:eastAsia="pl-PL"/>
        </w:rPr>
        <w:t xml:space="preserve"> (wzrost o 10,1</w:t>
      </w:r>
      <w:r w:rsidR="00FD3C08" w:rsidRPr="00271812">
        <w:rPr>
          <w:lang w:eastAsia="pl-PL"/>
        </w:rPr>
        <w:t>%)</w:t>
      </w:r>
      <w:r w:rsidR="004C39CD">
        <w:rPr>
          <w:lang w:eastAsia="pl-PL"/>
        </w:rPr>
        <w:t xml:space="preserve">. </w:t>
      </w:r>
      <w:r w:rsidR="00480774" w:rsidRPr="00271812">
        <w:rPr>
          <w:lang w:eastAsia="pl-PL"/>
        </w:rPr>
        <w:t xml:space="preserve"> Depozy</w:t>
      </w:r>
      <w:r w:rsidR="00B0006D" w:rsidRPr="00271812">
        <w:rPr>
          <w:lang w:eastAsia="pl-PL"/>
        </w:rPr>
        <w:t>ty zmniej</w:t>
      </w:r>
      <w:r w:rsidR="00480774" w:rsidRPr="00271812">
        <w:rPr>
          <w:lang w:eastAsia="pl-PL"/>
        </w:rPr>
        <w:t>szy</w:t>
      </w:r>
      <w:r w:rsidR="00B0006D" w:rsidRPr="00271812">
        <w:rPr>
          <w:lang w:eastAsia="pl-PL"/>
        </w:rPr>
        <w:t>ły się do 3 429,4</w:t>
      </w:r>
      <w:r w:rsidR="003B7811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3B7811" w:rsidRPr="00271812">
        <w:rPr>
          <w:lang w:eastAsia="pl-PL"/>
        </w:rPr>
        <w:t>zł (o</w:t>
      </w:r>
      <w:r w:rsidR="00E13DA0" w:rsidRPr="00271812">
        <w:rPr>
          <w:lang w:eastAsia="pl-PL"/>
        </w:rPr>
        <w:t> </w:t>
      </w:r>
      <w:r w:rsidR="002C3C81" w:rsidRPr="00271812">
        <w:rPr>
          <w:lang w:eastAsia="pl-PL"/>
        </w:rPr>
        <w:t>28,8</w:t>
      </w:r>
      <w:r w:rsidR="003B7811" w:rsidRPr="00271812">
        <w:rPr>
          <w:lang w:eastAsia="pl-PL"/>
        </w:rPr>
        <w:t xml:space="preserve">%). </w:t>
      </w:r>
    </w:p>
    <w:p w:rsidR="006924D2" w:rsidRPr="00271812" w:rsidRDefault="006924D2" w:rsidP="00E13DA0">
      <w:pPr>
        <w:jc w:val="both"/>
        <w:rPr>
          <w:lang w:eastAsia="pl-PL"/>
        </w:rPr>
      </w:pPr>
    </w:p>
    <w:p w:rsidR="00374412" w:rsidRPr="00271812" w:rsidRDefault="00DC3686" w:rsidP="00374412">
      <w:pPr>
        <w:rPr>
          <w:b/>
          <w:spacing w:val="-2"/>
          <w:sz w:val="18"/>
          <w:shd w:val="clear" w:color="auto" w:fill="FFFFFF"/>
        </w:rPr>
      </w:pPr>
      <w:r w:rsidRPr="00271812">
        <w:rPr>
          <w:b/>
          <w:spacing w:val="-2"/>
          <w:sz w:val="18"/>
          <w:shd w:val="clear" w:color="auto" w:fill="FFFFFF"/>
        </w:rPr>
        <w:t>Tablica 2</w:t>
      </w:r>
      <w:r w:rsidR="00374412" w:rsidRPr="00271812">
        <w:rPr>
          <w:b/>
          <w:spacing w:val="-2"/>
          <w:sz w:val="18"/>
          <w:shd w:val="clear" w:color="auto" w:fill="FFFFFF"/>
        </w:rPr>
        <w:t xml:space="preserve">. </w:t>
      </w:r>
      <w:r w:rsidR="00E13DA0" w:rsidRPr="00271812">
        <w:rPr>
          <w:b/>
          <w:spacing w:val="-2"/>
          <w:sz w:val="18"/>
          <w:shd w:val="clear" w:color="auto" w:fill="FFFFFF"/>
        </w:rPr>
        <w:t>Wartość lokat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/>
      </w:tblPr>
      <w:tblGrid>
        <w:gridCol w:w="2823"/>
        <w:gridCol w:w="1701"/>
        <w:gridCol w:w="1701"/>
        <w:gridCol w:w="1701"/>
      </w:tblGrid>
      <w:tr w:rsidR="00374412" w:rsidRPr="00271812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374412" w:rsidRPr="00271812" w:rsidRDefault="00374412" w:rsidP="0099623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374412" w:rsidRPr="00271812" w:rsidRDefault="00EA2C2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374412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374412" w:rsidRPr="00271812" w:rsidRDefault="00EA2C2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374412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374412" w:rsidRPr="00271812" w:rsidRDefault="00EA2C2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  <w:r w:rsidR="00374412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74412" w:rsidRPr="00271812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374412" w:rsidRPr="00271812" w:rsidRDefault="00374412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374412" w:rsidRPr="00271812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374412" w:rsidRPr="00271812" w:rsidRDefault="00374412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7F0670" w:rsidRPr="00271812" w:rsidTr="0040232D">
        <w:trPr>
          <w:trHeight w:hRule="exact" w:val="454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</w:tcPr>
          <w:p w:rsidR="007F0670" w:rsidRPr="00271812" w:rsidRDefault="00360DE8" w:rsidP="007F0670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Lokaty, z tego</w:t>
            </w:r>
            <w:r w:rsidR="007F0670" w:rsidRPr="00271812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F0670" w:rsidRPr="00271812" w:rsidRDefault="001A3BCC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290 912,6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F0670" w:rsidRPr="00271812" w:rsidRDefault="00191E59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280 240,4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F0670" w:rsidRPr="00271812" w:rsidRDefault="00191E59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96</w:t>
            </w:r>
            <w:r w:rsidR="00094B9D" w:rsidRPr="00271812">
              <w:rPr>
                <w:rFonts w:cs="Arial"/>
                <w:color w:val="000000"/>
                <w:sz w:val="16"/>
                <w:szCs w:val="16"/>
              </w:rPr>
              <w:t>,3</w:t>
            </w:r>
          </w:p>
        </w:tc>
      </w:tr>
      <w:tr w:rsidR="007F0670" w:rsidRPr="00271812" w:rsidTr="0040232D">
        <w:trPr>
          <w:trHeight w:hRule="exact" w:val="454"/>
        </w:trPr>
        <w:tc>
          <w:tcPr>
            <w:tcW w:w="2823" w:type="dxa"/>
            <w:tcBorders>
              <w:top w:val="single" w:sz="4" w:space="0" w:color="212492"/>
            </w:tcBorders>
          </w:tcPr>
          <w:p w:rsidR="007F0670" w:rsidRPr="00271812" w:rsidRDefault="007F0670" w:rsidP="007F0670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Akcje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F0670" w:rsidRPr="00271812" w:rsidRDefault="001A3BCC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87 402,0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F0670" w:rsidRPr="00271812" w:rsidRDefault="00337E65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72 350,5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F0670" w:rsidRPr="00271812" w:rsidRDefault="00094B9D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</w:tr>
      <w:tr w:rsidR="007F0670" w:rsidRPr="00271812" w:rsidTr="0040232D">
        <w:trPr>
          <w:trHeight w:hRule="exact" w:val="454"/>
        </w:trPr>
        <w:tc>
          <w:tcPr>
            <w:tcW w:w="2823" w:type="dxa"/>
          </w:tcPr>
          <w:p w:rsidR="007F0670" w:rsidRPr="00271812" w:rsidRDefault="00D61141" w:rsidP="007F0670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Dłużne papiery wartościowe</w:t>
            </w:r>
          </w:p>
        </w:tc>
        <w:tc>
          <w:tcPr>
            <w:tcW w:w="1701" w:type="dxa"/>
            <w:vAlign w:val="bottom"/>
          </w:tcPr>
          <w:p w:rsidR="007F0670" w:rsidRPr="00271812" w:rsidRDefault="001A3BCC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13</w:t>
            </w:r>
            <w:r w:rsidR="0079105A" w:rsidRPr="00271812">
              <w:rPr>
                <w:rFonts w:cs="Arial"/>
                <w:color w:val="000000"/>
                <w:sz w:val="16"/>
                <w:szCs w:val="16"/>
              </w:rPr>
              <w:t>7 565,3</w:t>
            </w:r>
          </w:p>
        </w:tc>
        <w:tc>
          <w:tcPr>
            <w:tcW w:w="1701" w:type="dxa"/>
            <w:vAlign w:val="bottom"/>
          </w:tcPr>
          <w:p w:rsidR="007F0670" w:rsidRPr="00271812" w:rsidRDefault="00337E65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</w:t>
            </w:r>
            <w:r w:rsidR="00EC0751" w:rsidRPr="00271812">
              <w:rPr>
                <w:rFonts w:cs="Arial"/>
                <w:color w:val="000000"/>
                <w:sz w:val="16"/>
                <w:szCs w:val="16"/>
              </w:rPr>
              <w:t>49 838,9</w:t>
            </w:r>
          </w:p>
        </w:tc>
        <w:tc>
          <w:tcPr>
            <w:tcW w:w="1701" w:type="dxa"/>
            <w:vAlign w:val="bottom"/>
          </w:tcPr>
          <w:p w:rsidR="007F0670" w:rsidRPr="00271812" w:rsidRDefault="00854E11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</w:t>
            </w:r>
            <w:r w:rsidR="00EC0751" w:rsidRPr="00271812">
              <w:rPr>
                <w:rFonts w:cs="Arial"/>
                <w:color w:val="000000"/>
                <w:sz w:val="16"/>
                <w:szCs w:val="16"/>
              </w:rPr>
              <w:t>08,9</w:t>
            </w:r>
          </w:p>
        </w:tc>
      </w:tr>
      <w:tr w:rsidR="007F0670" w:rsidRPr="00271812" w:rsidTr="007A0155">
        <w:trPr>
          <w:trHeight w:hRule="exact" w:val="454"/>
        </w:trPr>
        <w:tc>
          <w:tcPr>
            <w:tcW w:w="2823" w:type="dxa"/>
          </w:tcPr>
          <w:p w:rsidR="007F0670" w:rsidRPr="00271812" w:rsidRDefault="007F0670" w:rsidP="007F0670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Wierzytelności</w:t>
            </w:r>
          </w:p>
        </w:tc>
        <w:tc>
          <w:tcPr>
            <w:tcW w:w="1701" w:type="dxa"/>
            <w:vAlign w:val="center"/>
          </w:tcPr>
          <w:p w:rsidR="007F0670" w:rsidRPr="00271812" w:rsidRDefault="001A3BCC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16 782,7</w:t>
            </w:r>
          </w:p>
        </w:tc>
        <w:tc>
          <w:tcPr>
            <w:tcW w:w="1701" w:type="dxa"/>
            <w:vAlign w:val="center"/>
          </w:tcPr>
          <w:p w:rsidR="007F0670" w:rsidRPr="00271812" w:rsidRDefault="00337E65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18 472,3</w:t>
            </w:r>
          </w:p>
        </w:tc>
        <w:tc>
          <w:tcPr>
            <w:tcW w:w="1701" w:type="dxa"/>
            <w:vAlign w:val="center"/>
          </w:tcPr>
          <w:p w:rsidR="007F0670" w:rsidRPr="00271812" w:rsidRDefault="00094B9D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</w:tr>
      <w:tr w:rsidR="007F0670" w:rsidRPr="00271812" w:rsidTr="007A0155">
        <w:trPr>
          <w:trHeight w:hRule="exact" w:val="1134"/>
        </w:trPr>
        <w:tc>
          <w:tcPr>
            <w:tcW w:w="2823" w:type="dxa"/>
          </w:tcPr>
          <w:p w:rsidR="007F0670" w:rsidRPr="00271812" w:rsidRDefault="007F0670" w:rsidP="007F0670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Tytuły uczestnictwa emitowane przez instytucje wspólnego inw</w:t>
            </w:r>
            <w:r w:rsidRPr="00271812">
              <w:rPr>
                <w:sz w:val="16"/>
                <w:szCs w:val="16"/>
              </w:rPr>
              <w:t>e</w:t>
            </w:r>
            <w:r w:rsidRPr="00271812">
              <w:rPr>
                <w:sz w:val="16"/>
                <w:szCs w:val="16"/>
              </w:rPr>
              <w:t>stowania mające siedzibę za gr</w:t>
            </w:r>
            <w:r w:rsidRPr="00271812">
              <w:rPr>
                <w:sz w:val="16"/>
                <w:szCs w:val="16"/>
              </w:rPr>
              <w:t>a</w:t>
            </w:r>
            <w:r w:rsidRPr="00271812">
              <w:rPr>
                <w:sz w:val="16"/>
                <w:szCs w:val="16"/>
              </w:rPr>
              <w:t xml:space="preserve">nicą </w:t>
            </w:r>
          </w:p>
        </w:tc>
        <w:tc>
          <w:tcPr>
            <w:tcW w:w="1701" w:type="dxa"/>
            <w:vAlign w:val="center"/>
          </w:tcPr>
          <w:p w:rsidR="007F0670" w:rsidRPr="00271812" w:rsidRDefault="001A3BCC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14 095,0</w:t>
            </w:r>
          </w:p>
        </w:tc>
        <w:tc>
          <w:tcPr>
            <w:tcW w:w="1701" w:type="dxa"/>
            <w:vAlign w:val="center"/>
          </w:tcPr>
          <w:p w:rsidR="007F0670" w:rsidRPr="00271812" w:rsidRDefault="00337E65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12 793, 7</w:t>
            </w:r>
          </w:p>
        </w:tc>
        <w:tc>
          <w:tcPr>
            <w:tcW w:w="1701" w:type="dxa"/>
            <w:vAlign w:val="center"/>
          </w:tcPr>
          <w:p w:rsidR="007F0670" w:rsidRPr="00271812" w:rsidRDefault="00094B9D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</w:tr>
      <w:tr w:rsidR="007F0670" w:rsidRPr="00271812" w:rsidTr="005E307F">
        <w:trPr>
          <w:trHeight w:hRule="exact" w:val="454"/>
        </w:trPr>
        <w:tc>
          <w:tcPr>
            <w:tcW w:w="2823" w:type="dxa"/>
          </w:tcPr>
          <w:p w:rsidR="007F0670" w:rsidRPr="00271812" w:rsidRDefault="007F0670" w:rsidP="007F0670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Depozyty</w:t>
            </w:r>
          </w:p>
        </w:tc>
        <w:tc>
          <w:tcPr>
            <w:tcW w:w="1701" w:type="dxa"/>
            <w:vAlign w:val="center"/>
          </w:tcPr>
          <w:p w:rsidR="007F0670" w:rsidRPr="00271812" w:rsidRDefault="001A3BCC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4 818,3</w:t>
            </w:r>
          </w:p>
        </w:tc>
        <w:tc>
          <w:tcPr>
            <w:tcW w:w="1701" w:type="dxa"/>
            <w:vAlign w:val="center"/>
          </w:tcPr>
          <w:p w:rsidR="007F0670" w:rsidRPr="00271812" w:rsidRDefault="00337E65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3 429,4</w:t>
            </w:r>
          </w:p>
        </w:tc>
        <w:tc>
          <w:tcPr>
            <w:tcW w:w="1701" w:type="dxa"/>
            <w:vAlign w:val="center"/>
          </w:tcPr>
          <w:p w:rsidR="007F0670" w:rsidRPr="00271812" w:rsidRDefault="00094B9D" w:rsidP="007F067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71,2</w:t>
            </w:r>
          </w:p>
        </w:tc>
      </w:tr>
    </w:tbl>
    <w:p w:rsidR="004E5469" w:rsidRPr="00271812" w:rsidRDefault="004E5469" w:rsidP="004E5469">
      <w:pPr>
        <w:pStyle w:val="Nagwek1"/>
      </w:pPr>
    </w:p>
    <w:p w:rsidR="004E5469" w:rsidRPr="00271812" w:rsidRDefault="008560D4" w:rsidP="009C16A0">
      <w:pPr>
        <w:rPr>
          <w:lang w:eastAsia="pl-PL"/>
        </w:rPr>
      </w:pPr>
      <w:r w:rsidRPr="008560D4">
        <w:rPr>
          <w:b/>
          <w:noProof/>
          <w:spacing w:val="-2"/>
          <w:szCs w:val="19"/>
          <w:lang w:eastAsia="pl-PL"/>
        </w:rPr>
        <w:pict>
          <v:shape id="Pole tekstowe 20" o:spid="_x0000_s1038" type="#_x0000_t202" style="position:absolute;margin-left:411.75pt;margin-top:6.65pt;width:135.85pt;height:106.5pt;z-index:-2515630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" filled="f" stroked="f">
            <v:textbox>
              <w:txbxContent>
                <w:p w:rsidR="0040232D" w:rsidRPr="00074DD8" w:rsidRDefault="0040232D" w:rsidP="00AF5E24">
                  <w:pPr>
                    <w:pStyle w:val="tekstzboku"/>
                  </w:pPr>
                  <w:r w:rsidRPr="00271812">
                    <w:t xml:space="preserve">W </w:t>
                  </w:r>
                  <w:r w:rsidR="00D25633" w:rsidRPr="00271812">
                    <w:t>I półroczu 2019</w:t>
                  </w:r>
                  <w:r w:rsidRPr="00271812">
                    <w:t> r. przych</w:t>
                  </w:r>
                  <w:r w:rsidRPr="00271812">
                    <w:t>o</w:t>
                  </w:r>
                  <w:r w:rsidRPr="00271812">
                    <w:t>dy z lokat funduszy inwest</w:t>
                  </w:r>
                  <w:r w:rsidRPr="00271812">
                    <w:t>y</w:t>
                  </w:r>
                  <w:r w:rsidRPr="00271812">
                    <w:t>cyj</w:t>
                  </w:r>
                  <w:r w:rsidR="00D25633" w:rsidRPr="00271812">
                    <w:t>nych wyniosły 4,5 mld zł</w:t>
                  </w:r>
                </w:p>
                <w:p w:rsidR="0040232D" w:rsidRPr="00D616D2" w:rsidRDefault="0040232D" w:rsidP="004E5469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4F111D" w:rsidRPr="00271812">
        <w:rPr>
          <w:lang w:eastAsia="pl-PL"/>
        </w:rPr>
        <w:t>Przychody z loka</w:t>
      </w:r>
      <w:r w:rsidR="00A12B88" w:rsidRPr="00271812">
        <w:rPr>
          <w:lang w:eastAsia="pl-PL"/>
        </w:rPr>
        <w:t xml:space="preserve">t funduszy inwestycyjnych w </w:t>
      </w:r>
      <w:r w:rsidR="00850EBF" w:rsidRPr="00271812">
        <w:rPr>
          <w:lang w:eastAsia="pl-PL"/>
        </w:rPr>
        <w:t>I półroczu 2019</w:t>
      </w:r>
      <w:r w:rsidR="00EC5F4C" w:rsidRPr="00271812">
        <w:rPr>
          <w:lang w:eastAsia="pl-PL"/>
        </w:rPr>
        <w:t> </w:t>
      </w:r>
      <w:r w:rsidR="00850EBF" w:rsidRPr="00271812">
        <w:rPr>
          <w:lang w:eastAsia="pl-PL"/>
        </w:rPr>
        <w:t>r. wyniosły 4 482,1</w:t>
      </w:r>
      <w:r w:rsidR="004F111D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4302E9">
        <w:rPr>
          <w:lang w:eastAsia="pl-PL"/>
        </w:rPr>
        <w:t>zł (o </w:t>
      </w:r>
      <w:r w:rsidR="00850EBF" w:rsidRPr="00271812">
        <w:rPr>
          <w:lang w:eastAsia="pl-PL"/>
        </w:rPr>
        <w:t>10,1</w:t>
      </w:r>
      <w:r w:rsidR="004F111D" w:rsidRPr="00271812">
        <w:rPr>
          <w:lang w:eastAsia="pl-PL"/>
        </w:rPr>
        <w:t>% mniej niż przed rokiem). Główną ich pozycją były przychody odsetkowe,</w:t>
      </w:r>
      <w:r w:rsidR="00A12B88" w:rsidRPr="00271812">
        <w:rPr>
          <w:lang w:eastAsia="pl-PL"/>
        </w:rPr>
        <w:t xml:space="preserve"> które osi</w:t>
      </w:r>
      <w:r w:rsidR="00A12B88" w:rsidRPr="00271812">
        <w:rPr>
          <w:lang w:eastAsia="pl-PL"/>
        </w:rPr>
        <w:t>ą</w:t>
      </w:r>
      <w:r w:rsidR="00A12B88" w:rsidRPr="00271812">
        <w:rPr>
          <w:lang w:eastAsia="pl-PL"/>
        </w:rPr>
        <w:t>gnęły war</w:t>
      </w:r>
      <w:r w:rsidR="00850EBF" w:rsidRPr="00271812">
        <w:rPr>
          <w:lang w:eastAsia="pl-PL"/>
        </w:rPr>
        <w:t>tość 2 598,3</w:t>
      </w:r>
      <w:r w:rsidR="004F111D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850EBF" w:rsidRPr="00271812">
        <w:rPr>
          <w:lang w:eastAsia="pl-PL"/>
        </w:rPr>
        <w:t>zł i stanowiły 58,0</w:t>
      </w:r>
      <w:r w:rsidR="004F111D" w:rsidRPr="00271812">
        <w:rPr>
          <w:lang w:eastAsia="pl-PL"/>
        </w:rPr>
        <w:t>% przychodów z lokat. Dywidendy i inne udziały w zyskach wy</w:t>
      </w:r>
      <w:r w:rsidR="00CF65B2" w:rsidRPr="00271812">
        <w:rPr>
          <w:lang w:eastAsia="pl-PL"/>
        </w:rPr>
        <w:t>niosły 579,1</w:t>
      </w:r>
      <w:r w:rsidR="004F111D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CF65B2" w:rsidRPr="00271812">
        <w:rPr>
          <w:lang w:eastAsia="pl-PL"/>
        </w:rPr>
        <w:t>zł (934,6</w:t>
      </w:r>
      <w:r w:rsidR="004F111D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4F111D" w:rsidRPr="00271812">
        <w:rPr>
          <w:lang w:eastAsia="pl-PL"/>
        </w:rPr>
        <w:t>zł przed rokiem). Wynagrodzenia dla towarzystw zarządzających fundu</w:t>
      </w:r>
      <w:r w:rsidR="008C264C" w:rsidRPr="00271812">
        <w:rPr>
          <w:lang w:eastAsia="pl-PL"/>
        </w:rPr>
        <w:t>szami wyniosły 1 769,9</w:t>
      </w:r>
      <w:r w:rsidR="004F111D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8C264C" w:rsidRPr="00271812">
        <w:rPr>
          <w:lang w:eastAsia="pl-PL"/>
        </w:rPr>
        <w:t>zł (1 902,0 mln zł</w:t>
      </w:r>
      <w:r w:rsidR="001A6F40" w:rsidRPr="00271812">
        <w:rPr>
          <w:lang w:eastAsia="pl-PL"/>
        </w:rPr>
        <w:t xml:space="preserve"> przed rokiem</w:t>
      </w:r>
      <w:r w:rsidR="004F111D" w:rsidRPr="00271812">
        <w:rPr>
          <w:lang w:eastAsia="pl-PL"/>
        </w:rPr>
        <w:t>). Koszty netto funduszy inwestycyjnych, po uwzględnieniu kosztów pokrywanych przez towarzystwo, wyni</w:t>
      </w:r>
      <w:r w:rsidR="004F111D" w:rsidRPr="00271812">
        <w:rPr>
          <w:lang w:eastAsia="pl-PL"/>
        </w:rPr>
        <w:t>o</w:t>
      </w:r>
      <w:r w:rsidR="00BD3691" w:rsidRPr="00271812">
        <w:rPr>
          <w:lang w:eastAsia="pl-PL"/>
        </w:rPr>
        <w:t>sły 2 872,9</w:t>
      </w:r>
      <w:r w:rsidR="004F111D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4F111D" w:rsidRPr="00271812">
        <w:rPr>
          <w:lang w:eastAsia="pl-PL"/>
        </w:rPr>
        <w:t>zł</w:t>
      </w:r>
      <w:r w:rsidR="00BD3691" w:rsidRPr="00271812">
        <w:rPr>
          <w:lang w:eastAsia="pl-PL"/>
        </w:rPr>
        <w:t xml:space="preserve"> i były niższe o 10,2</w:t>
      </w:r>
      <w:r w:rsidR="000B24D5" w:rsidRPr="00271812">
        <w:rPr>
          <w:lang w:eastAsia="pl-PL"/>
        </w:rPr>
        <w:t>% niż rok wcześniej.</w:t>
      </w:r>
      <w:r w:rsidR="00D64523" w:rsidRPr="00271812">
        <w:rPr>
          <w:lang w:eastAsia="pl-PL"/>
        </w:rPr>
        <w:t xml:space="preserve"> </w:t>
      </w:r>
    </w:p>
    <w:p w:rsidR="006924D2" w:rsidRPr="00271812" w:rsidRDefault="006924D2" w:rsidP="004F111D">
      <w:pPr>
        <w:jc w:val="both"/>
        <w:rPr>
          <w:lang w:eastAsia="pl-PL"/>
        </w:rPr>
      </w:pPr>
    </w:p>
    <w:p w:rsidR="002F468D" w:rsidRPr="00271812" w:rsidRDefault="00DC3686" w:rsidP="002F468D">
      <w:pPr>
        <w:rPr>
          <w:b/>
          <w:spacing w:val="-2"/>
          <w:sz w:val="18"/>
          <w:shd w:val="clear" w:color="auto" w:fill="FFFFFF"/>
        </w:rPr>
      </w:pPr>
      <w:r w:rsidRPr="00271812">
        <w:rPr>
          <w:b/>
          <w:spacing w:val="-2"/>
          <w:sz w:val="18"/>
          <w:shd w:val="clear" w:color="auto" w:fill="FFFFFF"/>
        </w:rPr>
        <w:t>Tablica 3</w:t>
      </w:r>
      <w:r w:rsidR="002F468D" w:rsidRPr="00271812">
        <w:rPr>
          <w:b/>
          <w:spacing w:val="-2"/>
          <w:sz w:val="18"/>
          <w:shd w:val="clear" w:color="auto" w:fill="FFFFFF"/>
        </w:rPr>
        <w:t xml:space="preserve">. </w:t>
      </w:r>
      <w:r w:rsidR="00216C45" w:rsidRPr="00271812">
        <w:rPr>
          <w:b/>
          <w:spacing w:val="-2"/>
          <w:sz w:val="18"/>
          <w:shd w:val="clear" w:color="auto" w:fill="FFFFFF"/>
        </w:rPr>
        <w:t>Wybrane pozycje z rachunku wyniku z operacji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/>
      </w:tblPr>
      <w:tblGrid>
        <w:gridCol w:w="2823"/>
        <w:gridCol w:w="1701"/>
        <w:gridCol w:w="1701"/>
        <w:gridCol w:w="1701"/>
      </w:tblGrid>
      <w:tr w:rsidR="002F468D" w:rsidRPr="00271812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2F468D" w:rsidRPr="00271812" w:rsidRDefault="002F468D" w:rsidP="0099623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2F468D" w:rsidRPr="00271812" w:rsidRDefault="003D05E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2F468D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2F468D" w:rsidRPr="00271812" w:rsidRDefault="003D05E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2F468D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2F468D" w:rsidRPr="00271812" w:rsidRDefault="003D05E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  <w:r w:rsidR="002F468D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F468D" w:rsidRPr="00271812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F468D" w:rsidRPr="00271812" w:rsidRDefault="002F468D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F468D" w:rsidRPr="00271812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F468D" w:rsidRPr="00271812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F2481A" w:rsidRPr="00271812" w:rsidTr="0040232D">
        <w:trPr>
          <w:trHeight w:val="57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</w:tcPr>
          <w:p w:rsidR="00F2481A" w:rsidRPr="00271812" w:rsidRDefault="00F2481A" w:rsidP="00F2481A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Przychody z lokat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481A" w:rsidRPr="00271812" w:rsidRDefault="00BE626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4 985,2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481A" w:rsidRPr="00271812" w:rsidRDefault="009D510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4 482,1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F2481A" w:rsidRPr="00271812" w:rsidRDefault="009D510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89,9</w:t>
            </w:r>
          </w:p>
        </w:tc>
      </w:tr>
      <w:tr w:rsidR="00F2481A" w:rsidRPr="00271812" w:rsidTr="0096756D">
        <w:trPr>
          <w:trHeight w:val="57"/>
        </w:trPr>
        <w:tc>
          <w:tcPr>
            <w:tcW w:w="2823" w:type="dxa"/>
            <w:tcBorders>
              <w:top w:val="single" w:sz="4" w:space="0" w:color="212492"/>
            </w:tcBorders>
          </w:tcPr>
          <w:p w:rsidR="00F2481A" w:rsidRPr="00271812" w:rsidRDefault="00F2481A" w:rsidP="00F2481A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Koszty funduszu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F2481A" w:rsidRPr="00271812" w:rsidRDefault="00BE626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3 211,9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F2481A" w:rsidRPr="00271812" w:rsidRDefault="009D510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2889,7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center"/>
          </w:tcPr>
          <w:p w:rsidR="00F2481A" w:rsidRPr="00271812" w:rsidRDefault="009D510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</w:tr>
      <w:tr w:rsidR="00F2481A" w:rsidRPr="00271812" w:rsidTr="00C10867">
        <w:trPr>
          <w:trHeight w:val="57"/>
        </w:trPr>
        <w:tc>
          <w:tcPr>
            <w:tcW w:w="2823" w:type="dxa"/>
          </w:tcPr>
          <w:p w:rsidR="00F2481A" w:rsidRPr="00271812" w:rsidRDefault="005B4388" w:rsidP="00F2481A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 xml:space="preserve">Zrealizowany zysk/strata ze </w:t>
            </w:r>
            <w:r w:rsidR="00F2481A" w:rsidRPr="00271812">
              <w:rPr>
                <w:sz w:val="16"/>
                <w:szCs w:val="16"/>
              </w:rPr>
              <w:t xml:space="preserve">zbycia lokat </w:t>
            </w:r>
          </w:p>
        </w:tc>
        <w:tc>
          <w:tcPr>
            <w:tcW w:w="1701" w:type="dxa"/>
            <w:vAlign w:val="center"/>
          </w:tcPr>
          <w:p w:rsidR="00F2481A" w:rsidRPr="00271812" w:rsidRDefault="00BE626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1 392,9</w:t>
            </w:r>
          </w:p>
        </w:tc>
        <w:tc>
          <w:tcPr>
            <w:tcW w:w="1701" w:type="dxa"/>
            <w:vAlign w:val="center"/>
          </w:tcPr>
          <w:p w:rsidR="00F2481A" w:rsidRPr="00271812" w:rsidRDefault="009D510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1 307,8</w:t>
            </w:r>
          </w:p>
        </w:tc>
        <w:tc>
          <w:tcPr>
            <w:tcW w:w="1701" w:type="dxa"/>
            <w:vAlign w:val="center"/>
          </w:tcPr>
          <w:p w:rsidR="00F2481A" w:rsidRPr="00271812" w:rsidRDefault="009D510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</w:tr>
      <w:tr w:rsidR="00F2481A" w:rsidRPr="00271812" w:rsidTr="00C10867">
        <w:trPr>
          <w:trHeight w:val="57"/>
        </w:trPr>
        <w:tc>
          <w:tcPr>
            <w:tcW w:w="2823" w:type="dxa"/>
          </w:tcPr>
          <w:p w:rsidR="00F2481A" w:rsidRPr="00271812" w:rsidRDefault="00F2481A" w:rsidP="00F2481A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center"/>
          </w:tcPr>
          <w:p w:rsidR="00F2481A" w:rsidRPr="00271812" w:rsidRDefault="00BE626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10 469,7</w:t>
            </w:r>
          </w:p>
        </w:tc>
        <w:tc>
          <w:tcPr>
            <w:tcW w:w="1701" w:type="dxa"/>
            <w:vAlign w:val="center"/>
          </w:tcPr>
          <w:p w:rsidR="00F2481A" w:rsidRPr="00271812" w:rsidRDefault="009D510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3 450,9</w:t>
            </w:r>
          </w:p>
        </w:tc>
        <w:tc>
          <w:tcPr>
            <w:tcW w:w="1701" w:type="dxa"/>
            <w:vAlign w:val="center"/>
          </w:tcPr>
          <w:p w:rsidR="00F2481A" w:rsidRPr="00271812" w:rsidRDefault="009D5100" w:rsidP="00F2481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33,0</w:t>
            </w:r>
          </w:p>
        </w:tc>
      </w:tr>
    </w:tbl>
    <w:p w:rsidR="002F468D" w:rsidRPr="00271812" w:rsidRDefault="008560D4" w:rsidP="009D1692">
      <w:pPr>
        <w:spacing w:before="480" w:after="240"/>
        <w:rPr>
          <w:rFonts w:ascii="Fira Sans SemiBold" w:hAnsi="Fira Sans SemiBold"/>
          <w:color w:val="001D77"/>
        </w:rPr>
      </w:pPr>
      <w:r w:rsidRPr="008560D4">
        <w:rPr>
          <w:b/>
          <w:noProof/>
          <w:spacing w:val="-2"/>
          <w:szCs w:val="19"/>
          <w:lang w:eastAsia="pl-PL"/>
        </w:rPr>
        <w:pict>
          <v:shape id="Pole tekstowe 30" o:spid="_x0000_s1040" type="#_x0000_t202" style="position:absolute;margin-left:411.75pt;margin-top:212.25pt;width:135.85pt;height:67.75pt;z-index:-251554816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" filled="f" stroked="f">
            <v:textbox>
              <w:txbxContent>
                <w:p w:rsidR="0040232D" w:rsidRPr="00074DD8" w:rsidRDefault="0040232D" w:rsidP="00B17158">
                  <w:pPr>
                    <w:pStyle w:val="tekstzboku"/>
                  </w:pPr>
                  <w:r w:rsidRPr="00271812">
                    <w:t xml:space="preserve">W </w:t>
                  </w:r>
                  <w:r w:rsidR="00BB606C" w:rsidRPr="00271812">
                    <w:t>I półroczu 2019 r. aktywa</w:t>
                  </w:r>
                  <w:r w:rsidRPr="00271812">
                    <w:t xml:space="preserve"> TFI wy</w:t>
                  </w:r>
                  <w:r w:rsidR="00BB606C" w:rsidRPr="00271812">
                    <w:t>niosły 2,6 mld zł</w:t>
                  </w:r>
                </w:p>
                <w:p w:rsidR="0040232D" w:rsidRPr="00D616D2" w:rsidRDefault="0040232D" w:rsidP="00B17158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9D1692" w:rsidRPr="00271812">
        <w:t xml:space="preserve"> </w:t>
      </w:r>
      <w:r w:rsidR="009D1692" w:rsidRPr="00271812">
        <w:rPr>
          <w:rFonts w:ascii="Fira Sans SemiBold" w:hAnsi="Fira Sans SemiBold"/>
          <w:color w:val="001D77"/>
        </w:rPr>
        <w:t>Wyniki finansowe  towarzystw funduszy inwestycyjnych</w:t>
      </w:r>
    </w:p>
    <w:p w:rsidR="003F167E" w:rsidRPr="00271812" w:rsidRDefault="008560D4" w:rsidP="00320E0F">
      <w:pPr>
        <w:spacing w:after="20"/>
        <w:rPr>
          <w:lang w:eastAsia="pl-PL"/>
        </w:rPr>
      </w:pPr>
      <w:r w:rsidRPr="008560D4">
        <w:rPr>
          <w:b/>
          <w:noProof/>
          <w:spacing w:val="-2"/>
          <w:szCs w:val="19"/>
        </w:rPr>
        <w:pict>
          <v:shape id="Pole tekstowe 32" o:spid="_x0000_s1041" type="#_x0000_t202" style="position:absolute;margin-left:411.75pt;margin-top:55.85pt;width:135.85pt;height:61.75pt;z-index:-25154355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" filled="f" stroked="f">
            <v:textbox>
              <w:txbxContent>
                <w:p w:rsidR="0040232D" w:rsidRPr="003F167E" w:rsidRDefault="0040232D" w:rsidP="003F167E">
                  <w:pPr>
                    <w:pStyle w:val="tekstzboku"/>
                  </w:pPr>
                </w:p>
                <w:p w:rsidR="0040232D" w:rsidRPr="003F167E" w:rsidRDefault="0040232D" w:rsidP="003F167E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27397C" w:rsidRPr="00271812">
        <w:rPr>
          <w:lang w:eastAsia="pl-PL"/>
        </w:rPr>
        <w:t>W końcu czerwca 2019</w:t>
      </w:r>
      <w:r w:rsidR="00EC5F4C" w:rsidRPr="00271812">
        <w:rPr>
          <w:lang w:eastAsia="pl-PL"/>
        </w:rPr>
        <w:t> </w:t>
      </w:r>
      <w:r w:rsidR="003C15D5" w:rsidRPr="00271812">
        <w:rPr>
          <w:lang w:eastAsia="pl-PL"/>
        </w:rPr>
        <w:t>r. działało 60</w:t>
      </w:r>
      <w:r w:rsidR="00470626">
        <w:rPr>
          <w:lang w:eastAsia="pl-PL"/>
        </w:rPr>
        <w:t xml:space="preserve"> towarzystw</w:t>
      </w:r>
      <w:r w:rsidR="004C0546" w:rsidRPr="00271812">
        <w:rPr>
          <w:lang w:eastAsia="pl-PL"/>
        </w:rPr>
        <w:t xml:space="preserve"> funduszy inwestycyjnych (TFI). Aktywa tow</w:t>
      </w:r>
      <w:r w:rsidR="004C0546" w:rsidRPr="00271812">
        <w:rPr>
          <w:lang w:eastAsia="pl-PL"/>
        </w:rPr>
        <w:t>a</w:t>
      </w:r>
      <w:r w:rsidR="004C0546" w:rsidRPr="00271812">
        <w:rPr>
          <w:lang w:eastAsia="pl-PL"/>
        </w:rPr>
        <w:t xml:space="preserve">rzystw funduszy inwestycyjnych wyniosły </w:t>
      </w:r>
      <w:r w:rsidR="006453B1" w:rsidRPr="00271812">
        <w:rPr>
          <w:lang w:eastAsia="pl-PL"/>
        </w:rPr>
        <w:t>2 559,2</w:t>
      </w:r>
      <w:r w:rsidR="00EC5F4C" w:rsidRPr="00271812">
        <w:rPr>
          <w:lang w:eastAsia="pl-PL"/>
        </w:rPr>
        <w:t> </w:t>
      </w:r>
      <w:r w:rsidR="00CA20F9" w:rsidRPr="00271812">
        <w:rPr>
          <w:lang w:eastAsia="pl-PL"/>
        </w:rPr>
        <w:t>mln</w:t>
      </w:r>
      <w:r w:rsidR="00EC5F4C" w:rsidRPr="00271812">
        <w:rPr>
          <w:lang w:eastAsia="pl-PL"/>
        </w:rPr>
        <w:t> </w:t>
      </w:r>
      <w:r w:rsidR="00B5622F" w:rsidRPr="00271812">
        <w:rPr>
          <w:lang w:eastAsia="pl-PL"/>
        </w:rPr>
        <w:t>zł</w:t>
      </w:r>
      <w:r w:rsidR="003C2132" w:rsidRPr="00271812">
        <w:rPr>
          <w:lang w:eastAsia="pl-PL"/>
        </w:rPr>
        <w:t xml:space="preserve"> (o 14,9</w:t>
      </w:r>
      <w:r w:rsidR="00B5622F" w:rsidRPr="00271812">
        <w:rPr>
          <w:lang w:eastAsia="pl-PL"/>
        </w:rPr>
        <w:t>% więc</w:t>
      </w:r>
      <w:r w:rsidR="003C2132" w:rsidRPr="00271812">
        <w:rPr>
          <w:lang w:eastAsia="pl-PL"/>
        </w:rPr>
        <w:t>ej niż przed rokiem</w:t>
      </w:r>
      <w:r w:rsidR="00761647">
        <w:rPr>
          <w:lang w:eastAsia="pl-PL"/>
        </w:rPr>
        <w:t>), w </w:t>
      </w:r>
      <w:r w:rsidR="00CA20F9" w:rsidRPr="00271812">
        <w:rPr>
          <w:lang w:eastAsia="pl-PL"/>
        </w:rPr>
        <w:t>tym aktywa ob</w:t>
      </w:r>
      <w:r w:rsidR="006453B1" w:rsidRPr="00271812">
        <w:rPr>
          <w:lang w:eastAsia="pl-PL"/>
        </w:rPr>
        <w:t>rotowe osiągnęły wartość 2 025,2</w:t>
      </w:r>
      <w:r w:rsidR="00EC5F4C" w:rsidRPr="00271812">
        <w:rPr>
          <w:lang w:eastAsia="pl-PL"/>
        </w:rPr>
        <w:t> </w:t>
      </w:r>
      <w:r w:rsidR="00CA20F9" w:rsidRPr="00271812">
        <w:rPr>
          <w:lang w:eastAsia="pl-PL"/>
        </w:rPr>
        <w:t>mln</w:t>
      </w:r>
      <w:r w:rsidR="00EC5F4C" w:rsidRPr="00271812">
        <w:rPr>
          <w:lang w:eastAsia="pl-PL"/>
        </w:rPr>
        <w:t> </w:t>
      </w:r>
      <w:r w:rsidR="004B406B" w:rsidRPr="00271812">
        <w:rPr>
          <w:lang w:eastAsia="pl-PL"/>
        </w:rPr>
        <w:t xml:space="preserve">zł i </w:t>
      </w:r>
      <w:r w:rsidR="00E17227" w:rsidRPr="00271812">
        <w:rPr>
          <w:lang w:eastAsia="pl-PL"/>
        </w:rPr>
        <w:t>stanowiły 79,1</w:t>
      </w:r>
      <w:r w:rsidR="00CA20F9" w:rsidRPr="00271812">
        <w:rPr>
          <w:lang w:eastAsia="pl-PL"/>
        </w:rPr>
        <w:t>% aktywów ogółem. Aktywa obrotowe składały się głównie z finansowych inwestycji krótkoterminowych, które</w:t>
      </w:r>
      <w:r w:rsidR="00F05DA7" w:rsidRPr="00271812">
        <w:rPr>
          <w:lang w:eastAsia="pl-PL"/>
        </w:rPr>
        <w:t xml:space="preserve"> zwiększyły się do kwoty</w:t>
      </w:r>
      <w:r w:rsidR="00B82634" w:rsidRPr="00271812">
        <w:rPr>
          <w:lang w:eastAsia="pl-PL"/>
        </w:rPr>
        <w:t xml:space="preserve"> 1 548,5</w:t>
      </w:r>
      <w:r w:rsidR="00CA20F9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F05DA7" w:rsidRPr="00271812">
        <w:rPr>
          <w:lang w:eastAsia="pl-PL"/>
        </w:rPr>
        <w:t>zł</w:t>
      </w:r>
      <w:r w:rsidR="00E9365A">
        <w:rPr>
          <w:lang w:eastAsia="pl-PL"/>
        </w:rPr>
        <w:t xml:space="preserve"> (o 16,6</w:t>
      </w:r>
      <w:r w:rsidR="00CA20F9" w:rsidRPr="00271812">
        <w:rPr>
          <w:lang w:eastAsia="pl-PL"/>
        </w:rPr>
        <w:t>%). W strukturze aktywów finansowych najwię</w:t>
      </w:r>
      <w:r w:rsidR="00CA20F9" w:rsidRPr="00271812">
        <w:rPr>
          <w:lang w:eastAsia="pl-PL"/>
        </w:rPr>
        <w:t>k</w:t>
      </w:r>
      <w:r w:rsidR="00CA20F9" w:rsidRPr="00271812">
        <w:rPr>
          <w:lang w:eastAsia="pl-PL"/>
        </w:rPr>
        <w:t>szy udział miały środki pienięż</w:t>
      </w:r>
      <w:r w:rsidR="00F05DA7" w:rsidRPr="00271812">
        <w:rPr>
          <w:lang w:eastAsia="pl-PL"/>
        </w:rPr>
        <w:t>ne i inne aktywa pieniężne</w:t>
      </w:r>
      <w:r w:rsidR="00091492" w:rsidRPr="00271812">
        <w:rPr>
          <w:lang w:eastAsia="pl-PL"/>
        </w:rPr>
        <w:t xml:space="preserve"> (88,1</w:t>
      </w:r>
      <w:r w:rsidR="00CA20F9" w:rsidRPr="00271812">
        <w:rPr>
          <w:lang w:eastAsia="pl-PL"/>
        </w:rPr>
        <w:t>%). W pasywach towarzystw funduszy inwestycyjnych kapitały (f</w:t>
      </w:r>
      <w:r w:rsidR="00427F2F" w:rsidRPr="00271812">
        <w:rPr>
          <w:lang w:eastAsia="pl-PL"/>
        </w:rPr>
        <w:t>undusze) własne wyniosły 1 878,5</w:t>
      </w:r>
      <w:r w:rsidR="00CA20F9" w:rsidRPr="00271812">
        <w:rPr>
          <w:lang w:eastAsia="pl-PL"/>
        </w:rPr>
        <w:t xml:space="preserve"> mln</w:t>
      </w:r>
      <w:r w:rsidR="00EC5F4C" w:rsidRPr="00271812">
        <w:rPr>
          <w:lang w:eastAsia="pl-PL"/>
        </w:rPr>
        <w:t> </w:t>
      </w:r>
      <w:r w:rsidR="00CA20F9" w:rsidRPr="00271812">
        <w:rPr>
          <w:lang w:eastAsia="pl-PL"/>
        </w:rPr>
        <w:t>zł (</w:t>
      </w:r>
      <w:r w:rsidR="00F05DA7" w:rsidRPr="00271812">
        <w:rPr>
          <w:lang w:eastAsia="pl-PL"/>
        </w:rPr>
        <w:t>wzrost</w:t>
      </w:r>
      <w:r w:rsidR="00D448F1" w:rsidRPr="00271812">
        <w:rPr>
          <w:lang w:eastAsia="pl-PL"/>
        </w:rPr>
        <w:br/>
      </w:r>
      <w:r w:rsidR="00AE384F" w:rsidRPr="00271812">
        <w:rPr>
          <w:lang w:eastAsia="pl-PL"/>
        </w:rPr>
        <w:t>o 15,3%</w:t>
      </w:r>
      <w:r w:rsidR="00620F2A">
        <w:rPr>
          <w:lang w:eastAsia="pl-PL"/>
        </w:rPr>
        <w:t>) i stanowiły ich największą część</w:t>
      </w:r>
      <w:r w:rsidR="00AE384F" w:rsidRPr="00271812">
        <w:rPr>
          <w:lang w:eastAsia="pl-PL"/>
        </w:rPr>
        <w:t xml:space="preserve"> (73,4</w:t>
      </w:r>
      <w:r w:rsidR="008F7307" w:rsidRPr="00271812">
        <w:rPr>
          <w:lang w:eastAsia="pl-PL"/>
        </w:rPr>
        <w:t xml:space="preserve">%). Wartość kapitału zagranicznego </w:t>
      </w:r>
      <w:r w:rsidR="00232461" w:rsidRPr="00271812">
        <w:rPr>
          <w:lang w:eastAsia="pl-PL"/>
        </w:rPr>
        <w:t xml:space="preserve">w kapitale </w:t>
      </w:r>
      <w:r w:rsidR="00232461" w:rsidRPr="00271812">
        <w:rPr>
          <w:lang w:eastAsia="pl-PL"/>
        </w:rPr>
        <w:lastRenderedPageBreak/>
        <w:t>podstawowym TFI</w:t>
      </w:r>
      <w:r w:rsidR="00AE384F" w:rsidRPr="00271812">
        <w:rPr>
          <w:lang w:eastAsia="pl-PL"/>
        </w:rPr>
        <w:t xml:space="preserve"> zwięk</w:t>
      </w:r>
      <w:r w:rsidR="00232461" w:rsidRPr="00271812">
        <w:rPr>
          <w:lang w:eastAsia="pl-PL"/>
        </w:rPr>
        <w:t>szył</w:t>
      </w:r>
      <w:r w:rsidR="00AE384F" w:rsidRPr="00271812">
        <w:rPr>
          <w:lang w:eastAsia="pl-PL"/>
        </w:rPr>
        <w:t>a się do 158,5</w:t>
      </w:r>
      <w:r w:rsidR="008F7307" w:rsidRPr="00271812">
        <w:rPr>
          <w:lang w:eastAsia="pl-PL"/>
        </w:rPr>
        <w:t xml:space="preserve"> mln zł (udział inwestorów zagranicz</w:t>
      </w:r>
      <w:r w:rsidR="00A363E6" w:rsidRPr="00271812">
        <w:rPr>
          <w:lang w:eastAsia="pl-PL"/>
        </w:rPr>
        <w:t>nych zmniejszył się o 1,6 pkt. proc. do 26,4</w:t>
      </w:r>
      <w:r w:rsidR="008F7307" w:rsidRPr="00271812">
        <w:rPr>
          <w:lang w:eastAsia="pl-PL"/>
        </w:rPr>
        <w:t>%).</w:t>
      </w:r>
      <w:r w:rsidRPr="008560D4">
        <w:rPr>
          <w:b/>
          <w:noProof/>
          <w:spacing w:val="-2"/>
          <w:szCs w:val="19"/>
        </w:rPr>
        <w:pict>
          <v:shape id="Pole tekstowe 29" o:spid="_x0000_s1039" type="#_x0000_t202" style="position:absolute;margin-left:411.75pt;margin-top:9.95pt;width:135.85pt;height:41.25pt;z-index:-251556864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" filled="f" stroked="f">
            <v:textbox style="mso-next-textbox:#Pole tekstowe 29">
              <w:txbxContent>
                <w:p w:rsidR="0040232D" w:rsidRPr="00074DD8" w:rsidRDefault="002E042C" w:rsidP="002F468D">
                  <w:pPr>
                    <w:pStyle w:val="tekstzboku"/>
                  </w:pPr>
                  <w:r w:rsidRPr="00271812">
                    <w:t>Kapitał własny</w:t>
                  </w:r>
                  <w:r w:rsidR="0040232D" w:rsidRPr="00271812">
                    <w:t xml:space="preserve"> TFI wyni</w:t>
                  </w:r>
                  <w:r w:rsidR="00C80B4B">
                    <w:t>ósł 1,9 </w:t>
                  </w:r>
                  <w:r w:rsidRPr="00271812">
                    <w:t>mld zł</w:t>
                  </w:r>
                </w:p>
                <w:p w:rsidR="0040232D" w:rsidRPr="00D616D2" w:rsidRDefault="0040232D" w:rsidP="002F468D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p w:rsidR="00E70ED0" w:rsidRPr="00271812" w:rsidRDefault="00AF5E24" w:rsidP="00320E0F">
      <w:pPr>
        <w:rPr>
          <w:lang w:eastAsia="pl-PL"/>
        </w:rPr>
      </w:pPr>
      <w:r w:rsidRPr="00271812">
        <w:rPr>
          <w:lang w:eastAsia="pl-PL"/>
        </w:rPr>
        <w:t>W</w:t>
      </w:r>
      <w:r w:rsidR="00116638" w:rsidRPr="00271812">
        <w:rPr>
          <w:lang w:eastAsia="pl-PL"/>
        </w:rPr>
        <w:t xml:space="preserve">ynik finansowy brutto TFI w </w:t>
      </w:r>
      <w:r w:rsidR="00897778" w:rsidRPr="00271812">
        <w:rPr>
          <w:lang w:eastAsia="pl-PL"/>
        </w:rPr>
        <w:t>I półroczu 2019 r. wyniósł 588,0 mln zł i był ni</w:t>
      </w:r>
      <w:r w:rsidR="00116638" w:rsidRPr="00271812">
        <w:rPr>
          <w:lang w:eastAsia="pl-PL"/>
        </w:rPr>
        <w:t>ższy o 34,9</w:t>
      </w:r>
      <w:r w:rsidR="00C757B8">
        <w:rPr>
          <w:lang w:eastAsia="pl-PL"/>
        </w:rPr>
        <w:t>% w </w:t>
      </w:r>
      <w:r w:rsidRPr="00271812">
        <w:rPr>
          <w:lang w:eastAsia="pl-PL"/>
        </w:rPr>
        <w:t xml:space="preserve">stosunku do </w:t>
      </w:r>
      <w:r w:rsidR="00D749DB" w:rsidRPr="00271812">
        <w:rPr>
          <w:lang w:eastAsia="pl-PL"/>
        </w:rPr>
        <w:t xml:space="preserve">analogicznego półrocza </w:t>
      </w:r>
      <w:r w:rsidRPr="00271812">
        <w:rPr>
          <w:lang w:eastAsia="pl-PL"/>
        </w:rPr>
        <w:t xml:space="preserve">roku poprzedniego. Na wynik finansowy netto </w:t>
      </w:r>
      <w:r w:rsidR="005A48CE" w:rsidRPr="00271812">
        <w:rPr>
          <w:lang w:eastAsia="pl-PL"/>
        </w:rPr>
        <w:t>w w</w:t>
      </w:r>
      <w:r w:rsidR="005A48CE" w:rsidRPr="00271812">
        <w:rPr>
          <w:lang w:eastAsia="pl-PL"/>
        </w:rPr>
        <w:t>y</w:t>
      </w:r>
      <w:r w:rsidR="005A48CE" w:rsidRPr="00271812">
        <w:rPr>
          <w:lang w:eastAsia="pl-PL"/>
        </w:rPr>
        <w:t>soko</w:t>
      </w:r>
      <w:r w:rsidR="008C6CD3" w:rsidRPr="00271812">
        <w:rPr>
          <w:lang w:eastAsia="pl-PL"/>
        </w:rPr>
        <w:t>ści 471,9</w:t>
      </w:r>
      <w:r w:rsidR="003F167E" w:rsidRPr="00271812">
        <w:rPr>
          <w:lang w:eastAsia="pl-PL"/>
        </w:rPr>
        <w:t xml:space="preserve"> mln zł złożyły się</w:t>
      </w:r>
      <w:r w:rsidR="00261862" w:rsidRPr="00271812">
        <w:rPr>
          <w:lang w:eastAsia="pl-PL"/>
        </w:rPr>
        <w:t xml:space="preserve"> zyski 42</w:t>
      </w:r>
      <w:r w:rsidR="003F167E" w:rsidRPr="00271812">
        <w:rPr>
          <w:lang w:eastAsia="pl-PL"/>
        </w:rPr>
        <w:t xml:space="preserve"> towarzystw funduszy inwesty</w:t>
      </w:r>
      <w:r w:rsidR="00261862" w:rsidRPr="00271812">
        <w:rPr>
          <w:lang w:eastAsia="pl-PL"/>
        </w:rPr>
        <w:t>cyjnych o łącznej wart</w:t>
      </w:r>
      <w:r w:rsidR="00261862" w:rsidRPr="00271812">
        <w:rPr>
          <w:lang w:eastAsia="pl-PL"/>
        </w:rPr>
        <w:t>o</w:t>
      </w:r>
      <w:r w:rsidR="00261862" w:rsidRPr="00271812">
        <w:rPr>
          <w:lang w:eastAsia="pl-PL"/>
        </w:rPr>
        <w:t>ści 493,5 mln zł i straty 18</w:t>
      </w:r>
      <w:r w:rsidR="003F167E" w:rsidRPr="00271812">
        <w:rPr>
          <w:lang w:eastAsia="pl-PL"/>
        </w:rPr>
        <w:t xml:space="preserve"> towarzystw funduszy inwe</w:t>
      </w:r>
      <w:r w:rsidR="00AE485C" w:rsidRPr="00271812">
        <w:rPr>
          <w:lang w:eastAsia="pl-PL"/>
        </w:rPr>
        <w:t>stycyjnych (-</w:t>
      </w:r>
      <w:r w:rsidR="00261862" w:rsidRPr="00271812">
        <w:rPr>
          <w:lang w:eastAsia="pl-PL"/>
        </w:rPr>
        <w:t xml:space="preserve"> 21,6</w:t>
      </w:r>
      <w:r w:rsidR="003F167E" w:rsidRPr="00271812">
        <w:rPr>
          <w:lang w:eastAsia="pl-PL"/>
        </w:rPr>
        <w:t xml:space="preserve"> mln zł</w:t>
      </w:r>
      <w:r w:rsidR="00AE485C" w:rsidRPr="00271812">
        <w:rPr>
          <w:lang w:eastAsia="pl-PL"/>
        </w:rPr>
        <w:t>)</w:t>
      </w:r>
      <w:r w:rsidR="003F167E" w:rsidRPr="00271812">
        <w:rPr>
          <w:lang w:eastAsia="pl-PL"/>
        </w:rPr>
        <w:t xml:space="preserve">. </w:t>
      </w:r>
      <w:bookmarkStart w:id="0" w:name="_GoBack"/>
      <w:bookmarkEnd w:id="0"/>
    </w:p>
    <w:p w:rsidR="002F468D" w:rsidRPr="00271812" w:rsidRDefault="002F468D" w:rsidP="002F468D">
      <w:pPr>
        <w:rPr>
          <w:b/>
          <w:spacing w:val="-2"/>
          <w:sz w:val="18"/>
          <w:shd w:val="clear" w:color="auto" w:fill="FFFFFF"/>
        </w:rPr>
      </w:pPr>
      <w:r w:rsidRPr="00271812">
        <w:rPr>
          <w:b/>
          <w:spacing w:val="-2"/>
          <w:sz w:val="18"/>
          <w:shd w:val="clear" w:color="auto" w:fill="FFFFFF"/>
        </w:rPr>
        <w:t xml:space="preserve">Tablica </w:t>
      </w:r>
      <w:r w:rsidR="00DC3686" w:rsidRPr="00271812">
        <w:rPr>
          <w:b/>
          <w:spacing w:val="-2"/>
          <w:sz w:val="18"/>
          <w:shd w:val="clear" w:color="auto" w:fill="FFFFFF"/>
        </w:rPr>
        <w:t>4</w:t>
      </w:r>
      <w:r w:rsidRPr="00271812">
        <w:rPr>
          <w:b/>
          <w:spacing w:val="-2"/>
          <w:sz w:val="18"/>
          <w:shd w:val="clear" w:color="auto" w:fill="FFFFFF"/>
        </w:rPr>
        <w:t xml:space="preserve">. </w:t>
      </w:r>
      <w:r w:rsidR="008F7307" w:rsidRPr="00271812">
        <w:rPr>
          <w:b/>
          <w:spacing w:val="-2"/>
          <w:sz w:val="18"/>
          <w:shd w:val="clear" w:color="auto" w:fill="FFFFFF"/>
        </w:rPr>
        <w:t>Wybrane pozycje ze sprawozdań finansowych towarzystw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/>
      </w:tblPr>
      <w:tblGrid>
        <w:gridCol w:w="2823"/>
        <w:gridCol w:w="1701"/>
        <w:gridCol w:w="1701"/>
        <w:gridCol w:w="1701"/>
      </w:tblGrid>
      <w:tr w:rsidR="002F468D" w:rsidRPr="00271812" w:rsidTr="0026295B">
        <w:trPr>
          <w:trHeight w:val="57"/>
        </w:trPr>
        <w:tc>
          <w:tcPr>
            <w:tcW w:w="2823" w:type="dxa"/>
            <w:vMerge w:val="restart"/>
            <w:vAlign w:val="center"/>
          </w:tcPr>
          <w:p w:rsidR="002F468D" w:rsidRPr="00271812" w:rsidRDefault="002F468D" w:rsidP="0099623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2F468D" w:rsidRPr="00271812" w:rsidRDefault="002C01D8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2F468D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2F468D" w:rsidRPr="00271812" w:rsidRDefault="002C01D8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2F468D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2F468D" w:rsidRPr="00271812" w:rsidRDefault="002C01D8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2018</w:t>
            </w:r>
            <w:r w:rsidR="002F468D"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F468D" w:rsidRPr="00271812" w:rsidTr="0026295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F468D" w:rsidRPr="00271812" w:rsidRDefault="002F468D" w:rsidP="00996239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F468D" w:rsidRPr="00271812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71812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F468D" w:rsidRPr="00271812" w:rsidRDefault="002F468D" w:rsidP="0099623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Aktywa ogółem, z tego: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30488" w:rsidRPr="00271812" w:rsidRDefault="006100E2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2 227</w:t>
            </w:r>
            <w:r w:rsidR="00330488" w:rsidRPr="00271812">
              <w:rPr>
                <w:rFonts w:cs="Arial"/>
                <w:color w:val="000000"/>
                <w:sz w:val="16"/>
                <w:szCs w:val="16"/>
              </w:rPr>
              <w:t>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30488" w:rsidRPr="00271812" w:rsidRDefault="009E25C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2 559,2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Aktywa trwałe, w tym: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30488" w:rsidRPr="00271812" w:rsidRDefault="009E25C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522,5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132,4</w:t>
            </w: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inwestycje długoterminowe</w:t>
            </w:r>
          </w:p>
        </w:tc>
        <w:tc>
          <w:tcPr>
            <w:tcW w:w="1701" w:type="dxa"/>
            <w:vAlign w:val="bottom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1701" w:type="dxa"/>
            <w:vAlign w:val="bottom"/>
          </w:tcPr>
          <w:p w:rsidR="00330488" w:rsidRPr="00271812" w:rsidRDefault="00EE0BF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349,6</w:t>
            </w:r>
          </w:p>
        </w:tc>
        <w:tc>
          <w:tcPr>
            <w:tcW w:w="1701" w:type="dxa"/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137,3</w:t>
            </w: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Aktywa obrotowe, w tym:</w:t>
            </w:r>
          </w:p>
        </w:tc>
        <w:tc>
          <w:tcPr>
            <w:tcW w:w="1701" w:type="dxa"/>
            <w:vAlign w:val="bottom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 813,0</w:t>
            </w:r>
          </w:p>
        </w:tc>
        <w:tc>
          <w:tcPr>
            <w:tcW w:w="1701" w:type="dxa"/>
            <w:vAlign w:val="bottom"/>
          </w:tcPr>
          <w:p w:rsidR="00330488" w:rsidRPr="00271812" w:rsidRDefault="00EE0BF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2 025,2</w:t>
            </w:r>
          </w:p>
        </w:tc>
        <w:tc>
          <w:tcPr>
            <w:tcW w:w="1701" w:type="dxa"/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inwestycje krótkoterminowe</w:t>
            </w:r>
          </w:p>
        </w:tc>
        <w:tc>
          <w:tcPr>
            <w:tcW w:w="1701" w:type="dxa"/>
            <w:vAlign w:val="bottom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 328,1</w:t>
            </w:r>
          </w:p>
        </w:tc>
        <w:tc>
          <w:tcPr>
            <w:tcW w:w="1701" w:type="dxa"/>
            <w:vAlign w:val="bottom"/>
          </w:tcPr>
          <w:p w:rsidR="00330488" w:rsidRPr="00271812" w:rsidRDefault="00EE0BF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1 548,5</w:t>
            </w:r>
          </w:p>
        </w:tc>
        <w:tc>
          <w:tcPr>
            <w:tcW w:w="1701" w:type="dxa"/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116,6</w:t>
            </w: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Pasywa, z tego:</w:t>
            </w:r>
          </w:p>
        </w:tc>
        <w:tc>
          <w:tcPr>
            <w:tcW w:w="1701" w:type="dxa"/>
            <w:vAlign w:val="bottom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 227,8</w:t>
            </w:r>
          </w:p>
        </w:tc>
        <w:tc>
          <w:tcPr>
            <w:tcW w:w="1701" w:type="dxa"/>
            <w:vAlign w:val="bottom"/>
          </w:tcPr>
          <w:p w:rsidR="00330488" w:rsidRPr="00271812" w:rsidRDefault="00EE0BF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2</w:t>
            </w:r>
            <w:r w:rsidR="0053177E" w:rsidRPr="00271812">
              <w:rPr>
                <w:rFonts w:cs="Arial"/>
                <w:color w:val="000000"/>
                <w:sz w:val="16"/>
                <w:szCs w:val="16"/>
              </w:rPr>
              <w:t> 559,3</w:t>
            </w:r>
          </w:p>
        </w:tc>
        <w:tc>
          <w:tcPr>
            <w:tcW w:w="1701" w:type="dxa"/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Kapitał własny, w tym:</w:t>
            </w:r>
          </w:p>
        </w:tc>
        <w:tc>
          <w:tcPr>
            <w:tcW w:w="1701" w:type="dxa"/>
            <w:vAlign w:val="bottom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 628,6</w:t>
            </w:r>
          </w:p>
        </w:tc>
        <w:tc>
          <w:tcPr>
            <w:tcW w:w="1701" w:type="dxa"/>
            <w:vAlign w:val="bottom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1 878,5</w:t>
            </w:r>
          </w:p>
        </w:tc>
        <w:tc>
          <w:tcPr>
            <w:tcW w:w="1701" w:type="dxa"/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115,3</w:t>
            </w: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kapitał podstawowy</w:t>
            </w:r>
          </w:p>
        </w:tc>
        <w:tc>
          <w:tcPr>
            <w:tcW w:w="1701" w:type="dxa"/>
            <w:vAlign w:val="bottom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5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1701" w:type="dxa"/>
            <w:vAlign w:val="bottom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599,7</w:t>
            </w:r>
          </w:p>
        </w:tc>
        <w:tc>
          <w:tcPr>
            <w:tcW w:w="1701" w:type="dxa"/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</w:tr>
      <w:tr w:rsidR="00330488" w:rsidRPr="00271812" w:rsidTr="0040232D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kapitał zapasowy</w:t>
            </w:r>
          </w:p>
        </w:tc>
        <w:tc>
          <w:tcPr>
            <w:tcW w:w="1701" w:type="dxa"/>
            <w:vAlign w:val="bottom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49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701" w:type="dxa"/>
            <w:vAlign w:val="bottom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695,8</w:t>
            </w:r>
          </w:p>
        </w:tc>
        <w:tc>
          <w:tcPr>
            <w:tcW w:w="1701" w:type="dxa"/>
            <w:vAlign w:val="bottom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139,4</w:t>
            </w:r>
          </w:p>
        </w:tc>
      </w:tr>
      <w:tr w:rsidR="00330488" w:rsidRPr="00271812" w:rsidTr="005D6823">
        <w:trPr>
          <w:trHeight w:hRule="exact" w:val="737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Zobowiązania i rezerw</w:t>
            </w:r>
            <w:r w:rsidR="002A6AD5" w:rsidRPr="00271812">
              <w:rPr>
                <w:sz w:val="16"/>
                <w:szCs w:val="16"/>
              </w:rPr>
              <w:t>y</w:t>
            </w:r>
            <w:r w:rsidRPr="00271812">
              <w:rPr>
                <w:sz w:val="16"/>
                <w:szCs w:val="16"/>
              </w:rPr>
              <w:t xml:space="preserve"> na </w:t>
            </w:r>
            <w:r w:rsidR="00C3118A" w:rsidRPr="00271812">
              <w:rPr>
                <w:sz w:val="16"/>
                <w:szCs w:val="16"/>
              </w:rPr>
              <w:t xml:space="preserve">      </w:t>
            </w:r>
            <w:r w:rsidRPr="00271812">
              <w:rPr>
                <w:sz w:val="16"/>
                <w:szCs w:val="16"/>
              </w:rPr>
              <w:t>zobowiązania, w tym:</w:t>
            </w:r>
          </w:p>
        </w:tc>
        <w:tc>
          <w:tcPr>
            <w:tcW w:w="1701" w:type="dxa"/>
            <w:vAlign w:val="center"/>
          </w:tcPr>
          <w:p w:rsidR="00330488" w:rsidRPr="00271812" w:rsidRDefault="00330488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5</w:t>
            </w:r>
            <w:r w:rsidR="006100E2" w:rsidRPr="00271812"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701" w:type="dxa"/>
            <w:vAlign w:val="center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680,8</w:t>
            </w:r>
          </w:p>
        </w:tc>
        <w:tc>
          <w:tcPr>
            <w:tcW w:w="1701" w:type="dxa"/>
            <w:vAlign w:val="center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113,6</w:t>
            </w:r>
          </w:p>
        </w:tc>
      </w:tr>
      <w:tr w:rsidR="00330488" w:rsidRPr="00271812" w:rsidTr="005D6823">
        <w:trPr>
          <w:trHeight w:hRule="exact" w:val="737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Przychody z działalności operacy</w:t>
            </w:r>
            <w:r w:rsidRPr="00271812">
              <w:rPr>
                <w:sz w:val="16"/>
                <w:szCs w:val="16"/>
              </w:rPr>
              <w:t>j</w:t>
            </w:r>
            <w:r w:rsidRPr="00271812">
              <w:rPr>
                <w:sz w:val="16"/>
                <w:szCs w:val="16"/>
              </w:rPr>
              <w:t>nej, w tym:</w:t>
            </w:r>
          </w:p>
        </w:tc>
        <w:tc>
          <w:tcPr>
            <w:tcW w:w="1701" w:type="dxa"/>
            <w:vAlign w:val="center"/>
          </w:tcPr>
          <w:p w:rsidR="00330488" w:rsidRPr="00271812" w:rsidRDefault="006100E2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1 941,3</w:t>
            </w:r>
          </w:p>
        </w:tc>
        <w:tc>
          <w:tcPr>
            <w:tcW w:w="1701" w:type="dxa"/>
            <w:vAlign w:val="center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1 763,4</w:t>
            </w:r>
          </w:p>
        </w:tc>
        <w:tc>
          <w:tcPr>
            <w:tcW w:w="1701" w:type="dxa"/>
            <w:vAlign w:val="center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</w:tr>
      <w:tr w:rsidR="00330488" w:rsidRPr="00271812" w:rsidTr="005D6823">
        <w:trPr>
          <w:trHeight w:hRule="exact" w:val="737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wynagrodzenie za zarządzanie funduszami</w:t>
            </w:r>
          </w:p>
        </w:tc>
        <w:tc>
          <w:tcPr>
            <w:tcW w:w="1701" w:type="dxa"/>
            <w:vAlign w:val="center"/>
          </w:tcPr>
          <w:p w:rsidR="00330488" w:rsidRPr="00271812" w:rsidRDefault="006100E2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1 762,1</w:t>
            </w:r>
          </w:p>
        </w:tc>
        <w:tc>
          <w:tcPr>
            <w:tcW w:w="1701" w:type="dxa"/>
            <w:vAlign w:val="center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1 698,6</w:t>
            </w:r>
          </w:p>
        </w:tc>
        <w:tc>
          <w:tcPr>
            <w:tcW w:w="1701" w:type="dxa"/>
            <w:vAlign w:val="center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96,4</w:t>
            </w:r>
          </w:p>
        </w:tc>
      </w:tr>
      <w:tr w:rsidR="00330488" w:rsidRPr="00271812" w:rsidTr="005D6823">
        <w:trPr>
          <w:trHeight w:hRule="exact" w:val="737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Koszty działalności operacyjnej, w tym:</w:t>
            </w:r>
          </w:p>
        </w:tc>
        <w:tc>
          <w:tcPr>
            <w:tcW w:w="1701" w:type="dxa"/>
            <w:vAlign w:val="center"/>
          </w:tcPr>
          <w:p w:rsidR="00330488" w:rsidRPr="00271812" w:rsidRDefault="006100E2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1 340,0</w:t>
            </w:r>
          </w:p>
        </w:tc>
        <w:tc>
          <w:tcPr>
            <w:tcW w:w="1701" w:type="dxa"/>
            <w:vAlign w:val="center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1 189,5</w:t>
            </w:r>
          </w:p>
        </w:tc>
        <w:tc>
          <w:tcPr>
            <w:tcW w:w="1701" w:type="dxa"/>
            <w:vAlign w:val="center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88,8</w:t>
            </w:r>
          </w:p>
        </w:tc>
      </w:tr>
      <w:tr w:rsidR="00330488" w:rsidRPr="00271812" w:rsidTr="005D6823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ind w:left="176"/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usługi obce</w:t>
            </w:r>
          </w:p>
        </w:tc>
        <w:tc>
          <w:tcPr>
            <w:tcW w:w="1701" w:type="dxa"/>
            <w:vAlign w:val="center"/>
          </w:tcPr>
          <w:p w:rsidR="00330488" w:rsidRPr="00271812" w:rsidRDefault="006100E2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837,9</w:t>
            </w:r>
          </w:p>
        </w:tc>
        <w:tc>
          <w:tcPr>
            <w:tcW w:w="1701" w:type="dxa"/>
            <w:vAlign w:val="center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672,9</w:t>
            </w:r>
          </w:p>
        </w:tc>
        <w:tc>
          <w:tcPr>
            <w:tcW w:w="1701" w:type="dxa"/>
            <w:vAlign w:val="center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80,3</w:t>
            </w:r>
          </w:p>
        </w:tc>
      </w:tr>
      <w:tr w:rsidR="00330488" w:rsidRPr="00271812" w:rsidTr="005D6823">
        <w:trPr>
          <w:trHeight w:hRule="exact" w:val="510"/>
        </w:trPr>
        <w:tc>
          <w:tcPr>
            <w:tcW w:w="2823" w:type="dxa"/>
            <w:vAlign w:val="center"/>
          </w:tcPr>
          <w:p w:rsidR="00330488" w:rsidRPr="00271812" w:rsidRDefault="00330488" w:rsidP="00330488">
            <w:pPr>
              <w:rPr>
                <w:sz w:val="16"/>
                <w:szCs w:val="16"/>
              </w:rPr>
            </w:pPr>
            <w:r w:rsidRPr="00271812">
              <w:rPr>
                <w:sz w:val="16"/>
                <w:szCs w:val="16"/>
              </w:rPr>
              <w:t>Wynik finansowy netto</w:t>
            </w:r>
          </w:p>
        </w:tc>
        <w:tc>
          <w:tcPr>
            <w:tcW w:w="1701" w:type="dxa"/>
            <w:vAlign w:val="center"/>
          </w:tcPr>
          <w:p w:rsidR="00330488" w:rsidRPr="00271812" w:rsidRDefault="006100E2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499,3</w:t>
            </w:r>
          </w:p>
        </w:tc>
        <w:tc>
          <w:tcPr>
            <w:tcW w:w="1701" w:type="dxa"/>
            <w:vAlign w:val="center"/>
          </w:tcPr>
          <w:p w:rsidR="00330488" w:rsidRPr="00271812" w:rsidRDefault="0053177E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471,9</w:t>
            </w:r>
          </w:p>
        </w:tc>
        <w:tc>
          <w:tcPr>
            <w:tcW w:w="1701" w:type="dxa"/>
            <w:vAlign w:val="center"/>
          </w:tcPr>
          <w:p w:rsidR="00330488" w:rsidRPr="00271812" w:rsidRDefault="00795D94" w:rsidP="0033048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71812"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</w:tr>
    </w:tbl>
    <w:p w:rsidR="00020F3A" w:rsidRPr="001A3D3F" w:rsidRDefault="008560D4" w:rsidP="00020F3A">
      <w:pPr>
        <w:pStyle w:val="Nagwek1"/>
      </w:pPr>
      <w:r w:rsidRPr="008560D4">
        <w:rPr>
          <w:rFonts w:ascii="Fira Sans" w:hAnsi="Fira Sans"/>
          <w:b/>
          <w:noProof/>
          <w:spacing w:val="-2"/>
          <w:szCs w:val="19"/>
        </w:rPr>
        <w:pict>
          <v:shape id="Pole tekstowe 193" o:spid="_x0000_s1042" type="#_x0000_t202" style="position:absolute;margin-left:411.75pt;margin-top:-.05pt;width:135.85pt;height:604.5pt;z-index:-25155072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" filled="f" stroked="f">
            <v:textbox>
              <w:txbxContent>
                <w:p w:rsidR="0040232D" w:rsidRPr="00D616D2" w:rsidRDefault="0040232D" w:rsidP="00020F3A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p w:rsidR="003F167E" w:rsidRPr="001A3D3F" w:rsidRDefault="003F167E" w:rsidP="00E76D26">
      <w:pPr>
        <w:rPr>
          <w:shd w:val="clear" w:color="auto" w:fill="FFFFFF"/>
        </w:rPr>
        <w:sectPr w:rsidR="003F167E" w:rsidRPr="001A3D3F" w:rsidSect="00EC722E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Pr="001A3D3F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9"/>
        <w:gridCol w:w="3924"/>
      </w:tblGrid>
      <w:tr w:rsidR="000470AA" w:rsidRPr="0027397C" w:rsidTr="00E23337">
        <w:trPr>
          <w:trHeight w:val="1912"/>
        </w:trPr>
        <w:tc>
          <w:tcPr>
            <w:tcW w:w="4379" w:type="dxa"/>
          </w:tcPr>
          <w:p w:rsidR="000470AA" w:rsidRPr="00766E54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766E54">
              <w:rPr>
                <w:rFonts w:cs="Arial"/>
                <w:sz w:val="20"/>
              </w:rPr>
              <w:t>Opracowanie merytoryczne:</w:t>
            </w:r>
          </w:p>
          <w:p w:rsidR="000470AA" w:rsidRPr="00766E54" w:rsidRDefault="000470AA" w:rsidP="00D0079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766E54">
              <w:rPr>
                <w:rFonts w:cs="Arial"/>
                <w:b/>
                <w:sz w:val="20"/>
              </w:rPr>
              <w:t xml:space="preserve">Departament </w:t>
            </w:r>
            <w:r w:rsidR="00155873" w:rsidRPr="00766E54">
              <w:rPr>
                <w:rFonts w:cs="Arial"/>
                <w:b/>
                <w:sz w:val="20"/>
              </w:rPr>
              <w:t>Studiów Makroekonomicznych i Finansów</w:t>
            </w:r>
          </w:p>
          <w:p w:rsidR="000470AA" w:rsidRPr="00766E54" w:rsidRDefault="00D869D9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766E54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Joanna Kulczycka</w:t>
            </w:r>
          </w:p>
          <w:p w:rsidR="000470AA" w:rsidRPr="00766E5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Tel: 22 </w:t>
            </w:r>
            <w:r w:rsidR="00155873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608</w:t>
            </w:r>
            <w:r w:rsidR="00EB5A7D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155873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3</w:t>
            </w:r>
            <w:r w:rsidR="00D869D9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786</w:t>
            </w:r>
          </w:p>
          <w:p w:rsidR="000470AA" w:rsidRPr="00766E54" w:rsidRDefault="000470AA" w:rsidP="006F16BA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5941F7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6" w:history="1">
              <w:r w:rsidR="00B5622F" w:rsidRPr="005941F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j.kulczycka@stat.gov.pl</w:t>
              </w:r>
            </w:hyperlink>
          </w:p>
        </w:tc>
        <w:tc>
          <w:tcPr>
            <w:tcW w:w="3942" w:type="dxa"/>
          </w:tcPr>
          <w:p w:rsidR="00E761AE" w:rsidRPr="001A3D3F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1A3D3F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1A3D3F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A3D3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1A3D3F" w:rsidRDefault="00C835A2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0470AA" w:rsidRPr="001A3D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0470AA" w:rsidRPr="001A3D3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2C01D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2C01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2C01D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2C01D8" w:rsidRDefault="000470AA" w:rsidP="000470AA">
      <w:pPr>
        <w:rPr>
          <w:sz w:val="20"/>
          <w:lang w:val="en-US"/>
        </w:rPr>
      </w:pPr>
    </w:p>
    <w:p w:rsidR="000470AA" w:rsidRPr="002C01D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766E5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766E54" w:rsidRDefault="000470AA" w:rsidP="000470AA">
            <w:pPr>
              <w:rPr>
                <w:b/>
                <w:sz w:val="20"/>
              </w:rPr>
            </w:pPr>
            <w:r w:rsidRPr="00766E54">
              <w:rPr>
                <w:b/>
                <w:sz w:val="20"/>
              </w:rPr>
              <w:t xml:space="preserve">Wydział Współpracy z Mediami </w:t>
            </w:r>
          </w:p>
          <w:p w:rsidR="000470AA" w:rsidRPr="00766E54" w:rsidRDefault="00766E54" w:rsidP="000470AA">
            <w:pPr>
              <w:rPr>
                <w:sz w:val="20"/>
              </w:rPr>
            </w:pPr>
            <w:r w:rsidRPr="00766E54">
              <w:rPr>
                <w:sz w:val="20"/>
              </w:rPr>
              <w:t>T</w:t>
            </w:r>
            <w:r w:rsidR="000470AA" w:rsidRPr="00766E54">
              <w:rPr>
                <w:sz w:val="20"/>
              </w:rPr>
              <w:t>el:</w:t>
            </w:r>
            <w:r w:rsidR="000470AA" w:rsidRPr="00766E54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097840" w:rsidRPr="00766E54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470AA" w:rsidRPr="00766E54">
              <w:rPr>
                <w:sz w:val="20"/>
              </w:rPr>
              <w:t xml:space="preserve">04 </w:t>
            </w:r>
          </w:p>
          <w:p w:rsidR="000470AA" w:rsidRPr="00766E54" w:rsidRDefault="000470AA" w:rsidP="000470AA">
            <w:pPr>
              <w:rPr>
                <w:sz w:val="18"/>
                <w:lang w:val="en-US"/>
              </w:rPr>
            </w:pPr>
            <w:r w:rsidRPr="00766E54">
              <w:rPr>
                <w:b/>
                <w:sz w:val="20"/>
                <w:lang w:val="en-US"/>
              </w:rPr>
              <w:t>e-mail:</w:t>
            </w:r>
            <w:r w:rsidRPr="00766E54">
              <w:rPr>
                <w:sz w:val="20"/>
                <w:lang w:val="en-US"/>
              </w:rPr>
              <w:t xml:space="preserve"> </w:t>
            </w:r>
            <w:hyperlink r:id="rId18" w:history="1">
              <w:r w:rsidRPr="003409BE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766E54" w:rsidRDefault="000470AA" w:rsidP="000470AA">
            <w:pPr>
              <w:rPr>
                <w:sz w:val="18"/>
                <w:lang w:val="en-US"/>
              </w:rPr>
            </w:pPr>
            <w:r w:rsidRPr="00766E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766E54" w:rsidRDefault="008560D4" w:rsidP="000470AA">
            <w:pPr>
              <w:rPr>
                <w:sz w:val="18"/>
              </w:rPr>
            </w:pPr>
            <w:hyperlink r:id="rId20" w:history="1">
              <w:r w:rsidR="006F16BA" w:rsidRPr="00766E54">
                <w:rPr>
                  <w:rStyle w:val="Hipercze"/>
                  <w:rFonts w:cstheme="minorBidi"/>
                  <w:color w:val="auto"/>
                  <w:sz w:val="20"/>
                </w:rPr>
                <w:t>www.stat.gov.pl</w:t>
              </w:r>
            </w:hyperlink>
            <w:r w:rsidR="006F16BA" w:rsidRPr="00766E54">
              <w:rPr>
                <w:sz w:val="20"/>
              </w:rPr>
              <w:t xml:space="preserve"> 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8560D4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43" type="#_x0000_t202" style="position:absolute;margin-left:1.5pt;margin-top:33.5pt;width:516.5pt;height:234.0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uW8oKUACAAB0BAAA&#10;DgAAAAAAAAAAAAAAAAAuAgAAZHJzL2Uyb0RvYy54bWxQSwECLQAUAAYACAAAACEAbsAxfN8AAAAJ&#10;AQAADwAAAAAAAAAAAAAAAACaBAAAZHJzL2Rvd25yZXYueG1sUEsFBgAAAAAEAAQA8wAAAKYFAAAA&#10;AA==&#10;" fillcolor="#f2f2f2 [3052]" strokecolor="white [3212]">
            <v:textbox>
              <w:txbxContent>
                <w:p w:rsidR="0040232D" w:rsidRPr="00766E54" w:rsidRDefault="0040232D" w:rsidP="00F25976">
                  <w:pPr>
                    <w:rPr>
                      <w:b/>
                      <w:color w:val="001D77"/>
                    </w:rPr>
                  </w:pPr>
                  <w:r w:rsidRPr="000A4081">
                    <w:rPr>
                      <w:b/>
                    </w:rPr>
                    <w:t>Powiązane opracowania</w:t>
                  </w:r>
                </w:p>
                <w:p w:rsidR="0040232D" w:rsidRPr="00766E54" w:rsidRDefault="008560D4" w:rsidP="00AB6D25">
                  <w:pPr>
                    <w:rPr>
                      <w:color w:val="001D77"/>
                      <w:szCs w:val="24"/>
                    </w:rPr>
                  </w:pPr>
                  <w:hyperlink r:id="rId23" w:history="1">
                    <w:r w:rsidR="0040232D" w:rsidRPr="00766E54">
                      <w:rPr>
                        <w:rStyle w:val="Hipercze"/>
                        <w:rFonts w:cstheme="minorBidi"/>
                        <w:color w:val="001D77"/>
                        <w:szCs w:val="24"/>
                      </w:rPr>
                      <w:t>Informacje sygnalne. Wyniki finansowe przedsiębiorstw finansowych.</w:t>
                    </w:r>
                  </w:hyperlink>
                </w:p>
                <w:p w:rsidR="0040232D" w:rsidRDefault="0040232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0232D" w:rsidRPr="000A4081" w:rsidRDefault="0040232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0A4081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40232D" w:rsidRPr="00766E54" w:rsidRDefault="008560D4" w:rsidP="005D14B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4" w:history="1">
                    <w:r w:rsidR="0040232D" w:rsidRPr="00766E54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</w:t>
                    </w:r>
                  </w:hyperlink>
                </w:p>
                <w:p w:rsidR="0040232D" w:rsidRPr="000A4081" w:rsidRDefault="0040232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0232D" w:rsidRDefault="0040232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40232D" w:rsidRPr="00766E54" w:rsidRDefault="008560D4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40232D" w:rsidRPr="00766E54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Fundusz Inwestycyjny</w:t>
                    </w:r>
                  </w:hyperlink>
                </w:p>
                <w:p w:rsidR="0040232D" w:rsidRPr="00766E54" w:rsidRDefault="008560D4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40232D" w:rsidRPr="00766E54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Towarzystwo Funduszy Inwestycyjnych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2BD" w:rsidRDefault="007C42BD" w:rsidP="000662E2">
      <w:pPr>
        <w:spacing w:after="0" w:line="240" w:lineRule="auto"/>
      </w:pPr>
      <w:r>
        <w:separator/>
      </w:r>
    </w:p>
  </w:endnote>
  <w:endnote w:type="continuationSeparator" w:id="0">
    <w:p w:rsidR="007C42BD" w:rsidRDefault="007C42BD" w:rsidP="000662E2">
      <w:pPr>
        <w:spacing w:after="0" w:line="240" w:lineRule="auto"/>
      </w:pPr>
      <w:r>
        <w:continuationSeparator/>
      </w:r>
    </w:p>
  </w:endnote>
  <w:endnote w:id="1">
    <w:p w:rsidR="0040232D" w:rsidRPr="005D3F15" w:rsidRDefault="0040232D" w:rsidP="003409BE">
      <w:pPr>
        <w:pStyle w:val="Tekstprzypisukocowego"/>
        <w:rPr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sz w:val="16"/>
          <w:szCs w:val="16"/>
        </w:rPr>
        <w:t>Pojęcie „fundusze inwestycyjne” obejmuje: otwarte fundusze inwestycyjne, specjalistyczne fundusze inwest</w:t>
      </w:r>
      <w:r>
        <w:rPr>
          <w:sz w:val="16"/>
          <w:szCs w:val="16"/>
        </w:rPr>
        <w:t>y</w:t>
      </w:r>
      <w:r>
        <w:rPr>
          <w:sz w:val="16"/>
          <w:szCs w:val="16"/>
        </w:rPr>
        <w:t>cyjne otwarte i fundusze inwestycyjne zamknięte.</w:t>
      </w:r>
    </w:p>
  </w:endnote>
  <w:endnote w:id="2">
    <w:p w:rsidR="0040232D" w:rsidRPr="005D3F15" w:rsidRDefault="0040232D" w:rsidP="003409BE">
      <w:pPr>
        <w:pStyle w:val="Tekstprzypisudolnego"/>
        <w:rPr>
          <w:sz w:val="16"/>
          <w:szCs w:val="16"/>
        </w:rPr>
      </w:pPr>
      <w:r w:rsidRPr="005D3F15">
        <w:rPr>
          <w:rStyle w:val="Odwoanieprzypisukocowego"/>
          <w:sz w:val="16"/>
          <w:szCs w:val="16"/>
        </w:rPr>
        <w:endnoteRef/>
      </w:r>
      <w:r w:rsidRPr="005D3F15">
        <w:rPr>
          <w:sz w:val="16"/>
          <w:szCs w:val="16"/>
        </w:rPr>
        <w:t xml:space="preserve"> Według rozporządzenia Ministra Finansów z dnia 24 grudnia 2007 r. w sprawie szczególnych zasad rachunk</w:t>
      </w:r>
      <w:r w:rsidRPr="005D3F15">
        <w:rPr>
          <w:sz w:val="16"/>
          <w:szCs w:val="16"/>
        </w:rPr>
        <w:t>o</w:t>
      </w:r>
      <w:r w:rsidRPr="005D3F15">
        <w:rPr>
          <w:sz w:val="16"/>
          <w:szCs w:val="16"/>
        </w:rPr>
        <w:t>wości funduszy inwestycyjnych (Dz. U. Nr 249, poz. 1859), przez aktywny rynek rozumie się rynek spełniający łącznie następujące kryteria: instrumenty będące przedmiotem obrotu na rynku są jednorodne, zazwyczaj w każdym czasie występują zainteresowani nabywcy i sprzedawcy, ceny są podawane do publicznej wiadomości.</w:t>
      </w:r>
    </w:p>
    <w:p w:rsidR="0040232D" w:rsidRDefault="0040232D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0864908"/>
      <w:docPartObj>
        <w:docPartGallery w:val="Page Numbers (Bottom of Page)"/>
        <w:docPartUnique/>
      </w:docPartObj>
    </w:sdtPr>
    <w:sdtContent>
      <w:p w:rsidR="0040232D" w:rsidRDefault="008560D4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20E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777727"/>
      <w:docPartObj>
        <w:docPartGallery w:val="Page Numbers (Bottom of Page)"/>
        <w:docPartUnique/>
      </w:docPartObj>
    </w:sdtPr>
    <w:sdtContent>
      <w:p w:rsidR="0040232D" w:rsidRDefault="008560D4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80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636839"/>
      <w:docPartObj>
        <w:docPartGallery w:val="Page Numbers (Bottom of Page)"/>
        <w:docPartUnique/>
      </w:docPartObj>
    </w:sdtPr>
    <w:sdtContent>
      <w:p w:rsidR="0040232D" w:rsidRDefault="008560D4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20E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2BD" w:rsidRDefault="007C42BD" w:rsidP="000662E2">
      <w:pPr>
        <w:spacing w:after="0" w:line="240" w:lineRule="auto"/>
      </w:pPr>
      <w:r>
        <w:separator/>
      </w:r>
    </w:p>
  </w:footnote>
  <w:footnote w:type="continuationSeparator" w:id="0">
    <w:p w:rsidR="007C42BD" w:rsidRDefault="007C42B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2D" w:rsidRDefault="008560D4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40232D" w:rsidRDefault="004023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2D" w:rsidRDefault="008560D4" w:rsidP="004E177A">
    <w:pPr>
      <w:pStyle w:val="Nagwek"/>
      <w:tabs>
        <w:tab w:val="clear" w:pos="4536"/>
        <w:tab w:val="clear" w:pos="9072"/>
        <w:tab w:val="center" w:pos="4034"/>
      </w:tabs>
      <w:rPr>
        <w:noProof/>
        <w:lang w:eastAsia="pl-PL"/>
      </w:rPr>
    </w:pPr>
    <w:r>
      <w:rPr>
        <w:noProof/>
        <w:lang w:eastAsia="pl-PL"/>
      </w:rPr>
      <w:pict>
        <v:rect id="Prostokąt 10" o:spid="_x0000_s2050" style="position:absolute;margin-left:411pt;margin-top:29.4pt;width:147.4pt;height:1583.9pt;z-index:-251650048;visibility:visible;mso-width-relative:margin;mso-height-relative:margin;v-text-anchor:middle" wrapcoords="-110 0 -110 21591 21600 21591 21600 0 -110 0" fillcolor="#f2f2f2" stroked="f" strokeweight="1pt"/>
      </w:pict>
    </w:r>
    <w:r w:rsidR="0040232D" w:rsidRPr="002442D5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6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40232D" w:rsidRPr="003C6C8D" w:rsidRDefault="0040232D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4E177A">
      <w:rPr>
        <w:noProof/>
        <w:lang w:eastAsia="pl-PL"/>
      </w:rPr>
      <w:tab/>
    </w:r>
  </w:p>
  <w:p w:rsidR="0040232D" w:rsidRDefault="008560D4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40232D" w:rsidRPr="00C97596" w:rsidRDefault="00F2062C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18.10</w:t>
                </w:r>
                <w:r w:rsidR="0040232D">
                  <w:rPr>
                    <w:rFonts w:ascii="Fira Sans SemiBold" w:hAnsi="Fira Sans SemiBold"/>
                    <w:color w:val="001D77"/>
                  </w:rPr>
                  <w:t>.2019</w:t>
                </w:r>
                <w:r w:rsidR="0040232D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2D" w:rsidRDefault="0040232D">
    <w:pPr>
      <w:pStyle w:val="Nagwek"/>
    </w:pPr>
  </w:p>
  <w:p w:rsidR="0040232D" w:rsidRDefault="004023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95pt;height:125pt;visibility:visible" o:bullet="t">
        <v:imagedata r:id="rId1" o:title=""/>
      </v:shape>
    </w:pict>
  </w:numPicBullet>
  <w:numPicBullet w:numPicBulletId="1">
    <w:pict>
      <v:shape id="_x0000_i1031" type="#_x0000_t75" style="width:124.3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3492533"/>
    <w:multiLevelType w:val="hybridMultilevel"/>
    <w:tmpl w:val="7CC89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110D87"/>
    <w:rsid w:val="00001C5B"/>
    <w:rsid w:val="00003437"/>
    <w:rsid w:val="0000708E"/>
    <w:rsid w:val="0000709F"/>
    <w:rsid w:val="000108B8"/>
    <w:rsid w:val="00011C4E"/>
    <w:rsid w:val="00012153"/>
    <w:rsid w:val="00012F09"/>
    <w:rsid w:val="00013E5C"/>
    <w:rsid w:val="000152F5"/>
    <w:rsid w:val="0001745A"/>
    <w:rsid w:val="00017BF3"/>
    <w:rsid w:val="000200A8"/>
    <w:rsid w:val="00020F3A"/>
    <w:rsid w:val="0002673B"/>
    <w:rsid w:val="00027439"/>
    <w:rsid w:val="0003226B"/>
    <w:rsid w:val="0003375A"/>
    <w:rsid w:val="00034545"/>
    <w:rsid w:val="00036113"/>
    <w:rsid w:val="0004582E"/>
    <w:rsid w:val="000470AA"/>
    <w:rsid w:val="00047E14"/>
    <w:rsid w:val="00050CB7"/>
    <w:rsid w:val="00053E26"/>
    <w:rsid w:val="00054442"/>
    <w:rsid w:val="000578A2"/>
    <w:rsid w:val="00057CA1"/>
    <w:rsid w:val="00065308"/>
    <w:rsid w:val="000655DA"/>
    <w:rsid w:val="0006591D"/>
    <w:rsid w:val="000662E2"/>
    <w:rsid w:val="00066883"/>
    <w:rsid w:val="00074DD8"/>
    <w:rsid w:val="000806F7"/>
    <w:rsid w:val="000853B8"/>
    <w:rsid w:val="00091492"/>
    <w:rsid w:val="00091F15"/>
    <w:rsid w:val="00094B9D"/>
    <w:rsid w:val="000970C7"/>
    <w:rsid w:val="00097840"/>
    <w:rsid w:val="000A4081"/>
    <w:rsid w:val="000A51D9"/>
    <w:rsid w:val="000A6AA4"/>
    <w:rsid w:val="000B0727"/>
    <w:rsid w:val="000B1A34"/>
    <w:rsid w:val="000B24D5"/>
    <w:rsid w:val="000B45EF"/>
    <w:rsid w:val="000B47CF"/>
    <w:rsid w:val="000B7D5D"/>
    <w:rsid w:val="000C0D18"/>
    <w:rsid w:val="000C135D"/>
    <w:rsid w:val="000C472B"/>
    <w:rsid w:val="000C6103"/>
    <w:rsid w:val="000D17AB"/>
    <w:rsid w:val="000D19E0"/>
    <w:rsid w:val="000D1D43"/>
    <w:rsid w:val="000D225C"/>
    <w:rsid w:val="000D23F0"/>
    <w:rsid w:val="000D25D6"/>
    <w:rsid w:val="000D2A5C"/>
    <w:rsid w:val="000D670C"/>
    <w:rsid w:val="000E0918"/>
    <w:rsid w:val="000E3934"/>
    <w:rsid w:val="000E52D1"/>
    <w:rsid w:val="000F14E6"/>
    <w:rsid w:val="000F6DCD"/>
    <w:rsid w:val="00100CE3"/>
    <w:rsid w:val="001011C3"/>
    <w:rsid w:val="00105600"/>
    <w:rsid w:val="00106359"/>
    <w:rsid w:val="00110D87"/>
    <w:rsid w:val="00111B34"/>
    <w:rsid w:val="00112782"/>
    <w:rsid w:val="001128E4"/>
    <w:rsid w:val="00114446"/>
    <w:rsid w:val="00114DB9"/>
    <w:rsid w:val="00116087"/>
    <w:rsid w:val="00116638"/>
    <w:rsid w:val="00117860"/>
    <w:rsid w:val="00120F7A"/>
    <w:rsid w:val="001257D5"/>
    <w:rsid w:val="00130296"/>
    <w:rsid w:val="00130B04"/>
    <w:rsid w:val="00131D2F"/>
    <w:rsid w:val="00137DE0"/>
    <w:rsid w:val="001423B6"/>
    <w:rsid w:val="0014313E"/>
    <w:rsid w:val="001448A7"/>
    <w:rsid w:val="00145AB5"/>
    <w:rsid w:val="00146621"/>
    <w:rsid w:val="00155873"/>
    <w:rsid w:val="001568E3"/>
    <w:rsid w:val="00162325"/>
    <w:rsid w:val="001656C0"/>
    <w:rsid w:val="00165A8D"/>
    <w:rsid w:val="001700C7"/>
    <w:rsid w:val="00172C32"/>
    <w:rsid w:val="001765D3"/>
    <w:rsid w:val="00187D7A"/>
    <w:rsid w:val="00191E59"/>
    <w:rsid w:val="00194DFB"/>
    <w:rsid w:val="001951DA"/>
    <w:rsid w:val="0019592F"/>
    <w:rsid w:val="001977A6"/>
    <w:rsid w:val="001A3BCC"/>
    <w:rsid w:val="001A3D3F"/>
    <w:rsid w:val="001A4AE5"/>
    <w:rsid w:val="001A6F40"/>
    <w:rsid w:val="001C0488"/>
    <w:rsid w:val="001C3269"/>
    <w:rsid w:val="001C63EF"/>
    <w:rsid w:val="001D1DB4"/>
    <w:rsid w:val="001D4ABE"/>
    <w:rsid w:val="001D6005"/>
    <w:rsid w:val="001D6DAE"/>
    <w:rsid w:val="001E0053"/>
    <w:rsid w:val="001E0350"/>
    <w:rsid w:val="001F2837"/>
    <w:rsid w:val="001F304A"/>
    <w:rsid w:val="001F48C4"/>
    <w:rsid w:val="002059CC"/>
    <w:rsid w:val="00206B56"/>
    <w:rsid w:val="00214A12"/>
    <w:rsid w:val="00214F2A"/>
    <w:rsid w:val="00216C45"/>
    <w:rsid w:val="00216D42"/>
    <w:rsid w:val="002174FF"/>
    <w:rsid w:val="0021786D"/>
    <w:rsid w:val="0022316B"/>
    <w:rsid w:val="00226332"/>
    <w:rsid w:val="00226BCA"/>
    <w:rsid w:val="00230943"/>
    <w:rsid w:val="00232461"/>
    <w:rsid w:val="002346A4"/>
    <w:rsid w:val="0024127A"/>
    <w:rsid w:val="002442D5"/>
    <w:rsid w:val="00250153"/>
    <w:rsid w:val="00252D66"/>
    <w:rsid w:val="00256D94"/>
    <w:rsid w:val="002574F9"/>
    <w:rsid w:val="00261862"/>
    <w:rsid w:val="0026295B"/>
    <w:rsid w:val="00262B61"/>
    <w:rsid w:val="002710D2"/>
    <w:rsid w:val="00271812"/>
    <w:rsid w:val="00273838"/>
    <w:rsid w:val="0027397C"/>
    <w:rsid w:val="00274072"/>
    <w:rsid w:val="00276811"/>
    <w:rsid w:val="00276839"/>
    <w:rsid w:val="00281B24"/>
    <w:rsid w:val="00281BC4"/>
    <w:rsid w:val="00282699"/>
    <w:rsid w:val="00290C08"/>
    <w:rsid w:val="00291D9D"/>
    <w:rsid w:val="002926DF"/>
    <w:rsid w:val="00296697"/>
    <w:rsid w:val="002A0E2C"/>
    <w:rsid w:val="002A266D"/>
    <w:rsid w:val="002A6AD5"/>
    <w:rsid w:val="002B0472"/>
    <w:rsid w:val="002B63AC"/>
    <w:rsid w:val="002B6B12"/>
    <w:rsid w:val="002B6F2B"/>
    <w:rsid w:val="002C01D8"/>
    <w:rsid w:val="002C09C1"/>
    <w:rsid w:val="002C1B93"/>
    <w:rsid w:val="002C3C81"/>
    <w:rsid w:val="002C67CC"/>
    <w:rsid w:val="002D1C2F"/>
    <w:rsid w:val="002D5FAB"/>
    <w:rsid w:val="002D7403"/>
    <w:rsid w:val="002E01AD"/>
    <w:rsid w:val="002E042C"/>
    <w:rsid w:val="002E299F"/>
    <w:rsid w:val="002E33D7"/>
    <w:rsid w:val="002E5C86"/>
    <w:rsid w:val="002E6140"/>
    <w:rsid w:val="002E6985"/>
    <w:rsid w:val="002E71B6"/>
    <w:rsid w:val="002F00B0"/>
    <w:rsid w:val="002F0122"/>
    <w:rsid w:val="002F468D"/>
    <w:rsid w:val="002F6FB4"/>
    <w:rsid w:val="002F7054"/>
    <w:rsid w:val="002F77C8"/>
    <w:rsid w:val="00300405"/>
    <w:rsid w:val="00304F22"/>
    <w:rsid w:val="00304F2D"/>
    <w:rsid w:val="00306C7C"/>
    <w:rsid w:val="003132A5"/>
    <w:rsid w:val="00315E84"/>
    <w:rsid w:val="0032077B"/>
    <w:rsid w:val="00320E0F"/>
    <w:rsid w:val="00321A45"/>
    <w:rsid w:val="00322EDD"/>
    <w:rsid w:val="00330488"/>
    <w:rsid w:val="00330CD0"/>
    <w:rsid w:val="003311E7"/>
    <w:rsid w:val="00332320"/>
    <w:rsid w:val="00332C23"/>
    <w:rsid w:val="00332EAC"/>
    <w:rsid w:val="00337CC2"/>
    <w:rsid w:val="00337E65"/>
    <w:rsid w:val="003409BE"/>
    <w:rsid w:val="0034231D"/>
    <w:rsid w:val="00342EC3"/>
    <w:rsid w:val="00347D72"/>
    <w:rsid w:val="00354E64"/>
    <w:rsid w:val="00357611"/>
    <w:rsid w:val="00360DE8"/>
    <w:rsid w:val="003616C1"/>
    <w:rsid w:val="003631A8"/>
    <w:rsid w:val="00363948"/>
    <w:rsid w:val="00365F40"/>
    <w:rsid w:val="00367237"/>
    <w:rsid w:val="0037077F"/>
    <w:rsid w:val="00372320"/>
    <w:rsid w:val="00372411"/>
    <w:rsid w:val="00373882"/>
    <w:rsid w:val="00373FC7"/>
    <w:rsid w:val="00374412"/>
    <w:rsid w:val="00377780"/>
    <w:rsid w:val="00377AD5"/>
    <w:rsid w:val="0038064C"/>
    <w:rsid w:val="00382293"/>
    <w:rsid w:val="003843DB"/>
    <w:rsid w:val="00385622"/>
    <w:rsid w:val="00385C33"/>
    <w:rsid w:val="00390566"/>
    <w:rsid w:val="00390633"/>
    <w:rsid w:val="00393761"/>
    <w:rsid w:val="003938ED"/>
    <w:rsid w:val="003953A5"/>
    <w:rsid w:val="00397BCD"/>
    <w:rsid w:val="00397D18"/>
    <w:rsid w:val="003A0E70"/>
    <w:rsid w:val="003A1B36"/>
    <w:rsid w:val="003A5DE6"/>
    <w:rsid w:val="003B1454"/>
    <w:rsid w:val="003B18B6"/>
    <w:rsid w:val="003B2391"/>
    <w:rsid w:val="003B2EE1"/>
    <w:rsid w:val="003B42FF"/>
    <w:rsid w:val="003B509D"/>
    <w:rsid w:val="003B6605"/>
    <w:rsid w:val="003B7811"/>
    <w:rsid w:val="003C15D5"/>
    <w:rsid w:val="003C2132"/>
    <w:rsid w:val="003C364F"/>
    <w:rsid w:val="003C4624"/>
    <w:rsid w:val="003C59E0"/>
    <w:rsid w:val="003C6C8D"/>
    <w:rsid w:val="003D05ED"/>
    <w:rsid w:val="003D2027"/>
    <w:rsid w:val="003D388D"/>
    <w:rsid w:val="003D4F95"/>
    <w:rsid w:val="003D5F42"/>
    <w:rsid w:val="003D60A9"/>
    <w:rsid w:val="003E210B"/>
    <w:rsid w:val="003E24D5"/>
    <w:rsid w:val="003E53B2"/>
    <w:rsid w:val="003F167E"/>
    <w:rsid w:val="003F1F4A"/>
    <w:rsid w:val="003F2CD5"/>
    <w:rsid w:val="003F4C97"/>
    <w:rsid w:val="003F7FE6"/>
    <w:rsid w:val="00400193"/>
    <w:rsid w:val="00400A20"/>
    <w:rsid w:val="0040232D"/>
    <w:rsid w:val="00404720"/>
    <w:rsid w:val="00406073"/>
    <w:rsid w:val="00406696"/>
    <w:rsid w:val="004113DB"/>
    <w:rsid w:val="00413875"/>
    <w:rsid w:val="0041685F"/>
    <w:rsid w:val="00416E70"/>
    <w:rsid w:val="00420EE9"/>
    <w:rsid w:val="004212E7"/>
    <w:rsid w:val="00423574"/>
    <w:rsid w:val="0042446D"/>
    <w:rsid w:val="00426CE3"/>
    <w:rsid w:val="00427BF8"/>
    <w:rsid w:val="00427F2F"/>
    <w:rsid w:val="004302E9"/>
    <w:rsid w:val="00431C02"/>
    <w:rsid w:val="00437395"/>
    <w:rsid w:val="004410BE"/>
    <w:rsid w:val="00443132"/>
    <w:rsid w:val="00445047"/>
    <w:rsid w:val="0045486D"/>
    <w:rsid w:val="0045551C"/>
    <w:rsid w:val="00463E39"/>
    <w:rsid w:val="0046454A"/>
    <w:rsid w:val="004652B1"/>
    <w:rsid w:val="004653FA"/>
    <w:rsid w:val="004657FC"/>
    <w:rsid w:val="00470626"/>
    <w:rsid w:val="00470922"/>
    <w:rsid w:val="00472FD1"/>
    <w:rsid w:val="004731FD"/>
    <w:rsid w:val="004733F6"/>
    <w:rsid w:val="00474E69"/>
    <w:rsid w:val="004752B6"/>
    <w:rsid w:val="00480774"/>
    <w:rsid w:val="004938C3"/>
    <w:rsid w:val="004939BC"/>
    <w:rsid w:val="00493A0E"/>
    <w:rsid w:val="0049621B"/>
    <w:rsid w:val="004A04E7"/>
    <w:rsid w:val="004A4566"/>
    <w:rsid w:val="004A4B0C"/>
    <w:rsid w:val="004A4F94"/>
    <w:rsid w:val="004A6EFF"/>
    <w:rsid w:val="004B10CA"/>
    <w:rsid w:val="004B32CA"/>
    <w:rsid w:val="004B3C88"/>
    <w:rsid w:val="004B406B"/>
    <w:rsid w:val="004B416D"/>
    <w:rsid w:val="004B4795"/>
    <w:rsid w:val="004C0546"/>
    <w:rsid w:val="004C1895"/>
    <w:rsid w:val="004C3833"/>
    <w:rsid w:val="004C39CD"/>
    <w:rsid w:val="004C6CCF"/>
    <w:rsid w:val="004C6D40"/>
    <w:rsid w:val="004D2A2F"/>
    <w:rsid w:val="004D36E0"/>
    <w:rsid w:val="004D3A1D"/>
    <w:rsid w:val="004D7316"/>
    <w:rsid w:val="004E177A"/>
    <w:rsid w:val="004E17F8"/>
    <w:rsid w:val="004E5469"/>
    <w:rsid w:val="004E7858"/>
    <w:rsid w:val="004F0C3C"/>
    <w:rsid w:val="004F0EB5"/>
    <w:rsid w:val="004F111D"/>
    <w:rsid w:val="004F20AB"/>
    <w:rsid w:val="004F2B1A"/>
    <w:rsid w:val="004F3D0A"/>
    <w:rsid w:val="004F450D"/>
    <w:rsid w:val="004F5B1B"/>
    <w:rsid w:val="004F63FC"/>
    <w:rsid w:val="00501638"/>
    <w:rsid w:val="00504341"/>
    <w:rsid w:val="00505A92"/>
    <w:rsid w:val="00507E20"/>
    <w:rsid w:val="005203F1"/>
    <w:rsid w:val="00521BC3"/>
    <w:rsid w:val="005240E2"/>
    <w:rsid w:val="0052468E"/>
    <w:rsid w:val="005278FB"/>
    <w:rsid w:val="0053170A"/>
    <w:rsid w:val="0053177E"/>
    <w:rsid w:val="00533632"/>
    <w:rsid w:val="00541E6E"/>
    <w:rsid w:val="0054251F"/>
    <w:rsid w:val="00547E8A"/>
    <w:rsid w:val="005511D2"/>
    <w:rsid w:val="005520D8"/>
    <w:rsid w:val="00556CF1"/>
    <w:rsid w:val="005579EB"/>
    <w:rsid w:val="00562DAA"/>
    <w:rsid w:val="00563D8D"/>
    <w:rsid w:val="00566578"/>
    <w:rsid w:val="00566F50"/>
    <w:rsid w:val="00572D52"/>
    <w:rsid w:val="005738CC"/>
    <w:rsid w:val="00574EA3"/>
    <w:rsid w:val="005762A7"/>
    <w:rsid w:val="005916D7"/>
    <w:rsid w:val="00591F59"/>
    <w:rsid w:val="0059366D"/>
    <w:rsid w:val="005941F7"/>
    <w:rsid w:val="00595233"/>
    <w:rsid w:val="005979C2"/>
    <w:rsid w:val="005A48CE"/>
    <w:rsid w:val="005A698C"/>
    <w:rsid w:val="005A7921"/>
    <w:rsid w:val="005B4388"/>
    <w:rsid w:val="005B4C37"/>
    <w:rsid w:val="005B645C"/>
    <w:rsid w:val="005C1D02"/>
    <w:rsid w:val="005C3021"/>
    <w:rsid w:val="005C6135"/>
    <w:rsid w:val="005C7C8C"/>
    <w:rsid w:val="005D14B0"/>
    <w:rsid w:val="005D3F15"/>
    <w:rsid w:val="005D6823"/>
    <w:rsid w:val="005E0799"/>
    <w:rsid w:val="005E307F"/>
    <w:rsid w:val="005E331F"/>
    <w:rsid w:val="005E50FA"/>
    <w:rsid w:val="005F10D5"/>
    <w:rsid w:val="005F5A80"/>
    <w:rsid w:val="005F6E56"/>
    <w:rsid w:val="006013EB"/>
    <w:rsid w:val="00602EC8"/>
    <w:rsid w:val="006044FF"/>
    <w:rsid w:val="00606467"/>
    <w:rsid w:val="00607CC5"/>
    <w:rsid w:val="006100E2"/>
    <w:rsid w:val="00615088"/>
    <w:rsid w:val="00620F2A"/>
    <w:rsid w:val="00623516"/>
    <w:rsid w:val="00633014"/>
    <w:rsid w:val="006337FA"/>
    <w:rsid w:val="0063437B"/>
    <w:rsid w:val="00634415"/>
    <w:rsid w:val="00636F96"/>
    <w:rsid w:val="00644BCF"/>
    <w:rsid w:val="006453B1"/>
    <w:rsid w:val="00650FA9"/>
    <w:rsid w:val="00656E04"/>
    <w:rsid w:val="00662889"/>
    <w:rsid w:val="006673CA"/>
    <w:rsid w:val="00673C26"/>
    <w:rsid w:val="006812AF"/>
    <w:rsid w:val="00681C09"/>
    <w:rsid w:val="00682D89"/>
    <w:rsid w:val="0068327D"/>
    <w:rsid w:val="00684617"/>
    <w:rsid w:val="00687806"/>
    <w:rsid w:val="006924D2"/>
    <w:rsid w:val="00693E39"/>
    <w:rsid w:val="00693F5C"/>
    <w:rsid w:val="00694AF0"/>
    <w:rsid w:val="006966CE"/>
    <w:rsid w:val="00696765"/>
    <w:rsid w:val="006A210A"/>
    <w:rsid w:val="006A2D0A"/>
    <w:rsid w:val="006A3168"/>
    <w:rsid w:val="006A4686"/>
    <w:rsid w:val="006A6B89"/>
    <w:rsid w:val="006B0E9E"/>
    <w:rsid w:val="006B122A"/>
    <w:rsid w:val="006B48ED"/>
    <w:rsid w:val="006B5AE4"/>
    <w:rsid w:val="006B5C09"/>
    <w:rsid w:val="006C74EF"/>
    <w:rsid w:val="006D1507"/>
    <w:rsid w:val="006D4054"/>
    <w:rsid w:val="006D4585"/>
    <w:rsid w:val="006D6FBE"/>
    <w:rsid w:val="006E02EC"/>
    <w:rsid w:val="006E4E0E"/>
    <w:rsid w:val="006F16BA"/>
    <w:rsid w:val="006F4DAF"/>
    <w:rsid w:val="006F7FF7"/>
    <w:rsid w:val="00711637"/>
    <w:rsid w:val="0071390E"/>
    <w:rsid w:val="007211B1"/>
    <w:rsid w:val="007244A4"/>
    <w:rsid w:val="00736C64"/>
    <w:rsid w:val="0074305F"/>
    <w:rsid w:val="00746187"/>
    <w:rsid w:val="00746760"/>
    <w:rsid w:val="00755B7D"/>
    <w:rsid w:val="00761647"/>
    <w:rsid w:val="00762443"/>
    <w:rsid w:val="0076254F"/>
    <w:rsid w:val="00763BC2"/>
    <w:rsid w:val="00766E54"/>
    <w:rsid w:val="007738B5"/>
    <w:rsid w:val="00774052"/>
    <w:rsid w:val="00775B09"/>
    <w:rsid w:val="0077644F"/>
    <w:rsid w:val="007773FB"/>
    <w:rsid w:val="007801F5"/>
    <w:rsid w:val="0078183C"/>
    <w:rsid w:val="007834B8"/>
    <w:rsid w:val="00783CA4"/>
    <w:rsid w:val="007842FB"/>
    <w:rsid w:val="0078532B"/>
    <w:rsid w:val="0078596A"/>
    <w:rsid w:val="00786124"/>
    <w:rsid w:val="007871FE"/>
    <w:rsid w:val="00790992"/>
    <w:rsid w:val="0079105A"/>
    <w:rsid w:val="00793C23"/>
    <w:rsid w:val="0079472D"/>
    <w:rsid w:val="0079514B"/>
    <w:rsid w:val="00795D94"/>
    <w:rsid w:val="007A0155"/>
    <w:rsid w:val="007A245B"/>
    <w:rsid w:val="007A2DC1"/>
    <w:rsid w:val="007A5775"/>
    <w:rsid w:val="007A6B17"/>
    <w:rsid w:val="007B583A"/>
    <w:rsid w:val="007C04DD"/>
    <w:rsid w:val="007C33B3"/>
    <w:rsid w:val="007C39D1"/>
    <w:rsid w:val="007C42BD"/>
    <w:rsid w:val="007C7EA9"/>
    <w:rsid w:val="007C7F88"/>
    <w:rsid w:val="007D3319"/>
    <w:rsid w:val="007D335D"/>
    <w:rsid w:val="007E16E9"/>
    <w:rsid w:val="007E2C33"/>
    <w:rsid w:val="007E3314"/>
    <w:rsid w:val="007E4B03"/>
    <w:rsid w:val="007F0670"/>
    <w:rsid w:val="007F14BA"/>
    <w:rsid w:val="007F28C0"/>
    <w:rsid w:val="007F324B"/>
    <w:rsid w:val="007F5637"/>
    <w:rsid w:val="007F78ED"/>
    <w:rsid w:val="008004B6"/>
    <w:rsid w:val="00800583"/>
    <w:rsid w:val="0080410D"/>
    <w:rsid w:val="0080553C"/>
    <w:rsid w:val="00805B46"/>
    <w:rsid w:val="00810D58"/>
    <w:rsid w:val="008112B2"/>
    <w:rsid w:val="0082142D"/>
    <w:rsid w:val="0082212A"/>
    <w:rsid w:val="00823503"/>
    <w:rsid w:val="00825DC2"/>
    <w:rsid w:val="00826169"/>
    <w:rsid w:val="00832467"/>
    <w:rsid w:val="008337A4"/>
    <w:rsid w:val="00834AD3"/>
    <w:rsid w:val="00836F2A"/>
    <w:rsid w:val="00840B7F"/>
    <w:rsid w:val="00841715"/>
    <w:rsid w:val="00843795"/>
    <w:rsid w:val="0084584A"/>
    <w:rsid w:val="00847F0F"/>
    <w:rsid w:val="00850EBF"/>
    <w:rsid w:val="00852448"/>
    <w:rsid w:val="00854E11"/>
    <w:rsid w:val="008560D4"/>
    <w:rsid w:val="00857FA7"/>
    <w:rsid w:val="00861BC1"/>
    <w:rsid w:val="00863005"/>
    <w:rsid w:val="00870FC5"/>
    <w:rsid w:val="00873659"/>
    <w:rsid w:val="008759FD"/>
    <w:rsid w:val="00881816"/>
    <w:rsid w:val="0088258A"/>
    <w:rsid w:val="00883EE7"/>
    <w:rsid w:val="008844A6"/>
    <w:rsid w:val="00886332"/>
    <w:rsid w:val="00897778"/>
    <w:rsid w:val="008A17A7"/>
    <w:rsid w:val="008A26D9"/>
    <w:rsid w:val="008A698E"/>
    <w:rsid w:val="008B19EB"/>
    <w:rsid w:val="008B38F9"/>
    <w:rsid w:val="008B3F6A"/>
    <w:rsid w:val="008B5489"/>
    <w:rsid w:val="008B7EFE"/>
    <w:rsid w:val="008C00A0"/>
    <w:rsid w:val="008C0C29"/>
    <w:rsid w:val="008C264C"/>
    <w:rsid w:val="008C6CD3"/>
    <w:rsid w:val="008D05EF"/>
    <w:rsid w:val="008D3DBD"/>
    <w:rsid w:val="008D4206"/>
    <w:rsid w:val="008D6CAD"/>
    <w:rsid w:val="008D772A"/>
    <w:rsid w:val="008F2E54"/>
    <w:rsid w:val="008F3638"/>
    <w:rsid w:val="008F4441"/>
    <w:rsid w:val="008F4B44"/>
    <w:rsid w:val="008F6E53"/>
    <w:rsid w:val="008F6F31"/>
    <w:rsid w:val="008F7307"/>
    <w:rsid w:val="008F74DF"/>
    <w:rsid w:val="0090267C"/>
    <w:rsid w:val="009112A9"/>
    <w:rsid w:val="009127BA"/>
    <w:rsid w:val="009227A6"/>
    <w:rsid w:val="00927DE8"/>
    <w:rsid w:val="00933EC1"/>
    <w:rsid w:val="009429A2"/>
    <w:rsid w:val="0094486C"/>
    <w:rsid w:val="009530DB"/>
    <w:rsid w:val="00953676"/>
    <w:rsid w:val="0095545E"/>
    <w:rsid w:val="0096756D"/>
    <w:rsid w:val="00967C8F"/>
    <w:rsid w:val="009705EE"/>
    <w:rsid w:val="00970D75"/>
    <w:rsid w:val="009711F5"/>
    <w:rsid w:val="00973AFF"/>
    <w:rsid w:val="00974707"/>
    <w:rsid w:val="009751C2"/>
    <w:rsid w:val="00977927"/>
    <w:rsid w:val="009809DA"/>
    <w:rsid w:val="0098135C"/>
    <w:rsid w:val="0098156A"/>
    <w:rsid w:val="00982546"/>
    <w:rsid w:val="009855D4"/>
    <w:rsid w:val="00991BAC"/>
    <w:rsid w:val="00996239"/>
    <w:rsid w:val="009A1D8D"/>
    <w:rsid w:val="009A3D0F"/>
    <w:rsid w:val="009A5580"/>
    <w:rsid w:val="009A6EA0"/>
    <w:rsid w:val="009B4E78"/>
    <w:rsid w:val="009C0E6F"/>
    <w:rsid w:val="009C1335"/>
    <w:rsid w:val="009C16A0"/>
    <w:rsid w:val="009C1AB2"/>
    <w:rsid w:val="009C50B1"/>
    <w:rsid w:val="009C527D"/>
    <w:rsid w:val="009C7251"/>
    <w:rsid w:val="009D1692"/>
    <w:rsid w:val="009D23B7"/>
    <w:rsid w:val="009D5100"/>
    <w:rsid w:val="009E25C8"/>
    <w:rsid w:val="009E2E91"/>
    <w:rsid w:val="009F356B"/>
    <w:rsid w:val="009F59D6"/>
    <w:rsid w:val="00A12B88"/>
    <w:rsid w:val="00A139F5"/>
    <w:rsid w:val="00A13AFF"/>
    <w:rsid w:val="00A3019B"/>
    <w:rsid w:val="00A3518B"/>
    <w:rsid w:val="00A363E6"/>
    <w:rsid w:val="00A365F4"/>
    <w:rsid w:val="00A369C5"/>
    <w:rsid w:val="00A404D7"/>
    <w:rsid w:val="00A46817"/>
    <w:rsid w:val="00A47D80"/>
    <w:rsid w:val="00A52880"/>
    <w:rsid w:val="00A5299E"/>
    <w:rsid w:val="00A53132"/>
    <w:rsid w:val="00A5355A"/>
    <w:rsid w:val="00A53703"/>
    <w:rsid w:val="00A563F2"/>
    <w:rsid w:val="00A566E8"/>
    <w:rsid w:val="00A5724A"/>
    <w:rsid w:val="00A6162C"/>
    <w:rsid w:val="00A61F64"/>
    <w:rsid w:val="00A749B7"/>
    <w:rsid w:val="00A810F9"/>
    <w:rsid w:val="00A8212F"/>
    <w:rsid w:val="00A86ECC"/>
    <w:rsid w:val="00A86FCC"/>
    <w:rsid w:val="00A90281"/>
    <w:rsid w:val="00A9552E"/>
    <w:rsid w:val="00A960C3"/>
    <w:rsid w:val="00AA0FFC"/>
    <w:rsid w:val="00AA12DB"/>
    <w:rsid w:val="00AA1B06"/>
    <w:rsid w:val="00AA2832"/>
    <w:rsid w:val="00AA710D"/>
    <w:rsid w:val="00AB0FC7"/>
    <w:rsid w:val="00AB1747"/>
    <w:rsid w:val="00AB2BA3"/>
    <w:rsid w:val="00AB329A"/>
    <w:rsid w:val="00AB4312"/>
    <w:rsid w:val="00AB6AEB"/>
    <w:rsid w:val="00AB6D25"/>
    <w:rsid w:val="00AC023F"/>
    <w:rsid w:val="00AC309E"/>
    <w:rsid w:val="00AD444D"/>
    <w:rsid w:val="00AD5D19"/>
    <w:rsid w:val="00AD5EA8"/>
    <w:rsid w:val="00AE2D4B"/>
    <w:rsid w:val="00AE384F"/>
    <w:rsid w:val="00AE485C"/>
    <w:rsid w:val="00AE4F99"/>
    <w:rsid w:val="00AE53C3"/>
    <w:rsid w:val="00AE6AC5"/>
    <w:rsid w:val="00AE78D1"/>
    <w:rsid w:val="00AF4E19"/>
    <w:rsid w:val="00AF5E24"/>
    <w:rsid w:val="00AF719A"/>
    <w:rsid w:val="00B0006D"/>
    <w:rsid w:val="00B11B69"/>
    <w:rsid w:val="00B14952"/>
    <w:rsid w:val="00B17158"/>
    <w:rsid w:val="00B27C83"/>
    <w:rsid w:val="00B31E5A"/>
    <w:rsid w:val="00B44C06"/>
    <w:rsid w:val="00B51472"/>
    <w:rsid w:val="00B54129"/>
    <w:rsid w:val="00B5622F"/>
    <w:rsid w:val="00B618C5"/>
    <w:rsid w:val="00B62159"/>
    <w:rsid w:val="00B653AB"/>
    <w:rsid w:val="00B65F9E"/>
    <w:rsid w:val="00B66B19"/>
    <w:rsid w:val="00B71CA4"/>
    <w:rsid w:val="00B80C6D"/>
    <w:rsid w:val="00B82634"/>
    <w:rsid w:val="00B83B7D"/>
    <w:rsid w:val="00B914E9"/>
    <w:rsid w:val="00B94E11"/>
    <w:rsid w:val="00B956EE"/>
    <w:rsid w:val="00B95CEF"/>
    <w:rsid w:val="00B977DD"/>
    <w:rsid w:val="00BA2BA1"/>
    <w:rsid w:val="00BA3562"/>
    <w:rsid w:val="00BA3E54"/>
    <w:rsid w:val="00BA66E4"/>
    <w:rsid w:val="00BA67A6"/>
    <w:rsid w:val="00BB4F09"/>
    <w:rsid w:val="00BB606C"/>
    <w:rsid w:val="00BC1D6C"/>
    <w:rsid w:val="00BD097C"/>
    <w:rsid w:val="00BD3691"/>
    <w:rsid w:val="00BD38E3"/>
    <w:rsid w:val="00BD4E33"/>
    <w:rsid w:val="00BD601D"/>
    <w:rsid w:val="00BE3C36"/>
    <w:rsid w:val="00BE6260"/>
    <w:rsid w:val="00BE6622"/>
    <w:rsid w:val="00BE684D"/>
    <w:rsid w:val="00BF32A1"/>
    <w:rsid w:val="00BF4D8E"/>
    <w:rsid w:val="00BF65C3"/>
    <w:rsid w:val="00C00BB8"/>
    <w:rsid w:val="00C00FA8"/>
    <w:rsid w:val="00C01503"/>
    <w:rsid w:val="00C030DE"/>
    <w:rsid w:val="00C064E1"/>
    <w:rsid w:val="00C10867"/>
    <w:rsid w:val="00C13855"/>
    <w:rsid w:val="00C1646D"/>
    <w:rsid w:val="00C22105"/>
    <w:rsid w:val="00C244B6"/>
    <w:rsid w:val="00C279F2"/>
    <w:rsid w:val="00C3118A"/>
    <w:rsid w:val="00C31691"/>
    <w:rsid w:val="00C33721"/>
    <w:rsid w:val="00C358FC"/>
    <w:rsid w:val="00C3702F"/>
    <w:rsid w:val="00C4383D"/>
    <w:rsid w:val="00C4500A"/>
    <w:rsid w:val="00C52B29"/>
    <w:rsid w:val="00C6271D"/>
    <w:rsid w:val="00C63D61"/>
    <w:rsid w:val="00C64A37"/>
    <w:rsid w:val="00C7158E"/>
    <w:rsid w:val="00C7250B"/>
    <w:rsid w:val="00C7346B"/>
    <w:rsid w:val="00C75769"/>
    <w:rsid w:val="00C757B8"/>
    <w:rsid w:val="00C77C0E"/>
    <w:rsid w:val="00C80120"/>
    <w:rsid w:val="00C80B4B"/>
    <w:rsid w:val="00C81C3B"/>
    <w:rsid w:val="00C835A2"/>
    <w:rsid w:val="00C839CC"/>
    <w:rsid w:val="00C83ED1"/>
    <w:rsid w:val="00C8489D"/>
    <w:rsid w:val="00C84B39"/>
    <w:rsid w:val="00C84C99"/>
    <w:rsid w:val="00C87FE8"/>
    <w:rsid w:val="00C908F9"/>
    <w:rsid w:val="00C91687"/>
    <w:rsid w:val="00C921AF"/>
    <w:rsid w:val="00C924A8"/>
    <w:rsid w:val="00C92F09"/>
    <w:rsid w:val="00C93177"/>
    <w:rsid w:val="00C945FE"/>
    <w:rsid w:val="00C94C47"/>
    <w:rsid w:val="00C965E2"/>
    <w:rsid w:val="00C96FAA"/>
    <w:rsid w:val="00C97A04"/>
    <w:rsid w:val="00CA107B"/>
    <w:rsid w:val="00CA20F9"/>
    <w:rsid w:val="00CA484D"/>
    <w:rsid w:val="00CA4FB6"/>
    <w:rsid w:val="00CB1646"/>
    <w:rsid w:val="00CB5CC0"/>
    <w:rsid w:val="00CC0890"/>
    <w:rsid w:val="00CC6A79"/>
    <w:rsid w:val="00CC6EF4"/>
    <w:rsid w:val="00CC739E"/>
    <w:rsid w:val="00CD2203"/>
    <w:rsid w:val="00CD58B7"/>
    <w:rsid w:val="00CE05BE"/>
    <w:rsid w:val="00CE54BB"/>
    <w:rsid w:val="00CF232E"/>
    <w:rsid w:val="00CF3700"/>
    <w:rsid w:val="00CF4099"/>
    <w:rsid w:val="00CF592D"/>
    <w:rsid w:val="00CF5988"/>
    <w:rsid w:val="00CF5F01"/>
    <w:rsid w:val="00CF65B2"/>
    <w:rsid w:val="00D005CA"/>
    <w:rsid w:val="00D00796"/>
    <w:rsid w:val="00D11F25"/>
    <w:rsid w:val="00D127F2"/>
    <w:rsid w:val="00D21705"/>
    <w:rsid w:val="00D220D3"/>
    <w:rsid w:val="00D22E49"/>
    <w:rsid w:val="00D233B2"/>
    <w:rsid w:val="00D25633"/>
    <w:rsid w:val="00D261A2"/>
    <w:rsid w:val="00D26638"/>
    <w:rsid w:val="00D33311"/>
    <w:rsid w:val="00D3367A"/>
    <w:rsid w:val="00D35AB7"/>
    <w:rsid w:val="00D37EB5"/>
    <w:rsid w:val="00D40647"/>
    <w:rsid w:val="00D40876"/>
    <w:rsid w:val="00D4232A"/>
    <w:rsid w:val="00D448F1"/>
    <w:rsid w:val="00D46BE3"/>
    <w:rsid w:val="00D530CE"/>
    <w:rsid w:val="00D5388A"/>
    <w:rsid w:val="00D604B5"/>
    <w:rsid w:val="00D61141"/>
    <w:rsid w:val="00D616D2"/>
    <w:rsid w:val="00D63B5F"/>
    <w:rsid w:val="00D6434E"/>
    <w:rsid w:val="00D64523"/>
    <w:rsid w:val="00D70DD6"/>
    <w:rsid w:val="00D70EF7"/>
    <w:rsid w:val="00D749DB"/>
    <w:rsid w:val="00D755A1"/>
    <w:rsid w:val="00D76D29"/>
    <w:rsid w:val="00D8397C"/>
    <w:rsid w:val="00D86310"/>
    <w:rsid w:val="00D869D9"/>
    <w:rsid w:val="00D92DB8"/>
    <w:rsid w:val="00D947AB"/>
    <w:rsid w:val="00D94EED"/>
    <w:rsid w:val="00D96026"/>
    <w:rsid w:val="00D96040"/>
    <w:rsid w:val="00D964EF"/>
    <w:rsid w:val="00D9783D"/>
    <w:rsid w:val="00DA2D79"/>
    <w:rsid w:val="00DA7A18"/>
    <w:rsid w:val="00DA7C1C"/>
    <w:rsid w:val="00DB147A"/>
    <w:rsid w:val="00DB1B7A"/>
    <w:rsid w:val="00DB2C4B"/>
    <w:rsid w:val="00DB3F6F"/>
    <w:rsid w:val="00DC27B5"/>
    <w:rsid w:val="00DC3686"/>
    <w:rsid w:val="00DC4AFA"/>
    <w:rsid w:val="00DC55D0"/>
    <w:rsid w:val="00DC6708"/>
    <w:rsid w:val="00DD21E3"/>
    <w:rsid w:val="00DD4C9C"/>
    <w:rsid w:val="00DD50F8"/>
    <w:rsid w:val="00DE44C0"/>
    <w:rsid w:val="00DE5863"/>
    <w:rsid w:val="00DE5E03"/>
    <w:rsid w:val="00DF17C4"/>
    <w:rsid w:val="00E01436"/>
    <w:rsid w:val="00E042E1"/>
    <w:rsid w:val="00E045BD"/>
    <w:rsid w:val="00E05040"/>
    <w:rsid w:val="00E05E14"/>
    <w:rsid w:val="00E07E08"/>
    <w:rsid w:val="00E113FA"/>
    <w:rsid w:val="00E13DA0"/>
    <w:rsid w:val="00E17227"/>
    <w:rsid w:val="00E178CE"/>
    <w:rsid w:val="00E17B77"/>
    <w:rsid w:val="00E23337"/>
    <w:rsid w:val="00E259EA"/>
    <w:rsid w:val="00E275B3"/>
    <w:rsid w:val="00E32061"/>
    <w:rsid w:val="00E34EAA"/>
    <w:rsid w:val="00E35E85"/>
    <w:rsid w:val="00E408EB"/>
    <w:rsid w:val="00E42FF9"/>
    <w:rsid w:val="00E43091"/>
    <w:rsid w:val="00E448A4"/>
    <w:rsid w:val="00E44AD2"/>
    <w:rsid w:val="00E46889"/>
    <w:rsid w:val="00E4714C"/>
    <w:rsid w:val="00E51AEB"/>
    <w:rsid w:val="00E522A7"/>
    <w:rsid w:val="00E54452"/>
    <w:rsid w:val="00E5708B"/>
    <w:rsid w:val="00E6405B"/>
    <w:rsid w:val="00E659EE"/>
    <w:rsid w:val="00E664C5"/>
    <w:rsid w:val="00E671A2"/>
    <w:rsid w:val="00E70ED0"/>
    <w:rsid w:val="00E74157"/>
    <w:rsid w:val="00E7514A"/>
    <w:rsid w:val="00E761AE"/>
    <w:rsid w:val="00E76D26"/>
    <w:rsid w:val="00E803FD"/>
    <w:rsid w:val="00E85FA7"/>
    <w:rsid w:val="00E86126"/>
    <w:rsid w:val="00E86263"/>
    <w:rsid w:val="00E9365A"/>
    <w:rsid w:val="00E96947"/>
    <w:rsid w:val="00E97B7B"/>
    <w:rsid w:val="00EA2C2D"/>
    <w:rsid w:val="00EB1390"/>
    <w:rsid w:val="00EB2C71"/>
    <w:rsid w:val="00EB4340"/>
    <w:rsid w:val="00EB4898"/>
    <w:rsid w:val="00EB556D"/>
    <w:rsid w:val="00EB5A7D"/>
    <w:rsid w:val="00EB5E7F"/>
    <w:rsid w:val="00EC0751"/>
    <w:rsid w:val="00EC1A16"/>
    <w:rsid w:val="00EC2DC3"/>
    <w:rsid w:val="00EC5F4C"/>
    <w:rsid w:val="00EC6EFC"/>
    <w:rsid w:val="00EC722E"/>
    <w:rsid w:val="00EC724A"/>
    <w:rsid w:val="00EC7761"/>
    <w:rsid w:val="00ED1DC2"/>
    <w:rsid w:val="00ED4DCE"/>
    <w:rsid w:val="00ED55C0"/>
    <w:rsid w:val="00ED682B"/>
    <w:rsid w:val="00ED68C9"/>
    <w:rsid w:val="00EE0BFE"/>
    <w:rsid w:val="00EE313A"/>
    <w:rsid w:val="00EE41D5"/>
    <w:rsid w:val="00EE457C"/>
    <w:rsid w:val="00EE5155"/>
    <w:rsid w:val="00EE59F7"/>
    <w:rsid w:val="00EE5DDD"/>
    <w:rsid w:val="00EF0DD3"/>
    <w:rsid w:val="00EF4CDB"/>
    <w:rsid w:val="00EF55F2"/>
    <w:rsid w:val="00F037A4"/>
    <w:rsid w:val="00F05DA7"/>
    <w:rsid w:val="00F078AF"/>
    <w:rsid w:val="00F122A6"/>
    <w:rsid w:val="00F17264"/>
    <w:rsid w:val="00F2062C"/>
    <w:rsid w:val="00F20E8E"/>
    <w:rsid w:val="00F2481A"/>
    <w:rsid w:val="00F25976"/>
    <w:rsid w:val="00F27C8F"/>
    <w:rsid w:val="00F32749"/>
    <w:rsid w:val="00F344AD"/>
    <w:rsid w:val="00F37172"/>
    <w:rsid w:val="00F3752A"/>
    <w:rsid w:val="00F41498"/>
    <w:rsid w:val="00F4477E"/>
    <w:rsid w:val="00F56602"/>
    <w:rsid w:val="00F56ACC"/>
    <w:rsid w:val="00F5773F"/>
    <w:rsid w:val="00F6332F"/>
    <w:rsid w:val="00F649B0"/>
    <w:rsid w:val="00F67D8F"/>
    <w:rsid w:val="00F71033"/>
    <w:rsid w:val="00F802BE"/>
    <w:rsid w:val="00F8063B"/>
    <w:rsid w:val="00F80E93"/>
    <w:rsid w:val="00F84DD6"/>
    <w:rsid w:val="00F86024"/>
    <w:rsid w:val="00F8611A"/>
    <w:rsid w:val="00FA36DE"/>
    <w:rsid w:val="00FA4553"/>
    <w:rsid w:val="00FA5128"/>
    <w:rsid w:val="00FA7078"/>
    <w:rsid w:val="00FB1358"/>
    <w:rsid w:val="00FB208D"/>
    <w:rsid w:val="00FB34D2"/>
    <w:rsid w:val="00FB42D4"/>
    <w:rsid w:val="00FB5906"/>
    <w:rsid w:val="00FB762F"/>
    <w:rsid w:val="00FC2AED"/>
    <w:rsid w:val="00FC4A80"/>
    <w:rsid w:val="00FC7440"/>
    <w:rsid w:val="00FD146F"/>
    <w:rsid w:val="00FD3130"/>
    <w:rsid w:val="00FD33BE"/>
    <w:rsid w:val="00FD3C08"/>
    <w:rsid w:val="00FD5EA7"/>
    <w:rsid w:val="00FE66C2"/>
    <w:rsid w:val="00FE710B"/>
    <w:rsid w:val="00FF1B17"/>
    <w:rsid w:val="00FF5417"/>
    <w:rsid w:val="00FF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B1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F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F15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F1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969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164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metainformacje/slownik-pojec/pojecia-stosowane-w-statystyce-publicznej/152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.kulczycka@stat.gov.pl" TargetMode="External"/><Relationship Id="rId20" Type="http://schemas.openxmlformats.org/officeDocument/2006/relationships/hyperlink" Target="http://www.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odmioty-gospodarcze-wyniki-finansowe/przedsiebiorstwa-finansowe/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38D98-93A3-4140-BA44-36D9BA72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1167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otwartych funduszy emerytalnych i powszechnych towarzystw emerytalnych w 2017 roku</vt:lpstr>
    </vt:vector>
  </TitlesOfParts>
  <Company>Główny Urząd Statystyczny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funduszy inwestycyjnych i towarzystw funduszy inwestycyjnych w pierwszym półroczu 2019 roku</dc:title>
  <dc:subject>Wyniki finansowe funduszy inwestycyjnych i towarzystw funduszy inwestycyjnych w pierwszym półroczu 2019 roku</dc:subject>
  <cp:keywords>ofe; otwarte fundusze emerytalne; powszechne towarzystwa emerytalne; wynik finansowy ofe</cp:keywords>
  <dc:description>Wyniki finansowe funduszy inwestycyjnych i towarzystw funduszy inwestycyjnych w pierwszym półroczu 2019 roku</dc:description>
  <cp:lastPrinted>2019-06-14T12:21:00Z</cp:lastPrinted>
  <dcterms:created xsi:type="dcterms:W3CDTF">2019-10-01T05:53:00Z</dcterms:created>
  <dcterms:modified xsi:type="dcterms:W3CDTF">2019-10-17T07:02:00Z</dcterms:modified>
  <cp:category>Wyniki finansowe otwartych funduszy emerytalnych i powszechnych towarzystw emerytalnych; Wyniki finansowe funduszy inwestycyjnych i towarzystw funduszy inwestycyjnych w pierwszym półroczu 2019 roku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