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drawings/drawing1.xml" ContentType="application/vnd.openxmlformats-officedocument.drawingml.chartshapes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135C" w:rsidRPr="00F02342" w:rsidRDefault="00530074" w:rsidP="00074DD8">
      <w:pPr>
        <w:pStyle w:val="tytuinformacji"/>
        <w:rPr>
          <w:sz w:val="36"/>
          <w:szCs w:val="36"/>
          <w:shd w:val="clear" w:color="auto" w:fill="FFFFFF"/>
        </w:rPr>
      </w:pPr>
      <w:r w:rsidRPr="00F02342">
        <w:rPr>
          <w:sz w:val="36"/>
          <w:szCs w:val="36"/>
          <w:shd w:val="clear" w:color="auto" w:fill="FFFFFF"/>
        </w:rPr>
        <w:t>Koniunktura konsumencka</w:t>
      </w:r>
      <w:r w:rsidR="00074DD8" w:rsidRPr="00F02342">
        <w:rPr>
          <w:sz w:val="36"/>
          <w:szCs w:val="36"/>
          <w:shd w:val="clear" w:color="auto" w:fill="FFFFFF"/>
        </w:rPr>
        <w:t xml:space="preserve"> </w:t>
      </w:r>
      <w:r w:rsidRPr="00F02342">
        <w:rPr>
          <w:sz w:val="36"/>
          <w:szCs w:val="36"/>
          <w:shd w:val="clear" w:color="auto" w:fill="FFFFFF"/>
        </w:rPr>
        <w:t xml:space="preserve">– </w:t>
      </w:r>
      <w:r w:rsidR="008934C4" w:rsidRPr="00F02342">
        <w:rPr>
          <w:sz w:val="36"/>
          <w:szCs w:val="36"/>
          <w:shd w:val="clear" w:color="auto" w:fill="FFFFFF"/>
        </w:rPr>
        <w:t>listopad</w:t>
      </w:r>
      <w:r w:rsidRPr="00F02342">
        <w:rPr>
          <w:sz w:val="36"/>
          <w:szCs w:val="36"/>
          <w:shd w:val="clear" w:color="auto" w:fill="FFFFFF"/>
        </w:rPr>
        <w:t xml:space="preserve"> 201</w:t>
      </w:r>
      <w:r w:rsidR="00712785" w:rsidRPr="00F02342">
        <w:rPr>
          <w:sz w:val="36"/>
          <w:szCs w:val="36"/>
          <w:shd w:val="clear" w:color="auto" w:fill="FFFFFF"/>
        </w:rPr>
        <w:t>9</w:t>
      </w:r>
      <w:r w:rsidRPr="00F02342">
        <w:rPr>
          <w:sz w:val="36"/>
          <w:szCs w:val="36"/>
          <w:shd w:val="clear" w:color="auto" w:fill="FFFFFF"/>
        </w:rPr>
        <w:t xml:space="preserve"> r.</w:t>
      </w:r>
    </w:p>
    <w:p w:rsidR="00393761" w:rsidRPr="003A3169" w:rsidRDefault="00393761" w:rsidP="00074DD8">
      <w:pPr>
        <w:pStyle w:val="tytuinformacji"/>
        <w:rPr>
          <w:sz w:val="32"/>
        </w:rPr>
      </w:pPr>
      <w:r w:rsidRPr="00001C5B"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>
                <wp:simplePos x="0" y="0"/>
                <wp:positionH relativeFrom="column">
                  <wp:posOffset>5238750</wp:posOffset>
                </wp:positionH>
                <wp:positionV relativeFrom="paragraph">
                  <wp:posOffset>246380</wp:posOffset>
                </wp:positionV>
                <wp:extent cx="1725295" cy="1466850"/>
                <wp:effectExtent l="0" t="0" r="0" b="0"/>
                <wp:wrapTight wrapText="bothSides">
                  <wp:wrapPolygon edited="0">
                    <wp:start x="715" y="0"/>
                    <wp:lineTo x="715" y="21319"/>
                    <wp:lineTo x="20749" y="21319"/>
                    <wp:lineTo x="20749" y="0"/>
                    <wp:lineTo x="715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466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734C2" w:rsidRPr="00074DD8" w:rsidRDefault="00D734C2" w:rsidP="00074DD8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2.5pt;margin-top:19.4pt;width:135.85pt;height:115.5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" filled="f" stroked="f">
                <v:textbox>
                  <w:txbxContent>
                    <w:p w:rsidR="00D734C2" w:rsidRPr="00074DD8" w:rsidRDefault="00D734C2" w:rsidP="00074DD8">
                      <w:pPr>
                        <w:pStyle w:val="tekstzboku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CF538E" w:rsidRPr="00CF538E" w:rsidRDefault="005B3A86" w:rsidP="00CF538E">
      <w:pPr>
        <w:pStyle w:val="tekstzboku"/>
        <w:rPr>
          <w:b/>
          <w:color w:val="auto"/>
          <w:sz w:val="19"/>
          <w:szCs w:val="19"/>
        </w:rPr>
      </w:pPr>
      <w:r w:rsidRPr="00CF538E">
        <w:rPr>
          <w:b/>
          <w:noProof/>
          <w:color w:val="auto"/>
          <w:sz w:val="19"/>
          <w:szCs w:val="19"/>
        </w:rPr>
        <mc:AlternateContent>
          <mc:Choice Requires="wps">
            <w:drawing>
              <wp:anchor distT="45720" distB="45720" distL="114300" distR="114300" simplePos="0" relativeHeight="251757568" behindDoc="0" locked="0" layoutInCell="1" allowOverlap="1" wp14:anchorId="7F4ACDF2" wp14:editId="73CBBA6B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828800" cy="1045845"/>
                <wp:effectExtent l="0" t="0" r="0" b="190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04584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734C2" w:rsidRPr="00BC44E4" w:rsidRDefault="00D734C2" w:rsidP="005B3A86">
                            <w:pPr>
                              <w:pStyle w:val="Akapitzlist"/>
                              <w:spacing w:after="0" w:line="240" w:lineRule="auto"/>
                              <w:ind w:left="0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27A04EF4" wp14:editId="4C019FE3">
                                  <wp:extent cx="334800" cy="334800"/>
                                  <wp:effectExtent l="0" t="0" r="8255" b="8255"/>
                                  <wp:docPr id="18" name="Obraz 1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>
                                            <a:off x="0" y="0"/>
                                            <a:ext cx="334800" cy="334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6,7</w:t>
                            </w:r>
                          </w:p>
                          <w:p w:rsidR="00D734C2" w:rsidRPr="00DD7916" w:rsidRDefault="00D734C2" w:rsidP="005B3A86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 w:rsidRPr="00DD7916">
                              <w:t>Bieżący wskaźnik ufności konsumenckiej (BWUK)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4ACDF2" id="_x0000_s1027" type="#_x0000_t202" style="position:absolute;margin-left:0;margin-top:6.55pt;width:2in;height:82.35pt;z-index:25175756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" fillcolor="#001d77" stroked="f">
                <v:textbox>
                  <w:txbxContent>
                    <w:p w:rsidR="00D734C2" w:rsidRPr="00BC44E4" w:rsidRDefault="00D734C2" w:rsidP="005B3A86">
                      <w:pPr>
                        <w:pStyle w:val="Akapitzlist"/>
                        <w:spacing w:after="0" w:line="240" w:lineRule="auto"/>
                        <w:ind w:left="0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27A04EF4" wp14:editId="4C019FE3">
                            <wp:extent cx="334800" cy="334800"/>
                            <wp:effectExtent l="0" t="0" r="8255" b="8255"/>
                            <wp:docPr id="18" name="Obraz 1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>
                                      <a:off x="0" y="0"/>
                                      <a:ext cx="334800" cy="334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22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6,7</w:t>
                      </w:r>
                    </w:p>
                    <w:p w:rsidR="00D734C2" w:rsidRPr="00DD7916" w:rsidRDefault="00D734C2" w:rsidP="005B3A86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 w:rsidRPr="00DD7916">
                        <w:t>Bieżący wskaźnik ufności konsumenckiej (BWUK)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F538E" w:rsidRPr="00CF538E">
        <w:rPr>
          <w:b/>
          <w:color w:val="auto"/>
          <w:sz w:val="19"/>
          <w:szCs w:val="19"/>
        </w:rPr>
        <w:t>W</w:t>
      </w:r>
      <w:r w:rsidR="00014DB7">
        <w:rPr>
          <w:b/>
          <w:color w:val="auto"/>
          <w:sz w:val="19"/>
          <w:szCs w:val="19"/>
        </w:rPr>
        <w:t xml:space="preserve"> </w:t>
      </w:r>
      <w:r w:rsidR="00AB1B71">
        <w:rPr>
          <w:b/>
          <w:color w:val="auto"/>
          <w:sz w:val="19"/>
          <w:szCs w:val="19"/>
        </w:rPr>
        <w:t>listopadzie</w:t>
      </w:r>
      <w:r w:rsidR="00014DB7">
        <w:rPr>
          <w:b/>
          <w:color w:val="auto"/>
          <w:sz w:val="19"/>
          <w:szCs w:val="19"/>
        </w:rPr>
        <w:t xml:space="preserve"> </w:t>
      </w:r>
      <w:r w:rsidR="00CF538E" w:rsidRPr="00CF538E">
        <w:rPr>
          <w:b/>
          <w:color w:val="auto"/>
          <w:sz w:val="19"/>
          <w:szCs w:val="19"/>
        </w:rPr>
        <w:t xml:space="preserve">2019 r. odnotowano </w:t>
      </w:r>
      <w:r w:rsidR="00014DB7">
        <w:rPr>
          <w:b/>
          <w:color w:val="auto"/>
          <w:sz w:val="19"/>
          <w:szCs w:val="19"/>
        </w:rPr>
        <w:t>pogorszenie</w:t>
      </w:r>
      <w:r w:rsidR="00CF538E" w:rsidRPr="00CF538E">
        <w:rPr>
          <w:b/>
          <w:color w:val="auto"/>
          <w:sz w:val="19"/>
          <w:szCs w:val="19"/>
        </w:rPr>
        <w:t xml:space="preserve"> zarówno obecnych, jak i przyszłych nastrojów konsumenckich w stosunku do poprzedniego miesiąca.</w:t>
      </w:r>
    </w:p>
    <w:p w:rsidR="005B3A86" w:rsidRDefault="005B3A86" w:rsidP="005B3A86">
      <w:pPr>
        <w:pStyle w:val="Nagwek1"/>
        <w:rPr>
          <w:rFonts w:ascii="Fira Sans" w:hAnsi="Fira Sans"/>
          <w:b/>
          <w:color w:val="212492"/>
          <w:spacing w:val="-2"/>
          <w:szCs w:val="19"/>
        </w:rPr>
      </w:pPr>
    </w:p>
    <w:p w:rsidR="009A5A6D" w:rsidRDefault="009A5A6D" w:rsidP="00074DD8">
      <w:pPr>
        <w:pStyle w:val="Nagwek1"/>
      </w:pPr>
    </w:p>
    <w:p w:rsidR="00A217E6" w:rsidRDefault="00F54C16" w:rsidP="00F54C16">
      <w:pPr>
        <w:pStyle w:val="Nagwek1"/>
        <w:tabs>
          <w:tab w:val="left" w:pos="6330"/>
        </w:tabs>
      </w:pPr>
      <w:r>
        <w:tab/>
      </w:r>
      <w:bookmarkStart w:id="0" w:name="_GoBack"/>
      <w:bookmarkEnd w:id="0"/>
    </w:p>
    <w:p w:rsidR="00C22105" w:rsidRPr="009A5A6D" w:rsidRDefault="009227A6" w:rsidP="00074DD8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383C7874" wp14:editId="02E5C35A">
                <wp:simplePos x="0" y="0"/>
                <wp:positionH relativeFrom="column">
                  <wp:posOffset>5230495</wp:posOffset>
                </wp:positionH>
                <wp:positionV relativeFrom="paragraph">
                  <wp:posOffset>158750</wp:posOffset>
                </wp:positionV>
                <wp:extent cx="1725295" cy="1021080"/>
                <wp:effectExtent l="0" t="0" r="0" b="0"/>
                <wp:wrapTight wrapText="bothSides">
                  <wp:wrapPolygon edited="0">
                    <wp:start x="715" y="0"/>
                    <wp:lineTo x="715" y="20955"/>
                    <wp:lineTo x="20749" y="20955"/>
                    <wp:lineTo x="20749" y="0"/>
                    <wp:lineTo x="71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210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734C2" w:rsidRPr="00380DFD" w:rsidRDefault="00D734C2" w:rsidP="00273134">
                            <w:pPr>
                              <w:pStyle w:val="tekstzboku"/>
                            </w:pPr>
                            <w:r>
                              <w:t>Bieżący wskaźnik ufności konsumenckiej (BWUK) jest niższy o 2,6 p. proc. w stosunku do poprzedniego miesiąca</w:t>
                            </w:r>
                          </w:p>
                          <w:p w:rsidR="00D734C2" w:rsidRPr="00D616D2" w:rsidRDefault="00D734C2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3C7874" id="_x0000_s1028" type="#_x0000_t202" style="position:absolute;margin-left:411.85pt;margin-top:12.5pt;width:135.85pt;height:80.4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" filled="f" stroked="f">
                <v:textbox>
                  <w:txbxContent>
                    <w:p w:rsidR="00D734C2" w:rsidRPr="00380DFD" w:rsidRDefault="00D734C2" w:rsidP="00273134">
                      <w:pPr>
                        <w:pStyle w:val="tekstzboku"/>
                      </w:pPr>
                      <w:r>
                        <w:t>Bieżący wskaźnik ufności konsumenckiej (BWUK) jest niższy o 2,6 p. proc. w stosunku do poprzedniego miesiąca</w:t>
                      </w:r>
                    </w:p>
                    <w:p w:rsidR="00D734C2" w:rsidRPr="00D616D2" w:rsidRDefault="00D734C2" w:rsidP="00D616D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9A5A6D" w:rsidRPr="009A5A6D">
        <w:t>Bieżący wska</w:t>
      </w:r>
      <w:r w:rsidR="009A5A6D">
        <w:t>ź</w:t>
      </w:r>
      <w:r w:rsidR="006404CD">
        <w:t>nik ufności konsumenckiej</w:t>
      </w:r>
      <w:r w:rsidR="00A217E6">
        <w:t xml:space="preserve"> (BWUK) </w:t>
      </w:r>
      <w:r w:rsidR="009A5A6D" w:rsidRPr="009A5A6D">
        <w:t>w</w:t>
      </w:r>
      <w:r w:rsidR="00EE2896">
        <w:t xml:space="preserve"> </w:t>
      </w:r>
      <w:r w:rsidR="00BB4EA0">
        <w:t>listopadzie</w:t>
      </w:r>
      <w:r w:rsidR="0046695F">
        <w:t xml:space="preserve"> </w:t>
      </w:r>
      <w:r w:rsidR="00BD0145">
        <w:t>2019</w:t>
      </w:r>
      <w:r w:rsidR="009A5A6D" w:rsidRPr="009A5A6D">
        <w:t xml:space="preserve"> r.</w:t>
      </w:r>
    </w:p>
    <w:p w:rsidR="00BB1D75" w:rsidRDefault="009A5A6D" w:rsidP="00273134">
      <w:pPr>
        <w:spacing w:after="0"/>
        <w:rPr>
          <w:shd w:val="clear" w:color="auto" w:fill="FFFFFF"/>
        </w:rPr>
      </w:pPr>
      <w:r w:rsidRPr="009A5A6D">
        <w:rPr>
          <w:shd w:val="clear" w:color="auto" w:fill="FFFFFF"/>
        </w:rPr>
        <w:t xml:space="preserve">Bieżący wskaźnik ufności konsumenckiej (BWUK), syntetycznie opisujący obecne tendencje konsumpcji indywidualnej, </w:t>
      </w:r>
      <w:r w:rsidR="007B7753">
        <w:rPr>
          <w:shd w:val="clear" w:color="auto" w:fill="FFFFFF"/>
        </w:rPr>
        <w:t xml:space="preserve">był o </w:t>
      </w:r>
      <w:r w:rsidR="00BB4EA0">
        <w:rPr>
          <w:shd w:val="clear" w:color="auto" w:fill="FFFFFF"/>
        </w:rPr>
        <w:t>2</w:t>
      </w:r>
      <w:r w:rsidR="0053753D">
        <w:rPr>
          <w:shd w:val="clear" w:color="auto" w:fill="FFFFFF"/>
        </w:rPr>
        <w:t>,</w:t>
      </w:r>
      <w:r w:rsidR="00BB4EA0">
        <w:rPr>
          <w:shd w:val="clear" w:color="auto" w:fill="FFFFFF"/>
        </w:rPr>
        <w:t>6</w:t>
      </w:r>
      <w:r w:rsidR="007B7753">
        <w:rPr>
          <w:shd w:val="clear" w:color="auto" w:fill="FFFFFF"/>
        </w:rPr>
        <w:t xml:space="preserve"> p. proc.</w:t>
      </w:r>
      <w:r w:rsidRPr="009A5A6D">
        <w:rPr>
          <w:shd w:val="clear" w:color="auto" w:fill="FFFFFF"/>
        </w:rPr>
        <w:t xml:space="preserve"> </w:t>
      </w:r>
      <w:r w:rsidR="00014DB7">
        <w:rPr>
          <w:shd w:val="clear" w:color="auto" w:fill="FFFFFF"/>
        </w:rPr>
        <w:t>ni</w:t>
      </w:r>
      <w:r w:rsidR="005C5FBD">
        <w:rPr>
          <w:shd w:val="clear" w:color="auto" w:fill="FFFFFF"/>
        </w:rPr>
        <w:t>ższy</w:t>
      </w:r>
      <w:r w:rsidR="009C2E5B">
        <w:rPr>
          <w:shd w:val="clear" w:color="auto" w:fill="FFFFFF"/>
        </w:rPr>
        <w:t xml:space="preserve"> </w:t>
      </w:r>
      <w:r w:rsidRPr="009A5A6D">
        <w:rPr>
          <w:shd w:val="clear" w:color="auto" w:fill="FFFFFF"/>
        </w:rPr>
        <w:t>w stosunku do poprzedniego miesiąca i</w:t>
      </w:r>
      <w:r w:rsidR="00C074FD">
        <w:rPr>
          <w:shd w:val="clear" w:color="auto" w:fill="FFFFFF"/>
        </w:rPr>
        <w:t> </w:t>
      </w:r>
      <w:r w:rsidR="0053753D">
        <w:rPr>
          <w:shd w:val="clear" w:color="auto" w:fill="FFFFFF"/>
        </w:rPr>
        <w:t xml:space="preserve">ukształtował się na poziomie </w:t>
      </w:r>
      <w:r w:rsidR="00BB4EA0">
        <w:rPr>
          <w:shd w:val="clear" w:color="auto" w:fill="FFFFFF"/>
        </w:rPr>
        <w:t>6,7</w:t>
      </w:r>
      <w:r w:rsidR="00A518FC">
        <w:rPr>
          <w:rStyle w:val="Odwoanieprzypisudolnego"/>
          <w:shd w:val="clear" w:color="auto" w:fill="FFFFFF"/>
        </w:rPr>
        <w:footnoteReference w:id="1"/>
      </w:r>
      <w:r w:rsidR="002253F4">
        <w:rPr>
          <w:shd w:val="clear" w:color="auto" w:fill="FFFFFF"/>
        </w:rPr>
        <w:t>.</w:t>
      </w:r>
      <w:r w:rsidR="00617810">
        <w:rPr>
          <w:shd w:val="clear" w:color="auto" w:fill="FFFFFF"/>
        </w:rPr>
        <w:t xml:space="preserve"> </w:t>
      </w:r>
    </w:p>
    <w:p w:rsidR="00D734C2" w:rsidRDefault="00D734C2" w:rsidP="00D734C2">
      <w:pPr>
        <w:spacing w:before="0"/>
        <w:rPr>
          <w:shd w:val="clear" w:color="auto" w:fill="FFFFFF"/>
        </w:rPr>
      </w:pPr>
      <w:r>
        <w:rPr>
          <w:shd w:val="clear" w:color="auto" w:fill="FFFFFF"/>
        </w:rPr>
        <w:t>Wszystkie składowe wskaźnika uzyskały w</w:t>
      </w:r>
      <w:r w:rsidR="00696B93">
        <w:rPr>
          <w:shd w:val="clear" w:color="auto" w:fill="FFFFFF"/>
        </w:rPr>
        <w:t>artości ni</w:t>
      </w:r>
      <w:r>
        <w:rPr>
          <w:shd w:val="clear" w:color="auto" w:fill="FFFFFF"/>
        </w:rPr>
        <w:t>ższe</w:t>
      </w:r>
      <w:r w:rsidR="00696B93">
        <w:rPr>
          <w:shd w:val="clear" w:color="auto" w:fill="FFFFFF"/>
        </w:rPr>
        <w:t xml:space="preserve"> niż przed miesiącem. Największy</w:t>
      </w:r>
      <w:r>
        <w:rPr>
          <w:shd w:val="clear" w:color="auto" w:fill="FFFFFF"/>
        </w:rPr>
        <w:t xml:space="preserve"> </w:t>
      </w:r>
      <w:r w:rsidR="00696B93">
        <w:rPr>
          <w:shd w:val="clear" w:color="auto" w:fill="FFFFFF"/>
        </w:rPr>
        <w:t>spadek</w:t>
      </w:r>
      <w:r>
        <w:rPr>
          <w:shd w:val="clear" w:color="auto" w:fill="FFFFFF"/>
        </w:rPr>
        <w:t xml:space="preserve"> odnotowano dla ocen</w:t>
      </w:r>
      <w:r w:rsidR="00696B93">
        <w:rPr>
          <w:shd w:val="clear" w:color="auto" w:fill="FFFFFF"/>
        </w:rPr>
        <w:t>y</w:t>
      </w:r>
      <w:r>
        <w:rPr>
          <w:shd w:val="clear" w:color="auto" w:fill="FFFFFF"/>
        </w:rPr>
        <w:t xml:space="preserve"> </w:t>
      </w:r>
      <w:r w:rsidR="00696B93">
        <w:rPr>
          <w:shd w:val="clear" w:color="auto" w:fill="FFFFFF"/>
        </w:rPr>
        <w:t>przyszłej sytuacji ekonomicznej kraju (o 6,4</w:t>
      </w:r>
      <w:r>
        <w:rPr>
          <w:shd w:val="clear" w:color="auto" w:fill="FFFFFF"/>
        </w:rPr>
        <w:t> p. proc.</w:t>
      </w:r>
      <w:r w:rsidR="00696B93">
        <w:rPr>
          <w:shd w:val="clear" w:color="auto" w:fill="FFFFFF"/>
        </w:rPr>
        <w:t>).</w:t>
      </w:r>
      <w:r>
        <w:rPr>
          <w:shd w:val="clear" w:color="auto" w:fill="FFFFFF"/>
        </w:rPr>
        <w:t xml:space="preserve"> Dla pozostałych składowych wskaźnika </w:t>
      </w:r>
      <w:r w:rsidR="00696B93">
        <w:rPr>
          <w:shd w:val="clear" w:color="auto" w:fill="FFFFFF"/>
        </w:rPr>
        <w:t>spadki</w:t>
      </w:r>
      <w:r>
        <w:rPr>
          <w:shd w:val="clear" w:color="auto" w:fill="FFFFFF"/>
        </w:rPr>
        <w:t xml:space="preserve"> kształto</w:t>
      </w:r>
      <w:r w:rsidR="00696B93">
        <w:rPr>
          <w:shd w:val="clear" w:color="auto" w:fill="FFFFFF"/>
        </w:rPr>
        <w:t>wały się następująco: 2,1 p. proc. dla ocen</w:t>
      </w:r>
      <w:r>
        <w:rPr>
          <w:shd w:val="clear" w:color="auto" w:fill="FFFFFF"/>
        </w:rPr>
        <w:t xml:space="preserve"> obecnej </w:t>
      </w:r>
      <w:r w:rsidR="00696B93">
        <w:rPr>
          <w:shd w:val="clear" w:color="auto" w:fill="FFFFFF"/>
        </w:rPr>
        <w:t>sytuacji ekonomicznej kraju oraz</w:t>
      </w:r>
      <w:r>
        <w:rPr>
          <w:shd w:val="clear" w:color="auto" w:fill="FFFFFF"/>
        </w:rPr>
        <w:t xml:space="preserve"> możliwości obecnego </w:t>
      </w:r>
      <w:r w:rsidR="00696B93">
        <w:rPr>
          <w:shd w:val="clear" w:color="auto" w:fill="FFFFFF"/>
        </w:rPr>
        <w:t>dokonywania ważnych zakupów, 1,1</w:t>
      </w:r>
      <w:r>
        <w:rPr>
          <w:shd w:val="clear" w:color="auto" w:fill="FFFFFF"/>
        </w:rPr>
        <w:t xml:space="preserve"> p. proc. dla oceny</w:t>
      </w:r>
      <w:r w:rsidR="00696B93">
        <w:rPr>
          <w:shd w:val="clear" w:color="auto" w:fill="FFFFFF"/>
        </w:rPr>
        <w:t xml:space="preserve"> obecnej</w:t>
      </w:r>
      <w:r>
        <w:rPr>
          <w:shd w:val="clear" w:color="auto" w:fill="FFFFFF"/>
        </w:rPr>
        <w:t xml:space="preserve"> </w:t>
      </w:r>
      <w:r w:rsidR="00696B93">
        <w:rPr>
          <w:shd w:val="clear" w:color="auto" w:fill="FFFFFF"/>
        </w:rPr>
        <w:t>sytuacji finansowej gospodarstwa domowego oraz 0,9 p. proc. dla oceny przyszłej sytuacji finansowej gospodarstwa domowego.</w:t>
      </w:r>
    </w:p>
    <w:p w:rsidR="00A06A63" w:rsidRPr="00396FC5" w:rsidRDefault="00A06A63" w:rsidP="00273134">
      <w:pPr>
        <w:pStyle w:val="Default"/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</w:pPr>
      <w:r w:rsidRPr="00396FC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W </w:t>
      </w:r>
      <w:r w:rsidR="009C2E5B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odniesieniu</w:t>
      </w:r>
      <w:r w:rsidRPr="00396FC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do </w:t>
      </w:r>
      <w:r w:rsidR="00531FE8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listopada</w:t>
      </w:r>
      <w:r w:rsidRPr="00396FC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201</w:t>
      </w:r>
      <w:r w:rsidR="00094173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8</w:t>
      </w:r>
      <w:r w:rsidRPr="00396FC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r. obecna war</w:t>
      </w:r>
      <w:r w:rsidR="00377B67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tość BWUK </w:t>
      </w:r>
      <w:r w:rsidR="00F3589E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jest</w:t>
      </w:r>
      <w:r w:rsidR="00377B67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</w:t>
      </w:r>
      <w:r w:rsidR="004F57F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wy</w:t>
      </w:r>
      <w:r w:rsidR="006537BC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ższa</w:t>
      </w:r>
      <w:r w:rsidR="00377B67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o </w:t>
      </w:r>
      <w:r w:rsidR="00531FE8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1</w:t>
      </w:r>
      <w:r w:rsidR="006E5948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,</w:t>
      </w:r>
      <w:r w:rsidR="00531FE8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5</w:t>
      </w:r>
      <w:r w:rsidRPr="00396FC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p. proc. </w:t>
      </w:r>
    </w:p>
    <w:p w:rsidR="00A06A63" w:rsidRDefault="00A06A63" w:rsidP="002F5124">
      <w:pPr>
        <w:spacing w:before="0"/>
        <w:rPr>
          <w:shd w:val="clear" w:color="auto" w:fill="FFFFFF"/>
        </w:rPr>
      </w:pPr>
    </w:p>
    <w:p w:rsidR="00C074FD" w:rsidRDefault="00C074FD" w:rsidP="003F6DBB">
      <w:pPr>
        <w:pStyle w:val="Nagwek1"/>
        <w:spacing w:before="120"/>
      </w:pPr>
    </w:p>
    <w:p w:rsidR="00C074FD" w:rsidRPr="00396FC5" w:rsidRDefault="00C074FD" w:rsidP="00C074FD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37088" behindDoc="1" locked="0" layoutInCell="1" allowOverlap="1" wp14:anchorId="1904E8F7" wp14:editId="6C6A03ED">
                <wp:simplePos x="0" y="0"/>
                <wp:positionH relativeFrom="column">
                  <wp:posOffset>5219065</wp:posOffset>
                </wp:positionH>
                <wp:positionV relativeFrom="paragraph">
                  <wp:posOffset>162560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734C2" w:rsidRPr="00380DFD" w:rsidRDefault="00D734C2" w:rsidP="00273134">
                            <w:pPr>
                              <w:pStyle w:val="tekstzboku"/>
                            </w:pPr>
                            <w:r w:rsidRPr="00380DFD">
                              <w:t xml:space="preserve">Wyprzedzający wskaźnik ufności konsumenckiej </w:t>
                            </w:r>
                            <w:r>
                              <w:t>(WWUK) spadł o 1,4 p. proc. w stosunku do poprzedniego miesiąca</w:t>
                            </w:r>
                          </w:p>
                          <w:p w:rsidR="00D734C2" w:rsidRPr="00380DFD" w:rsidRDefault="00D734C2" w:rsidP="00C074FD">
                            <w:pPr>
                              <w:pStyle w:val="tekstzboku"/>
                            </w:pPr>
                          </w:p>
                          <w:p w:rsidR="00D734C2" w:rsidRPr="00D616D2" w:rsidRDefault="00D734C2" w:rsidP="00C074FD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04E8F7" id="Pole tekstowe 16" o:spid="_x0000_s1029" type="#_x0000_t202" style="position:absolute;margin-left:410.95pt;margin-top:12.8pt;width:135.85pt;height:77.6pt;z-index:-251579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" filled="f" stroked="f">
                <v:textbox>
                  <w:txbxContent>
                    <w:p w:rsidR="00D734C2" w:rsidRPr="00380DFD" w:rsidRDefault="00D734C2" w:rsidP="00273134">
                      <w:pPr>
                        <w:pStyle w:val="tekstzboku"/>
                      </w:pPr>
                      <w:r w:rsidRPr="00380DFD">
                        <w:t xml:space="preserve">Wyprzedzający wskaźnik ufności konsumenckiej </w:t>
                      </w:r>
                      <w:r>
                        <w:t>(WWUK) spadł o 1,4 p. proc. w stosunku do poprzedniego miesiąca</w:t>
                      </w:r>
                    </w:p>
                    <w:p w:rsidR="00D734C2" w:rsidRPr="00380DFD" w:rsidRDefault="00D734C2" w:rsidP="00C074FD">
                      <w:pPr>
                        <w:pStyle w:val="tekstzboku"/>
                      </w:pPr>
                    </w:p>
                    <w:p w:rsidR="00D734C2" w:rsidRPr="00D616D2" w:rsidRDefault="00D734C2" w:rsidP="00C074FD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Pr="00396FC5">
        <w:t xml:space="preserve">Wyprzedzający </w:t>
      </w:r>
      <w:r w:rsidRPr="009A5A6D">
        <w:t>wska</w:t>
      </w:r>
      <w:r>
        <w:t>ź</w:t>
      </w:r>
      <w:r w:rsidR="006404CD">
        <w:t>nik ufności konsumenckiej</w:t>
      </w:r>
      <w:r w:rsidR="00A217E6">
        <w:t xml:space="preserve"> (WWUK)</w:t>
      </w:r>
      <w:r w:rsidRPr="009A5A6D">
        <w:t xml:space="preserve"> w</w:t>
      </w:r>
      <w:r w:rsidR="00EE2896">
        <w:t xml:space="preserve"> </w:t>
      </w:r>
      <w:r w:rsidR="00BB4EA0">
        <w:t>listopadzie</w:t>
      </w:r>
      <w:r w:rsidR="00BD0145">
        <w:t xml:space="preserve"> 2019</w:t>
      </w:r>
      <w:r w:rsidRPr="009A5A6D">
        <w:t xml:space="preserve"> r.</w:t>
      </w:r>
    </w:p>
    <w:p w:rsidR="00BB1D75" w:rsidRDefault="00C074FD" w:rsidP="00273134">
      <w:pPr>
        <w:spacing w:after="0"/>
        <w:rPr>
          <w:shd w:val="clear" w:color="auto" w:fill="FFFFFF"/>
        </w:rPr>
      </w:pPr>
      <w:r w:rsidRPr="00396FC5">
        <w:rPr>
          <w:shd w:val="clear" w:color="auto" w:fill="FFFFFF"/>
        </w:rPr>
        <w:t>Wyprzedzający wskaźnik ufności konsumenckiej (WWUK), syntetycznie opisujący oczekiwane w najbliższych miesiącach tend</w:t>
      </w:r>
      <w:r w:rsidR="006C105E">
        <w:rPr>
          <w:shd w:val="clear" w:color="auto" w:fill="FFFFFF"/>
        </w:rPr>
        <w:t xml:space="preserve">encje konsumpcji indywidualnej, </w:t>
      </w:r>
      <w:r w:rsidR="00205B38">
        <w:rPr>
          <w:shd w:val="clear" w:color="auto" w:fill="FFFFFF"/>
        </w:rPr>
        <w:t>spadł</w:t>
      </w:r>
      <w:r w:rsidR="0090561C">
        <w:rPr>
          <w:shd w:val="clear" w:color="auto" w:fill="FFFFFF"/>
        </w:rPr>
        <w:t xml:space="preserve"> o </w:t>
      </w:r>
      <w:r w:rsidR="00BB4EA0">
        <w:rPr>
          <w:shd w:val="clear" w:color="auto" w:fill="FFFFFF"/>
        </w:rPr>
        <w:t>1</w:t>
      </w:r>
      <w:r w:rsidR="00BD0145">
        <w:rPr>
          <w:shd w:val="clear" w:color="auto" w:fill="FFFFFF"/>
        </w:rPr>
        <w:t>,</w:t>
      </w:r>
      <w:r w:rsidR="00205B38">
        <w:rPr>
          <w:shd w:val="clear" w:color="auto" w:fill="FFFFFF"/>
        </w:rPr>
        <w:t>4</w:t>
      </w:r>
      <w:r w:rsidR="0090561C">
        <w:rPr>
          <w:shd w:val="clear" w:color="auto" w:fill="FFFFFF"/>
        </w:rPr>
        <w:t xml:space="preserve"> p. proc.</w:t>
      </w:r>
      <w:r w:rsidRPr="00396FC5">
        <w:rPr>
          <w:shd w:val="clear" w:color="auto" w:fill="FFFFFF"/>
        </w:rPr>
        <w:t xml:space="preserve"> w stosunku do poprzedniego miesiąca </w:t>
      </w:r>
      <w:r w:rsidR="00D62602">
        <w:rPr>
          <w:shd w:val="clear" w:color="auto" w:fill="FFFFFF"/>
        </w:rPr>
        <w:t xml:space="preserve">i ukształtował się na poziomie </w:t>
      </w:r>
      <w:r w:rsidR="00BB4EA0">
        <w:rPr>
          <w:shd w:val="clear" w:color="auto" w:fill="FFFFFF"/>
        </w:rPr>
        <w:t>2</w:t>
      </w:r>
      <w:r w:rsidRPr="00396FC5">
        <w:rPr>
          <w:shd w:val="clear" w:color="auto" w:fill="FFFFFF"/>
        </w:rPr>
        <w:t>,</w:t>
      </w:r>
      <w:r w:rsidR="00BB4EA0">
        <w:rPr>
          <w:shd w:val="clear" w:color="auto" w:fill="FFFFFF"/>
        </w:rPr>
        <w:t>2</w:t>
      </w:r>
      <w:r w:rsidR="00210F89" w:rsidRPr="00210F89">
        <w:rPr>
          <w:shd w:val="clear" w:color="auto" w:fill="FFFFFF"/>
          <w:vertAlign w:val="superscript"/>
        </w:rPr>
        <w:t>*</w:t>
      </w:r>
      <w:r w:rsidR="00BB1D75">
        <w:rPr>
          <w:shd w:val="clear" w:color="auto" w:fill="FFFFFF"/>
        </w:rPr>
        <w:t>.</w:t>
      </w:r>
      <w:r w:rsidR="00B72F68">
        <w:rPr>
          <w:shd w:val="clear" w:color="auto" w:fill="FFFFFF"/>
        </w:rPr>
        <w:t xml:space="preserve"> </w:t>
      </w:r>
    </w:p>
    <w:p w:rsidR="007A0DC8" w:rsidRDefault="007A0DC8" w:rsidP="007A0DC8">
      <w:pPr>
        <w:spacing w:before="0"/>
        <w:rPr>
          <w:shd w:val="clear" w:color="auto" w:fill="FFFFFF"/>
        </w:rPr>
      </w:pPr>
      <w:r>
        <w:rPr>
          <w:shd w:val="clear" w:color="auto" w:fill="FFFFFF"/>
        </w:rPr>
        <w:t xml:space="preserve">Wśród składowych wskaźnika, niższą wartość niż przed miesiącem odnotowano </w:t>
      </w:r>
      <w:r w:rsidR="002E6D6C">
        <w:rPr>
          <w:shd w:val="clear" w:color="auto" w:fill="FFFFFF"/>
        </w:rPr>
        <w:t xml:space="preserve">dla ocen przyszłej </w:t>
      </w:r>
      <w:r>
        <w:rPr>
          <w:shd w:val="clear" w:color="auto" w:fill="FFFFFF"/>
        </w:rPr>
        <w:t>sytuacji ekonomicznej kraju</w:t>
      </w:r>
      <w:r w:rsidR="002E6D6C">
        <w:rPr>
          <w:shd w:val="clear" w:color="auto" w:fill="FFFFFF"/>
        </w:rPr>
        <w:t xml:space="preserve"> oraz przyszłej sytuacji finansowej gospodarstwa domowego</w:t>
      </w:r>
      <w:r>
        <w:rPr>
          <w:shd w:val="clear" w:color="auto" w:fill="FFFFFF"/>
        </w:rPr>
        <w:t xml:space="preserve"> (spadki odpowiednio o </w:t>
      </w:r>
      <w:r w:rsidR="00F43964">
        <w:rPr>
          <w:shd w:val="clear" w:color="auto" w:fill="FFFFFF"/>
        </w:rPr>
        <w:t>6,4 i 0,9</w:t>
      </w:r>
      <w:r>
        <w:rPr>
          <w:shd w:val="clear" w:color="auto" w:fill="FFFFFF"/>
        </w:rPr>
        <w:t xml:space="preserve"> p. proc.). Wartości wyższe niż p</w:t>
      </w:r>
      <w:r w:rsidR="00F43964">
        <w:rPr>
          <w:shd w:val="clear" w:color="auto" w:fill="FFFFFF"/>
        </w:rPr>
        <w:t xml:space="preserve">rzed miesiącem osiągnęły </w:t>
      </w:r>
      <w:r>
        <w:rPr>
          <w:shd w:val="clear" w:color="auto" w:fill="FFFFFF"/>
        </w:rPr>
        <w:t xml:space="preserve">oceny </w:t>
      </w:r>
      <w:r w:rsidR="00F43964">
        <w:rPr>
          <w:shd w:val="clear" w:color="auto" w:fill="FFFFFF"/>
        </w:rPr>
        <w:t>możliwości przyszłego oszczędzania pieniędzy</w:t>
      </w:r>
      <w:r>
        <w:rPr>
          <w:shd w:val="clear" w:color="auto" w:fill="FFFFFF"/>
        </w:rPr>
        <w:t xml:space="preserve"> oraz </w:t>
      </w:r>
      <w:r w:rsidR="00F43964">
        <w:rPr>
          <w:shd w:val="clear" w:color="auto" w:fill="FFFFFF"/>
        </w:rPr>
        <w:t>przyszłego poziomu bezrobocia (wzrosty odpowiednio o 1,3 i 0,4</w:t>
      </w:r>
      <w:r>
        <w:rPr>
          <w:shd w:val="clear" w:color="auto" w:fill="FFFFFF"/>
        </w:rPr>
        <w:t xml:space="preserve"> p. proc.).</w:t>
      </w:r>
    </w:p>
    <w:p w:rsidR="00A06A63" w:rsidRPr="00655E7E" w:rsidRDefault="003C2E08" w:rsidP="00273134">
      <w:pPr>
        <w:spacing w:before="0"/>
        <w:rPr>
          <w:shd w:val="clear" w:color="auto" w:fill="FFFFFF"/>
        </w:rPr>
      </w:pPr>
      <w:r>
        <w:rPr>
          <w:shd w:val="clear" w:color="auto" w:fill="FFFFFF"/>
        </w:rPr>
        <w:t xml:space="preserve"> </w:t>
      </w:r>
      <w:r w:rsidR="00A06A63" w:rsidRPr="00655E7E">
        <w:rPr>
          <w:shd w:val="clear" w:color="auto" w:fill="FFFFFF"/>
        </w:rPr>
        <w:t>W</w:t>
      </w:r>
      <w:r w:rsidR="00462C73">
        <w:rPr>
          <w:shd w:val="clear" w:color="auto" w:fill="FFFFFF"/>
        </w:rPr>
        <w:t xml:space="preserve"> </w:t>
      </w:r>
      <w:r w:rsidR="00FA5F55">
        <w:rPr>
          <w:shd w:val="clear" w:color="auto" w:fill="FFFFFF"/>
        </w:rPr>
        <w:t>listopadzie</w:t>
      </w:r>
      <w:r w:rsidR="00377B67">
        <w:rPr>
          <w:shd w:val="clear" w:color="auto" w:fill="FFFFFF"/>
        </w:rPr>
        <w:t xml:space="preserve"> br. WWUK osiągnął wartość</w:t>
      </w:r>
      <w:r w:rsidR="006537BC">
        <w:rPr>
          <w:shd w:val="clear" w:color="auto" w:fill="FFFFFF"/>
        </w:rPr>
        <w:t xml:space="preserve"> o </w:t>
      </w:r>
      <w:r w:rsidR="00FA5F55">
        <w:rPr>
          <w:shd w:val="clear" w:color="auto" w:fill="FFFFFF"/>
        </w:rPr>
        <w:t>1</w:t>
      </w:r>
      <w:r w:rsidR="006E5948">
        <w:rPr>
          <w:shd w:val="clear" w:color="auto" w:fill="FFFFFF"/>
        </w:rPr>
        <w:t>,</w:t>
      </w:r>
      <w:r w:rsidR="00FA5F55">
        <w:rPr>
          <w:shd w:val="clear" w:color="auto" w:fill="FFFFFF"/>
        </w:rPr>
        <w:t>2</w:t>
      </w:r>
      <w:r w:rsidR="007E58C7">
        <w:rPr>
          <w:shd w:val="clear" w:color="auto" w:fill="FFFFFF"/>
        </w:rPr>
        <w:t xml:space="preserve"> p. proc.</w:t>
      </w:r>
      <w:r w:rsidR="009C2E5B">
        <w:rPr>
          <w:shd w:val="clear" w:color="auto" w:fill="FFFFFF"/>
        </w:rPr>
        <w:t xml:space="preserve"> </w:t>
      </w:r>
      <w:r w:rsidR="00FA5F55">
        <w:rPr>
          <w:shd w:val="clear" w:color="auto" w:fill="FFFFFF"/>
        </w:rPr>
        <w:t>niższą</w:t>
      </w:r>
      <w:r w:rsidR="007E58C7">
        <w:rPr>
          <w:shd w:val="clear" w:color="auto" w:fill="FFFFFF"/>
        </w:rPr>
        <w:t xml:space="preserve"> niż</w:t>
      </w:r>
      <w:r w:rsidR="00094173">
        <w:rPr>
          <w:shd w:val="clear" w:color="auto" w:fill="FFFFFF"/>
        </w:rPr>
        <w:t xml:space="preserve"> w analogicznym miesiącu 2018</w:t>
      </w:r>
      <w:r w:rsidR="00A06A63">
        <w:rPr>
          <w:shd w:val="clear" w:color="auto" w:fill="FFFFFF"/>
        </w:rPr>
        <w:t> </w:t>
      </w:r>
      <w:r w:rsidR="00A06A63" w:rsidRPr="00655E7E">
        <w:rPr>
          <w:shd w:val="clear" w:color="auto" w:fill="FFFFFF"/>
        </w:rPr>
        <w:t xml:space="preserve">r. </w:t>
      </w:r>
    </w:p>
    <w:p w:rsidR="00A06A63" w:rsidRDefault="00A06A63" w:rsidP="003F6DBB">
      <w:pPr>
        <w:spacing w:before="0" w:after="0"/>
        <w:rPr>
          <w:shd w:val="clear" w:color="auto" w:fill="FFFFFF"/>
        </w:rPr>
      </w:pPr>
    </w:p>
    <w:p w:rsidR="00EE4780" w:rsidRDefault="00EE4780" w:rsidP="00FD69E9">
      <w:pPr>
        <w:jc w:val="both"/>
        <w:rPr>
          <w:rFonts w:cs="Arial"/>
          <w:i/>
          <w:spacing w:val="-2"/>
          <w:sz w:val="18"/>
          <w:szCs w:val="18"/>
        </w:rPr>
      </w:pPr>
    </w:p>
    <w:p w:rsidR="00FD69E9" w:rsidRDefault="00FD69E9" w:rsidP="00FD69E9">
      <w:pPr>
        <w:jc w:val="both"/>
        <w:rPr>
          <w:rFonts w:cs="Arial"/>
          <w:i/>
          <w:spacing w:val="-2"/>
          <w:sz w:val="18"/>
          <w:szCs w:val="18"/>
        </w:rPr>
      </w:pPr>
    </w:p>
    <w:p w:rsidR="00A217E6" w:rsidRPr="004E61ED" w:rsidRDefault="00A217E6" w:rsidP="00B27B18">
      <w:pPr>
        <w:spacing w:before="0" w:after="160" w:line="259" w:lineRule="auto"/>
        <w:rPr>
          <w:shd w:val="clear" w:color="auto" w:fill="FFFFFF"/>
        </w:rPr>
      </w:pPr>
      <w:r>
        <w:rPr>
          <w:shd w:val="clear" w:color="auto" w:fill="FFFFFF"/>
        </w:rPr>
        <w:br w:type="page"/>
      </w:r>
    </w:p>
    <w:tbl>
      <w:tblPr>
        <w:tblStyle w:val="Siatkatabelijasna"/>
        <w:tblpPr w:leftFromText="141" w:rightFromText="141" w:vertAnchor="text" w:horzAnchor="margin" w:tblpY="596"/>
        <w:tblW w:w="80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831"/>
        <w:gridCol w:w="599"/>
        <w:gridCol w:w="1107"/>
        <w:gridCol w:w="1105"/>
        <w:gridCol w:w="973"/>
        <w:gridCol w:w="1089"/>
        <w:gridCol w:w="1130"/>
        <w:gridCol w:w="1245"/>
      </w:tblGrid>
      <w:tr w:rsidR="00351316" w:rsidRPr="00FA5128" w:rsidTr="004E61ED">
        <w:trPr>
          <w:trHeight w:val="654"/>
        </w:trPr>
        <w:tc>
          <w:tcPr>
            <w:tcW w:w="1430" w:type="dxa"/>
            <w:gridSpan w:val="2"/>
            <w:tcBorders>
              <w:top w:val="nil"/>
            </w:tcBorders>
            <w:vAlign w:val="center"/>
          </w:tcPr>
          <w:p w:rsidR="00351316" w:rsidRPr="009C7251" w:rsidRDefault="00351316" w:rsidP="00A201E6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lastRenderedPageBreak/>
              <w:t>Okres badania ankietowego</w:t>
            </w:r>
          </w:p>
        </w:tc>
        <w:tc>
          <w:tcPr>
            <w:tcW w:w="2212" w:type="dxa"/>
            <w:gridSpan w:val="2"/>
            <w:tcBorders>
              <w:top w:val="nil"/>
            </w:tcBorders>
            <w:vAlign w:val="center"/>
          </w:tcPr>
          <w:p w:rsidR="00351316" w:rsidRPr="00FA5128" w:rsidRDefault="00351316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Zmiany sytuacji finansowej gospodarstwa domowego  w:</w:t>
            </w:r>
          </w:p>
        </w:tc>
        <w:tc>
          <w:tcPr>
            <w:tcW w:w="2062" w:type="dxa"/>
            <w:gridSpan w:val="2"/>
            <w:tcBorders>
              <w:top w:val="nil"/>
            </w:tcBorders>
            <w:vAlign w:val="center"/>
          </w:tcPr>
          <w:p w:rsidR="00351316" w:rsidRPr="00FA5128" w:rsidRDefault="00351316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Zmiany ogólnej sytuacji ekonomicznej kraju w:</w:t>
            </w:r>
          </w:p>
        </w:tc>
        <w:tc>
          <w:tcPr>
            <w:tcW w:w="1130" w:type="dxa"/>
            <w:vMerge w:val="restart"/>
            <w:tcBorders>
              <w:top w:val="nil"/>
            </w:tcBorders>
            <w:vAlign w:val="center"/>
          </w:tcPr>
          <w:p w:rsidR="00351316" w:rsidRPr="00FA5128" w:rsidRDefault="00351316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Obecne dokonywanie ważnych zakupów</w:t>
            </w:r>
          </w:p>
        </w:tc>
        <w:tc>
          <w:tcPr>
            <w:tcW w:w="1245" w:type="dxa"/>
            <w:vMerge w:val="restart"/>
            <w:tcBorders>
              <w:top w:val="nil"/>
            </w:tcBorders>
            <w:vAlign w:val="center"/>
          </w:tcPr>
          <w:p w:rsidR="00351316" w:rsidRPr="00FA5128" w:rsidRDefault="00351316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Wskaźnik ufności konsumenckiej </w:t>
            </w:r>
            <w:r w:rsidRPr="00E37334">
              <w:rPr>
                <w:rFonts w:ascii="Fira Sans" w:hAnsi="Fira Sans"/>
                <w:color w:val="000000" w:themeColor="text1"/>
                <w:sz w:val="16"/>
                <w:szCs w:val="16"/>
              </w:rPr>
              <w:t>BWUK</w:t>
            </w:r>
          </w:p>
        </w:tc>
      </w:tr>
      <w:tr w:rsidR="00E37334" w:rsidRPr="00FA5128" w:rsidTr="004E61ED">
        <w:trPr>
          <w:trHeight w:val="628"/>
        </w:trPr>
        <w:tc>
          <w:tcPr>
            <w:tcW w:w="1430" w:type="dxa"/>
            <w:gridSpan w:val="2"/>
            <w:vMerge w:val="restart"/>
            <w:vAlign w:val="center"/>
          </w:tcPr>
          <w:p w:rsidR="00E37334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:rsidR="00E37334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:rsidR="00E37334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:rsidR="00E37334" w:rsidRPr="00E37334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 w:rsidRPr="00E37334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 xml:space="preserve">Rok     Kwartał </w:t>
            </w:r>
          </w:p>
          <w:p w:rsidR="00E37334" w:rsidRPr="009C7251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 w:rsidRPr="00E37334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 xml:space="preserve">          </w:t>
            </w:r>
            <w:r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 xml:space="preserve">  </w:t>
            </w:r>
            <w:r w:rsidRPr="00E37334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Miesiąc</w:t>
            </w:r>
          </w:p>
        </w:tc>
        <w:tc>
          <w:tcPr>
            <w:tcW w:w="1107" w:type="dxa"/>
            <w:vAlign w:val="center"/>
          </w:tcPr>
          <w:p w:rsidR="00E37334" w:rsidRPr="00FA5128" w:rsidRDefault="00E37334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ostatnich 12 miesiącach</w:t>
            </w:r>
          </w:p>
        </w:tc>
        <w:tc>
          <w:tcPr>
            <w:tcW w:w="1105" w:type="dxa"/>
            <w:vAlign w:val="center"/>
          </w:tcPr>
          <w:p w:rsidR="00E37334" w:rsidRPr="00FA5128" w:rsidRDefault="00E37334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najbliższych 12 miesiącach</w:t>
            </w:r>
          </w:p>
        </w:tc>
        <w:tc>
          <w:tcPr>
            <w:tcW w:w="973" w:type="dxa"/>
            <w:vAlign w:val="center"/>
          </w:tcPr>
          <w:p w:rsidR="00E37334" w:rsidRPr="00FA5128" w:rsidRDefault="00E37334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ostatnich 12 miesiącach</w:t>
            </w:r>
          </w:p>
        </w:tc>
        <w:tc>
          <w:tcPr>
            <w:tcW w:w="1089" w:type="dxa"/>
            <w:vAlign w:val="center"/>
          </w:tcPr>
          <w:p w:rsidR="00E37334" w:rsidRPr="00FA5128" w:rsidRDefault="00E37334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najbliższych 12 miesiącach</w:t>
            </w:r>
          </w:p>
        </w:tc>
        <w:tc>
          <w:tcPr>
            <w:tcW w:w="1130" w:type="dxa"/>
            <w:vMerge/>
            <w:vAlign w:val="center"/>
          </w:tcPr>
          <w:p w:rsidR="00E37334" w:rsidRPr="00FA5128" w:rsidRDefault="00E37334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</w:p>
        </w:tc>
        <w:tc>
          <w:tcPr>
            <w:tcW w:w="1245" w:type="dxa"/>
            <w:vMerge/>
            <w:vAlign w:val="center"/>
          </w:tcPr>
          <w:p w:rsidR="00E37334" w:rsidRPr="00FA5128" w:rsidRDefault="00E37334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</w:p>
        </w:tc>
      </w:tr>
      <w:tr w:rsidR="00E37334" w:rsidRPr="00FA5128" w:rsidTr="004E61ED">
        <w:trPr>
          <w:trHeight w:val="20"/>
        </w:trPr>
        <w:tc>
          <w:tcPr>
            <w:tcW w:w="1430" w:type="dxa"/>
            <w:gridSpan w:val="2"/>
            <w:vMerge/>
            <w:tcBorders>
              <w:bottom w:val="single" w:sz="12" w:space="0" w:color="212492"/>
            </w:tcBorders>
            <w:vAlign w:val="center"/>
          </w:tcPr>
          <w:p w:rsidR="00E37334" w:rsidRPr="00FA5128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107" w:type="dxa"/>
            <w:tcBorders>
              <w:bottom w:val="single" w:sz="12" w:space="0" w:color="212492"/>
            </w:tcBorders>
            <w:vAlign w:val="center"/>
          </w:tcPr>
          <w:p w:rsidR="00E37334" w:rsidRPr="00FA5128" w:rsidRDefault="00E37334" w:rsidP="00A201E6">
            <w:pPr>
              <w:spacing w:before="0" w:after="0" w:line="14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a</w:t>
            </w:r>
          </w:p>
        </w:tc>
        <w:tc>
          <w:tcPr>
            <w:tcW w:w="1105" w:type="dxa"/>
            <w:tcBorders>
              <w:bottom w:val="single" w:sz="12" w:space="0" w:color="212492"/>
            </w:tcBorders>
          </w:tcPr>
          <w:p w:rsidR="00E37334" w:rsidRPr="00FA5128" w:rsidRDefault="00E37334" w:rsidP="00A201E6">
            <w:pPr>
              <w:spacing w:before="0" w:after="0" w:line="14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b</w:t>
            </w:r>
          </w:p>
        </w:tc>
        <w:tc>
          <w:tcPr>
            <w:tcW w:w="973" w:type="dxa"/>
            <w:tcBorders>
              <w:bottom w:val="single" w:sz="12" w:space="0" w:color="212492"/>
            </w:tcBorders>
            <w:vAlign w:val="center"/>
          </w:tcPr>
          <w:p w:rsidR="00E37334" w:rsidRPr="00FA5128" w:rsidRDefault="00E37334" w:rsidP="00A201E6">
            <w:pPr>
              <w:spacing w:before="0" w:after="0" w:line="14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c</w:t>
            </w:r>
          </w:p>
        </w:tc>
        <w:tc>
          <w:tcPr>
            <w:tcW w:w="1089" w:type="dxa"/>
            <w:tcBorders>
              <w:bottom w:val="single" w:sz="12" w:space="0" w:color="212492"/>
            </w:tcBorders>
          </w:tcPr>
          <w:p w:rsidR="00E37334" w:rsidRPr="00FA5128" w:rsidRDefault="00E37334" w:rsidP="00A201E6">
            <w:pPr>
              <w:spacing w:before="0" w:after="0" w:line="14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d</w:t>
            </w:r>
          </w:p>
        </w:tc>
        <w:tc>
          <w:tcPr>
            <w:tcW w:w="1130" w:type="dxa"/>
            <w:tcBorders>
              <w:bottom w:val="single" w:sz="12" w:space="0" w:color="212492"/>
            </w:tcBorders>
            <w:vAlign w:val="center"/>
          </w:tcPr>
          <w:p w:rsidR="00E37334" w:rsidRPr="00FA5128" w:rsidRDefault="00E37334" w:rsidP="00A201E6">
            <w:pPr>
              <w:spacing w:before="0" w:after="0" w:line="14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e</w:t>
            </w:r>
          </w:p>
        </w:tc>
        <w:tc>
          <w:tcPr>
            <w:tcW w:w="1245" w:type="dxa"/>
            <w:vMerge/>
            <w:tcBorders>
              <w:bottom w:val="single" w:sz="12" w:space="0" w:color="212492"/>
            </w:tcBorders>
            <w:vAlign w:val="center"/>
          </w:tcPr>
          <w:p w:rsidR="00E37334" w:rsidRPr="00FA5128" w:rsidRDefault="00E37334" w:rsidP="00A201E6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E37334" w:rsidRPr="00FA5128" w:rsidTr="004E61ED">
        <w:trPr>
          <w:trHeight w:val="114"/>
        </w:trPr>
        <w:tc>
          <w:tcPr>
            <w:tcW w:w="1430" w:type="dxa"/>
            <w:gridSpan w:val="2"/>
            <w:tcBorders>
              <w:top w:val="single" w:sz="12" w:space="0" w:color="212492"/>
              <w:bottom w:val="nil"/>
            </w:tcBorders>
            <w:vAlign w:val="center"/>
          </w:tcPr>
          <w:p w:rsidR="00E37334" w:rsidRPr="00FA5128" w:rsidRDefault="00E37334" w:rsidP="00A201E6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5404" w:type="dxa"/>
            <w:gridSpan w:val="5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:rsidR="00E37334" w:rsidRPr="00E37334" w:rsidRDefault="00E37334" w:rsidP="00A201E6">
            <w:pPr>
              <w:spacing w:before="0" w:after="0" w:line="14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s</w:t>
            </w:r>
            <w:r w:rsidRPr="00E37334">
              <w:rPr>
                <w:rFonts w:cs="Arial"/>
                <w:color w:val="000000" w:themeColor="text1"/>
                <w:sz w:val="16"/>
                <w:szCs w:val="16"/>
              </w:rPr>
              <w:t>aldo ocen w procentach</w:t>
            </w:r>
          </w:p>
        </w:tc>
        <w:tc>
          <w:tcPr>
            <w:tcW w:w="1245" w:type="dxa"/>
            <w:tcBorders>
              <w:top w:val="single" w:sz="12" w:space="0" w:color="212492"/>
              <w:bottom w:val="nil"/>
            </w:tcBorders>
            <w:vAlign w:val="center"/>
          </w:tcPr>
          <w:p w:rsidR="00E37334" w:rsidRPr="00FA5128" w:rsidRDefault="00E37334" w:rsidP="00A201E6">
            <w:pPr>
              <w:spacing w:before="0" w:after="0" w:line="14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E37334" w:rsidRPr="00FA5128" w:rsidTr="00AF2F1E">
        <w:trPr>
          <w:trHeight w:val="156"/>
        </w:trPr>
        <w:tc>
          <w:tcPr>
            <w:tcW w:w="1430" w:type="dxa"/>
            <w:gridSpan w:val="2"/>
            <w:tcBorders>
              <w:top w:val="nil"/>
              <w:bottom w:val="single" w:sz="4" w:space="0" w:color="001D77"/>
            </w:tcBorders>
            <w:vAlign w:val="center"/>
          </w:tcPr>
          <w:p w:rsidR="00E37334" w:rsidRPr="00FA5128" w:rsidRDefault="00E37334" w:rsidP="00A201E6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107" w:type="dxa"/>
            <w:tcBorders>
              <w:top w:val="single" w:sz="4" w:space="0" w:color="212492"/>
              <w:bottom w:val="single" w:sz="4" w:space="0" w:color="001D77"/>
              <w:right w:val="nil"/>
            </w:tcBorders>
            <w:vAlign w:val="center"/>
          </w:tcPr>
          <w:p w:rsidR="00E37334" w:rsidRPr="00FA5128" w:rsidRDefault="00E37334" w:rsidP="00A201E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105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:rsidR="00E37334" w:rsidRPr="00FA5128" w:rsidRDefault="00E37334" w:rsidP="00A201E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973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:rsidR="00E37334" w:rsidRPr="00FA5128" w:rsidRDefault="00E37334" w:rsidP="00A201E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AF2F1E">
              <w:rPr>
                <w:rFonts w:cs="Arial"/>
                <w:b/>
                <w:color w:val="000000" w:themeColor="text1"/>
                <w:sz w:val="14"/>
                <w:szCs w:val="16"/>
              </w:rPr>
              <w:t>Lata</w:t>
            </w:r>
          </w:p>
        </w:tc>
        <w:tc>
          <w:tcPr>
            <w:tcW w:w="1089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:rsidR="00E37334" w:rsidRPr="00FA5128" w:rsidRDefault="00E37334" w:rsidP="00A201E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130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:rsidR="00E37334" w:rsidRPr="00FA5128" w:rsidRDefault="00E37334" w:rsidP="00A201E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1D77"/>
            </w:tcBorders>
            <w:vAlign w:val="center"/>
          </w:tcPr>
          <w:p w:rsidR="00E37334" w:rsidRPr="00FA5128" w:rsidRDefault="00E37334" w:rsidP="00A201E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351316" w:rsidRPr="00FA5128" w:rsidTr="005F0D73">
        <w:trPr>
          <w:trHeight w:val="36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2005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-27,0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-12,0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-38,5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-16,7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-16,4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-22,1</w:t>
            </w:r>
          </w:p>
        </w:tc>
      </w:tr>
      <w:tr w:rsidR="00351316" w:rsidRPr="00FA5128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2006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-18,2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-6,1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-26,2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-13,0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-11,1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-14,9</w:t>
            </w:r>
          </w:p>
        </w:tc>
      </w:tr>
      <w:tr w:rsidR="00351316" w:rsidRPr="00FA5128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2007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-10,9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-1,9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-17,7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-6,6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1,3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-7,1</w:t>
            </w:r>
          </w:p>
        </w:tc>
      </w:tr>
      <w:tr w:rsidR="00351316" w:rsidRPr="00FA5128" w:rsidTr="005F0D73">
        <w:trPr>
          <w:trHeight w:val="14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2008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-10,6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-4,5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-16,6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-9,7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1,2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-8,0</w:t>
            </w:r>
          </w:p>
        </w:tc>
      </w:tr>
      <w:tr w:rsidR="00351316" w:rsidRPr="00FA5128" w:rsidTr="005F0D73">
        <w:trPr>
          <w:trHeight w:val="124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2009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-18,1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-11,1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-40,0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-26,5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-16,1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-22,3</w:t>
            </w:r>
          </w:p>
        </w:tc>
      </w:tr>
      <w:tr w:rsidR="00351316" w:rsidRPr="00FA5128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2010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-17,2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-8,2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-31,2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-18,9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-9,2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-16,9</w:t>
            </w:r>
          </w:p>
        </w:tc>
      </w:tr>
      <w:tr w:rsidR="00351316" w:rsidRPr="00FA5128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2011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-22,4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-14,6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-41,5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-30,8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-15,9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-25,0</w:t>
            </w:r>
          </w:p>
        </w:tc>
      </w:tr>
      <w:tr w:rsidR="00351316" w:rsidRPr="00FA5128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2012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-25,4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-18,5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-46,5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-38,0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-19,3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-29,5</w:t>
            </w:r>
          </w:p>
        </w:tc>
      </w:tr>
      <w:tr w:rsidR="005357E1" w:rsidRPr="00FA5128" w:rsidTr="005F0D73">
        <w:trPr>
          <w:trHeight w:val="9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2013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-21,9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-13,6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-45,2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-31,2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-21,6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-26,7</w:t>
            </w:r>
          </w:p>
        </w:tc>
      </w:tr>
      <w:tr w:rsidR="004E61ED" w:rsidRPr="00FA5128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2014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-15,7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-7,3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-29,9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-18,4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-13,7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-17,0</w:t>
            </w:r>
          </w:p>
        </w:tc>
      </w:tr>
      <w:tr w:rsidR="005357E1" w:rsidRPr="00FA5128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2015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-10,7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-2,8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-21,5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-11,4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-8,2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-10,9</w:t>
            </w:r>
          </w:p>
        </w:tc>
      </w:tr>
      <w:tr w:rsidR="004E61ED" w:rsidRPr="00FA5128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2016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-3,9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0,9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-11,0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-9,4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-2,5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-5,2</w:t>
            </w:r>
          </w:p>
        </w:tc>
      </w:tr>
      <w:tr w:rsidR="005357E1" w:rsidRPr="00FA5128" w:rsidTr="005F0D73">
        <w:trPr>
          <w:trHeight w:val="62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2017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0,1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2,8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1,8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-1,8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9,2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2,4</w:t>
            </w:r>
          </w:p>
        </w:tc>
      </w:tr>
      <w:tr w:rsidR="00434891" w:rsidRPr="00FA5128" w:rsidTr="005F0D73">
        <w:trPr>
          <w:trHeight w:val="62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34891" w:rsidRPr="005357E1" w:rsidRDefault="0043489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2018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34891" w:rsidRPr="005357E1" w:rsidRDefault="00393F6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0,6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34891" w:rsidRPr="005357E1" w:rsidRDefault="00393F6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3,6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34891" w:rsidRPr="005357E1" w:rsidRDefault="00393F6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8,7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34891" w:rsidRPr="005357E1" w:rsidRDefault="00393F6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2,8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34891" w:rsidRPr="005357E1" w:rsidRDefault="00393F6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12,8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434891" w:rsidRPr="005357E1" w:rsidRDefault="00393F6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5,7</w:t>
            </w:r>
          </w:p>
        </w:tc>
      </w:tr>
      <w:tr w:rsidR="005357E1" w:rsidRPr="00FA5128" w:rsidTr="005F0D73">
        <w:trPr>
          <w:trHeight w:val="124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right w:val="nil"/>
            </w:tcBorders>
            <w:vAlign w:val="bottom"/>
          </w:tcPr>
          <w:p w:rsidR="005357E1" w:rsidRPr="007443DC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1107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05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973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/>
                <w:bCs/>
                <w:snapToGrid w:val="0"/>
                <w:color w:val="000000"/>
                <w:sz w:val="14"/>
                <w:szCs w:val="21"/>
              </w:rPr>
            </w:pPr>
            <w:r w:rsidRPr="005357E1">
              <w:rPr>
                <w:rFonts w:cs="Arial"/>
                <w:b/>
                <w:bCs/>
                <w:snapToGrid w:val="0"/>
                <w:color w:val="000000"/>
                <w:sz w:val="14"/>
                <w:szCs w:val="21"/>
              </w:rPr>
              <w:t>Kwartały</w:t>
            </w:r>
          </w:p>
        </w:tc>
        <w:tc>
          <w:tcPr>
            <w:tcW w:w="1089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30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245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  <w:tr w:rsidR="00B81262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B81262" w:rsidRPr="007443DC" w:rsidRDefault="00B81262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2018</w:t>
            </w: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:rsidR="00B81262" w:rsidRDefault="00B81262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81262" w:rsidRPr="005357E1" w:rsidRDefault="001174F6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-0,4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81262" w:rsidRPr="005357E1" w:rsidRDefault="001174F6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4,1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81262" w:rsidRPr="005357E1" w:rsidRDefault="001174F6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9,1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81262" w:rsidRPr="005357E1" w:rsidRDefault="001174F6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4,5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81262" w:rsidRPr="005357E1" w:rsidRDefault="001174F6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12,4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B81262" w:rsidRPr="005357E1" w:rsidRDefault="001174F6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5,9</w:t>
            </w:r>
          </w:p>
        </w:tc>
      </w:tr>
      <w:tr w:rsidR="004C5E33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4C5E33" w:rsidRDefault="004C5E33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:rsidR="004C5E33" w:rsidRDefault="004C5E33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II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C5E33" w:rsidRDefault="00C81487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0,8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C5E33" w:rsidRDefault="00C81487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4,3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C5E33" w:rsidRDefault="00C81487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9,8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C5E33" w:rsidRDefault="00C81487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4,5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C5E33" w:rsidRDefault="00C81487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13,7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4C5E33" w:rsidRDefault="00C81487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6,6</w:t>
            </w:r>
          </w:p>
        </w:tc>
      </w:tr>
      <w:tr w:rsidR="00E0762C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E0762C" w:rsidRDefault="00E0762C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:rsidR="00E0762C" w:rsidRDefault="00E0762C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III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0762C" w:rsidRDefault="004631AB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1,7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0762C" w:rsidRDefault="004631AB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3,6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0762C" w:rsidRDefault="004631AB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9,5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0762C" w:rsidRDefault="004631AB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2,5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0762C" w:rsidRDefault="004631AB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13,3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E0762C" w:rsidRDefault="004631AB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6,1</w:t>
            </w:r>
          </w:p>
        </w:tc>
      </w:tr>
      <w:tr w:rsidR="00434891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434891" w:rsidRDefault="0043489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:rsidR="00434891" w:rsidRDefault="0043489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IV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34891" w:rsidRDefault="004C2109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0,2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34891" w:rsidRDefault="004C2109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2,6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34891" w:rsidRDefault="004C2109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6,2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34891" w:rsidRDefault="004C2109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-0,2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34891" w:rsidRDefault="004C2109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11,9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434891" w:rsidRDefault="004C2109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4,1</w:t>
            </w:r>
          </w:p>
        </w:tc>
      </w:tr>
      <w:tr w:rsidR="002E0EE3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2E0EE3" w:rsidRDefault="002E0EE3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2019</w:t>
            </w: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:rsidR="002E0EE3" w:rsidRDefault="002E0EE3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E0EE3" w:rsidRDefault="00974CCD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2,1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E0EE3" w:rsidRDefault="00974CCD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5,8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E0EE3" w:rsidRDefault="00974CCD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7,8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E0EE3" w:rsidRDefault="00974CCD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2,2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E0EE3" w:rsidRDefault="00974CCD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13,8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E0EE3" w:rsidRDefault="00974CCD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6,3</w:t>
            </w:r>
          </w:p>
        </w:tc>
      </w:tr>
      <w:tr w:rsidR="0013245A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13245A" w:rsidRDefault="0013245A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:rsidR="0013245A" w:rsidRDefault="0013245A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II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3245A" w:rsidRDefault="001A6ED5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6,0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3245A" w:rsidRDefault="001A6ED5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7,5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3245A" w:rsidRDefault="001A6ED5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9,6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3245A" w:rsidRDefault="001A6ED5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2,3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3245A" w:rsidRDefault="001A6ED5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16,4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13245A" w:rsidRDefault="001A6ED5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8,4</w:t>
            </w:r>
          </w:p>
        </w:tc>
      </w:tr>
      <w:tr w:rsidR="00B51B63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B51B63" w:rsidRDefault="00B51B63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:rsidR="00B51B63" w:rsidRDefault="00B51B63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III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51B63" w:rsidRDefault="00E67AEE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5,9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51B63" w:rsidRDefault="00E67AEE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7,1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51B63" w:rsidRDefault="00E67AEE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12,1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51B63" w:rsidRDefault="00E67AEE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2,6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51B63" w:rsidRDefault="00E67AEE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18,0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B51B63" w:rsidRDefault="00E67AEE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9,1</w:t>
            </w:r>
          </w:p>
        </w:tc>
      </w:tr>
      <w:tr w:rsidR="005357E1" w:rsidRPr="00FA5128" w:rsidTr="004E61ED">
        <w:trPr>
          <w:trHeight w:val="28"/>
        </w:trPr>
        <w:tc>
          <w:tcPr>
            <w:tcW w:w="1430" w:type="dxa"/>
            <w:gridSpan w:val="2"/>
            <w:tcBorders>
              <w:left w:val="nil"/>
              <w:right w:val="nil"/>
            </w:tcBorders>
            <w:vAlign w:val="bottom"/>
          </w:tcPr>
          <w:p w:rsidR="005357E1" w:rsidRPr="007443DC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1107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05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973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/>
                <w:bCs/>
                <w:snapToGrid w:val="0"/>
                <w:color w:val="000000"/>
                <w:sz w:val="14"/>
                <w:szCs w:val="21"/>
              </w:rPr>
            </w:pPr>
            <w:r w:rsidRPr="005357E1">
              <w:rPr>
                <w:rFonts w:cs="Arial"/>
                <w:b/>
                <w:bCs/>
                <w:snapToGrid w:val="0"/>
                <w:color w:val="000000"/>
                <w:sz w:val="14"/>
                <w:szCs w:val="21"/>
              </w:rPr>
              <w:t>Miesiące</w:t>
            </w:r>
          </w:p>
        </w:tc>
        <w:tc>
          <w:tcPr>
            <w:tcW w:w="1089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30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245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  <w:tr w:rsidR="00454AB8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454AB8" w:rsidRPr="004E61ED" w:rsidRDefault="00D77FEA" w:rsidP="004E61E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2018</w:t>
            </w: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54AB8" w:rsidRDefault="00454AB8" w:rsidP="004E61E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07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54AB8" w:rsidRDefault="004B587A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1,0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54AB8" w:rsidRDefault="004B587A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3,6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54AB8" w:rsidRDefault="004B587A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9,8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54AB8" w:rsidRDefault="004B587A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1,2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54AB8" w:rsidRDefault="004B587A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10,3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454AB8" w:rsidRDefault="004B587A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5,2</w:t>
            </w:r>
          </w:p>
        </w:tc>
      </w:tr>
      <w:tr w:rsidR="00B412A3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B412A3" w:rsidRPr="004E61ED" w:rsidRDefault="00B412A3" w:rsidP="004E61E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412A3" w:rsidRDefault="00B412A3" w:rsidP="004E61E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08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412A3" w:rsidRDefault="00407D88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2,9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412A3" w:rsidRDefault="00407D88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4,0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412A3" w:rsidRDefault="00407D88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8,0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412A3" w:rsidRDefault="00407D88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1,9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412A3" w:rsidRDefault="00407D88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14,2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B412A3" w:rsidRDefault="00407D88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6,2</w:t>
            </w:r>
          </w:p>
        </w:tc>
      </w:tr>
      <w:tr w:rsidR="00E0762C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E0762C" w:rsidRPr="004E61ED" w:rsidRDefault="00E0762C" w:rsidP="004E61E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0762C" w:rsidRDefault="00E0762C" w:rsidP="004E61E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09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0762C" w:rsidRDefault="006623F1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1,2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0762C" w:rsidRDefault="006623F1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3,1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0762C" w:rsidRDefault="006623F1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10,8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0762C" w:rsidRDefault="006623F1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4,4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0762C" w:rsidRDefault="006623F1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15,2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E0762C" w:rsidRDefault="006623F1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6,9</w:t>
            </w:r>
          </w:p>
        </w:tc>
      </w:tr>
      <w:tr w:rsidR="007316C5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7316C5" w:rsidRPr="004E61ED" w:rsidRDefault="007316C5" w:rsidP="004E61E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316C5" w:rsidRDefault="007316C5" w:rsidP="004E61E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10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316C5" w:rsidRDefault="00FF198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-0,2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316C5" w:rsidRDefault="00FF198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4,7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316C5" w:rsidRDefault="00FF198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7,0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316C5" w:rsidRDefault="00FF198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1,5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316C5" w:rsidRDefault="00FF198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17,5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7316C5" w:rsidRDefault="00FF198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6,1</w:t>
            </w:r>
          </w:p>
        </w:tc>
      </w:tr>
      <w:tr w:rsidR="00A81127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A81127" w:rsidRPr="004E61ED" w:rsidRDefault="00A81127" w:rsidP="004E61E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A81127" w:rsidRDefault="00A81127" w:rsidP="004E61E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11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A81127" w:rsidRDefault="00F0170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1,9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A81127" w:rsidRDefault="00F0170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4,0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A81127" w:rsidRDefault="00F0170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6,7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A81127" w:rsidRDefault="00F0170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2,7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A81127" w:rsidRDefault="00F0170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10,6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A81127" w:rsidRDefault="00F0170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5,2</w:t>
            </w:r>
          </w:p>
        </w:tc>
      </w:tr>
      <w:tr w:rsidR="00434891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434891" w:rsidRPr="004E61ED" w:rsidRDefault="00434891" w:rsidP="004E61E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34891" w:rsidRDefault="00434891" w:rsidP="004E61E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12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34891" w:rsidRDefault="00AF3780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-1,3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34891" w:rsidRDefault="00AF3780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-1,0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34891" w:rsidRDefault="00AF3780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4,9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34891" w:rsidRDefault="00AF3780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-4,8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34891" w:rsidRDefault="00AF3780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7,5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434891" w:rsidRDefault="00AF3780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1,1</w:t>
            </w:r>
          </w:p>
        </w:tc>
      </w:tr>
      <w:tr w:rsidR="00712785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712785" w:rsidRPr="004E61ED" w:rsidRDefault="00712785" w:rsidP="004E61E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2019</w:t>
            </w: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12785" w:rsidRDefault="00712785" w:rsidP="004E61E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01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12785" w:rsidRDefault="00C42F6A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1,6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12785" w:rsidRDefault="00C42F6A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2,8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12785" w:rsidRDefault="00C42F6A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6,9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12785" w:rsidRDefault="00C42F6A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0,6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12785" w:rsidRDefault="00C42F6A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14,9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712785" w:rsidRDefault="00C42F6A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5,4</w:t>
            </w:r>
          </w:p>
        </w:tc>
      </w:tr>
      <w:tr w:rsidR="00664D0E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664D0E" w:rsidRDefault="00664D0E" w:rsidP="004E61E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664D0E" w:rsidRDefault="00664D0E" w:rsidP="004E61E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02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664D0E" w:rsidRDefault="00B93207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1,5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664D0E" w:rsidRDefault="00B93207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6,9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664D0E" w:rsidRDefault="00B93207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5,3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664D0E" w:rsidRDefault="00B93207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1,8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664D0E" w:rsidRDefault="00B93207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11,9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664D0E" w:rsidRDefault="00B93207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5,5</w:t>
            </w:r>
          </w:p>
        </w:tc>
      </w:tr>
      <w:tr w:rsidR="00795825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795825" w:rsidRDefault="00795825" w:rsidP="004E61E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95825" w:rsidRDefault="00795825" w:rsidP="004E61E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03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95825" w:rsidRDefault="001C7BD5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3,2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95825" w:rsidRDefault="001C7BD5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7,7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95825" w:rsidRDefault="001C7BD5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11,1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95825" w:rsidRDefault="001C7BD5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4,2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95825" w:rsidRDefault="001C7BD5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14,5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795825" w:rsidRDefault="001C7BD5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8,2</w:t>
            </w:r>
          </w:p>
        </w:tc>
      </w:tr>
      <w:tr w:rsidR="002E0EE3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2E0EE3" w:rsidRDefault="002E0EE3" w:rsidP="004E61E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E0EE3" w:rsidRDefault="002E0EE3" w:rsidP="004E61E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04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E0EE3" w:rsidRDefault="00391C97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6,0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E0EE3" w:rsidRDefault="00391C97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7,9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E0EE3" w:rsidRDefault="00391C97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7,1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E0EE3" w:rsidRDefault="00391C97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-0,5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E0EE3" w:rsidRDefault="00391C97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15,4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E0EE3" w:rsidRDefault="00391C97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7,2</w:t>
            </w:r>
          </w:p>
        </w:tc>
      </w:tr>
      <w:tr w:rsidR="00D36D38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D36D38" w:rsidRDefault="00D36D38" w:rsidP="004E61E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D36D38" w:rsidRDefault="00D36D38" w:rsidP="004E61E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05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D36D38" w:rsidRDefault="00817BBB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4,4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D36D38" w:rsidRDefault="00817BBB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7,0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D36D38" w:rsidRDefault="00817BBB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9,9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D36D38" w:rsidRDefault="00817BBB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3,5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D36D38" w:rsidRDefault="00817BBB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16,7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D36D38" w:rsidRDefault="00817BBB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8,3</w:t>
            </w:r>
          </w:p>
        </w:tc>
      </w:tr>
      <w:tr w:rsidR="0013245A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13245A" w:rsidRDefault="0013245A" w:rsidP="004E61E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3245A" w:rsidRDefault="0013245A" w:rsidP="004E61E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06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3245A" w:rsidRDefault="0016456B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7,5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3245A" w:rsidRDefault="0016456B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7,7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3245A" w:rsidRDefault="0016456B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12,0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3245A" w:rsidRDefault="0016456B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3,9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3245A" w:rsidRDefault="0016456B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17,1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13245A" w:rsidRDefault="0016456B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9,6</w:t>
            </w:r>
          </w:p>
        </w:tc>
      </w:tr>
      <w:tr w:rsidR="00621090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621090" w:rsidRDefault="00621090" w:rsidP="004E61E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621090" w:rsidRDefault="00621090" w:rsidP="004E61E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07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621090" w:rsidRDefault="007C3F8C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5,4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621090" w:rsidRDefault="007C3F8C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8,9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621090" w:rsidRDefault="007C3F8C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11,9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621090" w:rsidRDefault="007C3F8C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2,8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621090" w:rsidRDefault="007C3F8C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16,2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621090" w:rsidRDefault="007C3F8C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9,0</w:t>
            </w:r>
          </w:p>
        </w:tc>
      </w:tr>
      <w:tr w:rsidR="00780119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780119" w:rsidRDefault="00780119" w:rsidP="004E61E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80119" w:rsidRDefault="00780119" w:rsidP="004E61E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08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80119" w:rsidRDefault="00780119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5,4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80119" w:rsidRDefault="00780119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4,4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80119" w:rsidRDefault="00780119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10,7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80119" w:rsidRDefault="00780119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2,2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80119" w:rsidRDefault="00780119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18,5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780119" w:rsidRDefault="00780119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8,2</w:t>
            </w:r>
          </w:p>
        </w:tc>
      </w:tr>
      <w:tr w:rsidR="00B51B63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B51B63" w:rsidRDefault="00B51B63" w:rsidP="004E61E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51B63" w:rsidRDefault="00B51B63" w:rsidP="004E61E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09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51B63" w:rsidRDefault="009551C9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6,9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51B63" w:rsidRDefault="009551C9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8,0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51B63" w:rsidRDefault="009551C9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13,7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51B63" w:rsidRDefault="009551C9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2,8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51B63" w:rsidRDefault="009551C9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19,4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B51B63" w:rsidRDefault="009551C9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10,2</w:t>
            </w:r>
          </w:p>
        </w:tc>
      </w:tr>
      <w:tr w:rsidR="00F54C16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F54C16" w:rsidRDefault="00F54C16" w:rsidP="004E61E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F54C16" w:rsidRDefault="00F54C16" w:rsidP="004E61E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10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F54C16" w:rsidRDefault="00AF4C9F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6,6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F54C16" w:rsidRDefault="00AF4C9F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5,9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F54C16" w:rsidRDefault="00AF4C9F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12,1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F54C16" w:rsidRDefault="00AF4C9F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3,4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F54C16" w:rsidRDefault="00AF4C9F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18,2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F54C16" w:rsidRDefault="00AF4C9F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9,3</w:t>
            </w:r>
          </w:p>
        </w:tc>
      </w:tr>
      <w:tr w:rsidR="00D77FEA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D77FEA" w:rsidRDefault="00D77FEA" w:rsidP="004E61E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D77FEA" w:rsidRDefault="00D77FEA" w:rsidP="004E61E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11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D77FEA" w:rsidRDefault="00AA3BAC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5,5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D77FEA" w:rsidRDefault="00AA3BAC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5,0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D77FEA" w:rsidRDefault="00AA3BAC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10,0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D77FEA" w:rsidRDefault="00AA3BAC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-3,0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D77FEA" w:rsidRDefault="00AA3BAC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16,1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D77FEA" w:rsidRDefault="00AA3BAC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6,7</w:t>
            </w:r>
          </w:p>
        </w:tc>
      </w:tr>
      <w:tr w:rsidR="004E61ED" w:rsidRPr="00FA5128" w:rsidTr="004E61ED">
        <w:trPr>
          <w:trHeight w:val="28"/>
        </w:trPr>
        <w:tc>
          <w:tcPr>
            <w:tcW w:w="1430" w:type="dxa"/>
            <w:gridSpan w:val="2"/>
            <w:tcBorders>
              <w:left w:val="nil"/>
              <w:right w:val="single" w:sz="4" w:space="0" w:color="001D77"/>
            </w:tcBorders>
            <w:vAlign w:val="bottom"/>
          </w:tcPr>
          <w:p w:rsidR="004E61ED" w:rsidRPr="007443DC" w:rsidRDefault="004E61ED" w:rsidP="004E61E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4E61ED" w:rsidRPr="007443DC" w:rsidRDefault="004E61ED" w:rsidP="004E61ED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4E61ED" w:rsidRPr="007443DC" w:rsidRDefault="004E61ED" w:rsidP="004E61ED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4E61ED" w:rsidRPr="007443DC" w:rsidRDefault="004E61ED" w:rsidP="004E61ED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4E61ED" w:rsidRPr="007443DC" w:rsidRDefault="004E61ED" w:rsidP="004E61ED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4E61ED" w:rsidRPr="007443DC" w:rsidRDefault="004E61ED" w:rsidP="004E61ED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bottom"/>
          </w:tcPr>
          <w:p w:rsidR="004E61ED" w:rsidRPr="007443DC" w:rsidRDefault="004E61ED" w:rsidP="004E61ED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</w:tbl>
    <w:p w:rsidR="004E61ED" w:rsidRPr="00BA3562" w:rsidRDefault="0093660E" w:rsidP="00C074FD">
      <w:pPr>
        <w:rPr>
          <w:b/>
          <w:spacing w:val="-2"/>
          <w:sz w:val="18"/>
          <w:shd w:val="clear" w:color="auto" w:fill="FFFFFF"/>
        </w:rPr>
      </w:pPr>
      <w:r w:rsidRPr="00633014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4256" behindDoc="1" locked="0" layoutInCell="1" allowOverlap="1" wp14:anchorId="5663F93B" wp14:editId="545D424B">
                <wp:simplePos x="0" y="0"/>
                <wp:positionH relativeFrom="column">
                  <wp:posOffset>5242560</wp:posOffset>
                </wp:positionH>
                <wp:positionV relativeFrom="paragraph">
                  <wp:posOffset>178625</wp:posOffset>
                </wp:positionV>
                <wp:extent cx="1725295" cy="1508125"/>
                <wp:effectExtent l="0" t="0" r="0" b="0"/>
                <wp:wrapTight wrapText="bothSides">
                  <wp:wrapPolygon edited="0">
                    <wp:start x="715" y="0"/>
                    <wp:lineTo x="715" y="21282"/>
                    <wp:lineTo x="20749" y="21282"/>
                    <wp:lineTo x="20749" y="0"/>
                    <wp:lineTo x="715" y="0"/>
                  </wp:wrapPolygon>
                </wp:wrapTight>
                <wp:docPr id="12" name="Pole tekstow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5081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734C2" w:rsidRPr="0093660E" w:rsidRDefault="00D734C2" w:rsidP="00273134">
                            <w:pPr>
                              <w:pStyle w:val="tytuwykresu"/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eastAsia="pl-PL"/>
                              </w:rPr>
                            </w:pPr>
                            <w:r w:rsidRPr="0093660E"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eastAsia="pl-PL"/>
                              </w:rPr>
                              <w:t>Bieżący wskaźnik ufności konsumenckiej jest średnią sald ocen zmian sytuacji finansowej gospodarstwa domowego, zmian ogólnej sytuacji ekonomicznej kraju oraz obecn</w:t>
                            </w:r>
                            <w:r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eastAsia="pl-PL"/>
                              </w:rPr>
                              <w:t>ego dokonywania ważnych zakupów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63F93B" id="Pole tekstowe 12" o:spid="_x0000_s1030" type="#_x0000_t202" style="position:absolute;margin-left:412.8pt;margin-top:14.05pt;width:135.85pt;height:118.75pt;z-index:-2515722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" filled="f" stroked="f">
                <v:textbox>
                  <w:txbxContent>
                    <w:p w:rsidR="00D734C2" w:rsidRPr="0093660E" w:rsidRDefault="00D734C2" w:rsidP="00273134">
                      <w:pPr>
                        <w:pStyle w:val="tytuwykresu"/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eastAsia="pl-PL"/>
                        </w:rPr>
                      </w:pPr>
                      <w:r w:rsidRPr="0093660E"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eastAsia="pl-PL"/>
                        </w:rPr>
                        <w:t>Bieżący wskaźnik ufności konsumenckiej jest średnią sald ocen zmian sytuacji finansowej gospodarstwa domowego, zmian ogólnej sytuacji ekonomicznej kraju oraz obecn</w:t>
                      </w:r>
                      <w:r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eastAsia="pl-PL"/>
                        </w:rPr>
                        <w:t>ego dokonywania ważnych zakupów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C074FD" w:rsidRPr="005A36AA">
        <w:rPr>
          <w:b/>
          <w:spacing w:val="-2"/>
          <w:sz w:val="18"/>
          <w:shd w:val="clear" w:color="auto" w:fill="FFFFFF"/>
        </w:rPr>
        <w:t>Tablica</w:t>
      </w:r>
      <w:r w:rsidR="00C074FD" w:rsidRPr="0057036A">
        <w:rPr>
          <w:b/>
          <w:spacing w:val="-2"/>
          <w:sz w:val="18"/>
          <w:shd w:val="clear" w:color="auto" w:fill="FFFFFF"/>
        </w:rPr>
        <w:t xml:space="preserve"> 1. </w:t>
      </w:r>
      <w:r w:rsidR="00A217E6">
        <w:rPr>
          <w:b/>
          <w:spacing w:val="-2"/>
          <w:sz w:val="18"/>
          <w:shd w:val="clear" w:color="auto" w:fill="FFFFFF"/>
        </w:rPr>
        <w:t>Bieżący</w:t>
      </w:r>
      <w:r w:rsidR="005A36AA" w:rsidRPr="005A36AA">
        <w:rPr>
          <w:b/>
          <w:spacing w:val="-2"/>
          <w:sz w:val="18"/>
          <w:shd w:val="clear" w:color="auto" w:fill="FFFFFF"/>
        </w:rPr>
        <w:t xml:space="preserve"> </w:t>
      </w:r>
      <w:r w:rsidR="00A217E6">
        <w:rPr>
          <w:b/>
          <w:spacing w:val="-2"/>
          <w:sz w:val="18"/>
          <w:shd w:val="clear" w:color="auto" w:fill="FFFFFF"/>
        </w:rPr>
        <w:t>wskaźnik</w:t>
      </w:r>
      <w:r w:rsidR="005A36AA" w:rsidRPr="005A36AA">
        <w:rPr>
          <w:b/>
          <w:spacing w:val="-2"/>
          <w:sz w:val="18"/>
          <w:shd w:val="clear" w:color="auto" w:fill="FFFFFF"/>
        </w:rPr>
        <w:t xml:space="preserve"> </w:t>
      </w:r>
      <w:r w:rsidR="00A217E6">
        <w:rPr>
          <w:b/>
          <w:spacing w:val="-2"/>
          <w:sz w:val="18"/>
          <w:shd w:val="clear" w:color="auto" w:fill="FFFFFF"/>
        </w:rPr>
        <w:t>ufności</w:t>
      </w:r>
      <w:r w:rsidR="005A36AA" w:rsidRPr="005A36AA">
        <w:rPr>
          <w:b/>
          <w:spacing w:val="-2"/>
          <w:sz w:val="18"/>
          <w:shd w:val="clear" w:color="auto" w:fill="FFFFFF"/>
        </w:rPr>
        <w:t xml:space="preserve"> </w:t>
      </w:r>
      <w:r w:rsidR="00A217E6">
        <w:rPr>
          <w:b/>
          <w:spacing w:val="-2"/>
          <w:sz w:val="18"/>
          <w:shd w:val="clear" w:color="auto" w:fill="FFFFFF"/>
        </w:rPr>
        <w:t>konsumenckiej</w:t>
      </w:r>
    </w:p>
    <w:p w:rsidR="00712785" w:rsidRDefault="00712785">
      <w:pPr>
        <w:spacing w:before="0" w:after="160" w:line="259" w:lineRule="auto"/>
        <w:rPr>
          <w:b/>
          <w:spacing w:val="-2"/>
          <w:sz w:val="18"/>
        </w:rPr>
      </w:pPr>
      <w:r>
        <w:br w:type="page"/>
      </w:r>
    </w:p>
    <w:p w:rsidR="00FD7BD2" w:rsidRDefault="005F4EA6" w:rsidP="00072F74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753472" behindDoc="0" locked="0" layoutInCell="1" allowOverlap="1" wp14:anchorId="266F90A3" wp14:editId="210C8B98">
            <wp:simplePos x="0" y="0"/>
            <wp:positionH relativeFrom="margin">
              <wp:align>right</wp:align>
            </wp:positionH>
            <wp:positionV relativeFrom="margin">
              <wp:posOffset>379095</wp:posOffset>
            </wp:positionV>
            <wp:extent cx="5122545" cy="3911600"/>
            <wp:effectExtent l="0" t="0" r="1905" b="0"/>
            <wp:wrapSquare wrapText="bothSides"/>
            <wp:docPr id="25" name="Wykres 2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B5906" w:rsidRPr="00C15772">
        <w:t xml:space="preserve">Wykres </w:t>
      </w:r>
      <w:r w:rsidR="00074DD8" w:rsidRPr="00C15772">
        <w:t>1</w:t>
      </w:r>
      <w:r w:rsidR="008F4441" w:rsidRPr="00C15772">
        <w:t>.</w:t>
      </w:r>
      <w:r w:rsidR="00074DD8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Bieżący</w:t>
      </w:r>
      <w:r w:rsidR="00C1577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wskaźnik ufności konsumenckiej</w:t>
      </w:r>
      <w:r w:rsidR="00C15772" w:rsidRPr="00C15772">
        <w:rPr>
          <w:shd w:val="clear" w:color="auto" w:fill="FFFFFF"/>
        </w:rPr>
        <w:t xml:space="preserve"> </w:t>
      </w:r>
      <w:r w:rsidR="00C15772">
        <w:rPr>
          <w:shd w:val="clear" w:color="auto" w:fill="FFFFFF"/>
        </w:rPr>
        <w:t xml:space="preserve">(BWUK) </w:t>
      </w:r>
      <w:r w:rsidR="00A217E6">
        <w:rPr>
          <w:shd w:val="clear" w:color="auto" w:fill="FFFFFF"/>
        </w:rPr>
        <w:t>oraz jego wartości składowe</w:t>
      </w:r>
      <w:r w:rsidR="00072F74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według</w:t>
      </w:r>
      <w:r w:rsidR="00C1577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miesięcy w</w:t>
      </w:r>
      <w:r w:rsidR="00C1577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latach</w:t>
      </w:r>
      <w:r w:rsidR="00DA15B6">
        <w:rPr>
          <w:shd w:val="clear" w:color="auto" w:fill="FFFFFF"/>
        </w:rPr>
        <w:t xml:space="preserve"> 2016–2019</w:t>
      </w:r>
    </w:p>
    <w:p w:rsidR="00FD7BD2" w:rsidRPr="00FD7BD2" w:rsidRDefault="00FD7BD2" w:rsidP="00FD7BD2"/>
    <w:p w:rsidR="00053B77" w:rsidRDefault="007A7B28" w:rsidP="00053B77">
      <w:pPr>
        <w:pStyle w:val="tytuwykresu"/>
        <w:ind w:left="851" w:hanging="851"/>
        <w:rPr>
          <w:shd w:val="clear" w:color="auto" w:fill="FFFFFF"/>
        </w:rPr>
      </w:pPr>
      <w:r w:rsidRPr="007A7B28">
        <w:rPr>
          <w:noProof/>
          <w:szCs w:val="18"/>
          <w:lang w:eastAsia="pl-PL"/>
        </w:rPr>
        <w:drawing>
          <wp:anchor distT="0" distB="0" distL="114300" distR="114300" simplePos="0" relativeHeight="251755520" behindDoc="0" locked="0" layoutInCell="1" allowOverlap="1" wp14:anchorId="176742D5" wp14:editId="6F7B90FC">
            <wp:simplePos x="0" y="0"/>
            <wp:positionH relativeFrom="margin">
              <wp:align>right</wp:align>
            </wp:positionH>
            <wp:positionV relativeFrom="margin">
              <wp:posOffset>4672965</wp:posOffset>
            </wp:positionV>
            <wp:extent cx="5122545" cy="4269740"/>
            <wp:effectExtent l="0" t="0" r="1905" b="0"/>
            <wp:wrapSquare wrapText="bothSides"/>
            <wp:docPr id="26" name="Wykres 2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53B77" w:rsidRPr="00C15772">
        <w:t xml:space="preserve">Wykres </w:t>
      </w:r>
      <w:r w:rsidR="00053B77">
        <w:t>2</w:t>
      </w:r>
      <w:r w:rsidR="00053B77" w:rsidRPr="00C15772">
        <w:t>.</w:t>
      </w:r>
      <w:r w:rsidR="00053B77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Bieżący</w:t>
      </w:r>
      <w:r w:rsidR="00053B77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wskaźnik</w:t>
      </w:r>
      <w:r w:rsidR="00053B77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ufności</w:t>
      </w:r>
      <w:r w:rsidR="00053B77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konsumenckiej</w:t>
      </w:r>
      <w:r w:rsidR="00053B77">
        <w:rPr>
          <w:shd w:val="clear" w:color="auto" w:fill="FFFFFF"/>
        </w:rPr>
        <w:t xml:space="preserve"> (BWUK) </w:t>
      </w:r>
      <w:r w:rsidR="00A217E6">
        <w:rPr>
          <w:shd w:val="clear" w:color="auto" w:fill="FFFFFF"/>
        </w:rPr>
        <w:t>oraz</w:t>
      </w:r>
      <w:r w:rsidR="00053B77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jego</w:t>
      </w:r>
      <w:r w:rsidR="00053B77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wartości</w:t>
      </w:r>
      <w:r w:rsidR="00053B77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składowe według lat</w:t>
      </w:r>
    </w:p>
    <w:p w:rsidR="00B35A63" w:rsidRDefault="00FD7BD2" w:rsidP="00A866F2">
      <w:pPr>
        <w:tabs>
          <w:tab w:val="left" w:pos="3218"/>
        </w:tabs>
      </w:pPr>
      <w:r>
        <w:tab/>
      </w:r>
    </w:p>
    <w:tbl>
      <w:tblPr>
        <w:tblStyle w:val="Siatkatabelijasna"/>
        <w:tblpPr w:leftFromText="141" w:rightFromText="141" w:vertAnchor="text" w:horzAnchor="margin" w:tblpY="596"/>
        <w:tblW w:w="80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709"/>
        <w:gridCol w:w="639"/>
        <w:gridCol w:w="1346"/>
        <w:gridCol w:w="1417"/>
        <w:gridCol w:w="1559"/>
        <w:gridCol w:w="1276"/>
        <w:gridCol w:w="1098"/>
      </w:tblGrid>
      <w:tr w:rsidR="00A866F2" w:rsidRPr="00FA5128" w:rsidTr="002A3665">
        <w:trPr>
          <w:trHeight w:val="631"/>
        </w:trPr>
        <w:tc>
          <w:tcPr>
            <w:tcW w:w="1348" w:type="dxa"/>
            <w:gridSpan w:val="2"/>
            <w:vMerge w:val="restart"/>
            <w:tcBorders>
              <w:top w:val="nil"/>
            </w:tcBorders>
            <w:vAlign w:val="center"/>
          </w:tcPr>
          <w:p w:rsidR="00A866F2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lastRenderedPageBreak/>
              <w:t>Okres badania ankietowego</w:t>
            </w:r>
          </w:p>
          <w:p w:rsidR="00A866F2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:rsidR="00A866F2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:rsidR="00A866F2" w:rsidRPr="00E37334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 w:rsidRPr="00E37334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 xml:space="preserve">Rok     Kwartał </w:t>
            </w:r>
          </w:p>
          <w:p w:rsidR="00A866F2" w:rsidRPr="009C7251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 w:rsidRPr="00E37334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 xml:space="preserve">          </w:t>
            </w:r>
            <w:r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 xml:space="preserve">  </w:t>
            </w:r>
            <w:r w:rsidRPr="00E37334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Miesiąc</w:t>
            </w:r>
          </w:p>
        </w:tc>
        <w:tc>
          <w:tcPr>
            <w:tcW w:w="1346" w:type="dxa"/>
            <w:tcBorders>
              <w:top w:val="nil"/>
              <w:bottom w:val="single" w:sz="4" w:space="0" w:color="212492"/>
            </w:tcBorders>
            <w:vAlign w:val="center"/>
          </w:tcPr>
          <w:p w:rsidR="00A866F2" w:rsidRPr="00FA5128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Zmiany sytuacji finansowej gospodarstwa domowego  </w:t>
            </w:r>
          </w:p>
        </w:tc>
        <w:tc>
          <w:tcPr>
            <w:tcW w:w="1417" w:type="dxa"/>
            <w:tcBorders>
              <w:top w:val="nil"/>
              <w:bottom w:val="single" w:sz="4" w:space="0" w:color="212492"/>
            </w:tcBorders>
            <w:vAlign w:val="center"/>
          </w:tcPr>
          <w:p w:rsidR="00A866F2" w:rsidRPr="00FA5128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Zmiany ogólnej sytuacji ekonomicznej kraju</w:t>
            </w:r>
          </w:p>
        </w:tc>
        <w:tc>
          <w:tcPr>
            <w:tcW w:w="1559" w:type="dxa"/>
            <w:tcBorders>
              <w:top w:val="nil"/>
              <w:bottom w:val="single" w:sz="4" w:space="0" w:color="212492"/>
            </w:tcBorders>
            <w:vAlign w:val="center"/>
          </w:tcPr>
          <w:p w:rsidR="00A866F2" w:rsidRPr="00FA5128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Zmiany poziomu bezrobocia (ze znakiem przeciwnym)</w:t>
            </w:r>
          </w:p>
        </w:tc>
        <w:tc>
          <w:tcPr>
            <w:tcW w:w="1276" w:type="dxa"/>
            <w:tcBorders>
              <w:top w:val="nil"/>
              <w:bottom w:val="single" w:sz="4" w:space="0" w:color="212492"/>
            </w:tcBorders>
            <w:vAlign w:val="center"/>
          </w:tcPr>
          <w:p w:rsidR="00A866F2" w:rsidRPr="00FA5128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Oszczędzanie pieniędzy</w:t>
            </w:r>
          </w:p>
        </w:tc>
        <w:tc>
          <w:tcPr>
            <w:tcW w:w="1098" w:type="dxa"/>
            <w:vMerge w:val="restart"/>
            <w:tcBorders>
              <w:top w:val="nil"/>
            </w:tcBorders>
            <w:vAlign w:val="center"/>
          </w:tcPr>
          <w:p w:rsidR="00A866F2" w:rsidRPr="00FA5128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Wskaźnik ufności konsumenckiej W</w:t>
            </w:r>
            <w:r w:rsidRPr="00E37334">
              <w:rPr>
                <w:rFonts w:ascii="Fira Sans" w:hAnsi="Fira Sans"/>
                <w:color w:val="000000" w:themeColor="text1"/>
                <w:sz w:val="16"/>
                <w:szCs w:val="16"/>
              </w:rPr>
              <w:t>WUK</w:t>
            </w:r>
          </w:p>
        </w:tc>
      </w:tr>
      <w:tr w:rsidR="00A866F2" w:rsidRPr="00FA5128" w:rsidTr="002A3665">
        <w:trPr>
          <w:trHeight w:val="20"/>
        </w:trPr>
        <w:tc>
          <w:tcPr>
            <w:tcW w:w="1348" w:type="dxa"/>
            <w:gridSpan w:val="2"/>
            <w:vMerge/>
            <w:tcBorders>
              <w:bottom w:val="single" w:sz="12" w:space="0" w:color="212492"/>
            </w:tcBorders>
            <w:vAlign w:val="center"/>
          </w:tcPr>
          <w:p w:rsidR="00A866F2" w:rsidRPr="00FA5128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346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:rsidR="00A866F2" w:rsidRPr="00FA5128" w:rsidRDefault="00A866F2" w:rsidP="00A866F2">
            <w:pPr>
              <w:spacing w:before="0" w:after="0"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b</w:t>
            </w:r>
          </w:p>
        </w:tc>
        <w:tc>
          <w:tcPr>
            <w:tcW w:w="1417" w:type="dxa"/>
            <w:tcBorders>
              <w:top w:val="single" w:sz="4" w:space="0" w:color="212492"/>
              <w:bottom w:val="single" w:sz="12" w:space="0" w:color="212492"/>
            </w:tcBorders>
          </w:tcPr>
          <w:p w:rsidR="00A866F2" w:rsidRPr="00FA5128" w:rsidRDefault="00A866F2" w:rsidP="00A866F2">
            <w:pPr>
              <w:spacing w:before="0" w:after="0"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d</w:t>
            </w:r>
          </w:p>
        </w:tc>
        <w:tc>
          <w:tcPr>
            <w:tcW w:w="1559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:rsidR="00A866F2" w:rsidRPr="00FA5128" w:rsidRDefault="00A866F2" w:rsidP="00A866F2">
            <w:pPr>
              <w:spacing w:before="0" w:after="0"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f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12" w:space="0" w:color="212492"/>
            </w:tcBorders>
          </w:tcPr>
          <w:p w:rsidR="00A866F2" w:rsidRPr="00FA5128" w:rsidRDefault="00A866F2" w:rsidP="00A866F2">
            <w:pPr>
              <w:spacing w:before="0" w:after="0"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g</w:t>
            </w:r>
          </w:p>
        </w:tc>
        <w:tc>
          <w:tcPr>
            <w:tcW w:w="1098" w:type="dxa"/>
            <w:vMerge/>
            <w:tcBorders>
              <w:bottom w:val="single" w:sz="12" w:space="0" w:color="212492"/>
            </w:tcBorders>
            <w:vAlign w:val="center"/>
          </w:tcPr>
          <w:p w:rsidR="00A866F2" w:rsidRPr="00FA5128" w:rsidRDefault="00A866F2" w:rsidP="00FC64E0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2A3665" w:rsidRPr="00FA5128" w:rsidTr="002A3665">
        <w:trPr>
          <w:trHeight w:val="168"/>
        </w:trPr>
        <w:tc>
          <w:tcPr>
            <w:tcW w:w="1348" w:type="dxa"/>
            <w:gridSpan w:val="2"/>
            <w:tcBorders>
              <w:top w:val="nil"/>
              <w:bottom w:val="nil"/>
            </w:tcBorders>
            <w:vAlign w:val="center"/>
          </w:tcPr>
          <w:p w:rsidR="002A3665" w:rsidRPr="00FA5128" w:rsidRDefault="002A3665" w:rsidP="00FC64E0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5598" w:type="dxa"/>
            <w:gridSpan w:val="4"/>
            <w:tcBorders>
              <w:top w:val="single" w:sz="12" w:space="0" w:color="212492"/>
              <w:bottom w:val="single" w:sz="4" w:space="0" w:color="001D77"/>
              <w:right w:val="single" w:sz="4" w:space="0" w:color="212492"/>
            </w:tcBorders>
            <w:vAlign w:val="center"/>
          </w:tcPr>
          <w:p w:rsidR="002A3665" w:rsidRPr="00FA5128" w:rsidRDefault="002A3665" w:rsidP="00FC64E0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2A3665">
              <w:rPr>
                <w:rFonts w:cs="Arial"/>
                <w:color w:val="000000" w:themeColor="text1"/>
                <w:sz w:val="16"/>
                <w:szCs w:val="16"/>
              </w:rPr>
              <w:t>saldo ocen w procentach</w:t>
            </w:r>
          </w:p>
        </w:tc>
        <w:tc>
          <w:tcPr>
            <w:tcW w:w="1098" w:type="dxa"/>
            <w:tcBorders>
              <w:top w:val="nil"/>
              <w:left w:val="single" w:sz="4" w:space="0" w:color="212492"/>
              <w:bottom w:val="nil"/>
            </w:tcBorders>
            <w:vAlign w:val="center"/>
          </w:tcPr>
          <w:p w:rsidR="002A3665" w:rsidRPr="00FA5128" w:rsidRDefault="002A3665" w:rsidP="00FC64E0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C63004" w:rsidRPr="00FA5128" w:rsidTr="00AF2F1E">
        <w:trPr>
          <w:trHeight w:val="126"/>
        </w:trPr>
        <w:tc>
          <w:tcPr>
            <w:tcW w:w="1348" w:type="dxa"/>
            <w:gridSpan w:val="2"/>
            <w:tcBorders>
              <w:top w:val="nil"/>
              <w:bottom w:val="single" w:sz="4" w:space="0" w:color="212492"/>
            </w:tcBorders>
            <w:vAlign w:val="center"/>
          </w:tcPr>
          <w:p w:rsidR="00C63004" w:rsidRPr="00FA5128" w:rsidRDefault="00C63004" w:rsidP="00FC64E0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5598" w:type="dxa"/>
            <w:gridSpan w:val="4"/>
            <w:tcBorders>
              <w:top w:val="single" w:sz="4" w:space="0" w:color="212492"/>
              <w:bottom w:val="single" w:sz="4" w:space="0" w:color="212492"/>
              <w:right w:val="nil"/>
            </w:tcBorders>
            <w:vAlign w:val="center"/>
          </w:tcPr>
          <w:p w:rsidR="00C63004" w:rsidRPr="00FA5128" w:rsidRDefault="00C63004" w:rsidP="00C63004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AF2F1E">
              <w:rPr>
                <w:rFonts w:cs="Arial"/>
                <w:b/>
                <w:color w:val="000000" w:themeColor="text1"/>
                <w:sz w:val="14"/>
                <w:szCs w:val="16"/>
              </w:rPr>
              <w:t>Lata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212492"/>
            </w:tcBorders>
            <w:vAlign w:val="center"/>
          </w:tcPr>
          <w:p w:rsidR="00C63004" w:rsidRPr="00FA5128" w:rsidRDefault="00C63004" w:rsidP="00FC64E0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2A3665" w:rsidRPr="00FA5128" w:rsidTr="00C63004">
        <w:trPr>
          <w:trHeight w:val="36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2005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-12,0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-16,7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-24,8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-54,6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-27,2</w:t>
            </w:r>
          </w:p>
        </w:tc>
      </w:tr>
      <w:tr w:rsidR="002A3665" w:rsidRPr="00FA5128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2006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-6,1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-13,0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-6,3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-48,3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-18,5</w:t>
            </w:r>
          </w:p>
        </w:tc>
      </w:tr>
      <w:tr w:rsidR="002A3665" w:rsidRPr="00FA5128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2007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-1,9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-6,6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17,6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-40,7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-7,9</w:t>
            </w:r>
          </w:p>
        </w:tc>
      </w:tr>
      <w:tr w:rsidR="002A3665" w:rsidRPr="00FA5128" w:rsidTr="00C63004">
        <w:trPr>
          <w:trHeight w:val="14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2008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-4,5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-9,7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5,1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-37,2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-11,6</w:t>
            </w:r>
          </w:p>
        </w:tc>
      </w:tr>
      <w:tr w:rsidR="002A3665" w:rsidRPr="00FA5128" w:rsidTr="00C63004">
        <w:trPr>
          <w:trHeight w:val="124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2009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-11,1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-26,5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-54,6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-37,1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-32,5</w:t>
            </w:r>
          </w:p>
        </w:tc>
      </w:tr>
      <w:tr w:rsidR="002A3665" w:rsidRPr="00FA5128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2010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-8,2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-18,9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-34,4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-32,0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-23,5</w:t>
            </w:r>
          </w:p>
        </w:tc>
      </w:tr>
      <w:tr w:rsidR="002A3665" w:rsidRPr="00FA5128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2011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-14,6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-30,8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-37,0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-36,1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-29,8</w:t>
            </w:r>
          </w:p>
        </w:tc>
      </w:tr>
      <w:tr w:rsidR="002A3665" w:rsidRPr="00FA5128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2012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-18,5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-38,0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-53,3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-36,9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-36,7</w:t>
            </w:r>
          </w:p>
        </w:tc>
      </w:tr>
      <w:tr w:rsidR="002A3665" w:rsidRPr="00FA5128" w:rsidTr="00C63004">
        <w:trPr>
          <w:trHeight w:val="9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5357E1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2013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-13,6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-31,2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-53,7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-36,1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-33,7</w:t>
            </w:r>
          </w:p>
        </w:tc>
      </w:tr>
      <w:tr w:rsidR="00C63004" w:rsidRPr="00FA5128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5357E1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2014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-7,3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-18,4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-31,1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-30,5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-21,8</w:t>
            </w:r>
          </w:p>
        </w:tc>
      </w:tr>
      <w:tr w:rsidR="002A3665" w:rsidRPr="00FA5128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5357E1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2015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-2,8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-11,4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-19,7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-26,3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-15,1</w:t>
            </w:r>
          </w:p>
        </w:tc>
      </w:tr>
      <w:tr w:rsidR="00C63004" w:rsidRPr="00FA5128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5357E1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2016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0,9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-9,4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-7,8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-18,0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-8,6</w:t>
            </w:r>
          </w:p>
        </w:tc>
      </w:tr>
      <w:tr w:rsidR="002A3665" w:rsidRPr="00FA5128" w:rsidTr="00C63004">
        <w:trPr>
          <w:trHeight w:val="62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5357E1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2017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2,8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-1,8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8,5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-10,6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-0,3</w:t>
            </w:r>
          </w:p>
        </w:tc>
      </w:tr>
      <w:tr w:rsidR="00BA728E" w:rsidRPr="00FA5128" w:rsidTr="00C63004">
        <w:trPr>
          <w:trHeight w:val="62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A728E" w:rsidRPr="005357E1" w:rsidRDefault="00BA728E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2018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A728E" w:rsidRPr="002A3665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3,6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A728E" w:rsidRPr="002A3665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2,8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A728E" w:rsidRPr="002A3665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12,6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A728E" w:rsidRPr="002A3665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-7,5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BA728E" w:rsidRPr="002A3665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2,9</w:t>
            </w:r>
          </w:p>
        </w:tc>
      </w:tr>
      <w:tr w:rsidR="00C63004" w:rsidRPr="00FA5128" w:rsidTr="00AF2F1E">
        <w:trPr>
          <w:trHeight w:val="124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right w:val="nil"/>
            </w:tcBorders>
            <w:vAlign w:val="bottom"/>
          </w:tcPr>
          <w:p w:rsidR="00C63004" w:rsidRPr="007443DC" w:rsidRDefault="00C63004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598" w:type="dxa"/>
            <w:gridSpan w:val="4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C63004" w:rsidRPr="007443DC" w:rsidRDefault="00C63004" w:rsidP="00AF2F1E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5357E1">
              <w:rPr>
                <w:rFonts w:cs="Arial"/>
                <w:b/>
                <w:bCs/>
                <w:snapToGrid w:val="0"/>
                <w:color w:val="000000"/>
                <w:sz w:val="14"/>
                <w:szCs w:val="21"/>
              </w:rPr>
              <w:t>Kwartały</w:t>
            </w:r>
          </w:p>
        </w:tc>
        <w:tc>
          <w:tcPr>
            <w:tcW w:w="1098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C63004" w:rsidRPr="007443DC" w:rsidRDefault="00C6300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  <w:tr w:rsidR="00B81262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B81262" w:rsidRPr="007443DC" w:rsidRDefault="00B81262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2018</w:t>
            </w:r>
          </w:p>
        </w:tc>
        <w:tc>
          <w:tcPr>
            <w:tcW w:w="63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:rsidR="00B81262" w:rsidRDefault="00B81262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81262" w:rsidRPr="002A3665" w:rsidRDefault="00B86BCA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4,1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81262" w:rsidRPr="002A3665" w:rsidRDefault="00B86BCA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4,5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81262" w:rsidRPr="002A3665" w:rsidRDefault="00B86BCA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13,7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81262" w:rsidRPr="002A3665" w:rsidRDefault="00B86BCA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-7,1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B81262" w:rsidRPr="002A3665" w:rsidRDefault="00B86BCA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3,8</w:t>
            </w:r>
          </w:p>
        </w:tc>
      </w:tr>
      <w:tr w:rsidR="004C5E33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4C5E33" w:rsidRDefault="004C5E33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:rsidR="004C5E33" w:rsidRDefault="004C5E33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II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C5E33" w:rsidRDefault="002D77B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4,3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C5E33" w:rsidRDefault="002D77B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4,5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C5E33" w:rsidRDefault="002D77B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15,3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C5E33" w:rsidRDefault="002D77B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-7,4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4C5E33" w:rsidRDefault="002D77B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4,2</w:t>
            </w:r>
          </w:p>
        </w:tc>
      </w:tr>
      <w:tr w:rsidR="00E0762C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E0762C" w:rsidRDefault="00E0762C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:rsidR="00E0762C" w:rsidRDefault="00E0762C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III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0762C" w:rsidRDefault="0036042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3,6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0762C" w:rsidRDefault="0036042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2,5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0762C" w:rsidRDefault="0036042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12,8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0762C" w:rsidRDefault="0036042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-8,4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E0762C" w:rsidRDefault="0036042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2,6</w:t>
            </w:r>
          </w:p>
        </w:tc>
      </w:tr>
      <w:tr w:rsidR="00BA728E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BA728E" w:rsidRDefault="00BA728E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:rsidR="00BA728E" w:rsidRDefault="00BA728E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IV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A728E" w:rsidRDefault="002C58BA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2,6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A728E" w:rsidRDefault="002C58BA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-0,2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A728E" w:rsidRDefault="002C58BA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8,4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A728E" w:rsidRDefault="002C58BA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-7,0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BA728E" w:rsidRDefault="002C58BA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1,0</w:t>
            </w:r>
          </w:p>
        </w:tc>
      </w:tr>
      <w:tr w:rsidR="002E0EE3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2E0EE3" w:rsidRDefault="002E0EE3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2019</w:t>
            </w:r>
          </w:p>
        </w:tc>
        <w:tc>
          <w:tcPr>
            <w:tcW w:w="63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:rsidR="002E0EE3" w:rsidRDefault="002E0EE3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E0EE3" w:rsidRDefault="00DB299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5,8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E0EE3" w:rsidRDefault="00DB299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2,2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E0EE3" w:rsidRDefault="00DB299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8,2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E0EE3" w:rsidRDefault="00DB299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-2,7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E0EE3" w:rsidRDefault="00DB299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3,4</w:t>
            </w:r>
          </w:p>
        </w:tc>
      </w:tr>
      <w:tr w:rsidR="0013245A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13245A" w:rsidRDefault="0013245A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:rsidR="0013245A" w:rsidRDefault="0013245A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II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3245A" w:rsidRDefault="003E667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7,5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3245A" w:rsidRDefault="003E667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2,3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3245A" w:rsidRDefault="003E667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11,1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3245A" w:rsidRDefault="003E667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0,3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13245A" w:rsidRDefault="003E667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5,3</w:t>
            </w:r>
          </w:p>
        </w:tc>
      </w:tr>
      <w:tr w:rsidR="003C6EFB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3C6EFB" w:rsidRDefault="003C6EFB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:rsidR="003C6EFB" w:rsidRDefault="003C6EFB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III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3C6EFB" w:rsidRDefault="0053646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7,1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3C6EFB" w:rsidRDefault="0053646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2,6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3C6EFB" w:rsidRDefault="0053646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9,6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3C6EFB" w:rsidRDefault="0053646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3,2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3C6EFB" w:rsidRDefault="0053646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5,6</w:t>
            </w:r>
          </w:p>
        </w:tc>
      </w:tr>
      <w:tr w:rsidR="00AF2F1E" w:rsidRPr="00FA5128" w:rsidTr="00FC64E0">
        <w:trPr>
          <w:trHeight w:val="28"/>
        </w:trPr>
        <w:tc>
          <w:tcPr>
            <w:tcW w:w="1348" w:type="dxa"/>
            <w:gridSpan w:val="2"/>
            <w:tcBorders>
              <w:left w:val="nil"/>
              <w:right w:val="nil"/>
            </w:tcBorders>
            <w:vAlign w:val="center"/>
          </w:tcPr>
          <w:p w:rsidR="00AF2F1E" w:rsidRPr="007443DC" w:rsidRDefault="00AF2F1E" w:rsidP="00AF2F1E">
            <w:pPr>
              <w:pStyle w:val="Tekstprzypisudolnego"/>
              <w:spacing w:before="0"/>
              <w:contextualSpacing/>
              <w:jc w:val="center"/>
              <w:rPr>
                <w:rFonts w:cs="Arial"/>
                <w:sz w:val="14"/>
              </w:rPr>
            </w:pPr>
          </w:p>
        </w:tc>
        <w:tc>
          <w:tcPr>
            <w:tcW w:w="5598" w:type="dxa"/>
            <w:gridSpan w:val="4"/>
            <w:tcBorders>
              <w:top w:val="single" w:sz="4" w:space="0" w:color="001D77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:rsidR="00AF2F1E" w:rsidRPr="007443DC" w:rsidRDefault="00AF2F1E" w:rsidP="00AF2F1E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5357E1">
              <w:rPr>
                <w:rFonts w:cs="Arial"/>
                <w:b/>
                <w:bCs/>
                <w:snapToGrid w:val="0"/>
                <w:color w:val="000000"/>
                <w:sz w:val="14"/>
                <w:szCs w:val="21"/>
              </w:rPr>
              <w:t>Miesiące</w:t>
            </w:r>
          </w:p>
        </w:tc>
        <w:tc>
          <w:tcPr>
            <w:tcW w:w="1098" w:type="dxa"/>
            <w:tcBorders>
              <w:top w:val="single" w:sz="4" w:space="0" w:color="001D77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:rsidR="00AF2F1E" w:rsidRPr="007443DC" w:rsidRDefault="00AF2F1E" w:rsidP="00AF2F1E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  <w:tr w:rsidR="008D61B1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8D61B1" w:rsidRPr="004E61ED" w:rsidRDefault="00D77FEA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2018</w:t>
            </w: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8D61B1" w:rsidRDefault="008D61B1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05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8D61B1" w:rsidRDefault="002F22D2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3,5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8D61B1" w:rsidRDefault="002F22D2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3,8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8D61B1" w:rsidRDefault="002F22D2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14,2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8D61B1" w:rsidRDefault="002F22D2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-10,2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8D61B1" w:rsidRDefault="002F22D2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2,8</w:t>
            </w:r>
          </w:p>
        </w:tc>
      </w:tr>
      <w:tr w:rsidR="00E53C71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E53C71" w:rsidRPr="004E61ED" w:rsidRDefault="00E53C71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53C71" w:rsidRDefault="00E53C71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06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53C71" w:rsidRDefault="009F5AA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3,8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53C71" w:rsidRDefault="009F5AA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3,8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53C71" w:rsidRDefault="009F5AA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13,7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53C71" w:rsidRDefault="009F5AA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-5,2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E53C71" w:rsidRDefault="009F5AA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</w:t>
            </w:r>
            <w:r w:rsidR="00454AB8">
              <w:rPr>
                <w:rFonts w:cs="Arial"/>
                <w:sz w:val="14"/>
                <w:szCs w:val="20"/>
              </w:rPr>
              <w:t>,0</w:t>
            </w:r>
          </w:p>
        </w:tc>
      </w:tr>
      <w:tr w:rsidR="00454AB8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454AB8" w:rsidRPr="004E61ED" w:rsidRDefault="00454AB8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54AB8" w:rsidRDefault="00454AB8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07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54AB8" w:rsidRDefault="004F7BB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3,6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54AB8" w:rsidRDefault="004F7BB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1,2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54AB8" w:rsidRDefault="004F7BB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14,1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54AB8" w:rsidRDefault="004F7BB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-9,4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454AB8" w:rsidRDefault="004F7BB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2,4</w:t>
            </w:r>
          </w:p>
        </w:tc>
      </w:tr>
      <w:tr w:rsidR="00B412A3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B412A3" w:rsidRPr="004E61ED" w:rsidRDefault="00B412A3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412A3" w:rsidRDefault="00B412A3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08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412A3" w:rsidRDefault="00DA70B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4,0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412A3" w:rsidRDefault="00DA70B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1,9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412A3" w:rsidRDefault="00DA70B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12,3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412A3" w:rsidRDefault="00DA70B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-8,7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B412A3" w:rsidRDefault="00DA70B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2,4</w:t>
            </w:r>
          </w:p>
        </w:tc>
      </w:tr>
      <w:tr w:rsidR="00E0762C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E0762C" w:rsidRPr="004E61ED" w:rsidRDefault="00E0762C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0762C" w:rsidRDefault="00E0762C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09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0762C" w:rsidRDefault="006623F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3,1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0762C" w:rsidRDefault="006623F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0762C" w:rsidRDefault="006623F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11,9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0762C" w:rsidRDefault="006623F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-7,2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E0762C" w:rsidRDefault="006623F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3,1</w:t>
            </w:r>
          </w:p>
        </w:tc>
      </w:tr>
      <w:tr w:rsidR="00724C09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724C09" w:rsidRPr="004E61ED" w:rsidRDefault="00724C09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24C09" w:rsidRDefault="00FF198D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10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24C09" w:rsidRDefault="00FF198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4,7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24C09" w:rsidRDefault="00FF198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1,5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24C09" w:rsidRDefault="00FF198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8,3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24C09" w:rsidRDefault="00FF198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-9,3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724C09" w:rsidRDefault="00FF198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1,3</w:t>
            </w:r>
          </w:p>
        </w:tc>
      </w:tr>
      <w:tr w:rsidR="00A81127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A81127" w:rsidRPr="004E61ED" w:rsidRDefault="00A81127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A81127" w:rsidRDefault="00A81127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11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A81127" w:rsidRDefault="00E1667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4,0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A81127" w:rsidRDefault="00E1667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2,7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A81127" w:rsidRDefault="00E1667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9,4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A81127" w:rsidRDefault="00E1667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-2,6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A81127" w:rsidRDefault="00E1667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3,4</w:t>
            </w:r>
          </w:p>
        </w:tc>
      </w:tr>
      <w:tr w:rsidR="00BA728E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BA728E" w:rsidRPr="004E61ED" w:rsidRDefault="00BA728E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A728E" w:rsidRDefault="00BA728E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12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A728E" w:rsidRDefault="00EA69E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-1,0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A728E" w:rsidRDefault="00EA69E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-4,8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A728E" w:rsidRDefault="00EA69E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7,6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A728E" w:rsidRDefault="00EA69E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-9,0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BA728E" w:rsidRDefault="00EA69E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-1,8</w:t>
            </w:r>
          </w:p>
        </w:tc>
      </w:tr>
      <w:tr w:rsidR="00712785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712785" w:rsidRPr="004E61ED" w:rsidRDefault="0071278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2019</w:t>
            </w: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12785" w:rsidRDefault="00712785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01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12785" w:rsidRDefault="002D428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2,8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12785" w:rsidRDefault="002D428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0,6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12785" w:rsidRDefault="002D428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7,2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12785" w:rsidRDefault="002D428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-1,6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712785" w:rsidRDefault="002D428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2,2</w:t>
            </w:r>
          </w:p>
        </w:tc>
      </w:tr>
      <w:tr w:rsidR="00B413B9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B413B9" w:rsidRDefault="00B413B9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413B9" w:rsidRDefault="00B413B9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02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413B9" w:rsidRDefault="00F344C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6,9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413B9" w:rsidRDefault="00F344C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1,8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413B9" w:rsidRDefault="00F344C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7,6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413B9" w:rsidRDefault="00F344C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-3,4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B413B9" w:rsidRDefault="00F344C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3,2</w:t>
            </w:r>
          </w:p>
        </w:tc>
      </w:tr>
      <w:tr w:rsidR="00795825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795825" w:rsidRDefault="0079582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95825" w:rsidRDefault="00795825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03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95825" w:rsidRDefault="00AB323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7,7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95825" w:rsidRDefault="00AB323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4,2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95825" w:rsidRDefault="00AB323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9,8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95825" w:rsidRDefault="00AB323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-3,1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795825" w:rsidRDefault="00AB323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4,7</w:t>
            </w:r>
          </w:p>
        </w:tc>
      </w:tr>
      <w:tr w:rsidR="002E0EE3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2E0EE3" w:rsidRDefault="002E0EE3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E0EE3" w:rsidRDefault="002E0EE3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04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E0EE3" w:rsidRDefault="00335B4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7,9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E0EE3" w:rsidRDefault="00335B4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-0,5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E0EE3" w:rsidRDefault="00335B4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8,1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E0EE3" w:rsidRDefault="00335B4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-1,4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E0EE3" w:rsidRDefault="00335B4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3,5</w:t>
            </w:r>
          </w:p>
        </w:tc>
      </w:tr>
      <w:tr w:rsidR="00D36D38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D36D38" w:rsidRDefault="00D36D38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D36D38" w:rsidRDefault="00D36D38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05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D36D38" w:rsidRDefault="00E5349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7,0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D36D38" w:rsidRDefault="00E5349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3,5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D36D38" w:rsidRDefault="00E5349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10,0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D36D38" w:rsidRDefault="00E5349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-0,8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D36D38" w:rsidRDefault="00E5349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4,9</w:t>
            </w:r>
          </w:p>
        </w:tc>
      </w:tr>
      <w:tr w:rsidR="0013245A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13245A" w:rsidRDefault="0013245A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3245A" w:rsidRDefault="0013245A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06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3245A" w:rsidRDefault="00826E3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7,7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3245A" w:rsidRDefault="00826E3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3,9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3245A" w:rsidRDefault="00826E3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15,3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3245A" w:rsidRDefault="00826E3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13245A" w:rsidRDefault="00826E3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7,5</w:t>
            </w:r>
          </w:p>
        </w:tc>
      </w:tr>
      <w:tr w:rsidR="00E87266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E87266" w:rsidRDefault="00E87266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87266" w:rsidRDefault="00E87266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07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87266" w:rsidRDefault="00E8726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8,9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87266" w:rsidRDefault="00E8726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2,8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87266" w:rsidRDefault="00E8726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10,3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87266" w:rsidRDefault="00E8726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1,7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E87266" w:rsidRDefault="00E8726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5,9</w:t>
            </w:r>
          </w:p>
        </w:tc>
      </w:tr>
      <w:tr w:rsidR="00780119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780119" w:rsidRDefault="00780119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80119" w:rsidRDefault="00780119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08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80119" w:rsidRDefault="0078011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4,4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80119" w:rsidRDefault="0078011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2,2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80119" w:rsidRDefault="0078011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8,7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80119" w:rsidRDefault="0078011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0,4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780119" w:rsidRDefault="0078011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3,9</w:t>
            </w:r>
          </w:p>
        </w:tc>
      </w:tr>
      <w:tr w:rsidR="003C6EFB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3C6EFB" w:rsidRDefault="003C6EFB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3C6EFB" w:rsidRDefault="003C6EFB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09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3C6EFB" w:rsidRDefault="00E67AE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8,0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3C6EFB" w:rsidRDefault="00E67AE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2,8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3C6EFB" w:rsidRDefault="00E67AE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9,8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3C6EFB" w:rsidRDefault="00E67AE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7,5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3C6EFB" w:rsidRDefault="00E67AE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7,0</w:t>
            </w:r>
          </w:p>
        </w:tc>
      </w:tr>
      <w:tr w:rsidR="00F54C16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F54C16" w:rsidRDefault="00F54C16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F54C16" w:rsidRDefault="00F54C16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10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F54C16" w:rsidRDefault="006C35F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5,9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F54C16" w:rsidRDefault="006C35F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F54C16" w:rsidRDefault="006C35F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2,5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F54C16" w:rsidRDefault="006C35F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2,6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F54C16" w:rsidRDefault="006C35F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3,6</w:t>
            </w:r>
          </w:p>
        </w:tc>
      </w:tr>
      <w:tr w:rsidR="00D77FEA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D77FEA" w:rsidRDefault="00D77FEA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D77FEA" w:rsidRDefault="00D77FEA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11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D77FEA" w:rsidRDefault="00AA3BA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5,0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D77FEA" w:rsidRDefault="00AA3BA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-3,0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D77FEA" w:rsidRDefault="00AA3BA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2,9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D77FEA" w:rsidRDefault="00AA3BA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3,9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D77FEA" w:rsidRDefault="00AA3BA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2,2</w:t>
            </w:r>
          </w:p>
        </w:tc>
      </w:tr>
      <w:tr w:rsidR="002A3665" w:rsidRPr="00FA5128" w:rsidTr="00A866F2">
        <w:trPr>
          <w:trHeight w:val="28"/>
        </w:trPr>
        <w:tc>
          <w:tcPr>
            <w:tcW w:w="1348" w:type="dxa"/>
            <w:gridSpan w:val="2"/>
            <w:tcBorders>
              <w:left w:val="nil"/>
              <w:right w:val="single" w:sz="4" w:space="0" w:color="001D77"/>
            </w:tcBorders>
            <w:vAlign w:val="bottom"/>
          </w:tcPr>
          <w:p w:rsidR="00E41497" w:rsidRPr="007443DC" w:rsidRDefault="00E41497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1346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2A3665" w:rsidRPr="007443D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2A3665" w:rsidRPr="007443D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2A3665" w:rsidRPr="007443D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2A3665" w:rsidRPr="007443D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bottom"/>
          </w:tcPr>
          <w:p w:rsidR="002A3665" w:rsidRPr="007443D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</w:tbl>
    <w:p w:rsidR="004E61ED" w:rsidRDefault="0093660E" w:rsidP="00A866F2">
      <w:pPr>
        <w:ind w:left="851" w:hanging="851"/>
        <w:rPr>
          <w:b/>
          <w:spacing w:val="-2"/>
          <w:sz w:val="18"/>
          <w:shd w:val="clear" w:color="auto" w:fill="FFFFFF"/>
        </w:rPr>
      </w:pPr>
      <w:r w:rsidRPr="00633014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6304" behindDoc="1" locked="0" layoutInCell="1" allowOverlap="1" wp14:anchorId="6BD52DDD" wp14:editId="6C4D5CD0">
                <wp:simplePos x="0" y="0"/>
                <wp:positionH relativeFrom="column">
                  <wp:posOffset>5242560</wp:posOffset>
                </wp:positionH>
                <wp:positionV relativeFrom="paragraph">
                  <wp:posOffset>310325</wp:posOffset>
                </wp:positionV>
                <wp:extent cx="1725295" cy="1579245"/>
                <wp:effectExtent l="0" t="0" r="0" b="1905"/>
                <wp:wrapTight wrapText="bothSides">
                  <wp:wrapPolygon edited="0">
                    <wp:start x="715" y="0"/>
                    <wp:lineTo x="715" y="21366"/>
                    <wp:lineTo x="20749" y="21366"/>
                    <wp:lineTo x="20749" y="0"/>
                    <wp:lineTo x="715" y="0"/>
                  </wp:wrapPolygon>
                </wp:wrapTight>
                <wp:docPr id="13" name="Pole tekstow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5792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734C2" w:rsidRPr="0093660E" w:rsidRDefault="00D734C2" w:rsidP="00273134">
                            <w:pPr>
                              <w:spacing w:before="0" w:after="160" w:line="259" w:lineRule="auto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93660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Wyprzedzający wskaźnik ufności konsumenckiej jest średnią sald ocen zmian sytuacji finansowej gospodarstwa domowego, ogólnej sytuacji ekonomicznej kraju, trendów poziomu bezrobocia (ze znakiem przeciwnym) i oszczędzania pienięd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zy w najbliższych 12 miesiącach</w:t>
                            </w:r>
                          </w:p>
                          <w:p w:rsidR="00D734C2" w:rsidRPr="0093660E" w:rsidRDefault="00D734C2" w:rsidP="0093660E">
                            <w:pPr>
                              <w:pStyle w:val="tytuwykresu"/>
                              <w:jc w:val="both"/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D52DDD" id="Pole tekstowe 13" o:spid="_x0000_s1031" type="#_x0000_t202" style="position:absolute;left:0;text-align:left;margin-left:412.8pt;margin-top:24.45pt;width:135.85pt;height:124.35pt;z-index:-2515701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" filled="f" stroked="f">
                <v:textbox>
                  <w:txbxContent>
                    <w:p w:rsidR="00D734C2" w:rsidRPr="0093660E" w:rsidRDefault="00D734C2" w:rsidP="00273134">
                      <w:pPr>
                        <w:spacing w:before="0" w:after="160" w:line="259" w:lineRule="auto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93660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Wyprzedzający wskaźnik ufności konsumenckiej jest średnią sald ocen zmian sytuacji finansowej gospodarstwa domowego, ogólnej sytuacji ekonomicznej kraju, trendów poziomu bezrobocia (ze znakiem przeciwnym) i oszczędzania pienięd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zy w najbliższych 12 miesiącach</w:t>
                      </w:r>
                    </w:p>
                    <w:p w:rsidR="00D734C2" w:rsidRPr="0093660E" w:rsidRDefault="00D734C2" w:rsidP="0093660E">
                      <w:pPr>
                        <w:pStyle w:val="tytuwykresu"/>
                        <w:jc w:val="both"/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4E61ED" w:rsidRPr="005A36AA">
        <w:rPr>
          <w:b/>
          <w:spacing w:val="-2"/>
          <w:sz w:val="18"/>
          <w:shd w:val="clear" w:color="auto" w:fill="FFFFFF"/>
        </w:rPr>
        <w:t>Tablica</w:t>
      </w:r>
      <w:r w:rsidR="004E61ED">
        <w:rPr>
          <w:b/>
          <w:spacing w:val="-2"/>
          <w:sz w:val="18"/>
          <w:shd w:val="clear" w:color="auto" w:fill="FFFFFF"/>
        </w:rPr>
        <w:t xml:space="preserve"> 2</w:t>
      </w:r>
      <w:r w:rsidR="004E61ED" w:rsidRPr="0057036A">
        <w:rPr>
          <w:b/>
          <w:spacing w:val="-2"/>
          <w:sz w:val="18"/>
          <w:shd w:val="clear" w:color="auto" w:fill="FFFFFF"/>
        </w:rPr>
        <w:t xml:space="preserve">. </w:t>
      </w:r>
      <w:r w:rsidR="00A217E6">
        <w:rPr>
          <w:b/>
          <w:spacing w:val="-2"/>
          <w:sz w:val="18"/>
          <w:shd w:val="clear" w:color="auto" w:fill="FFFFFF"/>
        </w:rPr>
        <w:t>Wyprzedzający</w:t>
      </w:r>
      <w:r w:rsidR="004E61ED" w:rsidRPr="005A36AA">
        <w:rPr>
          <w:b/>
          <w:spacing w:val="-2"/>
          <w:sz w:val="18"/>
          <w:shd w:val="clear" w:color="auto" w:fill="FFFFFF"/>
        </w:rPr>
        <w:t xml:space="preserve"> </w:t>
      </w:r>
      <w:r w:rsidR="00A217E6">
        <w:rPr>
          <w:b/>
          <w:spacing w:val="-2"/>
          <w:sz w:val="18"/>
          <w:shd w:val="clear" w:color="auto" w:fill="FFFFFF"/>
        </w:rPr>
        <w:t>wskaźnik</w:t>
      </w:r>
      <w:r w:rsidR="00A217E6" w:rsidRPr="005A36AA">
        <w:rPr>
          <w:b/>
          <w:spacing w:val="-2"/>
          <w:sz w:val="18"/>
          <w:shd w:val="clear" w:color="auto" w:fill="FFFFFF"/>
        </w:rPr>
        <w:t xml:space="preserve"> </w:t>
      </w:r>
      <w:r w:rsidR="00A217E6">
        <w:rPr>
          <w:b/>
          <w:spacing w:val="-2"/>
          <w:sz w:val="18"/>
          <w:shd w:val="clear" w:color="auto" w:fill="FFFFFF"/>
        </w:rPr>
        <w:t>ufności</w:t>
      </w:r>
      <w:r w:rsidR="00A217E6" w:rsidRPr="005A36AA">
        <w:rPr>
          <w:b/>
          <w:spacing w:val="-2"/>
          <w:sz w:val="18"/>
          <w:shd w:val="clear" w:color="auto" w:fill="FFFFFF"/>
        </w:rPr>
        <w:t xml:space="preserve"> </w:t>
      </w:r>
      <w:r w:rsidR="00A217E6">
        <w:rPr>
          <w:b/>
          <w:spacing w:val="-2"/>
          <w:sz w:val="18"/>
          <w:shd w:val="clear" w:color="auto" w:fill="FFFFFF"/>
        </w:rPr>
        <w:t>konsumenckiej</w:t>
      </w:r>
    </w:p>
    <w:p w:rsidR="00712785" w:rsidRDefault="00712785">
      <w:pPr>
        <w:spacing w:before="0" w:after="160" w:line="259" w:lineRule="auto"/>
        <w:rPr>
          <w:b/>
          <w:spacing w:val="-2"/>
          <w:sz w:val="18"/>
        </w:rPr>
      </w:pPr>
      <w:r>
        <w:br w:type="page"/>
      </w:r>
    </w:p>
    <w:p w:rsidR="00C562B2" w:rsidRDefault="007F4E3D" w:rsidP="00C562B2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747328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posOffset>474980</wp:posOffset>
            </wp:positionV>
            <wp:extent cx="5122545" cy="3832225"/>
            <wp:effectExtent l="0" t="0" r="1905" b="0"/>
            <wp:wrapSquare wrapText="bothSides"/>
            <wp:docPr id="14" name="Wykres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62B2" w:rsidRPr="00C15772">
        <w:t xml:space="preserve">Wykres </w:t>
      </w:r>
      <w:r w:rsidR="00C562B2">
        <w:t>3</w:t>
      </w:r>
      <w:r w:rsidR="00C562B2" w:rsidRPr="00C15772">
        <w:t>.</w:t>
      </w:r>
      <w:r w:rsidR="00C562B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Wyprzedzający</w:t>
      </w:r>
      <w:r w:rsidR="00C562B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wskaźnik ufności konsumenckiej</w:t>
      </w:r>
      <w:r w:rsidR="00A217E6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(WWUK) oraz jego wartości składowe według</w:t>
      </w:r>
      <w:r w:rsidR="00A217E6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miesięcy w</w:t>
      </w:r>
      <w:r w:rsidR="00A217E6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latach</w:t>
      </w:r>
      <w:r w:rsidR="00DA15B6">
        <w:rPr>
          <w:shd w:val="clear" w:color="auto" w:fill="FFFFFF"/>
        </w:rPr>
        <w:t xml:space="preserve"> 2016–2019</w:t>
      </w:r>
    </w:p>
    <w:p w:rsidR="00C562B2" w:rsidRPr="00FD7BD2" w:rsidRDefault="00C562B2" w:rsidP="00C562B2"/>
    <w:p w:rsidR="00C562B2" w:rsidRDefault="003B3271" w:rsidP="00C562B2">
      <w:pPr>
        <w:pStyle w:val="tytuwykresu"/>
        <w:ind w:left="851" w:hanging="851"/>
        <w:rPr>
          <w:shd w:val="clear" w:color="auto" w:fill="FFFFFF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51424" behindDoc="0" locked="0" layoutInCell="1" allowOverlap="1">
                <wp:simplePos x="0" y="0"/>
                <wp:positionH relativeFrom="column">
                  <wp:posOffset>337047</wp:posOffset>
                </wp:positionH>
                <wp:positionV relativeFrom="paragraph">
                  <wp:posOffset>3452495</wp:posOffset>
                </wp:positionV>
                <wp:extent cx="1502410" cy="269875"/>
                <wp:effectExtent l="0" t="0" r="2540" b="0"/>
                <wp:wrapSquare wrapText="bothSides"/>
                <wp:docPr id="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2410" cy="269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734C2" w:rsidRPr="003B3271" w:rsidRDefault="00D734C2" w:rsidP="003B3271">
                            <w:pPr>
                              <w:spacing w:before="0" w:after="0"/>
                              <w:rPr>
                                <w:sz w:val="14"/>
                              </w:rPr>
                            </w:pPr>
                            <w:r w:rsidRPr="003B3271">
                              <w:rPr>
                                <w:sz w:val="14"/>
                              </w:rPr>
                              <w:t>** kwiecień, lipiec, październik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left:0;text-align:left;margin-left:26.55pt;margin-top:271.85pt;width:118.3pt;height:21.25pt;z-index:2517514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" stroked="f">
                <v:textbox>
                  <w:txbxContent>
                    <w:p w:rsidR="00D734C2" w:rsidRPr="003B3271" w:rsidRDefault="00D734C2" w:rsidP="003B3271">
                      <w:pPr>
                        <w:spacing w:before="0" w:after="0"/>
                        <w:rPr>
                          <w:sz w:val="14"/>
                        </w:rPr>
                      </w:pPr>
                      <w:r w:rsidRPr="003B3271">
                        <w:rPr>
                          <w:sz w:val="14"/>
                        </w:rPr>
                        <w:t>** kwiecień, lipiec, październik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341AC1">
        <w:rPr>
          <w:noProof/>
          <w:lang w:eastAsia="pl-PL"/>
        </w:rPr>
        <w:drawing>
          <wp:anchor distT="0" distB="0" distL="114300" distR="114300" simplePos="0" relativeHeight="251749376" behindDoc="0" locked="0" layoutInCell="1" allowOverlap="1" wp14:anchorId="6A496C9D" wp14:editId="1DD8A87E">
            <wp:simplePos x="0" y="0"/>
            <wp:positionH relativeFrom="margin">
              <wp:align>right</wp:align>
            </wp:positionH>
            <wp:positionV relativeFrom="margin">
              <wp:posOffset>4935220</wp:posOffset>
            </wp:positionV>
            <wp:extent cx="5122545" cy="3927475"/>
            <wp:effectExtent l="0" t="0" r="1905" b="0"/>
            <wp:wrapSquare wrapText="bothSides"/>
            <wp:docPr id="15" name="Wykres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62B2" w:rsidRPr="00C15772">
        <w:t xml:space="preserve">Wykres </w:t>
      </w:r>
      <w:r w:rsidR="00C562B2">
        <w:t>4</w:t>
      </w:r>
      <w:r w:rsidR="00C562B2" w:rsidRPr="00C15772">
        <w:t>.</w:t>
      </w:r>
      <w:r w:rsidR="00C562B2" w:rsidRPr="00C15772">
        <w:rPr>
          <w:shd w:val="clear" w:color="auto" w:fill="FFFFFF"/>
        </w:rPr>
        <w:t xml:space="preserve"> </w:t>
      </w:r>
      <w:r w:rsidR="00F87A89">
        <w:rPr>
          <w:shd w:val="clear" w:color="auto" w:fill="FFFFFF"/>
        </w:rPr>
        <w:t>Wyprzedzający</w:t>
      </w:r>
      <w:r w:rsidR="00C562B2" w:rsidRPr="00C15772">
        <w:rPr>
          <w:shd w:val="clear" w:color="auto" w:fill="FFFFFF"/>
        </w:rPr>
        <w:t xml:space="preserve"> </w:t>
      </w:r>
      <w:r w:rsidR="00F87A89">
        <w:rPr>
          <w:shd w:val="clear" w:color="auto" w:fill="FFFFFF"/>
        </w:rPr>
        <w:t>wskaźnik</w:t>
      </w:r>
      <w:r w:rsidR="00F87A89" w:rsidRPr="00C15772">
        <w:rPr>
          <w:shd w:val="clear" w:color="auto" w:fill="FFFFFF"/>
        </w:rPr>
        <w:t xml:space="preserve"> </w:t>
      </w:r>
      <w:r w:rsidR="00F87A89">
        <w:rPr>
          <w:shd w:val="clear" w:color="auto" w:fill="FFFFFF"/>
        </w:rPr>
        <w:t>ufności</w:t>
      </w:r>
      <w:r w:rsidR="00F87A89" w:rsidRPr="00C15772">
        <w:rPr>
          <w:shd w:val="clear" w:color="auto" w:fill="FFFFFF"/>
        </w:rPr>
        <w:t xml:space="preserve"> </w:t>
      </w:r>
      <w:r w:rsidR="00F87A89">
        <w:rPr>
          <w:shd w:val="clear" w:color="auto" w:fill="FFFFFF"/>
        </w:rPr>
        <w:t>konsumenckiej (WWUK) oraz jego wartości składowe według lat</w:t>
      </w:r>
    </w:p>
    <w:p w:rsidR="00CF6348" w:rsidRDefault="00CF6348" w:rsidP="00C562B2">
      <w:pPr>
        <w:pStyle w:val="tytuwykresu"/>
        <w:ind w:left="851" w:hanging="851"/>
        <w:rPr>
          <w:shd w:val="clear" w:color="auto" w:fill="FFFFFF"/>
        </w:rPr>
      </w:pPr>
    </w:p>
    <w:p w:rsidR="00CF6348" w:rsidRDefault="00CF6348" w:rsidP="00C562B2">
      <w:pPr>
        <w:pStyle w:val="tytuwykresu"/>
        <w:ind w:left="851" w:hanging="851"/>
        <w:rPr>
          <w:shd w:val="clear" w:color="auto" w:fill="FFFFFF"/>
        </w:rPr>
      </w:pPr>
    </w:p>
    <w:p w:rsidR="00CF6348" w:rsidRPr="00CF6348" w:rsidRDefault="00CF6348" w:rsidP="00CF6348">
      <w:pPr>
        <w:rPr>
          <w:lang w:eastAsia="pl-PL"/>
        </w:rPr>
      </w:pPr>
    </w:p>
    <w:p w:rsidR="00694AF0" w:rsidRPr="00001C5B" w:rsidRDefault="00694AF0" w:rsidP="00E76D26">
      <w:pPr>
        <w:rPr>
          <w:sz w:val="18"/>
        </w:rPr>
        <w:sectPr w:rsidR="00694AF0" w:rsidRPr="00001C5B" w:rsidSect="009950DE">
          <w:headerReference w:type="default" r:id="rId17"/>
          <w:footerReference w:type="default" r:id="rId18"/>
          <w:headerReference w:type="first" r:id="rId19"/>
          <w:footerReference w:type="first" r:id="rId20"/>
          <w:footnotePr>
            <w:numFmt w:val="chicago"/>
          </w:footnotePr>
          <w:pgSz w:w="11906" w:h="16838"/>
          <w:pgMar w:top="720" w:right="3119" w:bottom="720" w:left="720" w:header="284" w:footer="318" w:gutter="0"/>
          <w:cols w:space="708"/>
          <w:titlePg/>
          <w:docGrid w:linePitch="360"/>
        </w:sectPr>
      </w:pPr>
    </w:p>
    <w:p w:rsidR="000470AA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39"/>
        <w:gridCol w:w="3828"/>
      </w:tblGrid>
      <w:tr w:rsidR="000470AA" w:rsidRPr="00D77FEA" w:rsidTr="00F87A89">
        <w:trPr>
          <w:trHeight w:val="1912"/>
        </w:trPr>
        <w:tc>
          <w:tcPr>
            <w:tcW w:w="4239" w:type="dxa"/>
          </w:tcPr>
          <w:p w:rsidR="000470AA" w:rsidRPr="008F3638" w:rsidRDefault="000470AA" w:rsidP="004266E2">
            <w:pPr>
              <w:spacing w:before="0" w:after="0" w:line="276" w:lineRule="auto"/>
              <w:ind w:right="587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:rsidR="000470AA" w:rsidRDefault="0052620B" w:rsidP="00D00796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 Łodzi</w:t>
            </w:r>
          </w:p>
          <w:p w:rsidR="0052620B" w:rsidRPr="008F3638" w:rsidRDefault="0052620B" w:rsidP="004266E2">
            <w:pPr>
              <w:spacing w:before="0" w:after="0" w:line="240" w:lineRule="auto"/>
              <w:ind w:right="729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Ośrodek Warunków Życia i Badań Ankietowych</w:t>
            </w:r>
          </w:p>
          <w:p w:rsidR="000470AA" w:rsidRPr="00BB4F09" w:rsidRDefault="0052620B" w:rsidP="00051E07">
            <w:pPr>
              <w:pStyle w:val="Nagwek3"/>
              <w:spacing w:before="0" w:line="240" w:lineRule="auto"/>
              <w:ind w:right="303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Iwona Ulanowska</w:t>
            </w:r>
          </w:p>
          <w:p w:rsidR="000470AA" w:rsidRPr="008F3638" w:rsidRDefault="0052620B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4</w:t>
            </w:r>
            <w:r w:rsidR="000470AA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2 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683</w:t>
            </w:r>
            <w:r w:rsidR="00EB5A7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91</w:t>
            </w:r>
            <w:r w:rsidR="00EB5A7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73</w:t>
            </w:r>
          </w:p>
          <w:p w:rsidR="000470AA" w:rsidRPr="008F3638" w:rsidRDefault="000470AA" w:rsidP="0052620B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  <w:r w:rsidRPr="00655E7E">
              <w:rPr>
                <w:rFonts w:ascii="Fira Sans" w:hAnsi="Fira Sans" w:cs="Arial"/>
                <w:b/>
                <w:color w:val="000000" w:themeColor="text1"/>
                <w:sz w:val="20"/>
                <w:szCs w:val="20"/>
              </w:rPr>
              <w:t xml:space="preserve">e-mail: </w:t>
            </w:r>
            <w:hyperlink r:id="rId21" w:history="1">
              <w:r w:rsidR="0052620B" w:rsidRPr="003308DB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</w:rPr>
                <w:t>i.ulanowska@stat.gov.pl</w:t>
              </w:r>
            </w:hyperlink>
          </w:p>
        </w:tc>
        <w:tc>
          <w:tcPr>
            <w:tcW w:w="3828" w:type="dxa"/>
          </w:tcPr>
          <w:p w:rsidR="000470AA" w:rsidRPr="008F3638" w:rsidRDefault="000470AA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 xml:space="preserve">Karolina </w:t>
            </w:r>
            <w:r w:rsidR="00B749B9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Banaszek</w:t>
            </w:r>
          </w:p>
          <w:p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22 608 3475, 22 608 3009</w:t>
            </w:r>
          </w:p>
          <w:p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22" w:history="1">
              <w:r w:rsidRPr="008F3638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  <w:lang w:val="en-US"/>
                </w:rPr>
                <w:t>rzecznik@stat.gov.pl</w:t>
              </w:r>
            </w:hyperlink>
          </w:p>
        </w:tc>
      </w:tr>
    </w:tbl>
    <w:p w:rsidR="000470AA" w:rsidRPr="00530074" w:rsidRDefault="000470AA" w:rsidP="000470AA">
      <w:pPr>
        <w:rPr>
          <w:sz w:val="20"/>
          <w:lang w:val="en-US"/>
        </w:rPr>
      </w:pPr>
    </w:p>
    <w:p w:rsidR="000470AA" w:rsidRPr="00530074" w:rsidRDefault="000470AA" w:rsidP="000470AA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470AA" w:rsidRPr="003308DB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:rsidR="000470AA" w:rsidRPr="00C91687" w:rsidRDefault="000470AA" w:rsidP="003308DB">
            <w:pPr>
              <w:spacing w:before="0"/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:rsidR="000470AA" w:rsidRPr="00D60A84" w:rsidRDefault="003308DB" w:rsidP="000470AA">
            <w:pPr>
              <w:rPr>
                <w:sz w:val="20"/>
              </w:rPr>
            </w:pPr>
            <w:r w:rsidRPr="00D60A84">
              <w:rPr>
                <w:sz w:val="20"/>
              </w:rPr>
              <w:t>Tel</w:t>
            </w:r>
            <w:r w:rsidR="000470AA" w:rsidRPr="00D60A84">
              <w:rPr>
                <w:sz w:val="20"/>
              </w:rPr>
              <w:t>:</w:t>
            </w:r>
            <w:r w:rsidR="000470AA" w:rsidRPr="00D60A84">
              <w:rPr>
                <w:b/>
                <w:sz w:val="20"/>
              </w:rPr>
              <w:t xml:space="preserve"> </w:t>
            </w:r>
            <w:r w:rsidR="00097840" w:rsidRPr="00D60A84">
              <w:rPr>
                <w:sz w:val="20"/>
              </w:rPr>
              <w:t>22 608 34 91, 22</w:t>
            </w:r>
            <w:r w:rsidR="000470AA" w:rsidRPr="00D60A84">
              <w:rPr>
                <w:sz w:val="20"/>
              </w:rPr>
              <w:t xml:space="preserve"> 608 38 04 </w:t>
            </w:r>
          </w:p>
          <w:p w:rsidR="000470AA" w:rsidRPr="003308DB" w:rsidRDefault="000470AA" w:rsidP="000470AA">
            <w:pPr>
              <w:rPr>
                <w:sz w:val="18"/>
                <w:lang w:val="en-US"/>
              </w:rPr>
            </w:pPr>
            <w:r w:rsidRPr="003308DB">
              <w:rPr>
                <w:b/>
                <w:sz w:val="20"/>
                <w:lang w:val="en-US"/>
              </w:rPr>
              <w:t>e-mail:</w:t>
            </w:r>
            <w:r w:rsidRPr="003308DB">
              <w:rPr>
                <w:sz w:val="20"/>
                <w:lang w:val="en-US"/>
              </w:rPr>
              <w:t xml:space="preserve"> </w:t>
            </w:r>
            <w:hyperlink r:id="rId23" w:history="1">
              <w:r w:rsidRPr="0085474D">
                <w:rPr>
                  <w:rStyle w:val="Hipercze"/>
                  <w:rFonts w:cstheme="minorBidi"/>
                  <w:b/>
                  <w:color w:val="000000" w:themeColor="text1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0470AA" w:rsidRPr="003308DB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:rsidR="000470AA" w:rsidRPr="003308DB" w:rsidRDefault="000470AA" w:rsidP="000470AA">
            <w:pPr>
              <w:rPr>
                <w:sz w:val="18"/>
                <w:lang w:val="en-US"/>
              </w:rPr>
            </w:pPr>
            <w:r w:rsidRPr="003308DB">
              <w:rPr>
                <w:sz w:val="20"/>
                <w:lang w:val="en-US"/>
              </w:rPr>
              <w:t>www.stat.gov.pl</w:t>
            </w:r>
          </w:p>
        </w:tc>
      </w:tr>
      <w:tr w:rsidR="000470AA" w:rsidRPr="003308DB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Pr="003308DB" w:rsidRDefault="000470AA" w:rsidP="000470AA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:rsidR="000470AA" w:rsidRPr="003308DB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0470AA" w:rsidRPr="003308DB" w:rsidRDefault="000470AA" w:rsidP="000470AA">
            <w:pPr>
              <w:rPr>
                <w:sz w:val="18"/>
                <w:lang w:val="en-US"/>
              </w:rPr>
            </w:pPr>
            <w:r w:rsidRPr="003308DB">
              <w:rPr>
                <w:sz w:val="20"/>
                <w:lang w:val="en-US"/>
              </w:rPr>
              <w:t>@GUS_STAT</w:t>
            </w:r>
          </w:p>
        </w:tc>
      </w:tr>
      <w:tr w:rsidR="000470AA" w:rsidRPr="003308DB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Pr="003308DB" w:rsidRDefault="000470AA" w:rsidP="000470AA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:rsidR="000470AA" w:rsidRPr="003308DB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0470AA" w:rsidRPr="003308DB" w:rsidRDefault="000470AA" w:rsidP="000470AA">
            <w:pPr>
              <w:rPr>
                <w:sz w:val="20"/>
                <w:lang w:val="en-US"/>
              </w:rPr>
            </w:pPr>
            <w:r w:rsidRPr="003308DB">
              <w:rPr>
                <w:sz w:val="20"/>
                <w:lang w:val="en-US"/>
              </w:rPr>
              <w:t>@GlownyUrzadStatystyczny</w:t>
            </w:r>
          </w:p>
        </w:tc>
      </w:tr>
    </w:tbl>
    <w:p w:rsidR="00D261A2" w:rsidRPr="003308DB" w:rsidRDefault="001448A7" w:rsidP="00E76D26">
      <w:pPr>
        <w:rPr>
          <w:sz w:val="18"/>
          <w:lang w:val="en-US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65029F7C" wp14:editId="30AD5002">
                <wp:simplePos x="0" y="0"/>
                <wp:positionH relativeFrom="margin">
                  <wp:posOffset>19229</wp:posOffset>
                </wp:positionH>
                <wp:positionV relativeFrom="paragraph">
                  <wp:posOffset>425682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734C2" w:rsidRDefault="00D734C2" w:rsidP="00AB6D25">
                            <w:pPr>
                              <w:rPr>
                                <w:b/>
                              </w:rPr>
                            </w:pPr>
                          </w:p>
                          <w:p w:rsidR="00D734C2" w:rsidRPr="00C51D06" w:rsidRDefault="00D734C2" w:rsidP="00AB6D25">
                            <w:pPr>
                              <w:rPr>
                                <w:b/>
                              </w:rPr>
                            </w:pPr>
                            <w:r w:rsidRPr="00C51D06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="00D734C2" w:rsidRPr="00AD0C67" w:rsidRDefault="00FE15B4" w:rsidP="009942D1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7" w:history="1">
                              <w:r w:rsidR="00D734C2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Koniunktura w przemyśle, budownictwie, handlu i usługach w październiku 2019 roku</w:t>
                              </w:r>
                            </w:hyperlink>
                          </w:p>
                          <w:p w:rsidR="00D734C2" w:rsidRPr="00AD0C67" w:rsidRDefault="00FE15B4" w:rsidP="009942D1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8" w:history="1">
                              <w:r w:rsidR="00D734C2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Biuletyn Statystyczny Nr 9/2019</w:t>
                              </w:r>
                            </w:hyperlink>
                          </w:p>
                          <w:p w:rsidR="00D734C2" w:rsidRPr="00C51D06" w:rsidRDefault="00D734C2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D734C2" w:rsidRPr="00655E7E" w:rsidRDefault="00D734C2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655E7E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:rsidR="00D734C2" w:rsidRPr="00AD0C67" w:rsidRDefault="00FE15B4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9" w:history="1">
                              <w:r w:rsidR="00D734C2" w:rsidRPr="00AD0C6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Dziedzinowa Baza Wiedzy Warunki Życia Ludności</w:t>
                              </w:r>
                            </w:hyperlink>
                          </w:p>
                          <w:p w:rsidR="00D734C2" w:rsidRPr="00C267CA" w:rsidRDefault="00D734C2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029F7C" id="_x0000_s1033" type="#_x0000_t202" style="position:absolute;margin-left:1.5pt;margin-top:33.5pt;width:516.5pt;height:349.8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" fillcolor="#f2f2f2 [3052]" strokecolor="white [3212]">
                <v:textbox>
                  <w:txbxContent>
                    <w:p w:rsidR="00D734C2" w:rsidRDefault="00D734C2" w:rsidP="00AB6D25">
                      <w:pPr>
                        <w:rPr>
                          <w:b/>
                        </w:rPr>
                      </w:pPr>
                    </w:p>
                    <w:p w:rsidR="00D734C2" w:rsidRPr="00C51D06" w:rsidRDefault="00D734C2" w:rsidP="00AB6D25">
                      <w:pPr>
                        <w:rPr>
                          <w:b/>
                        </w:rPr>
                      </w:pPr>
                      <w:r w:rsidRPr="00C51D06">
                        <w:rPr>
                          <w:b/>
                        </w:rPr>
                        <w:t>Powiązane opracowania</w:t>
                      </w:r>
                    </w:p>
                    <w:p w:rsidR="00D734C2" w:rsidRPr="00AD0C67" w:rsidRDefault="00D734C2" w:rsidP="009942D1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0" w:history="1">
                        <w:r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Koniunktura w przemyśle, budownictwie, handlu i usługach w październiku 2019 roku</w:t>
                        </w:r>
                      </w:hyperlink>
                    </w:p>
                    <w:p w:rsidR="00D734C2" w:rsidRPr="00AD0C67" w:rsidRDefault="00D734C2" w:rsidP="009942D1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1" w:history="1">
                        <w:r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Biuletyn Statystyczny Nr 9/2019</w:t>
                        </w:r>
                      </w:hyperlink>
                    </w:p>
                    <w:p w:rsidR="00D734C2" w:rsidRPr="00C51D06" w:rsidRDefault="00D734C2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D734C2" w:rsidRPr="00655E7E" w:rsidRDefault="00D734C2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655E7E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:rsidR="00D734C2" w:rsidRPr="00AD0C67" w:rsidRDefault="00D734C2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2" w:history="1">
                        <w:r w:rsidRPr="00AD0C6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Dziedzinowa Baza Wiedzy Warunki Życia Ludności</w:t>
                        </w:r>
                      </w:hyperlink>
                    </w:p>
                    <w:p w:rsidR="00D734C2" w:rsidRPr="00C267CA" w:rsidRDefault="00D734C2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3308DB" w:rsidSect="003B18B6">
      <w:headerReference w:type="default" r:id="rId33"/>
      <w:footerReference w:type="default" r:id="rId34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15B4" w:rsidRDefault="00FE15B4" w:rsidP="000662E2">
      <w:pPr>
        <w:spacing w:after="0" w:line="240" w:lineRule="auto"/>
      </w:pPr>
      <w:r>
        <w:separator/>
      </w:r>
    </w:p>
  </w:endnote>
  <w:endnote w:type="continuationSeparator" w:id="0">
    <w:p w:rsidR="00FE15B4" w:rsidRDefault="00FE15B4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altName w:val="Arial"/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95213403"/>
      <w:docPartObj>
        <w:docPartGallery w:val="Page Numbers (Bottom of Page)"/>
        <w:docPartUnique/>
      </w:docPartObj>
    </w:sdtPr>
    <w:sdtEndPr/>
    <w:sdtContent>
      <w:p w:rsidR="00D734C2" w:rsidRDefault="00D734C2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02342">
          <w:rPr>
            <w:noProof/>
          </w:rPr>
          <w:t>5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Fira Sans" w:hAnsi="Fira Sans" w:cstheme="minorBidi"/>
        <w:color w:val="auto"/>
        <w:sz w:val="19"/>
        <w:szCs w:val="22"/>
      </w:rPr>
      <w:id w:val="1499692559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="00D734C2" w:rsidRPr="00A518FC" w:rsidRDefault="00D734C2" w:rsidP="00A518FC">
        <w:pPr>
          <w:pStyle w:val="Default"/>
          <w:rPr>
            <w:rFonts w:ascii="Fira Sans" w:hAnsi="Fira Sans" w:cs="Fira Sans"/>
            <w:sz w:val="16"/>
            <w:szCs w:val="16"/>
          </w:rPr>
        </w:pPr>
      </w:p>
      <w:p w:rsidR="00D734C2" w:rsidRPr="00A518FC" w:rsidRDefault="00D734C2" w:rsidP="003B18B6">
        <w:pPr>
          <w:pStyle w:val="Stopka"/>
          <w:jc w:val="center"/>
          <w:rPr>
            <w:sz w:val="16"/>
            <w:szCs w:val="16"/>
          </w:rPr>
        </w:pPr>
        <w:r w:rsidRPr="00A518FC">
          <w:rPr>
            <w:sz w:val="16"/>
            <w:szCs w:val="16"/>
          </w:rPr>
          <w:fldChar w:fldCharType="begin"/>
        </w:r>
        <w:r w:rsidRPr="00A518FC">
          <w:rPr>
            <w:sz w:val="16"/>
            <w:szCs w:val="16"/>
          </w:rPr>
          <w:instrText>PAGE   \* MERGEFORMAT</w:instrText>
        </w:r>
        <w:r w:rsidRPr="00A518FC">
          <w:rPr>
            <w:sz w:val="16"/>
            <w:szCs w:val="16"/>
          </w:rPr>
          <w:fldChar w:fldCharType="separate"/>
        </w:r>
        <w:r w:rsidR="00F02342">
          <w:rPr>
            <w:noProof/>
            <w:sz w:val="16"/>
            <w:szCs w:val="16"/>
          </w:rPr>
          <w:t>1</w:t>
        </w:r>
        <w:r w:rsidRPr="00A518FC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:rsidR="00D734C2" w:rsidRDefault="00D734C2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02342">
          <w:rPr>
            <w:noProof/>
          </w:rPr>
          <w:t>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15B4" w:rsidRDefault="00FE15B4" w:rsidP="000662E2">
      <w:pPr>
        <w:spacing w:after="0" w:line="240" w:lineRule="auto"/>
      </w:pPr>
      <w:r>
        <w:separator/>
      </w:r>
    </w:p>
  </w:footnote>
  <w:footnote w:type="continuationSeparator" w:id="0">
    <w:p w:rsidR="00FE15B4" w:rsidRDefault="00FE15B4" w:rsidP="000662E2">
      <w:pPr>
        <w:spacing w:after="0" w:line="240" w:lineRule="auto"/>
      </w:pPr>
      <w:r>
        <w:continuationSeparator/>
      </w:r>
    </w:p>
  </w:footnote>
  <w:footnote w:id="1">
    <w:p w:rsidR="00D734C2" w:rsidRDefault="00D734C2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A518FC">
        <w:rPr>
          <w:rFonts w:cs="Fira Sans"/>
          <w:sz w:val="16"/>
          <w:szCs w:val="16"/>
        </w:rPr>
        <w:t xml:space="preserve">Obydwa wskaźniki ufności konsumenckiej mogą przyjmować wartości od –100 do +100. Wartość dodatnia oznacza przewagę liczebną konsumentów nastawionych optymistycznie nad konsumentami nastawionymi pesymistycznie, natomiast wartość ujemna oznacza przewagę liczebną konsumentów nastawionych pesymistycznie nad konsumentami nastawionymi optymistycznie. </w:t>
      </w:r>
      <w:r w:rsidRPr="00A518FC">
        <w:rPr>
          <w:noProof/>
          <w:sz w:val="16"/>
          <w:szCs w:val="16"/>
        </w:rPr>
        <w:t>W</w:t>
      </w:r>
      <w:r>
        <w:rPr>
          <w:noProof/>
          <w:sz w:val="16"/>
          <w:szCs w:val="16"/>
        </w:rPr>
        <w:t xml:space="preserve"> listopadzie 2019 r. przeprowadzono 1234 wywiady</w:t>
      </w:r>
      <w:r w:rsidRPr="00A518FC">
        <w:rPr>
          <w:noProof/>
          <w:sz w:val="16"/>
          <w:szCs w:val="16"/>
        </w:rPr>
        <w:t xml:space="preserve"> w okresie 0</w:t>
      </w:r>
      <w:r>
        <w:rPr>
          <w:noProof/>
          <w:sz w:val="16"/>
          <w:szCs w:val="16"/>
        </w:rPr>
        <w:t>4-14.11.2019 r. (w tym 74</w:t>
      </w:r>
      <w:r w:rsidRPr="00A518FC">
        <w:rPr>
          <w:noProof/>
          <w:sz w:val="16"/>
          <w:szCs w:val="16"/>
        </w:rPr>
        <w:t xml:space="preserve"> metodą CATI – wywiadu telefonicznego wspomaganego komputerowo).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34C2" w:rsidRDefault="00D734C2">
    <w:pPr>
      <w:pStyle w:val="Nagwek"/>
    </w:pPr>
  </w:p>
  <w:p w:rsidR="00D734C2" w:rsidRDefault="00D734C2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0ADAE8A4" wp14:editId="0B1BA157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3D10F4F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34C2" w:rsidRDefault="00D734C2">
    <w:pPr>
      <w:pStyle w:val="Nagwek"/>
      <w:rPr>
        <w:noProof/>
        <w:lang w:eastAsia="pl-PL"/>
      </w:rPr>
    </w:pPr>
    <w:r>
      <w:rPr>
        <w:noProof/>
        <w:lang w:eastAsia="pl-PL"/>
      </w:rPr>
      <w:drawing>
        <wp:inline distT="0" distB="0" distL="0" distR="0" wp14:anchorId="09EB41A1" wp14:editId="214175D6">
          <wp:extent cx="1153274" cy="720000"/>
          <wp:effectExtent l="0" t="0" r="0" b="4445"/>
          <wp:docPr id="19" name="Obraz 19" descr="logog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0A6F80E9" wp14:editId="72B13366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D734C2" w:rsidRPr="003C6C8D" w:rsidRDefault="00D734C2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A6F80E9" id="Schemat blokowy: opóźnienie 6" o:spid="_x0000_s1034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D734C2" w:rsidRPr="003C6C8D" w:rsidRDefault="00D734C2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222D3DA2" wp14:editId="3CA2341D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C6DAABA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</w:p>
  <w:p w:rsidR="00D734C2" w:rsidRDefault="00D734C2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10608F51" wp14:editId="6366C388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34C2" w:rsidRPr="00C97596" w:rsidRDefault="00D734C2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21.11.2019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0608F51"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:rsidR="00D734C2" w:rsidRPr="00C97596" w:rsidRDefault="00D734C2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21.11.2019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34C2" w:rsidRDefault="00D734C2">
    <w:pPr>
      <w:pStyle w:val="Nagwek"/>
    </w:pPr>
  </w:p>
  <w:p w:rsidR="00D734C2" w:rsidRDefault="00D734C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pt;height:125.3pt;visibility:visible;mso-wrap-style:square" o:bullet="t">
        <v:imagedata r:id="rId1" o:title=""/>
      </v:shape>
    </w:pict>
  </w:numPicBullet>
  <w:numPicBullet w:numPicBulletId="1">
    <w:pict>
      <v:shape id="_x0000_i1029" type="#_x0000_t75" style="width:123.6pt;height:125.3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3ACF487E"/>
    <w:multiLevelType w:val="hybridMultilevel"/>
    <w:tmpl w:val="8FB6CCC2"/>
    <w:lvl w:ilvl="0" w:tplc="D08E87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08E433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770CB7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A0478B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A56943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51A118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868729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3DA8DC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7C07D1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4E3D4E0D"/>
    <w:multiLevelType w:val="hybridMultilevel"/>
    <w:tmpl w:val="0D5CF88A"/>
    <w:lvl w:ilvl="0" w:tplc="4D10BA6C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0A6C55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AD4A1A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A807B8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5DCE1F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05E24A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E66F1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8382D6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2FAB53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709F"/>
    <w:rsid w:val="000108B8"/>
    <w:rsid w:val="00014DB7"/>
    <w:rsid w:val="000152F5"/>
    <w:rsid w:val="00034768"/>
    <w:rsid w:val="00040B33"/>
    <w:rsid w:val="00041798"/>
    <w:rsid w:val="0004582E"/>
    <w:rsid w:val="000470AA"/>
    <w:rsid w:val="00047B35"/>
    <w:rsid w:val="00050829"/>
    <w:rsid w:val="00051607"/>
    <w:rsid w:val="00051E07"/>
    <w:rsid w:val="00053B77"/>
    <w:rsid w:val="00057CA1"/>
    <w:rsid w:val="000662E2"/>
    <w:rsid w:val="00066883"/>
    <w:rsid w:val="00072F74"/>
    <w:rsid w:val="00074DD8"/>
    <w:rsid w:val="00075F14"/>
    <w:rsid w:val="000806E2"/>
    <w:rsid w:val="000806F7"/>
    <w:rsid w:val="00082E10"/>
    <w:rsid w:val="00086288"/>
    <w:rsid w:val="00087858"/>
    <w:rsid w:val="00092075"/>
    <w:rsid w:val="00092223"/>
    <w:rsid w:val="00094173"/>
    <w:rsid w:val="00096100"/>
    <w:rsid w:val="00097840"/>
    <w:rsid w:val="000A2240"/>
    <w:rsid w:val="000A296E"/>
    <w:rsid w:val="000A65A9"/>
    <w:rsid w:val="000B0727"/>
    <w:rsid w:val="000B0D27"/>
    <w:rsid w:val="000B5253"/>
    <w:rsid w:val="000B747E"/>
    <w:rsid w:val="000C135D"/>
    <w:rsid w:val="000C5F1F"/>
    <w:rsid w:val="000C7931"/>
    <w:rsid w:val="000D0352"/>
    <w:rsid w:val="000D1D43"/>
    <w:rsid w:val="000D225C"/>
    <w:rsid w:val="000D29F7"/>
    <w:rsid w:val="000D2A5C"/>
    <w:rsid w:val="000E0918"/>
    <w:rsid w:val="000E2680"/>
    <w:rsid w:val="000E3CBF"/>
    <w:rsid w:val="000E60B4"/>
    <w:rsid w:val="000E615F"/>
    <w:rsid w:val="000F55BC"/>
    <w:rsid w:val="001011C3"/>
    <w:rsid w:val="001070E2"/>
    <w:rsid w:val="00107A73"/>
    <w:rsid w:val="00110D87"/>
    <w:rsid w:val="00113C04"/>
    <w:rsid w:val="00114DB9"/>
    <w:rsid w:val="0011502A"/>
    <w:rsid w:val="00116087"/>
    <w:rsid w:val="001174F6"/>
    <w:rsid w:val="0012106E"/>
    <w:rsid w:val="00124C75"/>
    <w:rsid w:val="001258BC"/>
    <w:rsid w:val="00130296"/>
    <w:rsid w:val="00131F96"/>
    <w:rsid w:val="0013245A"/>
    <w:rsid w:val="00133BFC"/>
    <w:rsid w:val="001423B6"/>
    <w:rsid w:val="00142BFC"/>
    <w:rsid w:val="001448A7"/>
    <w:rsid w:val="00146621"/>
    <w:rsid w:val="0015506A"/>
    <w:rsid w:val="00162325"/>
    <w:rsid w:val="00162C4B"/>
    <w:rsid w:val="00163353"/>
    <w:rsid w:val="0016456B"/>
    <w:rsid w:val="001646FD"/>
    <w:rsid w:val="00171469"/>
    <w:rsid w:val="00173149"/>
    <w:rsid w:val="00181035"/>
    <w:rsid w:val="00181CBC"/>
    <w:rsid w:val="001825B1"/>
    <w:rsid w:val="00183CE4"/>
    <w:rsid w:val="00192832"/>
    <w:rsid w:val="001951DA"/>
    <w:rsid w:val="00197987"/>
    <w:rsid w:val="00197B94"/>
    <w:rsid w:val="001A0AD3"/>
    <w:rsid w:val="001A671B"/>
    <w:rsid w:val="001A6ED5"/>
    <w:rsid w:val="001A7D81"/>
    <w:rsid w:val="001B5A4C"/>
    <w:rsid w:val="001C1E98"/>
    <w:rsid w:val="001C2D33"/>
    <w:rsid w:val="001C3269"/>
    <w:rsid w:val="001C32FE"/>
    <w:rsid w:val="001C42EB"/>
    <w:rsid w:val="001C6EBA"/>
    <w:rsid w:val="001C7BD5"/>
    <w:rsid w:val="001D1DB4"/>
    <w:rsid w:val="001D2AA0"/>
    <w:rsid w:val="001D5FC6"/>
    <w:rsid w:val="001D7E17"/>
    <w:rsid w:val="001F19A3"/>
    <w:rsid w:val="001F2A20"/>
    <w:rsid w:val="00205B38"/>
    <w:rsid w:val="00210F89"/>
    <w:rsid w:val="002115FD"/>
    <w:rsid w:val="00213881"/>
    <w:rsid w:val="00214086"/>
    <w:rsid w:val="00216D8F"/>
    <w:rsid w:val="00217B26"/>
    <w:rsid w:val="002220A6"/>
    <w:rsid w:val="0022352C"/>
    <w:rsid w:val="002253F4"/>
    <w:rsid w:val="00227C24"/>
    <w:rsid w:val="002331F6"/>
    <w:rsid w:val="00236A7C"/>
    <w:rsid w:val="00240B8D"/>
    <w:rsid w:val="00255158"/>
    <w:rsid w:val="002570E8"/>
    <w:rsid w:val="002574F9"/>
    <w:rsid w:val="00262B61"/>
    <w:rsid w:val="00262E7F"/>
    <w:rsid w:val="00273134"/>
    <w:rsid w:val="00276811"/>
    <w:rsid w:val="00276A4D"/>
    <w:rsid w:val="00276FE7"/>
    <w:rsid w:val="00277159"/>
    <w:rsid w:val="00282699"/>
    <w:rsid w:val="002830B9"/>
    <w:rsid w:val="00284618"/>
    <w:rsid w:val="00285ED8"/>
    <w:rsid w:val="002926DF"/>
    <w:rsid w:val="0029516C"/>
    <w:rsid w:val="002964C3"/>
    <w:rsid w:val="00296697"/>
    <w:rsid w:val="002971E7"/>
    <w:rsid w:val="002A3665"/>
    <w:rsid w:val="002B0472"/>
    <w:rsid w:val="002B2112"/>
    <w:rsid w:val="002B21C8"/>
    <w:rsid w:val="002B6B12"/>
    <w:rsid w:val="002C458A"/>
    <w:rsid w:val="002C58BA"/>
    <w:rsid w:val="002D4281"/>
    <w:rsid w:val="002D5918"/>
    <w:rsid w:val="002D77BE"/>
    <w:rsid w:val="002E0940"/>
    <w:rsid w:val="002E0EE3"/>
    <w:rsid w:val="002E14C1"/>
    <w:rsid w:val="002E3621"/>
    <w:rsid w:val="002E6140"/>
    <w:rsid w:val="002E6985"/>
    <w:rsid w:val="002E6D6C"/>
    <w:rsid w:val="002E71B6"/>
    <w:rsid w:val="002F027A"/>
    <w:rsid w:val="002F22D2"/>
    <w:rsid w:val="002F5124"/>
    <w:rsid w:val="002F77C8"/>
    <w:rsid w:val="0030476F"/>
    <w:rsid w:val="00304F22"/>
    <w:rsid w:val="00306C7C"/>
    <w:rsid w:val="00320B84"/>
    <w:rsid w:val="003222A9"/>
    <w:rsid w:val="00322EDD"/>
    <w:rsid w:val="00326E56"/>
    <w:rsid w:val="003308DB"/>
    <w:rsid w:val="00331879"/>
    <w:rsid w:val="00332320"/>
    <w:rsid w:val="003346B1"/>
    <w:rsid w:val="003350E9"/>
    <w:rsid w:val="00335B46"/>
    <w:rsid w:val="00340D65"/>
    <w:rsid w:val="00341AC1"/>
    <w:rsid w:val="00345AB6"/>
    <w:rsid w:val="0034608E"/>
    <w:rsid w:val="00347D72"/>
    <w:rsid w:val="00351316"/>
    <w:rsid w:val="0035420B"/>
    <w:rsid w:val="00357611"/>
    <w:rsid w:val="0036042D"/>
    <w:rsid w:val="00360663"/>
    <w:rsid w:val="00361619"/>
    <w:rsid w:val="00361B86"/>
    <w:rsid w:val="003632BA"/>
    <w:rsid w:val="00363703"/>
    <w:rsid w:val="00365786"/>
    <w:rsid w:val="00367237"/>
    <w:rsid w:val="003701DE"/>
    <w:rsid w:val="0037077F"/>
    <w:rsid w:val="00372411"/>
    <w:rsid w:val="00373882"/>
    <w:rsid w:val="003740B0"/>
    <w:rsid w:val="00377B67"/>
    <w:rsid w:val="00380064"/>
    <w:rsid w:val="00380DFD"/>
    <w:rsid w:val="003843DB"/>
    <w:rsid w:val="00384F1C"/>
    <w:rsid w:val="00386E30"/>
    <w:rsid w:val="00391C97"/>
    <w:rsid w:val="00393761"/>
    <w:rsid w:val="00393F64"/>
    <w:rsid w:val="00394115"/>
    <w:rsid w:val="00396FC5"/>
    <w:rsid w:val="00397D18"/>
    <w:rsid w:val="003A0714"/>
    <w:rsid w:val="003A1B36"/>
    <w:rsid w:val="003A3169"/>
    <w:rsid w:val="003B1454"/>
    <w:rsid w:val="003B18B6"/>
    <w:rsid w:val="003B3271"/>
    <w:rsid w:val="003C019D"/>
    <w:rsid w:val="003C1941"/>
    <w:rsid w:val="003C2E08"/>
    <w:rsid w:val="003C59E0"/>
    <w:rsid w:val="003C5D47"/>
    <w:rsid w:val="003C6C8D"/>
    <w:rsid w:val="003C6EFB"/>
    <w:rsid w:val="003C78F1"/>
    <w:rsid w:val="003D01F8"/>
    <w:rsid w:val="003D4D7F"/>
    <w:rsid w:val="003D4F95"/>
    <w:rsid w:val="003D57EF"/>
    <w:rsid w:val="003D5F42"/>
    <w:rsid w:val="003D60A9"/>
    <w:rsid w:val="003E5F73"/>
    <w:rsid w:val="003E6677"/>
    <w:rsid w:val="003F153D"/>
    <w:rsid w:val="003F404F"/>
    <w:rsid w:val="003F450F"/>
    <w:rsid w:val="003F4C97"/>
    <w:rsid w:val="003F514B"/>
    <w:rsid w:val="003F6DBB"/>
    <w:rsid w:val="003F7FE6"/>
    <w:rsid w:val="00400193"/>
    <w:rsid w:val="004013C9"/>
    <w:rsid w:val="00401F1A"/>
    <w:rsid w:val="00406761"/>
    <w:rsid w:val="00407D88"/>
    <w:rsid w:val="004151AC"/>
    <w:rsid w:val="004212E7"/>
    <w:rsid w:val="0042446D"/>
    <w:rsid w:val="004266E2"/>
    <w:rsid w:val="00427BF8"/>
    <w:rsid w:val="00431318"/>
    <w:rsid w:val="00431C02"/>
    <w:rsid w:val="00434891"/>
    <w:rsid w:val="00436D99"/>
    <w:rsid w:val="00437395"/>
    <w:rsid w:val="0044211B"/>
    <w:rsid w:val="004423BF"/>
    <w:rsid w:val="00445047"/>
    <w:rsid w:val="00450D53"/>
    <w:rsid w:val="00452AE6"/>
    <w:rsid w:val="00454AB8"/>
    <w:rsid w:val="00460614"/>
    <w:rsid w:val="00462C73"/>
    <w:rsid w:val="004631AB"/>
    <w:rsid w:val="00463E39"/>
    <w:rsid w:val="004657FC"/>
    <w:rsid w:val="00465D66"/>
    <w:rsid w:val="00466732"/>
    <w:rsid w:val="0046695F"/>
    <w:rsid w:val="004733F6"/>
    <w:rsid w:val="00474E69"/>
    <w:rsid w:val="004750B3"/>
    <w:rsid w:val="00475774"/>
    <w:rsid w:val="00475BA8"/>
    <w:rsid w:val="0047601B"/>
    <w:rsid w:val="00477386"/>
    <w:rsid w:val="00477E44"/>
    <w:rsid w:val="00483BB4"/>
    <w:rsid w:val="00486E1D"/>
    <w:rsid w:val="0049621B"/>
    <w:rsid w:val="00496F49"/>
    <w:rsid w:val="0049754B"/>
    <w:rsid w:val="004A104D"/>
    <w:rsid w:val="004A2D43"/>
    <w:rsid w:val="004B0AE4"/>
    <w:rsid w:val="004B194F"/>
    <w:rsid w:val="004B2FF7"/>
    <w:rsid w:val="004B587A"/>
    <w:rsid w:val="004B707D"/>
    <w:rsid w:val="004B7496"/>
    <w:rsid w:val="004C1895"/>
    <w:rsid w:val="004C2109"/>
    <w:rsid w:val="004C515F"/>
    <w:rsid w:val="004C5E33"/>
    <w:rsid w:val="004C6D40"/>
    <w:rsid w:val="004C78A8"/>
    <w:rsid w:val="004D268C"/>
    <w:rsid w:val="004D4078"/>
    <w:rsid w:val="004D6152"/>
    <w:rsid w:val="004E312A"/>
    <w:rsid w:val="004E464A"/>
    <w:rsid w:val="004E61ED"/>
    <w:rsid w:val="004E6889"/>
    <w:rsid w:val="004F0C3C"/>
    <w:rsid w:val="004F177F"/>
    <w:rsid w:val="004F24C3"/>
    <w:rsid w:val="004F56E4"/>
    <w:rsid w:val="004F57F5"/>
    <w:rsid w:val="004F63FC"/>
    <w:rsid w:val="004F7BB4"/>
    <w:rsid w:val="00500308"/>
    <w:rsid w:val="00500D94"/>
    <w:rsid w:val="00503CEF"/>
    <w:rsid w:val="00504868"/>
    <w:rsid w:val="005049F9"/>
    <w:rsid w:val="00505A92"/>
    <w:rsid w:val="00505EA2"/>
    <w:rsid w:val="0051042A"/>
    <w:rsid w:val="00510D9A"/>
    <w:rsid w:val="0051777B"/>
    <w:rsid w:val="005203F1"/>
    <w:rsid w:val="00521BC3"/>
    <w:rsid w:val="005249E0"/>
    <w:rsid w:val="00525DC6"/>
    <w:rsid w:val="0052620B"/>
    <w:rsid w:val="00526FE9"/>
    <w:rsid w:val="00527156"/>
    <w:rsid w:val="00527458"/>
    <w:rsid w:val="00530074"/>
    <w:rsid w:val="00531FE8"/>
    <w:rsid w:val="00533632"/>
    <w:rsid w:val="005336B5"/>
    <w:rsid w:val="00534B5E"/>
    <w:rsid w:val="005357E1"/>
    <w:rsid w:val="00536467"/>
    <w:rsid w:val="0053753D"/>
    <w:rsid w:val="00541E6E"/>
    <w:rsid w:val="00542145"/>
    <w:rsid w:val="0054251F"/>
    <w:rsid w:val="00542EAD"/>
    <w:rsid w:val="005479B1"/>
    <w:rsid w:val="005520D8"/>
    <w:rsid w:val="00555B7A"/>
    <w:rsid w:val="00555E43"/>
    <w:rsid w:val="00555F04"/>
    <w:rsid w:val="00556CF1"/>
    <w:rsid w:val="00561BB7"/>
    <w:rsid w:val="005626C0"/>
    <w:rsid w:val="00562D79"/>
    <w:rsid w:val="00562F4D"/>
    <w:rsid w:val="0057036A"/>
    <w:rsid w:val="005762A7"/>
    <w:rsid w:val="00581651"/>
    <w:rsid w:val="005856AC"/>
    <w:rsid w:val="00586EB0"/>
    <w:rsid w:val="005916D7"/>
    <w:rsid w:val="005930D9"/>
    <w:rsid w:val="00597C1D"/>
    <w:rsid w:val="005A36AA"/>
    <w:rsid w:val="005A3A95"/>
    <w:rsid w:val="005A3ED2"/>
    <w:rsid w:val="005A653B"/>
    <w:rsid w:val="005A698C"/>
    <w:rsid w:val="005A730E"/>
    <w:rsid w:val="005B2AAE"/>
    <w:rsid w:val="005B3A86"/>
    <w:rsid w:val="005B5D8A"/>
    <w:rsid w:val="005C433F"/>
    <w:rsid w:val="005C5FBD"/>
    <w:rsid w:val="005D6D73"/>
    <w:rsid w:val="005E0799"/>
    <w:rsid w:val="005E0B91"/>
    <w:rsid w:val="005E4C0B"/>
    <w:rsid w:val="005F0D73"/>
    <w:rsid w:val="005F40EF"/>
    <w:rsid w:val="005F41C9"/>
    <w:rsid w:val="005F4C4B"/>
    <w:rsid w:val="005F4EA6"/>
    <w:rsid w:val="005F5A80"/>
    <w:rsid w:val="005F6626"/>
    <w:rsid w:val="00600F7B"/>
    <w:rsid w:val="006044FF"/>
    <w:rsid w:val="0060556B"/>
    <w:rsid w:val="00607CC5"/>
    <w:rsid w:val="0061571C"/>
    <w:rsid w:val="00617810"/>
    <w:rsid w:val="00621090"/>
    <w:rsid w:val="00621808"/>
    <w:rsid w:val="0062592E"/>
    <w:rsid w:val="006265B8"/>
    <w:rsid w:val="00633014"/>
    <w:rsid w:val="0063437B"/>
    <w:rsid w:val="006351EC"/>
    <w:rsid w:val="006404CD"/>
    <w:rsid w:val="0064135C"/>
    <w:rsid w:val="006456D4"/>
    <w:rsid w:val="006508EE"/>
    <w:rsid w:val="00651FDC"/>
    <w:rsid w:val="006537BC"/>
    <w:rsid w:val="00654B4D"/>
    <w:rsid w:val="00655E7E"/>
    <w:rsid w:val="00656AE2"/>
    <w:rsid w:val="00657E03"/>
    <w:rsid w:val="00661090"/>
    <w:rsid w:val="00661ECB"/>
    <w:rsid w:val="006623F1"/>
    <w:rsid w:val="00663D48"/>
    <w:rsid w:val="00664D0E"/>
    <w:rsid w:val="00665EB3"/>
    <w:rsid w:val="00666F48"/>
    <w:rsid w:val="006673CA"/>
    <w:rsid w:val="00672418"/>
    <w:rsid w:val="00673C26"/>
    <w:rsid w:val="00676474"/>
    <w:rsid w:val="006765B6"/>
    <w:rsid w:val="006812AF"/>
    <w:rsid w:val="0068327D"/>
    <w:rsid w:val="00691D5B"/>
    <w:rsid w:val="00694AF0"/>
    <w:rsid w:val="00695B50"/>
    <w:rsid w:val="006962BC"/>
    <w:rsid w:val="00696B93"/>
    <w:rsid w:val="006A4686"/>
    <w:rsid w:val="006A6AAA"/>
    <w:rsid w:val="006A745A"/>
    <w:rsid w:val="006B0D09"/>
    <w:rsid w:val="006B0E9E"/>
    <w:rsid w:val="006B4CE8"/>
    <w:rsid w:val="006B509A"/>
    <w:rsid w:val="006B5AE4"/>
    <w:rsid w:val="006B60E1"/>
    <w:rsid w:val="006C105E"/>
    <w:rsid w:val="006C154F"/>
    <w:rsid w:val="006C35F4"/>
    <w:rsid w:val="006C4C37"/>
    <w:rsid w:val="006C62EA"/>
    <w:rsid w:val="006C6C8B"/>
    <w:rsid w:val="006D1507"/>
    <w:rsid w:val="006D4054"/>
    <w:rsid w:val="006D5FA7"/>
    <w:rsid w:val="006D6C0E"/>
    <w:rsid w:val="006E02EC"/>
    <w:rsid w:val="006E449A"/>
    <w:rsid w:val="006E5948"/>
    <w:rsid w:val="006F05D5"/>
    <w:rsid w:val="006F6C7D"/>
    <w:rsid w:val="006F7B71"/>
    <w:rsid w:val="007004AD"/>
    <w:rsid w:val="00707207"/>
    <w:rsid w:val="00707637"/>
    <w:rsid w:val="00707CA9"/>
    <w:rsid w:val="00710607"/>
    <w:rsid w:val="00711590"/>
    <w:rsid w:val="00712785"/>
    <w:rsid w:val="00712B2A"/>
    <w:rsid w:val="0071553E"/>
    <w:rsid w:val="00715683"/>
    <w:rsid w:val="007211B1"/>
    <w:rsid w:val="00724A5A"/>
    <w:rsid w:val="00724C09"/>
    <w:rsid w:val="007316C5"/>
    <w:rsid w:val="00733E2E"/>
    <w:rsid w:val="0074121C"/>
    <w:rsid w:val="00743028"/>
    <w:rsid w:val="007443DC"/>
    <w:rsid w:val="00744F8A"/>
    <w:rsid w:val="00745D81"/>
    <w:rsid w:val="00746187"/>
    <w:rsid w:val="0076254F"/>
    <w:rsid w:val="00764E2D"/>
    <w:rsid w:val="00775052"/>
    <w:rsid w:val="00776AD6"/>
    <w:rsid w:val="00780119"/>
    <w:rsid w:val="007801F5"/>
    <w:rsid w:val="00780EB6"/>
    <w:rsid w:val="00781AED"/>
    <w:rsid w:val="007820A2"/>
    <w:rsid w:val="00783CA4"/>
    <w:rsid w:val="007842FB"/>
    <w:rsid w:val="00785650"/>
    <w:rsid w:val="00786124"/>
    <w:rsid w:val="0079514B"/>
    <w:rsid w:val="00795825"/>
    <w:rsid w:val="0079706E"/>
    <w:rsid w:val="0079799F"/>
    <w:rsid w:val="007A0DC8"/>
    <w:rsid w:val="007A2DC1"/>
    <w:rsid w:val="007A7B28"/>
    <w:rsid w:val="007B34B7"/>
    <w:rsid w:val="007B7753"/>
    <w:rsid w:val="007C070C"/>
    <w:rsid w:val="007C3F8C"/>
    <w:rsid w:val="007D1F0E"/>
    <w:rsid w:val="007D3319"/>
    <w:rsid w:val="007D335D"/>
    <w:rsid w:val="007D569B"/>
    <w:rsid w:val="007D57F9"/>
    <w:rsid w:val="007D5BFA"/>
    <w:rsid w:val="007D6F6F"/>
    <w:rsid w:val="007E3314"/>
    <w:rsid w:val="007E4B03"/>
    <w:rsid w:val="007E58C7"/>
    <w:rsid w:val="007F324B"/>
    <w:rsid w:val="007F4E3D"/>
    <w:rsid w:val="007F677C"/>
    <w:rsid w:val="00800949"/>
    <w:rsid w:val="00801B02"/>
    <w:rsid w:val="0080234D"/>
    <w:rsid w:val="008024D9"/>
    <w:rsid w:val="0080553C"/>
    <w:rsid w:val="00805B46"/>
    <w:rsid w:val="008063C9"/>
    <w:rsid w:val="008118C7"/>
    <w:rsid w:val="00812A08"/>
    <w:rsid w:val="00813134"/>
    <w:rsid w:val="00817BBB"/>
    <w:rsid w:val="0082137A"/>
    <w:rsid w:val="0082262A"/>
    <w:rsid w:val="0082320B"/>
    <w:rsid w:val="0082543E"/>
    <w:rsid w:val="00825DC2"/>
    <w:rsid w:val="00826E3B"/>
    <w:rsid w:val="00834AD3"/>
    <w:rsid w:val="00836863"/>
    <w:rsid w:val="00843795"/>
    <w:rsid w:val="00847F0F"/>
    <w:rsid w:val="00852330"/>
    <w:rsid w:val="0085237B"/>
    <w:rsid w:val="00852448"/>
    <w:rsid w:val="0085474D"/>
    <w:rsid w:val="008636BC"/>
    <w:rsid w:val="00866947"/>
    <w:rsid w:val="008822CB"/>
    <w:rsid w:val="0088258A"/>
    <w:rsid w:val="008837AF"/>
    <w:rsid w:val="00886332"/>
    <w:rsid w:val="00886CAB"/>
    <w:rsid w:val="0088758F"/>
    <w:rsid w:val="00887A82"/>
    <w:rsid w:val="008908A3"/>
    <w:rsid w:val="00891FF7"/>
    <w:rsid w:val="008931C4"/>
    <w:rsid w:val="008934C4"/>
    <w:rsid w:val="008942E6"/>
    <w:rsid w:val="00896F40"/>
    <w:rsid w:val="00897772"/>
    <w:rsid w:val="008979AA"/>
    <w:rsid w:val="008A1D0D"/>
    <w:rsid w:val="008A26D9"/>
    <w:rsid w:val="008A2F86"/>
    <w:rsid w:val="008A3E99"/>
    <w:rsid w:val="008B2416"/>
    <w:rsid w:val="008B77C0"/>
    <w:rsid w:val="008C0A59"/>
    <w:rsid w:val="008C0C29"/>
    <w:rsid w:val="008C2B4B"/>
    <w:rsid w:val="008D066B"/>
    <w:rsid w:val="008D0ED7"/>
    <w:rsid w:val="008D4B7E"/>
    <w:rsid w:val="008D61B1"/>
    <w:rsid w:val="008E39CE"/>
    <w:rsid w:val="008E3D66"/>
    <w:rsid w:val="008E75B8"/>
    <w:rsid w:val="008F3638"/>
    <w:rsid w:val="008F4441"/>
    <w:rsid w:val="008F6F31"/>
    <w:rsid w:val="008F74DF"/>
    <w:rsid w:val="0090176A"/>
    <w:rsid w:val="0090561C"/>
    <w:rsid w:val="00906B4E"/>
    <w:rsid w:val="00907522"/>
    <w:rsid w:val="009127BA"/>
    <w:rsid w:val="0091301E"/>
    <w:rsid w:val="00914E6D"/>
    <w:rsid w:val="009227A6"/>
    <w:rsid w:val="00923642"/>
    <w:rsid w:val="00924F4C"/>
    <w:rsid w:val="00931755"/>
    <w:rsid w:val="00933EC1"/>
    <w:rsid w:val="0093660E"/>
    <w:rsid w:val="00942142"/>
    <w:rsid w:val="009508AE"/>
    <w:rsid w:val="009530DB"/>
    <w:rsid w:val="00953676"/>
    <w:rsid w:val="009540D5"/>
    <w:rsid w:val="009551C9"/>
    <w:rsid w:val="009570BF"/>
    <w:rsid w:val="009601C9"/>
    <w:rsid w:val="00967DF8"/>
    <w:rsid w:val="009705EE"/>
    <w:rsid w:val="00974CCD"/>
    <w:rsid w:val="00977927"/>
    <w:rsid w:val="0098135C"/>
    <w:rsid w:val="0098156A"/>
    <w:rsid w:val="00991BAC"/>
    <w:rsid w:val="009942D1"/>
    <w:rsid w:val="009950DE"/>
    <w:rsid w:val="00997879"/>
    <w:rsid w:val="009A283D"/>
    <w:rsid w:val="009A2905"/>
    <w:rsid w:val="009A5A6D"/>
    <w:rsid w:val="009A6EA0"/>
    <w:rsid w:val="009B171E"/>
    <w:rsid w:val="009C1335"/>
    <w:rsid w:val="009C162D"/>
    <w:rsid w:val="009C1AB2"/>
    <w:rsid w:val="009C2E5B"/>
    <w:rsid w:val="009C7251"/>
    <w:rsid w:val="009D0AC9"/>
    <w:rsid w:val="009D10D8"/>
    <w:rsid w:val="009D207F"/>
    <w:rsid w:val="009D3DE0"/>
    <w:rsid w:val="009E2D0F"/>
    <w:rsid w:val="009E2E91"/>
    <w:rsid w:val="009F096D"/>
    <w:rsid w:val="009F1339"/>
    <w:rsid w:val="009F1EF8"/>
    <w:rsid w:val="009F5774"/>
    <w:rsid w:val="009F5AAF"/>
    <w:rsid w:val="009F7114"/>
    <w:rsid w:val="009F71F6"/>
    <w:rsid w:val="00A0582E"/>
    <w:rsid w:val="00A06A63"/>
    <w:rsid w:val="00A10177"/>
    <w:rsid w:val="00A139F5"/>
    <w:rsid w:val="00A201E6"/>
    <w:rsid w:val="00A217E6"/>
    <w:rsid w:val="00A2214D"/>
    <w:rsid w:val="00A2414C"/>
    <w:rsid w:val="00A33D0D"/>
    <w:rsid w:val="00A35BB1"/>
    <w:rsid w:val="00A35C72"/>
    <w:rsid w:val="00A365F4"/>
    <w:rsid w:val="00A419DD"/>
    <w:rsid w:val="00A46DAE"/>
    <w:rsid w:val="00A46DF7"/>
    <w:rsid w:val="00A479C0"/>
    <w:rsid w:val="00A47D09"/>
    <w:rsid w:val="00A47D7C"/>
    <w:rsid w:val="00A47D80"/>
    <w:rsid w:val="00A518FC"/>
    <w:rsid w:val="00A53132"/>
    <w:rsid w:val="00A540E5"/>
    <w:rsid w:val="00A563F2"/>
    <w:rsid w:val="00A566E8"/>
    <w:rsid w:val="00A638B0"/>
    <w:rsid w:val="00A64D42"/>
    <w:rsid w:val="00A6713B"/>
    <w:rsid w:val="00A77879"/>
    <w:rsid w:val="00A810F9"/>
    <w:rsid w:val="00A81127"/>
    <w:rsid w:val="00A821F3"/>
    <w:rsid w:val="00A84C04"/>
    <w:rsid w:val="00A866F2"/>
    <w:rsid w:val="00A86ECC"/>
    <w:rsid w:val="00A86FCC"/>
    <w:rsid w:val="00A907FE"/>
    <w:rsid w:val="00A953B9"/>
    <w:rsid w:val="00AA3BAC"/>
    <w:rsid w:val="00AA5262"/>
    <w:rsid w:val="00AA57A3"/>
    <w:rsid w:val="00AA676A"/>
    <w:rsid w:val="00AA710D"/>
    <w:rsid w:val="00AA724B"/>
    <w:rsid w:val="00AB1B71"/>
    <w:rsid w:val="00AB2C3E"/>
    <w:rsid w:val="00AB3236"/>
    <w:rsid w:val="00AB458F"/>
    <w:rsid w:val="00AB6D25"/>
    <w:rsid w:val="00AC1A44"/>
    <w:rsid w:val="00AC2AC4"/>
    <w:rsid w:val="00AC3B8D"/>
    <w:rsid w:val="00AC5371"/>
    <w:rsid w:val="00AC6F33"/>
    <w:rsid w:val="00AC77DC"/>
    <w:rsid w:val="00AD0C67"/>
    <w:rsid w:val="00AD5152"/>
    <w:rsid w:val="00AD58FC"/>
    <w:rsid w:val="00AD7676"/>
    <w:rsid w:val="00AE06C8"/>
    <w:rsid w:val="00AE2D4B"/>
    <w:rsid w:val="00AE40F9"/>
    <w:rsid w:val="00AE4F99"/>
    <w:rsid w:val="00AE6789"/>
    <w:rsid w:val="00AE6EF2"/>
    <w:rsid w:val="00AF2F1E"/>
    <w:rsid w:val="00AF3780"/>
    <w:rsid w:val="00AF4C9F"/>
    <w:rsid w:val="00B00C09"/>
    <w:rsid w:val="00B11B69"/>
    <w:rsid w:val="00B12FBA"/>
    <w:rsid w:val="00B14952"/>
    <w:rsid w:val="00B15CA4"/>
    <w:rsid w:val="00B217DB"/>
    <w:rsid w:val="00B27B18"/>
    <w:rsid w:val="00B27B58"/>
    <w:rsid w:val="00B27D3E"/>
    <w:rsid w:val="00B31E5A"/>
    <w:rsid w:val="00B330DE"/>
    <w:rsid w:val="00B34DB1"/>
    <w:rsid w:val="00B35A63"/>
    <w:rsid w:val="00B403A1"/>
    <w:rsid w:val="00B412A3"/>
    <w:rsid w:val="00B413B9"/>
    <w:rsid w:val="00B4483E"/>
    <w:rsid w:val="00B46A9F"/>
    <w:rsid w:val="00B51B63"/>
    <w:rsid w:val="00B521B0"/>
    <w:rsid w:val="00B57890"/>
    <w:rsid w:val="00B6033B"/>
    <w:rsid w:val="00B61820"/>
    <w:rsid w:val="00B61924"/>
    <w:rsid w:val="00B63591"/>
    <w:rsid w:val="00B653AB"/>
    <w:rsid w:val="00B65F9E"/>
    <w:rsid w:val="00B66B19"/>
    <w:rsid w:val="00B7120E"/>
    <w:rsid w:val="00B722C7"/>
    <w:rsid w:val="00B72F68"/>
    <w:rsid w:val="00B733EE"/>
    <w:rsid w:val="00B73F74"/>
    <w:rsid w:val="00B749B9"/>
    <w:rsid w:val="00B77A19"/>
    <w:rsid w:val="00B81262"/>
    <w:rsid w:val="00B81EBE"/>
    <w:rsid w:val="00B82545"/>
    <w:rsid w:val="00B85DBF"/>
    <w:rsid w:val="00B86BCA"/>
    <w:rsid w:val="00B914E9"/>
    <w:rsid w:val="00B9163F"/>
    <w:rsid w:val="00B91D7C"/>
    <w:rsid w:val="00B91FEC"/>
    <w:rsid w:val="00B93207"/>
    <w:rsid w:val="00B956EE"/>
    <w:rsid w:val="00B95B90"/>
    <w:rsid w:val="00BA2BA1"/>
    <w:rsid w:val="00BA3562"/>
    <w:rsid w:val="00BA4A0F"/>
    <w:rsid w:val="00BA6359"/>
    <w:rsid w:val="00BA728E"/>
    <w:rsid w:val="00BA76A2"/>
    <w:rsid w:val="00BB1D75"/>
    <w:rsid w:val="00BB4DF0"/>
    <w:rsid w:val="00BB4EA0"/>
    <w:rsid w:val="00BB4F09"/>
    <w:rsid w:val="00BC2DDB"/>
    <w:rsid w:val="00BC44E4"/>
    <w:rsid w:val="00BD0145"/>
    <w:rsid w:val="00BD1E7E"/>
    <w:rsid w:val="00BD2828"/>
    <w:rsid w:val="00BD4E33"/>
    <w:rsid w:val="00BD5CAF"/>
    <w:rsid w:val="00BE3159"/>
    <w:rsid w:val="00BE4D40"/>
    <w:rsid w:val="00BE54BD"/>
    <w:rsid w:val="00BF0508"/>
    <w:rsid w:val="00BF36EE"/>
    <w:rsid w:val="00BF419C"/>
    <w:rsid w:val="00BF54F8"/>
    <w:rsid w:val="00BF61D5"/>
    <w:rsid w:val="00C030DE"/>
    <w:rsid w:val="00C03F01"/>
    <w:rsid w:val="00C074FD"/>
    <w:rsid w:val="00C10115"/>
    <w:rsid w:val="00C15772"/>
    <w:rsid w:val="00C16AEC"/>
    <w:rsid w:val="00C22105"/>
    <w:rsid w:val="00C23026"/>
    <w:rsid w:val="00C244B6"/>
    <w:rsid w:val="00C25087"/>
    <w:rsid w:val="00C267CA"/>
    <w:rsid w:val="00C3702F"/>
    <w:rsid w:val="00C42F6A"/>
    <w:rsid w:val="00C4500A"/>
    <w:rsid w:val="00C517C0"/>
    <w:rsid w:val="00C51D06"/>
    <w:rsid w:val="00C558C4"/>
    <w:rsid w:val="00C562B2"/>
    <w:rsid w:val="00C566A9"/>
    <w:rsid w:val="00C56813"/>
    <w:rsid w:val="00C60D38"/>
    <w:rsid w:val="00C62895"/>
    <w:rsid w:val="00C63004"/>
    <w:rsid w:val="00C63B7B"/>
    <w:rsid w:val="00C64240"/>
    <w:rsid w:val="00C64A37"/>
    <w:rsid w:val="00C67462"/>
    <w:rsid w:val="00C7158E"/>
    <w:rsid w:val="00C717C9"/>
    <w:rsid w:val="00C7250B"/>
    <w:rsid w:val="00C7346B"/>
    <w:rsid w:val="00C77050"/>
    <w:rsid w:val="00C77C0E"/>
    <w:rsid w:val="00C8063E"/>
    <w:rsid w:val="00C81487"/>
    <w:rsid w:val="00C90369"/>
    <w:rsid w:val="00C91687"/>
    <w:rsid w:val="00C924A8"/>
    <w:rsid w:val="00C940E7"/>
    <w:rsid w:val="00C945FE"/>
    <w:rsid w:val="00C96FAA"/>
    <w:rsid w:val="00C97A04"/>
    <w:rsid w:val="00CA0641"/>
    <w:rsid w:val="00CA107B"/>
    <w:rsid w:val="00CA40BD"/>
    <w:rsid w:val="00CA484D"/>
    <w:rsid w:val="00CA495C"/>
    <w:rsid w:val="00CA4FB6"/>
    <w:rsid w:val="00CA5C53"/>
    <w:rsid w:val="00CB1737"/>
    <w:rsid w:val="00CB1BA1"/>
    <w:rsid w:val="00CC0AFE"/>
    <w:rsid w:val="00CC28D0"/>
    <w:rsid w:val="00CC5415"/>
    <w:rsid w:val="00CC72A6"/>
    <w:rsid w:val="00CC739E"/>
    <w:rsid w:val="00CD178A"/>
    <w:rsid w:val="00CD217B"/>
    <w:rsid w:val="00CD2907"/>
    <w:rsid w:val="00CD49BB"/>
    <w:rsid w:val="00CD58B7"/>
    <w:rsid w:val="00CE5EF2"/>
    <w:rsid w:val="00CF4099"/>
    <w:rsid w:val="00CF50AE"/>
    <w:rsid w:val="00CF538E"/>
    <w:rsid w:val="00CF6348"/>
    <w:rsid w:val="00CF648E"/>
    <w:rsid w:val="00D00796"/>
    <w:rsid w:val="00D029DF"/>
    <w:rsid w:val="00D05126"/>
    <w:rsid w:val="00D078D8"/>
    <w:rsid w:val="00D12F08"/>
    <w:rsid w:val="00D16D48"/>
    <w:rsid w:val="00D21BB8"/>
    <w:rsid w:val="00D24390"/>
    <w:rsid w:val="00D24C05"/>
    <w:rsid w:val="00D261A2"/>
    <w:rsid w:val="00D36D38"/>
    <w:rsid w:val="00D54347"/>
    <w:rsid w:val="00D60211"/>
    <w:rsid w:val="00D60A84"/>
    <w:rsid w:val="00D616D2"/>
    <w:rsid w:val="00D62602"/>
    <w:rsid w:val="00D63B5F"/>
    <w:rsid w:val="00D70EF7"/>
    <w:rsid w:val="00D734C2"/>
    <w:rsid w:val="00D77FEA"/>
    <w:rsid w:val="00D8019B"/>
    <w:rsid w:val="00D8397C"/>
    <w:rsid w:val="00D86250"/>
    <w:rsid w:val="00D90CB4"/>
    <w:rsid w:val="00D94BFD"/>
    <w:rsid w:val="00D94EED"/>
    <w:rsid w:val="00D95F99"/>
    <w:rsid w:val="00D96026"/>
    <w:rsid w:val="00D96A34"/>
    <w:rsid w:val="00D97CB4"/>
    <w:rsid w:val="00DA0438"/>
    <w:rsid w:val="00DA15B6"/>
    <w:rsid w:val="00DA6528"/>
    <w:rsid w:val="00DA70BC"/>
    <w:rsid w:val="00DA7C1C"/>
    <w:rsid w:val="00DB147A"/>
    <w:rsid w:val="00DB1B7A"/>
    <w:rsid w:val="00DB299B"/>
    <w:rsid w:val="00DC0BD7"/>
    <w:rsid w:val="00DC22C3"/>
    <w:rsid w:val="00DC6708"/>
    <w:rsid w:val="00DC7F3C"/>
    <w:rsid w:val="00DD01DA"/>
    <w:rsid w:val="00DD1F1F"/>
    <w:rsid w:val="00DD3036"/>
    <w:rsid w:val="00DD7916"/>
    <w:rsid w:val="00DF5320"/>
    <w:rsid w:val="00E01436"/>
    <w:rsid w:val="00E03B38"/>
    <w:rsid w:val="00E045BD"/>
    <w:rsid w:val="00E0762C"/>
    <w:rsid w:val="00E135B1"/>
    <w:rsid w:val="00E165BE"/>
    <w:rsid w:val="00E1667E"/>
    <w:rsid w:val="00E17B77"/>
    <w:rsid w:val="00E20041"/>
    <w:rsid w:val="00E20CBE"/>
    <w:rsid w:val="00E212A3"/>
    <w:rsid w:val="00E23337"/>
    <w:rsid w:val="00E2483C"/>
    <w:rsid w:val="00E259EA"/>
    <w:rsid w:val="00E32061"/>
    <w:rsid w:val="00E37334"/>
    <w:rsid w:val="00E41497"/>
    <w:rsid w:val="00E42FF9"/>
    <w:rsid w:val="00E4714C"/>
    <w:rsid w:val="00E47168"/>
    <w:rsid w:val="00E5101C"/>
    <w:rsid w:val="00E51AEB"/>
    <w:rsid w:val="00E522A7"/>
    <w:rsid w:val="00E53494"/>
    <w:rsid w:val="00E53693"/>
    <w:rsid w:val="00E53C71"/>
    <w:rsid w:val="00E54452"/>
    <w:rsid w:val="00E57ABD"/>
    <w:rsid w:val="00E64BE7"/>
    <w:rsid w:val="00E664C5"/>
    <w:rsid w:val="00E66983"/>
    <w:rsid w:val="00E671A2"/>
    <w:rsid w:val="00E67AEE"/>
    <w:rsid w:val="00E76D26"/>
    <w:rsid w:val="00E77E1D"/>
    <w:rsid w:val="00E806E2"/>
    <w:rsid w:val="00E827EF"/>
    <w:rsid w:val="00E832ED"/>
    <w:rsid w:val="00E87266"/>
    <w:rsid w:val="00EA69E1"/>
    <w:rsid w:val="00EB1390"/>
    <w:rsid w:val="00EB2C71"/>
    <w:rsid w:val="00EB4340"/>
    <w:rsid w:val="00EB556D"/>
    <w:rsid w:val="00EB5A7D"/>
    <w:rsid w:val="00EB6548"/>
    <w:rsid w:val="00EC1105"/>
    <w:rsid w:val="00EC4537"/>
    <w:rsid w:val="00EC4894"/>
    <w:rsid w:val="00EC4951"/>
    <w:rsid w:val="00EC6435"/>
    <w:rsid w:val="00EC73CA"/>
    <w:rsid w:val="00EC76B9"/>
    <w:rsid w:val="00ED1949"/>
    <w:rsid w:val="00ED297A"/>
    <w:rsid w:val="00ED55C0"/>
    <w:rsid w:val="00ED682B"/>
    <w:rsid w:val="00EE2896"/>
    <w:rsid w:val="00EE36CB"/>
    <w:rsid w:val="00EE41D5"/>
    <w:rsid w:val="00EE4780"/>
    <w:rsid w:val="00EE4970"/>
    <w:rsid w:val="00EE5223"/>
    <w:rsid w:val="00EE5EC4"/>
    <w:rsid w:val="00EE746E"/>
    <w:rsid w:val="00EF6C6B"/>
    <w:rsid w:val="00F0121F"/>
    <w:rsid w:val="00F0170D"/>
    <w:rsid w:val="00F02342"/>
    <w:rsid w:val="00F037A4"/>
    <w:rsid w:val="00F06326"/>
    <w:rsid w:val="00F071AC"/>
    <w:rsid w:val="00F108B4"/>
    <w:rsid w:val="00F154DB"/>
    <w:rsid w:val="00F15F6E"/>
    <w:rsid w:val="00F27C8F"/>
    <w:rsid w:val="00F32323"/>
    <w:rsid w:val="00F32749"/>
    <w:rsid w:val="00F327B3"/>
    <w:rsid w:val="00F344CD"/>
    <w:rsid w:val="00F3589E"/>
    <w:rsid w:val="00F359FA"/>
    <w:rsid w:val="00F37172"/>
    <w:rsid w:val="00F40194"/>
    <w:rsid w:val="00F4096A"/>
    <w:rsid w:val="00F43964"/>
    <w:rsid w:val="00F4477E"/>
    <w:rsid w:val="00F45AD8"/>
    <w:rsid w:val="00F46013"/>
    <w:rsid w:val="00F478EF"/>
    <w:rsid w:val="00F47E33"/>
    <w:rsid w:val="00F54466"/>
    <w:rsid w:val="00F54C16"/>
    <w:rsid w:val="00F65B91"/>
    <w:rsid w:val="00F6684A"/>
    <w:rsid w:val="00F6773E"/>
    <w:rsid w:val="00F67D8F"/>
    <w:rsid w:val="00F726A7"/>
    <w:rsid w:val="00F729F3"/>
    <w:rsid w:val="00F73110"/>
    <w:rsid w:val="00F76B91"/>
    <w:rsid w:val="00F802BE"/>
    <w:rsid w:val="00F80E93"/>
    <w:rsid w:val="00F82CF5"/>
    <w:rsid w:val="00F86024"/>
    <w:rsid w:val="00F8611A"/>
    <w:rsid w:val="00F87A89"/>
    <w:rsid w:val="00FA0634"/>
    <w:rsid w:val="00FA4875"/>
    <w:rsid w:val="00FA5128"/>
    <w:rsid w:val="00FA5F55"/>
    <w:rsid w:val="00FA5F62"/>
    <w:rsid w:val="00FA623A"/>
    <w:rsid w:val="00FA6597"/>
    <w:rsid w:val="00FB42D4"/>
    <w:rsid w:val="00FB451B"/>
    <w:rsid w:val="00FB5906"/>
    <w:rsid w:val="00FB5C58"/>
    <w:rsid w:val="00FB762F"/>
    <w:rsid w:val="00FC0725"/>
    <w:rsid w:val="00FC0EC4"/>
    <w:rsid w:val="00FC2AED"/>
    <w:rsid w:val="00FC64E0"/>
    <w:rsid w:val="00FD0641"/>
    <w:rsid w:val="00FD30CF"/>
    <w:rsid w:val="00FD4F5A"/>
    <w:rsid w:val="00FD5EA7"/>
    <w:rsid w:val="00FD69E9"/>
    <w:rsid w:val="00FD7BD2"/>
    <w:rsid w:val="00FE08F1"/>
    <w:rsid w:val="00FE15B4"/>
    <w:rsid w:val="00FE5525"/>
    <w:rsid w:val="00FE6DF6"/>
    <w:rsid w:val="00FF1913"/>
    <w:rsid w:val="00FF198D"/>
    <w:rsid w:val="00FF1B51"/>
    <w:rsid w:val="00FF28AA"/>
    <w:rsid w:val="00FF48BB"/>
    <w:rsid w:val="00FF4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Default">
    <w:name w:val="Default"/>
    <w:rsid w:val="003A316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E827EF"/>
    <w:rPr>
      <w:color w:val="954F72" w:themeColor="followed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F15F6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1.xml"/><Relationship Id="rId18" Type="http://schemas.openxmlformats.org/officeDocument/2006/relationships/footer" Target="footer1.xml"/><Relationship Id="rId26" Type="http://schemas.openxmlformats.org/officeDocument/2006/relationships/image" Target="media/image7.png"/><Relationship Id="rId3" Type="http://schemas.openxmlformats.org/officeDocument/2006/relationships/customXml" Target="../customXml/item3.xml"/><Relationship Id="rId21" Type="http://schemas.openxmlformats.org/officeDocument/2006/relationships/hyperlink" Target="mailto:i.ulanowska@stat.gov.pl" TargetMode="External"/><Relationship Id="rId34" Type="http://schemas.openxmlformats.org/officeDocument/2006/relationships/footer" Target="footer3.xml"/><Relationship Id="rId7" Type="http://schemas.openxmlformats.org/officeDocument/2006/relationships/settings" Target="settings.xml"/><Relationship Id="rId12" Type="http://schemas.openxmlformats.org/officeDocument/2006/relationships/image" Target="media/image30.emf"/><Relationship Id="rId17" Type="http://schemas.openxmlformats.org/officeDocument/2006/relationships/header" Target="header1.xml"/><Relationship Id="rId25" Type="http://schemas.openxmlformats.org/officeDocument/2006/relationships/image" Target="media/image6.png"/><Relationship Id="rId33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chart" Target="charts/chart4.xml"/><Relationship Id="rId20" Type="http://schemas.openxmlformats.org/officeDocument/2006/relationships/footer" Target="footer2.xml"/><Relationship Id="rId29" Type="http://schemas.openxmlformats.org/officeDocument/2006/relationships/hyperlink" Target="http://swaid.stat.gov.pl/SitePagesDBW/WarunkiZyciaLudnosci.aspx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image" Target="media/image5.png"/><Relationship Id="rId32" Type="http://schemas.openxmlformats.org/officeDocument/2006/relationships/hyperlink" Target="http://swaid.stat.gov.pl/SitePagesDBW/WarunkiZyciaLudnosci.aspx" TargetMode="External"/><Relationship Id="rId5" Type="http://schemas.openxmlformats.org/officeDocument/2006/relationships/numbering" Target="numbering.xml"/><Relationship Id="rId15" Type="http://schemas.openxmlformats.org/officeDocument/2006/relationships/chart" Target="charts/chart3.xml"/><Relationship Id="rId23" Type="http://schemas.openxmlformats.org/officeDocument/2006/relationships/hyperlink" Target="mailto:obslugaprasowa@stat.gov.pl" TargetMode="External"/><Relationship Id="rId28" Type="http://schemas.openxmlformats.org/officeDocument/2006/relationships/hyperlink" Target="https://stat.gov.pl/obszary-tematyczne/inne-opracowania/informacje-o-sytuacji-spoleczno-gospodarczej/biuletyn-statystyczny-nr-92019,4,92.html" TargetMode="External"/><Relationship Id="rId36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31" Type="http://schemas.openxmlformats.org/officeDocument/2006/relationships/hyperlink" Target="https://stat.gov.pl/obszary-tematyczne/inne-opracowania/informacje-o-sytuacji-spoleczno-gospodarczej/biuletyn-statystyczny-nr-92019,4,92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2.xml"/><Relationship Id="rId22" Type="http://schemas.openxmlformats.org/officeDocument/2006/relationships/hyperlink" Target="mailto:rzecznik@stat.gov.pl" TargetMode="External"/><Relationship Id="rId27" Type="http://schemas.openxmlformats.org/officeDocument/2006/relationships/hyperlink" Target="https://stat.gov.pl/obszary-tematyczne/koniunktura/koniunktura/koniunktura-w-przetworstwie-przemyslowym-budownictwie-handlu-i-uslugach-w-pazdzierniku-2019-roku,3,83.html" TargetMode="External"/><Relationship Id="rId30" Type="http://schemas.openxmlformats.org/officeDocument/2006/relationships/hyperlink" Target="https://stat.gov.pl/obszary-tematyczne/koniunktura/koniunktura/koniunktura-w-przetworstwie-przemyslowym-budownictwie-handlu-i-uslugach-w-pazdzierniku-2019-roku,3,83.html" TargetMode="External"/><Relationship Id="rId35" Type="http://schemas.openxmlformats.org/officeDocument/2006/relationships/fontTable" Target="fontTable.xml"/><Relationship Id="rId8" Type="http://schemas.openxmlformats.org/officeDocument/2006/relationships/webSettings" Target="webSetting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2.xlsx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chartUserShapes" Target="../drawings/drawing1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3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4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BWUK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multiLvlStrRef>
              <c:f>Arkusz1!$A$2:$B$85</c:f>
              <c:multiLvlStrCache>
                <c:ptCount val="4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 </c:v>
                  </c:pt>
                  <c:pt idx="36">
                    <c:v>2019</c:v>
                  </c:pt>
                </c:lvl>
              </c:multiLvlStrCache>
            </c:multiLvlStrRef>
          </c:cat>
          <c:val>
            <c:numRef>
              <c:f>Arkusz1!$C$2:$C$85</c:f>
              <c:numCache>
                <c:formatCode>0.0</c:formatCode>
                <c:ptCount val="47"/>
                <c:pt idx="0">
                  <c:v>-7</c:v>
                </c:pt>
                <c:pt idx="1">
                  <c:v>-6.2</c:v>
                </c:pt>
                <c:pt idx="2">
                  <c:v>-9.3000000000000007</c:v>
                </c:pt>
                <c:pt idx="3">
                  <c:v>-4.7</c:v>
                </c:pt>
                <c:pt idx="4">
                  <c:v>-6.7</c:v>
                </c:pt>
                <c:pt idx="5">
                  <c:v>-6.5</c:v>
                </c:pt>
                <c:pt idx="6">
                  <c:v>-5.6</c:v>
                </c:pt>
                <c:pt idx="7">
                  <c:v>-3.8</c:v>
                </c:pt>
                <c:pt idx="8">
                  <c:v>-2.4</c:v>
                </c:pt>
                <c:pt idx="9">
                  <c:v>-3.7</c:v>
                </c:pt>
                <c:pt idx="10">
                  <c:v>-2.4</c:v>
                </c:pt>
                <c:pt idx="11">
                  <c:v>-3.7</c:v>
                </c:pt>
                <c:pt idx="12">
                  <c:v>-1.2</c:v>
                </c:pt>
                <c:pt idx="13">
                  <c:v>-1.9</c:v>
                </c:pt>
                <c:pt idx="14">
                  <c:v>-2</c:v>
                </c:pt>
                <c:pt idx="15">
                  <c:v>-0.8</c:v>
                </c:pt>
                <c:pt idx="16">
                  <c:v>3.1</c:v>
                </c:pt>
                <c:pt idx="17">
                  <c:v>4.8</c:v>
                </c:pt>
                <c:pt idx="18">
                  <c:v>4</c:v>
                </c:pt>
                <c:pt idx="19">
                  <c:v>5.7</c:v>
                </c:pt>
                <c:pt idx="20">
                  <c:v>5</c:v>
                </c:pt>
                <c:pt idx="21">
                  <c:v>4.5999999999999996</c:v>
                </c:pt>
                <c:pt idx="22">
                  <c:v>5.4</c:v>
                </c:pt>
                <c:pt idx="23">
                  <c:v>2.1</c:v>
                </c:pt>
                <c:pt idx="24">
                  <c:v>6.2</c:v>
                </c:pt>
                <c:pt idx="25">
                  <c:v>6.2</c:v>
                </c:pt>
                <c:pt idx="26" formatCode="0.0_)">
                  <c:v>5.4</c:v>
                </c:pt>
                <c:pt idx="27" formatCode="0.0_)">
                  <c:v>7.8</c:v>
                </c:pt>
                <c:pt idx="28">
                  <c:v>5.9</c:v>
                </c:pt>
                <c:pt idx="29">
                  <c:v>6.1</c:v>
                </c:pt>
                <c:pt idx="30">
                  <c:v>5.2</c:v>
                </c:pt>
                <c:pt idx="31">
                  <c:v>6.2</c:v>
                </c:pt>
                <c:pt idx="32">
                  <c:v>6.9</c:v>
                </c:pt>
                <c:pt idx="33">
                  <c:v>6.1</c:v>
                </c:pt>
                <c:pt idx="34">
                  <c:v>5.2</c:v>
                </c:pt>
                <c:pt idx="35">
                  <c:v>1.1000000000000001</c:v>
                </c:pt>
                <c:pt idx="36">
                  <c:v>5.4</c:v>
                </c:pt>
                <c:pt idx="37">
                  <c:v>5.5</c:v>
                </c:pt>
                <c:pt idx="38">
                  <c:v>8.1999999999999993</c:v>
                </c:pt>
                <c:pt idx="39">
                  <c:v>7.2</c:v>
                </c:pt>
                <c:pt idx="40">
                  <c:v>8.3000000000000007</c:v>
                </c:pt>
                <c:pt idx="41">
                  <c:v>9.6</c:v>
                </c:pt>
                <c:pt idx="42">
                  <c:v>9</c:v>
                </c:pt>
                <c:pt idx="43">
                  <c:v>8.1999999999999993</c:v>
                </c:pt>
                <c:pt idx="44">
                  <c:v>10.199999999999999</c:v>
                </c:pt>
                <c:pt idx="45">
                  <c:v>9.3000000000000007</c:v>
                </c:pt>
                <c:pt idx="46">
                  <c:v>6.7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810594240"/>
        <c:axId val="1810596960"/>
      </c:barChart>
      <c:lineChart>
        <c:grouping val="standard"/>
        <c:varyColors val="0"/>
        <c:ser>
          <c:idx val="5"/>
          <c:order val="1"/>
          <c:tx>
            <c:strRef>
              <c:f>Arkusz1!$D$1</c:f>
              <c:strCache>
                <c:ptCount val="1"/>
                <c:pt idx="0">
                  <c:v>Zmiana syt. gosp. dom. w ostatnich 12 miesiącach</c:v>
                </c:pt>
              </c:strCache>
            </c:strRef>
          </c:tx>
          <c:spPr>
            <a:ln w="28575" cap="rnd">
              <a:solidFill>
                <a:schemeClr val="tx1">
                  <a:alpha val="5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>
                  <a:alpha val="50000"/>
                </a:schemeClr>
              </a:solidFill>
              <a:ln w="9525">
                <a:noFill/>
              </a:ln>
              <a:effectLst/>
            </c:spPr>
          </c:marker>
          <c:cat>
            <c:multiLvlStrRef>
              <c:f>Arkusz1!$A$2:$B$85</c:f>
              <c:multiLvlStrCache>
                <c:ptCount val="4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 </c:v>
                  </c:pt>
                  <c:pt idx="36">
                    <c:v>2019</c:v>
                  </c:pt>
                </c:lvl>
              </c:multiLvlStrCache>
            </c:multiLvlStrRef>
          </c:cat>
          <c:val>
            <c:numRef>
              <c:f>Arkusz1!$D$2:$D$85</c:f>
              <c:numCache>
                <c:formatCode>0.0</c:formatCode>
                <c:ptCount val="47"/>
                <c:pt idx="0">
                  <c:v>-6.2</c:v>
                </c:pt>
                <c:pt idx="1">
                  <c:v>-5</c:v>
                </c:pt>
                <c:pt idx="2">
                  <c:v>-7.5</c:v>
                </c:pt>
                <c:pt idx="3">
                  <c:v>-5.6</c:v>
                </c:pt>
                <c:pt idx="4">
                  <c:v>-5</c:v>
                </c:pt>
                <c:pt idx="5">
                  <c:v>-2.4</c:v>
                </c:pt>
                <c:pt idx="6">
                  <c:v>-3.8</c:v>
                </c:pt>
                <c:pt idx="7">
                  <c:v>-4</c:v>
                </c:pt>
                <c:pt idx="8">
                  <c:v>-1.8</c:v>
                </c:pt>
                <c:pt idx="9">
                  <c:v>-2.7</c:v>
                </c:pt>
                <c:pt idx="10">
                  <c:v>0.4</c:v>
                </c:pt>
                <c:pt idx="11">
                  <c:v>-3.1</c:v>
                </c:pt>
                <c:pt idx="12">
                  <c:v>-1.2</c:v>
                </c:pt>
                <c:pt idx="13">
                  <c:v>-0.9</c:v>
                </c:pt>
                <c:pt idx="14">
                  <c:v>-0.2</c:v>
                </c:pt>
                <c:pt idx="15">
                  <c:v>0.5</c:v>
                </c:pt>
                <c:pt idx="16">
                  <c:v>0.8</c:v>
                </c:pt>
                <c:pt idx="17">
                  <c:v>2.2999999999999998</c:v>
                </c:pt>
                <c:pt idx="18">
                  <c:v>-0.3</c:v>
                </c:pt>
                <c:pt idx="19">
                  <c:v>2</c:v>
                </c:pt>
                <c:pt idx="20">
                  <c:v>0.6</c:v>
                </c:pt>
                <c:pt idx="21">
                  <c:v>-0.3</c:v>
                </c:pt>
                <c:pt idx="22">
                  <c:v>0.2</c:v>
                </c:pt>
                <c:pt idx="23">
                  <c:v>-2.4</c:v>
                </c:pt>
                <c:pt idx="24">
                  <c:v>1.5</c:v>
                </c:pt>
                <c:pt idx="25">
                  <c:v>0.1</c:v>
                </c:pt>
                <c:pt idx="26" formatCode="0.0_)">
                  <c:v>-2.9</c:v>
                </c:pt>
                <c:pt idx="27" formatCode="0.0_)">
                  <c:v>2.4</c:v>
                </c:pt>
                <c:pt idx="28">
                  <c:v>0.7</c:v>
                </c:pt>
                <c:pt idx="29">
                  <c:v>-0.6</c:v>
                </c:pt>
                <c:pt idx="30">
                  <c:v>1</c:v>
                </c:pt>
                <c:pt idx="31">
                  <c:v>2.9</c:v>
                </c:pt>
                <c:pt idx="32">
                  <c:v>1.2</c:v>
                </c:pt>
                <c:pt idx="33">
                  <c:v>-0.2</c:v>
                </c:pt>
                <c:pt idx="34">
                  <c:v>1.9</c:v>
                </c:pt>
                <c:pt idx="35">
                  <c:v>-1.3</c:v>
                </c:pt>
                <c:pt idx="36">
                  <c:v>1.6</c:v>
                </c:pt>
                <c:pt idx="37">
                  <c:v>1.5</c:v>
                </c:pt>
                <c:pt idx="38">
                  <c:v>3.2</c:v>
                </c:pt>
                <c:pt idx="39">
                  <c:v>6</c:v>
                </c:pt>
                <c:pt idx="40">
                  <c:v>4.4000000000000004</c:v>
                </c:pt>
                <c:pt idx="41">
                  <c:v>7.5</c:v>
                </c:pt>
                <c:pt idx="42">
                  <c:v>5.4</c:v>
                </c:pt>
                <c:pt idx="43">
                  <c:v>5.4</c:v>
                </c:pt>
                <c:pt idx="44">
                  <c:v>6.9</c:v>
                </c:pt>
                <c:pt idx="45">
                  <c:v>6.6</c:v>
                </c:pt>
                <c:pt idx="46">
                  <c:v>5.5</c:v>
                </c:pt>
              </c:numCache>
            </c:numRef>
          </c:val>
          <c:smooth val="0"/>
        </c:ser>
        <c:ser>
          <c:idx val="1"/>
          <c:order val="2"/>
          <c:tx>
            <c:strRef>
              <c:f>Arkusz1!$E$1</c:f>
              <c:strCache>
                <c:ptCount val="1"/>
                <c:pt idx="0">
                  <c:v>Zmiana syt. gosp. dom. w najbliższych 12 miesiącach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multiLvlStrRef>
              <c:f>Arkusz1!$A$2:$B$85</c:f>
              <c:multiLvlStrCache>
                <c:ptCount val="4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 </c:v>
                  </c:pt>
                  <c:pt idx="36">
                    <c:v>2019</c:v>
                  </c:pt>
                </c:lvl>
              </c:multiLvlStrCache>
            </c:multiLvlStrRef>
          </c:cat>
          <c:val>
            <c:numRef>
              <c:f>Arkusz1!$E$2:$E$85</c:f>
              <c:numCache>
                <c:formatCode>0.0</c:formatCode>
                <c:ptCount val="47"/>
                <c:pt idx="0">
                  <c:v>0.6</c:v>
                </c:pt>
                <c:pt idx="1">
                  <c:v>2.2999999999999998</c:v>
                </c:pt>
                <c:pt idx="2">
                  <c:v>-0.5</c:v>
                </c:pt>
                <c:pt idx="3">
                  <c:v>3.4</c:v>
                </c:pt>
                <c:pt idx="4">
                  <c:v>0.4</c:v>
                </c:pt>
                <c:pt idx="5">
                  <c:v>0.1</c:v>
                </c:pt>
                <c:pt idx="6">
                  <c:v>-0.2</c:v>
                </c:pt>
                <c:pt idx="7">
                  <c:v>0.8</c:v>
                </c:pt>
                <c:pt idx="8">
                  <c:v>1.6</c:v>
                </c:pt>
                <c:pt idx="9">
                  <c:v>-0.6</c:v>
                </c:pt>
                <c:pt idx="10">
                  <c:v>1.8</c:v>
                </c:pt>
                <c:pt idx="11">
                  <c:v>1.6</c:v>
                </c:pt>
                <c:pt idx="12">
                  <c:v>2.9</c:v>
                </c:pt>
                <c:pt idx="13">
                  <c:v>2.2000000000000002</c:v>
                </c:pt>
                <c:pt idx="14">
                  <c:v>1.6</c:v>
                </c:pt>
                <c:pt idx="15">
                  <c:v>2</c:v>
                </c:pt>
                <c:pt idx="16">
                  <c:v>2.8</c:v>
                </c:pt>
                <c:pt idx="17">
                  <c:v>2.9</c:v>
                </c:pt>
                <c:pt idx="18">
                  <c:v>3.6</c:v>
                </c:pt>
                <c:pt idx="19">
                  <c:v>4.3</c:v>
                </c:pt>
                <c:pt idx="20">
                  <c:v>4</c:v>
                </c:pt>
                <c:pt idx="21">
                  <c:v>1.6</c:v>
                </c:pt>
                <c:pt idx="22">
                  <c:v>5</c:v>
                </c:pt>
                <c:pt idx="23">
                  <c:v>0.2</c:v>
                </c:pt>
                <c:pt idx="24">
                  <c:v>5.2</c:v>
                </c:pt>
                <c:pt idx="25">
                  <c:v>2.8</c:v>
                </c:pt>
                <c:pt idx="26" formatCode="0.0_)">
                  <c:v>4.2</c:v>
                </c:pt>
                <c:pt idx="27" formatCode="0.0_)">
                  <c:v>5.7</c:v>
                </c:pt>
                <c:pt idx="28">
                  <c:v>3.5</c:v>
                </c:pt>
                <c:pt idx="29">
                  <c:v>3.8</c:v>
                </c:pt>
                <c:pt idx="30">
                  <c:v>3.6</c:v>
                </c:pt>
                <c:pt idx="31">
                  <c:v>4</c:v>
                </c:pt>
                <c:pt idx="32">
                  <c:v>3.1</c:v>
                </c:pt>
                <c:pt idx="33">
                  <c:v>4.7</c:v>
                </c:pt>
                <c:pt idx="34">
                  <c:v>4</c:v>
                </c:pt>
                <c:pt idx="35">
                  <c:v>-1</c:v>
                </c:pt>
                <c:pt idx="36">
                  <c:v>2.8</c:v>
                </c:pt>
                <c:pt idx="37">
                  <c:v>6.9</c:v>
                </c:pt>
                <c:pt idx="38">
                  <c:v>7.7</c:v>
                </c:pt>
                <c:pt idx="39">
                  <c:v>7.9</c:v>
                </c:pt>
                <c:pt idx="40">
                  <c:v>7</c:v>
                </c:pt>
                <c:pt idx="41">
                  <c:v>7.7</c:v>
                </c:pt>
                <c:pt idx="42">
                  <c:v>8.9</c:v>
                </c:pt>
                <c:pt idx="43">
                  <c:v>4.4000000000000004</c:v>
                </c:pt>
                <c:pt idx="44">
                  <c:v>8</c:v>
                </c:pt>
                <c:pt idx="45">
                  <c:v>5.9</c:v>
                </c:pt>
                <c:pt idx="46">
                  <c:v>5</c:v>
                </c:pt>
              </c:numCache>
            </c:numRef>
          </c:val>
          <c:smooth val="0"/>
        </c:ser>
        <c:ser>
          <c:idx val="6"/>
          <c:order val="3"/>
          <c:tx>
            <c:strRef>
              <c:f>Arkusz1!$F$1</c:f>
              <c:strCache>
                <c:ptCount val="1"/>
                <c:pt idx="0">
                  <c:v>Zmiana syt. kraju w ostatnich 12 miesiącach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multiLvlStrRef>
              <c:f>Arkusz1!$A$2:$B$85</c:f>
              <c:multiLvlStrCache>
                <c:ptCount val="4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 </c:v>
                  </c:pt>
                  <c:pt idx="36">
                    <c:v>2019</c:v>
                  </c:pt>
                </c:lvl>
              </c:multiLvlStrCache>
            </c:multiLvlStrRef>
          </c:cat>
          <c:val>
            <c:numRef>
              <c:f>Arkusz1!$F$2:$F$85</c:f>
              <c:numCache>
                <c:formatCode>0.0</c:formatCode>
                <c:ptCount val="47"/>
                <c:pt idx="0">
                  <c:v>-14.4</c:v>
                </c:pt>
                <c:pt idx="1">
                  <c:v>-14.9</c:v>
                </c:pt>
                <c:pt idx="2">
                  <c:v>-16.7</c:v>
                </c:pt>
                <c:pt idx="3">
                  <c:v>-11.2</c:v>
                </c:pt>
                <c:pt idx="4">
                  <c:v>-15.4</c:v>
                </c:pt>
                <c:pt idx="5">
                  <c:v>-11.7</c:v>
                </c:pt>
                <c:pt idx="6">
                  <c:v>-9.6</c:v>
                </c:pt>
                <c:pt idx="7">
                  <c:v>-8.4</c:v>
                </c:pt>
                <c:pt idx="8">
                  <c:v>-5.9</c:v>
                </c:pt>
                <c:pt idx="9">
                  <c:v>-7.9</c:v>
                </c:pt>
                <c:pt idx="10">
                  <c:v>-6.9</c:v>
                </c:pt>
                <c:pt idx="11">
                  <c:v>-8.8000000000000007</c:v>
                </c:pt>
                <c:pt idx="12">
                  <c:v>-4.2</c:v>
                </c:pt>
                <c:pt idx="13">
                  <c:v>-4.8</c:v>
                </c:pt>
                <c:pt idx="14">
                  <c:v>-6.4</c:v>
                </c:pt>
                <c:pt idx="15">
                  <c:v>-3.8</c:v>
                </c:pt>
                <c:pt idx="16">
                  <c:v>0.2</c:v>
                </c:pt>
                <c:pt idx="17">
                  <c:v>3.8</c:v>
                </c:pt>
                <c:pt idx="18">
                  <c:v>4.5999999999999996</c:v>
                </c:pt>
                <c:pt idx="19">
                  <c:v>6.3</c:v>
                </c:pt>
                <c:pt idx="20">
                  <c:v>6.2</c:v>
                </c:pt>
                <c:pt idx="21">
                  <c:v>8.5</c:v>
                </c:pt>
                <c:pt idx="22">
                  <c:v>6.9</c:v>
                </c:pt>
                <c:pt idx="23">
                  <c:v>4</c:v>
                </c:pt>
                <c:pt idx="24">
                  <c:v>8.9</c:v>
                </c:pt>
                <c:pt idx="25">
                  <c:v>9</c:v>
                </c:pt>
                <c:pt idx="26" formatCode="0.0_)">
                  <c:v>9.5</c:v>
                </c:pt>
                <c:pt idx="27" formatCode="0.0_)">
                  <c:v>13.2</c:v>
                </c:pt>
                <c:pt idx="28">
                  <c:v>6.7</c:v>
                </c:pt>
                <c:pt idx="29">
                  <c:v>9.5</c:v>
                </c:pt>
                <c:pt idx="30">
                  <c:v>9.8000000000000007</c:v>
                </c:pt>
                <c:pt idx="31">
                  <c:v>8</c:v>
                </c:pt>
                <c:pt idx="32">
                  <c:v>10.8</c:v>
                </c:pt>
                <c:pt idx="33">
                  <c:v>7</c:v>
                </c:pt>
                <c:pt idx="34">
                  <c:v>6.7</c:v>
                </c:pt>
                <c:pt idx="35">
                  <c:v>4.9000000000000004</c:v>
                </c:pt>
                <c:pt idx="36">
                  <c:v>6.9</c:v>
                </c:pt>
                <c:pt idx="37">
                  <c:v>5.3</c:v>
                </c:pt>
                <c:pt idx="38">
                  <c:v>11.1</c:v>
                </c:pt>
                <c:pt idx="39">
                  <c:v>7.1</c:v>
                </c:pt>
                <c:pt idx="40">
                  <c:v>9.9</c:v>
                </c:pt>
                <c:pt idx="41">
                  <c:v>12</c:v>
                </c:pt>
                <c:pt idx="42">
                  <c:v>11.9</c:v>
                </c:pt>
                <c:pt idx="43">
                  <c:v>10.7</c:v>
                </c:pt>
                <c:pt idx="44">
                  <c:v>13.7</c:v>
                </c:pt>
                <c:pt idx="45">
                  <c:v>12.1</c:v>
                </c:pt>
                <c:pt idx="46">
                  <c:v>10</c:v>
                </c:pt>
              </c:numCache>
            </c:numRef>
          </c:val>
          <c:smooth val="0"/>
        </c:ser>
        <c:ser>
          <c:idx val="2"/>
          <c:order val="4"/>
          <c:tx>
            <c:strRef>
              <c:f>Arkusz1!$G$1</c:f>
              <c:strCache>
                <c:ptCount val="1"/>
                <c:pt idx="0">
                  <c:v>Zmiana syt. kraju w najbliższych 12 miesiącach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multiLvlStrRef>
              <c:f>Arkusz1!$A$2:$B$85</c:f>
              <c:multiLvlStrCache>
                <c:ptCount val="4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 </c:v>
                  </c:pt>
                  <c:pt idx="36">
                    <c:v>2019</c:v>
                  </c:pt>
                </c:lvl>
              </c:multiLvlStrCache>
            </c:multiLvlStrRef>
          </c:cat>
          <c:val>
            <c:numRef>
              <c:f>Arkusz1!$G$2:$G$85</c:f>
              <c:numCache>
                <c:formatCode>0.0</c:formatCode>
                <c:ptCount val="47"/>
                <c:pt idx="0">
                  <c:v>-9.4</c:v>
                </c:pt>
                <c:pt idx="1">
                  <c:v>-7.7</c:v>
                </c:pt>
                <c:pt idx="2">
                  <c:v>-13.4</c:v>
                </c:pt>
                <c:pt idx="3">
                  <c:v>-5.8</c:v>
                </c:pt>
                <c:pt idx="4">
                  <c:v>-11</c:v>
                </c:pt>
                <c:pt idx="5">
                  <c:v>-13.2</c:v>
                </c:pt>
                <c:pt idx="6">
                  <c:v>-9.3000000000000007</c:v>
                </c:pt>
                <c:pt idx="7">
                  <c:v>-7.2</c:v>
                </c:pt>
                <c:pt idx="8">
                  <c:v>-8.1</c:v>
                </c:pt>
                <c:pt idx="9">
                  <c:v>-9.9</c:v>
                </c:pt>
                <c:pt idx="10">
                  <c:v>-8.5</c:v>
                </c:pt>
                <c:pt idx="11">
                  <c:v>-9.6</c:v>
                </c:pt>
                <c:pt idx="12">
                  <c:v>-10.1</c:v>
                </c:pt>
                <c:pt idx="13">
                  <c:v>-9.1999999999999993</c:v>
                </c:pt>
                <c:pt idx="14">
                  <c:v>-8.3000000000000007</c:v>
                </c:pt>
                <c:pt idx="15">
                  <c:v>-7.2</c:v>
                </c:pt>
                <c:pt idx="16">
                  <c:v>-1.4</c:v>
                </c:pt>
                <c:pt idx="17">
                  <c:v>1.8</c:v>
                </c:pt>
                <c:pt idx="18">
                  <c:v>1.9</c:v>
                </c:pt>
                <c:pt idx="19">
                  <c:v>2.7</c:v>
                </c:pt>
                <c:pt idx="20">
                  <c:v>0.8</c:v>
                </c:pt>
                <c:pt idx="21">
                  <c:v>3.4</c:v>
                </c:pt>
                <c:pt idx="22">
                  <c:v>3.8</c:v>
                </c:pt>
                <c:pt idx="23">
                  <c:v>0.3</c:v>
                </c:pt>
                <c:pt idx="24">
                  <c:v>4</c:v>
                </c:pt>
                <c:pt idx="25">
                  <c:v>6.3</c:v>
                </c:pt>
                <c:pt idx="26" formatCode="0.0_)">
                  <c:v>3.2</c:v>
                </c:pt>
                <c:pt idx="27" formatCode="0.0_)">
                  <c:v>6</c:v>
                </c:pt>
                <c:pt idx="28">
                  <c:v>3.8</c:v>
                </c:pt>
                <c:pt idx="29">
                  <c:v>3.8</c:v>
                </c:pt>
                <c:pt idx="30">
                  <c:v>1.2</c:v>
                </c:pt>
                <c:pt idx="31">
                  <c:v>1.9</c:v>
                </c:pt>
                <c:pt idx="32">
                  <c:v>4.4000000000000004</c:v>
                </c:pt>
                <c:pt idx="33">
                  <c:v>1.5</c:v>
                </c:pt>
                <c:pt idx="34">
                  <c:v>2.7</c:v>
                </c:pt>
                <c:pt idx="35">
                  <c:v>-4.8</c:v>
                </c:pt>
                <c:pt idx="36">
                  <c:v>0.6</c:v>
                </c:pt>
                <c:pt idx="37">
                  <c:v>1.8</c:v>
                </c:pt>
                <c:pt idx="38">
                  <c:v>4.2</c:v>
                </c:pt>
                <c:pt idx="39">
                  <c:v>-0.5</c:v>
                </c:pt>
                <c:pt idx="40">
                  <c:v>3.5</c:v>
                </c:pt>
                <c:pt idx="41">
                  <c:v>3.9</c:v>
                </c:pt>
                <c:pt idx="42">
                  <c:v>2.8</c:v>
                </c:pt>
                <c:pt idx="43">
                  <c:v>2.2000000000000002</c:v>
                </c:pt>
                <c:pt idx="44">
                  <c:v>2.8</c:v>
                </c:pt>
                <c:pt idx="45">
                  <c:v>3.4</c:v>
                </c:pt>
                <c:pt idx="46">
                  <c:v>-3</c:v>
                </c:pt>
              </c:numCache>
            </c:numRef>
          </c:val>
          <c:smooth val="0"/>
        </c:ser>
        <c:ser>
          <c:idx val="4"/>
          <c:order val="5"/>
          <c:tx>
            <c:strRef>
              <c:f>Arkusz1!$H$1</c:f>
              <c:strCache>
                <c:ptCount val="1"/>
                <c:pt idx="0">
                  <c:v>Obecne dokonyw. ważnych zakupów</c:v>
                </c:pt>
              </c:strCache>
            </c:strRef>
          </c:tx>
          <c:spPr>
            <a:ln w="28575" cap="rnd">
              <a:solidFill>
                <a:schemeClr val="tx1">
                  <a:alpha val="7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>
                  <a:alpha val="70000"/>
                </a:schemeClr>
              </a:solidFill>
              <a:ln w="9525">
                <a:noFill/>
              </a:ln>
              <a:effectLst/>
            </c:spPr>
          </c:marker>
          <c:cat>
            <c:multiLvlStrRef>
              <c:f>Arkusz1!$A$2:$B$85</c:f>
              <c:multiLvlStrCache>
                <c:ptCount val="4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 </c:v>
                  </c:pt>
                  <c:pt idx="36">
                    <c:v>2019</c:v>
                  </c:pt>
                </c:lvl>
              </c:multiLvlStrCache>
            </c:multiLvlStrRef>
          </c:cat>
          <c:val>
            <c:numRef>
              <c:f>Arkusz1!$H$2:$H$85</c:f>
              <c:numCache>
                <c:formatCode>0.0</c:formatCode>
                <c:ptCount val="47"/>
                <c:pt idx="0">
                  <c:v>-5.7</c:v>
                </c:pt>
                <c:pt idx="1">
                  <c:v>-5.9</c:v>
                </c:pt>
                <c:pt idx="2">
                  <c:v>-8.6</c:v>
                </c:pt>
                <c:pt idx="3">
                  <c:v>-4.5</c:v>
                </c:pt>
                <c:pt idx="4">
                  <c:v>-2.6</c:v>
                </c:pt>
                <c:pt idx="5">
                  <c:v>-5.6</c:v>
                </c:pt>
                <c:pt idx="6">
                  <c:v>-5.0999999999999996</c:v>
                </c:pt>
                <c:pt idx="7">
                  <c:v>-0.3</c:v>
                </c:pt>
                <c:pt idx="8">
                  <c:v>2.2999999999999998</c:v>
                </c:pt>
                <c:pt idx="9">
                  <c:v>2.7</c:v>
                </c:pt>
                <c:pt idx="10">
                  <c:v>1.3</c:v>
                </c:pt>
                <c:pt idx="11">
                  <c:v>1.5</c:v>
                </c:pt>
                <c:pt idx="12">
                  <c:v>6.6</c:v>
                </c:pt>
                <c:pt idx="13">
                  <c:v>3.4</c:v>
                </c:pt>
                <c:pt idx="14">
                  <c:v>3.3</c:v>
                </c:pt>
                <c:pt idx="15">
                  <c:v>4.7</c:v>
                </c:pt>
                <c:pt idx="16">
                  <c:v>12.9</c:v>
                </c:pt>
                <c:pt idx="17">
                  <c:v>13.2</c:v>
                </c:pt>
                <c:pt idx="18">
                  <c:v>10.3</c:v>
                </c:pt>
                <c:pt idx="19">
                  <c:v>13</c:v>
                </c:pt>
                <c:pt idx="20">
                  <c:v>13.2</c:v>
                </c:pt>
                <c:pt idx="21">
                  <c:v>10</c:v>
                </c:pt>
                <c:pt idx="22">
                  <c:v>11</c:v>
                </c:pt>
                <c:pt idx="23">
                  <c:v>8.4</c:v>
                </c:pt>
                <c:pt idx="24">
                  <c:v>11.4</c:v>
                </c:pt>
                <c:pt idx="25">
                  <c:v>13</c:v>
                </c:pt>
                <c:pt idx="26">
                  <c:v>12.7</c:v>
                </c:pt>
                <c:pt idx="27">
                  <c:v>11.9</c:v>
                </c:pt>
                <c:pt idx="28">
                  <c:v>14.9</c:v>
                </c:pt>
                <c:pt idx="29">
                  <c:v>14.2</c:v>
                </c:pt>
                <c:pt idx="30">
                  <c:v>10.3</c:v>
                </c:pt>
                <c:pt idx="31">
                  <c:v>14.2</c:v>
                </c:pt>
                <c:pt idx="32">
                  <c:v>15.2</c:v>
                </c:pt>
                <c:pt idx="33">
                  <c:v>17.5</c:v>
                </c:pt>
                <c:pt idx="34">
                  <c:v>10.6</c:v>
                </c:pt>
                <c:pt idx="35">
                  <c:v>7.5</c:v>
                </c:pt>
                <c:pt idx="36">
                  <c:v>14.9</c:v>
                </c:pt>
                <c:pt idx="37">
                  <c:v>11.9</c:v>
                </c:pt>
                <c:pt idx="38">
                  <c:v>14.5</c:v>
                </c:pt>
                <c:pt idx="39">
                  <c:v>15.4</c:v>
                </c:pt>
                <c:pt idx="40">
                  <c:v>16.7</c:v>
                </c:pt>
                <c:pt idx="41">
                  <c:v>17.100000000000001</c:v>
                </c:pt>
                <c:pt idx="42">
                  <c:v>16.2</c:v>
                </c:pt>
                <c:pt idx="43">
                  <c:v>18.5</c:v>
                </c:pt>
                <c:pt idx="44">
                  <c:v>19.399999999999999</c:v>
                </c:pt>
                <c:pt idx="45">
                  <c:v>18.2</c:v>
                </c:pt>
                <c:pt idx="46">
                  <c:v>16.100000000000001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810594240"/>
        <c:axId val="1810596960"/>
      </c:lineChart>
      <c:catAx>
        <c:axId val="1810594240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810596960"/>
        <c:crossesAt val="0"/>
        <c:auto val="1"/>
        <c:lblAlgn val="ctr"/>
        <c:lblOffset val="100"/>
        <c:tickLblSkip val="1"/>
        <c:noMultiLvlLbl val="0"/>
      </c:catAx>
      <c:valAx>
        <c:axId val="181059696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81059424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268E-4"/>
          <c:y val="0.83178335136222992"/>
          <c:w val="0.99511785645611706"/>
          <c:h val="0.1682165865630432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0546769232871537E-2"/>
          <c:y val="0.12403682659834088"/>
          <c:w val="0.91936996161087892"/>
          <c:h val="0.59331270756533183"/>
        </c:manualLayout>
      </c:layout>
      <c:barChart>
        <c:barDir val="col"/>
        <c:grouping val="clustered"/>
        <c:varyColors val="0"/>
        <c:ser>
          <c:idx val="3"/>
          <c:order val="0"/>
          <c:tx>
            <c:strRef>
              <c:f>Arkusz1!$C$1</c:f>
              <c:strCache>
                <c:ptCount val="1"/>
                <c:pt idx="0">
                  <c:v>BWUK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Arkusz1!$B$2:$B$30</c:f>
              <c:strCache>
                <c:ptCount val="22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</c:strCache>
            </c:strRef>
          </c:cat>
          <c:val>
            <c:numRef>
              <c:f>Arkusz1!$C$2:$C$30</c:f>
              <c:numCache>
                <c:formatCode>0.0_)</c:formatCode>
                <c:ptCount val="22"/>
                <c:pt idx="0">
                  <c:v>-13.8</c:v>
                </c:pt>
                <c:pt idx="1">
                  <c:v>-20.8</c:v>
                </c:pt>
                <c:pt idx="2">
                  <c:v>-30</c:v>
                </c:pt>
                <c:pt idx="3">
                  <c:v>-33.700000000000003</c:v>
                </c:pt>
                <c:pt idx="4">
                  <c:v>-35.5</c:v>
                </c:pt>
                <c:pt idx="5">
                  <c:v>-37.5</c:v>
                </c:pt>
                <c:pt idx="6">
                  <c:v>-35.799999999999997</c:v>
                </c:pt>
                <c:pt idx="7">
                  <c:v>-31.8</c:v>
                </c:pt>
                <c:pt idx="8" formatCode="0.0">
                  <c:v>-22.1</c:v>
                </c:pt>
                <c:pt idx="9" formatCode="0.0">
                  <c:v>-14.9</c:v>
                </c:pt>
                <c:pt idx="10" formatCode="0.0">
                  <c:v>-7.1</c:v>
                </c:pt>
                <c:pt idx="11" formatCode="0.0">
                  <c:v>-8</c:v>
                </c:pt>
                <c:pt idx="12" formatCode="0.0">
                  <c:v>-22.3</c:v>
                </c:pt>
                <c:pt idx="13" formatCode="0.0">
                  <c:v>-16.899999999999999</c:v>
                </c:pt>
                <c:pt idx="14" formatCode="0.0">
                  <c:v>-25</c:v>
                </c:pt>
                <c:pt idx="15" formatCode="0.0">
                  <c:v>-29.5</c:v>
                </c:pt>
                <c:pt idx="16" formatCode="0.0">
                  <c:v>-26.7</c:v>
                </c:pt>
                <c:pt idx="17" formatCode="0.0">
                  <c:v>-17</c:v>
                </c:pt>
                <c:pt idx="18" formatCode="0.0">
                  <c:v>-10.9</c:v>
                </c:pt>
                <c:pt idx="19" formatCode="0.0">
                  <c:v>-5.2</c:v>
                </c:pt>
                <c:pt idx="20" formatCode="0.0">
                  <c:v>2.4</c:v>
                </c:pt>
                <c:pt idx="21" formatCode="0.0">
                  <c:v>5.7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422420960"/>
        <c:axId val="1422411712"/>
      </c:barChart>
      <c:lineChart>
        <c:grouping val="standard"/>
        <c:varyColors val="0"/>
        <c:ser>
          <c:idx val="4"/>
          <c:order val="1"/>
          <c:tx>
            <c:strRef>
              <c:f>Arkusz1!$D$1</c:f>
              <c:strCache>
                <c:ptCount val="1"/>
                <c:pt idx="0">
                  <c:v>Zmiana syt. gosp. dom. w ostatnich 12 miesiącach</c:v>
                </c:pt>
              </c:strCache>
            </c:strRef>
          </c:tx>
          <c:spPr>
            <a:ln w="28575" cap="rnd">
              <a:solidFill>
                <a:schemeClr val="tx1">
                  <a:alpha val="5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>
                  <a:alpha val="50000"/>
                </a:scheme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2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</c:strCache>
            </c:strRef>
          </c:cat>
          <c:val>
            <c:numRef>
              <c:f>Arkusz1!$D$2:$D$30</c:f>
              <c:numCache>
                <c:formatCode>0.0_)</c:formatCode>
                <c:ptCount val="22"/>
                <c:pt idx="0">
                  <c:v>-21.6</c:v>
                </c:pt>
                <c:pt idx="1">
                  <c:v>-28.6</c:v>
                </c:pt>
                <c:pt idx="2">
                  <c:v>-36.299999999999997</c:v>
                </c:pt>
                <c:pt idx="3">
                  <c:v>-40.6</c:v>
                </c:pt>
                <c:pt idx="4">
                  <c:v>-39.700000000000003</c:v>
                </c:pt>
                <c:pt idx="5">
                  <c:v>-39.6</c:v>
                </c:pt>
                <c:pt idx="6">
                  <c:v>-38.1</c:v>
                </c:pt>
                <c:pt idx="7">
                  <c:v>-33.1</c:v>
                </c:pt>
                <c:pt idx="8" formatCode="0.0">
                  <c:v>-27</c:v>
                </c:pt>
                <c:pt idx="9" formatCode="0.0">
                  <c:v>-18.2</c:v>
                </c:pt>
                <c:pt idx="10" formatCode="0.0">
                  <c:v>-10.9</c:v>
                </c:pt>
                <c:pt idx="11" formatCode="0.0">
                  <c:v>-10.6</c:v>
                </c:pt>
                <c:pt idx="12" formatCode="0.0">
                  <c:v>-18.100000000000001</c:v>
                </c:pt>
                <c:pt idx="13" formatCode="0.0">
                  <c:v>-17.2</c:v>
                </c:pt>
                <c:pt idx="14" formatCode="0.0">
                  <c:v>-22.4</c:v>
                </c:pt>
                <c:pt idx="15" formatCode="0.0">
                  <c:v>-25.4</c:v>
                </c:pt>
                <c:pt idx="16" formatCode="0.0">
                  <c:v>-21.9</c:v>
                </c:pt>
                <c:pt idx="17" formatCode="0.0">
                  <c:v>-15.7</c:v>
                </c:pt>
                <c:pt idx="18" formatCode="0.0">
                  <c:v>-10.7</c:v>
                </c:pt>
                <c:pt idx="19" formatCode="0.0">
                  <c:v>-3.9</c:v>
                </c:pt>
                <c:pt idx="20" formatCode="0.0">
                  <c:v>0.1</c:v>
                </c:pt>
                <c:pt idx="21" formatCode="0.0">
                  <c:v>0.6</c:v>
                </c:pt>
              </c:numCache>
            </c:numRef>
          </c:val>
          <c:smooth val="0"/>
        </c:ser>
        <c:ser>
          <c:idx val="0"/>
          <c:order val="2"/>
          <c:tx>
            <c:strRef>
              <c:f>Arkusz1!$E$1</c:f>
              <c:strCache>
                <c:ptCount val="1"/>
                <c:pt idx="0">
                  <c:v>Zmiana syt. gosp. dom. w najbliższych 12 miesiącach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2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</c:strCache>
            </c:strRef>
          </c:cat>
          <c:val>
            <c:numRef>
              <c:f>Arkusz1!$E$2:$E$30</c:f>
              <c:numCache>
                <c:formatCode>0.0_)</c:formatCode>
                <c:ptCount val="22"/>
                <c:pt idx="0">
                  <c:v>-11</c:v>
                </c:pt>
                <c:pt idx="1">
                  <c:v>-19.2</c:v>
                </c:pt>
                <c:pt idx="2">
                  <c:v>-25.3</c:v>
                </c:pt>
                <c:pt idx="3">
                  <c:v>-26.8</c:v>
                </c:pt>
                <c:pt idx="4">
                  <c:v>-25.8</c:v>
                </c:pt>
                <c:pt idx="5">
                  <c:v>-27.8</c:v>
                </c:pt>
                <c:pt idx="6">
                  <c:v>-24.5</c:v>
                </c:pt>
                <c:pt idx="7">
                  <c:v>-22.3</c:v>
                </c:pt>
                <c:pt idx="8" formatCode="0.0">
                  <c:v>-12</c:v>
                </c:pt>
                <c:pt idx="9" formatCode="0.0">
                  <c:v>-6.1</c:v>
                </c:pt>
                <c:pt idx="10" formatCode="0.0">
                  <c:v>-1.9</c:v>
                </c:pt>
                <c:pt idx="11" formatCode="0.0">
                  <c:v>-4.5</c:v>
                </c:pt>
                <c:pt idx="12" formatCode="0.0">
                  <c:v>-11.1</c:v>
                </c:pt>
                <c:pt idx="13" formatCode="0.0">
                  <c:v>-8.1999999999999993</c:v>
                </c:pt>
                <c:pt idx="14" formatCode="0.0">
                  <c:v>-14.6</c:v>
                </c:pt>
                <c:pt idx="15" formatCode="0.0">
                  <c:v>-18.5</c:v>
                </c:pt>
                <c:pt idx="16" formatCode="0.0">
                  <c:v>-13.6</c:v>
                </c:pt>
                <c:pt idx="17" formatCode="0.0">
                  <c:v>-7.3</c:v>
                </c:pt>
                <c:pt idx="18" formatCode="0.0">
                  <c:v>-2.8</c:v>
                </c:pt>
                <c:pt idx="19" formatCode="0.0">
                  <c:v>0.9</c:v>
                </c:pt>
                <c:pt idx="20" formatCode="0.0">
                  <c:v>2.8</c:v>
                </c:pt>
                <c:pt idx="21" formatCode="0.0">
                  <c:v>3.6</c:v>
                </c:pt>
              </c:numCache>
            </c:numRef>
          </c:val>
          <c:smooth val="0"/>
        </c:ser>
        <c:ser>
          <c:idx val="5"/>
          <c:order val="3"/>
          <c:tx>
            <c:strRef>
              <c:f>Arkusz1!$F$1</c:f>
              <c:strCache>
                <c:ptCount val="1"/>
                <c:pt idx="0">
                  <c:v>Zmiana syt. kraju w ostatnich 12 miesiącach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2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</c:strCache>
            </c:strRef>
          </c:cat>
          <c:val>
            <c:numRef>
              <c:f>Arkusz1!$F$2:$F$30</c:f>
              <c:numCache>
                <c:formatCode>0.0_)</c:formatCode>
                <c:ptCount val="22"/>
                <c:pt idx="0">
                  <c:v>-12.8</c:v>
                </c:pt>
                <c:pt idx="1">
                  <c:v>-22.3</c:v>
                </c:pt>
                <c:pt idx="2">
                  <c:v>-37.9</c:v>
                </c:pt>
                <c:pt idx="3">
                  <c:v>-45.8</c:v>
                </c:pt>
                <c:pt idx="4">
                  <c:v>-51.8</c:v>
                </c:pt>
                <c:pt idx="5">
                  <c:v>-52.9</c:v>
                </c:pt>
                <c:pt idx="6">
                  <c:v>-51.7</c:v>
                </c:pt>
                <c:pt idx="7">
                  <c:v>-49.5</c:v>
                </c:pt>
                <c:pt idx="8" formatCode="0.0">
                  <c:v>-38.5</c:v>
                </c:pt>
                <c:pt idx="9" formatCode="0.0">
                  <c:v>-26.2</c:v>
                </c:pt>
                <c:pt idx="10" formatCode="0.0">
                  <c:v>-17.7</c:v>
                </c:pt>
                <c:pt idx="11" formatCode="0.0">
                  <c:v>-16.600000000000001</c:v>
                </c:pt>
                <c:pt idx="12" formatCode="0.0">
                  <c:v>-40</c:v>
                </c:pt>
                <c:pt idx="13" formatCode="0.0">
                  <c:v>-31.2</c:v>
                </c:pt>
                <c:pt idx="14" formatCode="0.0">
                  <c:v>-41.5</c:v>
                </c:pt>
                <c:pt idx="15" formatCode="0.0">
                  <c:v>-46.5</c:v>
                </c:pt>
                <c:pt idx="16" formatCode="0.0">
                  <c:v>-45.2</c:v>
                </c:pt>
                <c:pt idx="17" formatCode="0.0">
                  <c:v>-29.9</c:v>
                </c:pt>
                <c:pt idx="18" formatCode="0.0">
                  <c:v>-21.5</c:v>
                </c:pt>
                <c:pt idx="19" formatCode="0.0">
                  <c:v>-11</c:v>
                </c:pt>
                <c:pt idx="20" formatCode="0.0">
                  <c:v>1.8</c:v>
                </c:pt>
                <c:pt idx="21" formatCode="0.0">
                  <c:v>8.6999999999999993</c:v>
                </c:pt>
              </c:numCache>
            </c:numRef>
          </c:val>
          <c:smooth val="0"/>
        </c:ser>
        <c:ser>
          <c:idx val="1"/>
          <c:order val="4"/>
          <c:tx>
            <c:strRef>
              <c:f>Arkusz1!$G$1</c:f>
              <c:strCache>
                <c:ptCount val="1"/>
                <c:pt idx="0">
                  <c:v>Zmiana syt. kraju w najbliższych 12 miesiącach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2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</c:strCache>
            </c:strRef>
          </c:cat>
          <c:val>
            <c:numRef>
              <c:f>Arkusz1!$G$2:$G$30</c:f>
              <c:numCache>
                <c:formatCode>0.0_)</c:formatCode>
                <c:ptCount val="22"/>
                <c:pt idx="0">
                  <c:v>-10</c:v>
                </c:pt>
                <c:pt idx="1">
                  <c:v>-17</c:v>
                </c:pt>
                <c:pt idx="2">
                  <c:v>-29.7</c:v>
                </c:pt>
                <c:pt idx="3">
                  <c:v>-29.5</c:v>
                </c:pt>
                <c:pt idx="4">
                  <c:v>-32.200000000000003</c:v>
                </c:pt>
                <c:pt idx="5">
                  <c:v>-35.1</c:v>
                </c:pt>
                <c:pt idx="6">
                  <c:v>-35.200000000000003</c:v>
                </c:pt>
                <c:pt idx="7">
                  <c:v>-30.8</c:v>
                </c:pt>
                <c:pt idx="8" formatCode="0.0">
                  <c:v>-16.7</c:v>
                </c:pt>
                <c:pt idx="9" formatCode="0.0">
                  <c:v>-13</c:v>
                </c:pt>
                <c:pt idx="10" formatCode="0.0">
                  <c:v>-6.6</c:v>
                </c:pt>
                <c:pt idx="11" formatCode="0.0">
                  <c:v>-9.6999999999999993</c:v>
                </c:pt>
                <c:pt idx="12" formatCode="0.0">
                  <c:v>-26.5</c:v>
                </c:pt>
                <c:pt idx="13" formatCode="0.0">
                  <c:v>-18.899999999999999</c:v>
                </c:pt>
                <c:pt idx="14" formatCode="0.0">
                  <c:v>-30.8</c:v>
                </c:pt>
                <c:pt idx="15" formatCode="0.0">
                  <c:v>-38</c:v>
                </c:pt>
                <c:pt idx="16" formatCode="0.0">
                  <c:v>-31.2</c:v>
                </c:pt>
                <c:pt idx="17" formatCode="0.0">
                  <c:v>-18.399999999999999</c:v>
                </c:pt>
                <c:pt idx="18" formatCode="0.0">
                  <c:v>-11.4</c:v>
                </c:pt>
                <c:pt idx="19" formatCode="0.0">
                  <c:v>-9.4</c:v>
                </c:pt>
                <c:pt idx="20" formatCode="0.0">
                  <c:v>-1.8</c:v>
                </c:pt>
                <c:pt idx="21" formatCode="0.0">
                  <c:v>2.8</c:v>
                </c:pt>
              </c:numCache>
            </c:numRef>
          </c:val>
          <c:smooth val="0"/>
        </c:ser>
        <c:ser>
          <c:idx val="2"/>
          <c:order val="5"/>
          <c:tx>
            <c:strRef>
              <c:f>Arkusz1!$H$1</c:f>
              <c:strCache>
                <c:ptCount val="1"/>
                <c:pt idx="0">
                  <c:v>Obecne dokonyw. ważnych zakupów</c:v>
                </c:pt>
              </c:strCache>
            </c:strRef>
          </c:tx>
          <c:spPr>
            <a:ln w="28575" cap="rnd">
              <a:solidFill>
                <a:srgbClr val="000000">
                  <a:alpha val="7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00">
                  <a:alpha val="70000"/>
                </a:srgb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2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</c:strCache>
            </c:strRef>
          </c:cat>
          <c:val>
            <c:numRef>
              <c:f>Arkusz1!$H$2:$H$30</c:f>
              <c:numCache>
                <c:formatCode>0.0_)</c:formatCode>
                <c:ptCount val="22"/>
                <c:pt idx="0">
                  <c:v>-13.4</c:v>
                </c:pt>
                <c:pt idx="1">
                  <c:v>-16.600000000000001</c:v>
                </c:pt>
                <c:pt idx="2">
                  <c:v>-21</c:v>
                </c:pt>
                <c:pt idx="3">
                  <c:v>-25.8</c:v>
                </c:pt>
                <c:pt idx="4">
                  <c:v>-27.8</c:v>
                </c:pt>
                <c:pt idx="5">
                  <c:v>-32.1</c:v>
                </c:pt>
                <c:pt idx="6">
                  <c:v>-29.4</c:v>
                </c:pt>
                <c:pt idx="7">
                  <c:v>-23.3</c:v>
                </c:pt>
                <c:pt idx="8" formatCode="0.0">
                  <c:v>-16.399999999999999</c:v>
                </c:pt>
                <c:pt idx="9" formatCode="0.0">
                  <c:v>-11.1</c:v>
                </c:pt>
                <c:pt idx="10" formatCode="0.0">
                  <c:v>1.3</c:v>
                </c:pt>
                <c:pt idx="11" formatCode="0.0">
                  <c:v>1.2</c:v>
                </c:pt>
                <c:pt idx="12" formatCode="0.0">
                  <c:v>-16.100000000000001</c:v>
                </c:pt>
                <c:pt idx="13" formatCode="0.0">
                  <c:v>-9.1999999999999993</c:v>
                </c:pt>
                <c:pt idx="14" formatCode="0.0">
                  <c:v>-15.9</c:v>
                </c:pt>
                <c:pt idx="15" formatCode="0.0">
                  <c:v>-19.3</c:v>
                </c:pt>
                <c:pt idx="16" formatCode="0.0">
                  <c:v>-21.6</c:v>
                </c:pt>
                <c:pt idx="17" formatCode="0.0">
                  <c:v>-13.7</c:v>
                </c:pt>
                <c:pt idx="18" formatCode="0.0">
                  <c:v>-8.1999999999999993</c:v>
                </c:pt>
                <c:pt idx="19" formatCode="0.0">
                  <c:v>-2.5</c:v>
                </c:pt>
                <c:pt idx="20" formatCode="0.0">
                  <c:v>9.1999999999999993</c:v>
                </c:pt>
                <c:pt idx="21" formatCode="General">
                  <c:v>12.8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422420960"/>
        <c:axId val="1422411712"/>
      </c:lineChart>
      <c:catAx>
        <c:axId val="1422420960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6350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22411712"/>
        <c:crossesAt val="0"/>
        <c:auto val="0"/>
        <c:lblAlgn val="ctr"/>
        <c:lblOffset val="100"/>
        <c:tickLblSkip val="1"/>
        <c:noMultiLvlLbl val="0"/>
      </c:catAx>
      <c:valAx>
        <c:axId val="142241171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_)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2242096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268E-4"/>
          <c:y val="0.86735319766516639"/>
          <c:w val="0.9993317774660837"/>
          <c:h val="0.1326468023348334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  <c:userShapes r:id="rId4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2.85158100059365E-2"/>
          <c:w val="0.92572481061659784"/>
          <c:h val="0.69522074916354304"/>
        </c:manualLayout>
      </c:layout>
      <c:barChart>
        <c:barDir val="col"/>
        <c:grouping val="clustered"/>
        <c:varyColors val="0"/>
        <c:ser>
          <c:idx val="4"/>
          <c:order val="0"/>
          <c:tx>
            <c:strRef>
              <c:f>Arkusz1!$C$1</c:f>
              <c:strCache>
                <c:ptCount val="1"/>
                <c:pt idx="0">
                  <c:v>WWUK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multiLvlStrRef>
              <c:f>Arkusz1!$A$2:$B$85</c:f>
              <c:multiLvlStrCache>
                <c:ptCount val="4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 </c:v>
                  </c:pt>
                  <c:pt idx="36">
                    <c:v>2019</c:v>
                  </c:pt>
                </c:lvl>
              </c:multiLvlStrCache>
            </c:multiLvlStrRef>
          </c:cat>
          <c:val>
            <c:numRef>
              <c:f>Arkusz1!$C$2:$C$85</c:f>
              <c:numCache>
                <c:formatCode>0.0</c:formatCode>
                <c:ptCount val="47"/>
                <c:pt idx="0">
                  <c:v>-10.9</c:v>
                </c:pt>
                <c:pt idx="1">
                  <c:v>-8.1999999999999993</c:v>
                </c:pt>
                <c:pt idx="2">
                  <c:v>-11.5</c:v>
                </c:pt>
                <c:pt idx="3">
                  <c:v>-7.2</c:v>
                </c:pt>
                <c:pt idx="4">
                  <c:v>-7.7</c:v>
                </c:pt>
                <c:pt idx="5">
                  <c:v>-9.6999999999999993</c:v>
                </c:pt>
                <c:pt idx="6">
                  <c:v>-10.6</c:v>
                </c:pt>
                <c:pt idx="7">
                  <c:v>-7.3</c:v>
                </c:pt>
                <c:pt idx="8">
                  <c:v>-7.5</c:v>
                </c:pt>
                <c:pt idx="9">
                  <c:v>-10.3</c:v>
                </c:pt>
                <c:pt idx="10">
                  <c:v>-5.4</c:v>
                </c:pt>
                <c:pt idx="11">
                  <c:v>-6.7</c:v>
                </c:pt>
                <c:pt idx="12">
                  <c:v>-4.4000000000000004</c:v>
                </c:pt>
                <c:pt idx="13">
                  <c:v>-3.6</c:v>
                </c:pt>
                <c:pt idx="14">
                  <c:v>-4.2</c:v>
                </c:pt>
                <c:pt idx="15">
                  <c:v>-3.1</c:v>
                </c:pt>
                <c:pt idx="16">
                  <c:v>0.6</c:v>
                </c:pt>
                <c:pt idx="17">
                  <c:v>1.8</c:v>
                </c:pt>
                <c:pt idx="18">
                  <c:v>1.3</c:v>
                </c:pt>
                <c:pt idx="19">
                  <c:v>2.7</c:v>
                </c:pt>
                <c:pt idx="20">
                  <c:v>0.8</c:v>
                </c:pt>
                <c:pt idx="21">
                  <c:v>1.6</c:v>
                </c:pt>
                <c:pt idx="22">
                  <c:v>3.4</c:v>
                </c:pt>
                <c:pt idx="23">
                  <c:v>-0.2</c:v>
                </c:pt>
                <c:pt idx="24">
                  <c:v>4.3</c:v>
                </c:pt>
                <c:pt idx="25">
                  <c:v>4.2</c:v>
                </c:pt>
                <c:pt idx="26">
                  <c:v>2.9</c:v>
                </c:pt>
                <c:pt idx="27">
                  <c:v>5.7</c:v>
                </c:pt>
                <c:pt idx="28">
                  <c:v>2.8</c:v>
                </c:pt>
                <c:pt idx="29">
                  <c:v>4</c:v>
                </c:pt>
                <c:pt idx="30">
                  <c:v>2.4</c:v>
                </c:pt>
                <c:pt idx="31">
                  <c:v>2.4</c:v>
                </c:pt>
                <c:pt idx="32">
                  <c:v>3.1</c:v>
                </c:pt>
                <c:pt idx="33">
                  <c:v>1.3</c:v>
                </c:pt>
                <c:pt idx="34">
                  <c:v>3.4</c:v>
                </c:pt>
                <c:pt idx="35">
                  <c:v>-1.8</c:v>
                </c:pt>
                <c:pt idx="36">
                  <c:v>2.2000000000000002</c:v>
                </c:pt>
                <c:pt idx="37">
                  <c:v>3.2</c:v>
                </c:pt>
                <c:pt idx="38">
                  <c:v>4.7</c:v>
                </c:pt>
                <c:pt idx="39">
                  <c:v>3.5</c:v>
                </c:pt>
                <c:pt idx="40">
                  <c:v>4.9000000000000004</c:v>
                </c:pt>
                <c:pt idx="41">
                  <c:v>7.5</c:v>
                </c:pt>
                <c:pt idx="42">
                  <c:v>5.9</c:v>
                </c:pt>
                <c:pt idx="43">
                  <c:v>3.9</c:v>
                </c:pt>
                <c:pt idx="44">
                  <c:v>7</c:v>
                </c:pt>
                <c:pt idx="45">
                  <c:v>3.6</c:v>
                </c:pt>
                <c:pt idx="46">
                  <c:v>2.2000000000000002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422412256"/>
        <c:axId val="1422419328"/>
      </c:barChart>
      <c:lineChart>
        <c:grouping val="standard"/>
        <c:varyColors val="0"/>
        <c:ser>
          <c:idx val="0"/>
          <c:order val="1"/>
          <c:tx>
            <c:strRef>
              <c:f>Arkusz1!$D$1</c:f>
              <c:strCache>
                <c:ptCount val="1"/>
                <c:pt idx="0">
                  <c:v>Zmiana syt. gosp. dom. w najbliższych 12 miesiącach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multiLvlStrRef>
              <c:f>Arkusz1!$A$2:$B$85</c:f>
              <c:multiLvlStrCache>
                <c:ptCount val="4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 </c:v>
                  </c:pt>
                  <c:pt idx="36">
                    <c:v>2019</c:v>
                  </c:pt>
                </c:lvl>
              </c:multiLvlStrCache>
            </c:multiLvlStrRef>
          </c:cat>
          <c:val>
            <c:numRef>
              <c:f>Arkusz1!$D$2:$D$85</c:f>
              <c:numCache>
                <c:formatCode>0.0</c:formatCode>
                <c:ptCount val="47"/>
                <c:pt idx="0">
                  <c:v>0.6</c:v>
                </c:pt>
                <c:pt idx="1">
                  <c:v>2.2999999999999998</c:v>
                </c:pt>
                <c:pt idx="2">
                  <c:v>-0.5</c:v>
                </c:pt>
                <c:pt idx="3">
                  <c:v>3.4</c:v>
                </c:pt>
                <c:pt idx="4">
                  <c:v>0.4</c:v>
                </c:pt>
                <c:pt idx="5">
                  <c:v>0.1</c:v>
                </c:pt>
                <c:pt idx="6">
                  <c:v>-0.2</c:v>
                </c:pt>
                <c:pt idx="7">
                  <c:v>0.8</c:v>
                </c:pt>
                <c:pt idx="8">
                  <c:v>1.6</c:v>
                </c:pt>
                <c:pt idx="9">
                  <c:v>-0.6</c:v>
                </c:pt>
                <c:pt idx="10">
                  <c:v>1.8</c:v>
                </c:pt>
                <c:pt idx="11">
                  <c:v>1.6</c:v>
                </c:pt>
                <c:pt idx="12">
                  <c:v>2.9</c:v>
                </c:pt>
                <c:pt idx="13">
                  <c:v>2.2000000000000002</c:v>
                </c:pt>
                <c:pt idx="14">
                  <c:v>1.6</c:v>
                </c:pt>
                <c:pt idx="15">
                  <c:v>2</c:v>
                </c:pt>
                <c:pt idx="16">
                  <c:v>2.8</c:v>
                </c:pt>
                <c:pt idx="17">
                  <c:v>2.9</c:v>
                </c:pt>
                <c:pt idx="18">
                  <c:v>3.6</c:v>
                </c:pt>
                <c:pt idx="19">
                  <c:v>4.3</c:v>
                </c:pt>
                <c:pt idx="20">
                  <c:v>4</c:v>
                </c:pt>
                <c:pt idx="21">
                  <c:v>1.6</c:v>
                </c:pt>
                <c:pt idx="22">
                  <c:v>5</c:v>
                </c:pt>
                <c:pt idx="23">
                  <c:v>0.2</c:v>
                </c:pt>
                <c:pt idx="24">
                  <c:v>5.2</c:v>
                </c:pt>
                <c:pt idx="25">
                  <c:v>2.8</c:v>
                </c:pt>
                <c:pt idx="26">
                  <c:v>4.2</c:v>
                </c:pt>
                <c:pt idx="27">
                  <c:v>5.7</c:v>
                </c:pt>
                <c:pt idx="28">
                  <c:v>3.5</c:v>
                </c:pt>
                <c:pt idx="29">
                  <c:v>3.8</c:v>
                </c:pt>
                <c:pt idx="30">
                  <c:v>3.6</c:v>
                </c:pt>
                <c:pt idx="31">
                  <c:v>4</c:v>
                </c:pt>
                <c:pt idx="32">
                  <c:v>3.1</c:v>
                </c:pt>
                <c:pt idx="33">
                  <c:v>4.7</c:v>
                </c:pt>
                <c:pt idx="34">
                  <c:v>4</c:v>
                </c:pt>
                <c:pt idx="35">
                  <c:v>-1</c:v>
                </c:pt>
                <c:pt idx="36">
                  <c:v>2.8</c:v>
                </c:pt>
                <c:pt idx="37">
                  <c:v>6.9</c:v>
                </c:pt>
                <c:pt idx="38">
                  <c:v>7.7</c:v>
                </c:pt>
                <c:pt idx="39">
                  <c:v>7.9</c:v>
                </c:pt>
                <c:pt idx="40">
                  <c:v>7</c:v>
                </c:pt>
                <c:pt idx="41">
                  <c:v>7.7</c:v>
                </c:pt>
                <c:pt idx="42">
                  <c:v>8.9</c:v>
                </c:pt>
                <c:pt idx="43">
                  <c:v>4.4000000000000004</c:v>
                </c:pt>
                <c:pt idx="44">
                  <c:v>8</c:v>
                </c:pt>
                <c:pt idx="45">
                  <c:v>5.9</c:v>
                </c:pt>
                <c:pt idx="46">
                  <c:v>5</c:v>
                </c:pt>
              </c:numCache>
            </c:numRef>
          </c:val>
          <c:smooth val="0"/>
        </c:ser>
        <c:ser>
          <c:idx val="1"/>
          <c:order val="2"/>
          <c:tx>
            <c:strRef>
              <c:f>Arkusz1!$E$1</c:f>
              <c:strCache>
                <c:ptCount val="1"/>
                <c:pt idx="0">
                  <c:v>Zmiana syt. kraju w najbliższych 12 miesiącach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multiLvlStrRef>
              <c:f>Arkusz1!$A$2:$B$85</c:f>
              <c:multiLvlStrCache>
                <c:ptCount val="4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 </c:v>
                  </c:pt>
                  <c:pt idx="36">
                    <c:v>2019</c:v>
                  </c:pt>
                </c:lvl>
              </c:multiLvlStrCache>
            </c:multiLvlStrRef>
          </c:cat>
          <c:val>
            <c:numRef>
              <c:f>Arkusz1!$E$2:$E$85</c:f>
              <c:numCache>
                <c:formatCode>0.0</c:formatCode>
                <c:ptCount val="47"/>
                <c:pt idx="0">
                  <c:v>-9.4</c:v>
                </c:pt>
                <c:pt idx="1">
                  <c:v>-7.7</c:v>
                </c:pt>
                <c:pt idx="2">
                  <c:v>-13.4</c:v>
                </c:pt>
                <c:pt idx="3">
                  <c:v>-5.8</c:v>
                </c:pt>
                <c:pt idx="4">
                  <c:v>-11</c:v>
                </c:pt>
                <c:pt idx="5">
                  <c:v>-13.2</c:v>
                </c:pt>
                <c:pt idx="6">
                  <c:v>-9.3000000000000007</c:v>
                </c:pt>
                <c:pt idx="7">
                  <c:v>-7.2</c:v>
                </c:pt>
                <c:pt idx="8">
                  <c:v>-8.1</c:v>
                </c:pt>
                <c:pt idx="9">
                  <c:v>-9.9</c:v>
                </c:pt>
                <c:pt idx="10">
                  <c:v>-8.5</c:v>
                </c:pt>
                <c:pt idx="11">
                  <c:v>-9.6</c:v>
                </c:pt>
                <c:pt idx="12">
                  <c:v>-10.1</c:v>
                </c:pt>
                <c:pt idx="13">
                  <c:v>-9.1999999999999993</c:v>
                </c:pt>
                <c:pt idx="14">
                  <c:v>-8.3000000000000007</c:v>
                </c:pt>
                <c:pt idx="15">
                  <c:v>-7.2</c:v>
                </c:pt>
                <c:pt idx="16">
                  <c:v>-1.4</c:v>
                </c:pt>
                <c:pt idx="17">
                  <c:v>1.8</c:v>
                </c:pt>
                <c:pt idx="18">
                  <c:v>1.9</c:v>
                </c:pt>
                <c:pt idx="19">
                  <c:v>2.7</c:v>
                </c:pt>
                <c:pt idx="20">
                  <c:v>0.8</c:v>
                </c:pt>
                <c:pt idx="21">
                  <c:v>3.4</c:v>
                </c:pt>
                <c:pt idx="22">
                  <c:v>3.8</c:v>
                </c:pt>
                <c:pt idx="23">
                  <c:v>0.3</c:v>
                </c:pt>
                <c:pt idx="24">
                  <c:v>4</c:v>
                </c:pt>
                <c:pt idx="25">
                  <c:v>6.3</c:v>
                </c:pt>
                <c:pt idx="26">
                  <c:v>3.2</c:v>
                </c:pt>
                <c:pt idx="27">
                  <c:v>6</c:v>
                </c:pt>
                <c:pt idx="28">
                  <c:v>3.8</c:v>
                </c:pt>
                <c:pt idx="29">
                  <c:v>3.8</c:v>
                </c:pt>
                <c:pt idx="30">
                  <c:v>1.2</c:v>
                </c:pt>
                <c:pt idx="31">
                  <c:v>1.9</c:v>
                </c:pt>
                <c:pt idx="32">
                  <c:v>4.4000000000000004</c:v>
                </c:pt>
                <c:pt idx="33">
                  <c:v>1.5</c:v>
                </c:pt>
                <c:pt idx="34">
                  <c:v>2.7</c:v>
                </c:pt>
                <c:pt idx="35">
                  <c:v>-4.8</c:v>
                </c:pt>
                <c:pt idx="36">
                  <c:v>0.6</c:v>
                </c:pt>
                <c:pt idx="37">
                  <c:v>1.8</c:v>
                </c:pt>
                <c:pt idx="38">
                  <c:v>4.2</c:v>
                </c:pt>
                <c:pt idx="39">
                  <c:v>-0.5</c:v>
                </c:pt>
                <c:pt idx="40">
                  <c:v>3.5</c:v>
                </c:pt>
                <c:pt idx="41">
                  <c:v>3.9</c:v>
                </c:pt>
                <c:pt idx="42">
                  <c:v>2.8</c:v>
                </c:pt>
                <c:pt idx="43">
                  <c:v>2.2000000000000002</c:v>
                </c:pt>
                <c:pt idx="44">
                  <c:v>2.8</c:v>
                </c:pt>
                <c:pt idx="45">
                  <c:v>3.4</c:v>
                </c:pt>
                <c:pt idx="46">
                  <c:v>-3</c:v>
                </c:pt>
              </c:numCache>
            </c:numRef>
          </c:val>
          <c:smooth val="0"/>
        </c:ser>
        <c:ser>
          <c:idx val="2"/>
          <c:order val="3"/>
          <c:tx>
            <c:strRef>
              <c:f>Arkusz1!$F$1</c:f>
              <c:strCache>
                <c:ptCount val="1"/>
                <c:pt idx="0">
                  <c:v>Zmiana poziomu bezrobocia</c:v>
                </c:pt>
              </c:strCache>
            </c:strRef>
          </c:tx>
          <c:spPr>
            <a:ln w="28575" cap="rnd">
              <a:solidFill>
                <a:srgbClr val="000000">
                  <a:alpha val="7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00">
                  <a:alpha val="70000"/>
                </a:srgbClr>
              </a:solidFill>
              <a:ln w="9525">
                <a:noFill/>
              </a:ln>
              <a:effectLst/>
            </c:spPr>
          </c:marker>
          <c:cat>
            <c:multiLvlStrRef>
              <c:f>Arkusz1!$A$2:$B$85</c:f>
              <c:multiLvlStrCache>
                <c:ptCount val="4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 </c:v>
                  </c:pt>
                  <c:pt idx="36">
                    <c:v>2019</c:v>
                  </c:pt>
                </c:lvl>
              </c:multiLvlStrCache>
            </c:multiLvlStrRef>
          </c:cat>
          <c:val>
            <c:numRef>
              <c:f>Arkusz1!$F$2:$F$85</c:f>
              <c:numCache>
                <c:formatCode>0.0</c:formatCode>
                <c:ptCount val="47"/>
                <c:pt idx="0">
                  <c:v>-13.9</c:v>
                </c:pt>
                <c:pt idx="1">
                  <c:v>-9.6</c:v>
                </c:pt>
                <c:pt idx="2">
                  <c:v>-9.1</c:v>
                </c:pt>
                <c:pt idx="3">
                  <c:v>-7.7</c:v>
                </c:pt>
                <c:pt idx="4">
                  <c:v>-3.9</c:v>
                </c:pt>
                <c:pt idx="5">
                  <c:v>-5.3</c:v>
                </c:pt>
                <c:pt idx="6">
                  <c:v>-13.5</c:v>
                </c:pt>
                <c:pt idx="7">
                  <c:v>-7.1</c:v>
                </c:pt>
                <c:pt idx="8">
                  <c:v>-6.6</c:v>
                </c:pt>
                <c:pt idx="9">
                  <c:v>-11.7</c:v>
                </c:pt>
                <c:pt idx="10">
                  <c:v>-1.1000000000000001</c:v>
                </c:pt>
                <c:pt idx="11">
                  <c:v>-4.0999999999999996</c:v>
                </c:pt>
                <c:pt idx="12">
                  <c:v>-0.1</c:v>
                </c:pt>
                <c:pt idx="13">
                  <c:v>4.4000000000000004</c:v>
                </c:pt>
                <c:pt idx="14">
                  <c:v>4.9000000000000004</c:v>
                </c:pt>
                <c:pt idx="15">
                  <c:v>5.9</c:v>
                </c:pt>
                <c:pt idx="16">
                  <c:v>11</c:v>
                </c:pt>
                <c:pt idx="17">
                  <c:v>11.7</c:v>
                </c:pt>
                <c:pt idx="18">
                  <c:v>10.1</c:v>
                </c:pt>
                <c:pt idx="19">
                  <c:v>11</c:v>
                </c:pt>
                <c:pt idx="20">
                  <c:v>10.199999999999999</c:v>
                </c:pt>
                <c:pt idx="21">
                  <c:v>9.1999999999999993</c:v>
                </c:pt>
                <c:pt idx="22">
                  <c:v>13.5</c:v>
                </c:pt>
                <c:pt idx="23">
                  <c:v>10.8</c:v>
                </c:pt>
                <c:pt idx="24">
                  <c:v>13.6</c:v>
                </c:pt>
                <c:pt idx="25">
                  <c:v>14.1</c:v>
                </c:pt>
                <c:pt idx="26">
                  <c:v>13.4</c:v>
                </c:pt>
                <c:pt idx="27">
                  <c:v>18</c:v>
                </c:pt>
                <c:pt idx="28">
                  <c:v>14.2</c:v>
                </c:pt>
                <c:pt idx="29">
                  <c:v>13.7</c:v>
                </c:pt>
                <c:pt idx="30">
                  <c:v>14.1</c:v>
                </c:pt>
                <c:pt idx="31">
                  <c:v>12.3</c:v>
                </c:pt>
                <c:pt idx="32">
                  <c:v>11.9</c:v>
                </c:pt>
                <c:pt idx="33">
                  <c:v>8.3000000000000007</c:v>
                </c:pt>
                <c:pt idx="34">
                  <c:v>9.4</c:v>
                </c:pt>
                <c:pt idx="35">
                  <c:v>7.6</c:v>
                </c:pt>
                <c:pt idx="36">
                  <c:v>7.2</c:v>
                </c:pt>
                <c:pt idx="37">
                  <c:v>7.6</c:v>
                </c:pt>
                <c:pt idx="38">
                  <c:v>9.8000000000000007</c:v>
                </c:pt>
                <c:pt idx="39">
                  <c:v>8.1</c:v>
                </c:pt>
                <c:pt idx="40">
                  <c:v>10</c:v>
                </c:pt>
                <c:pt idx="41">
                  <c:v>15.3</c:v>
                </c:pt>
                <c:pt idx="42">
                  <c:v>10.3</c:v>
                </c:pt>
                <c:pt idx="43">
                  <c:v>8.6999999999999993</c:v>
                </c:pt>
                <c:pt idx="44">
                  <c:v>9.8000000000000007</c:v>
                </c:pt>
                <c:pt idx="45">
                  <c:v>2.5</c:v>
                </c:pt>
                <c:pt idx="46">
                  <c:v>2.9</c:v>
                </c:pt>
              </c:numCache>
            </c:numRef>
          </c:val>
          <c:smooth val="0"/>
        </c:ser>
        <c:ser>
          <c:idx val="5"/>
          <c:order val="4"/>
          <c:tx>
            <c:strRef>
              <c:f>Arkusz1!$G$1</c:f>
              <c:strCache>
                <c:ptCount val="1"/>
                <c:pt idx="0">
                  <c:v>Oszczędzanie pieniędzy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multiLvlStrRef>
              <c:f>Arkusz1!$A$2:$B$85</c:f>
              <c:multiLvlStrCache>
                <c:ptCount val="4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 </c:v>
                  </c:pt>
                  <c:pt idx="36">
                    <c:v>2019</c:v>
                  </c:pt>
                </c:lvl>
              </c:multiLvlStrCache>
            </c:multiLvlStrRef>
          </c:cat>
          <c:val>
            <c:numRef>
              <c:f>Arkusz1!$G$2:$G$85</c:f>
              <c:numCache>
                <c:formatCode>0.0</c:formatCode>
                <c:ptCount val="47"/>
                <c:pt idx="0">
                  <c:v>-20.8</c:v>
                </c:pt>
                <c:pt idx="1">
                  <c:v>-17.7</c:v>
                </c:pt>
                <c:pt idx="2">
                  <c:v>-22.9</c:v>
                </c:pt>
                <c:pt idx="3">
                  <c:v>-18.5</c:v>
                </c:pt>
                <c:pt idx="4">
                  <c:v>-16.399999999999999</c:v>
                </c:pt>
                <c:pt idx="5">
                  <c:v>-20.2</c:v>
                </c:pt>
                <c:pt idx="6">
                  <c:v>-19.2</c:v>
                </c:pt>
                <c:pt idx="7">
                  <c:v>-15.6</c:v>
                </c:pt>
                <c:pt idx="8">
                  <c:v>-16.8</c:v>
                </c:pt>
                <c:pt idx="9">
                  <c:v>-18.8</c:v>
                </c:pt>
                <c:pt idx="10">
                  <c:v>-13.8</c:v>
                </c:pt>
                <c:pt idx="11">
                  <c:v>-14.6</c:v>
                </c:pt>
                <c:pt idx="12">
                  <c:v>-10.1</c:v>
                </c:pt>
                <c:pt idx="13">
                  <c:v>-11.8</c:v>
                </c:pt>
                <c:pt idx="14">
                  <c:v>-15</c:v>
                </c:pt>
                <c:pt idx="15">
                  <c:v>-12.9</c:v>
                </c:pt>
                <c:pt idx="16">
                  <c:v>-10</c:v>
                </c:pt>
                <c:pt idx="17">
                  <c:v>-9.4</c:v>
                </c:pt>
                <c:pt idx="18">
                  <c:v>-10.5</c:v>
                </c:pt>
                <c:pt idx="19">
                  <c:v>-7.3</c:v>
                </c:pt>
                <c:pt idx="20">
                  <c:v>-11.7</c:v>
                </c:pt>
                <c:pt idx="21">
                  <c:v>-8</c:v>
                </c:pt>
                <c:pt idx="22">
                  <c:v>-8.8000000000000007</c:v>
                </c:pt>
                <c:pt idx="23">
                  <c:v>-12</c:v>
                </c:pt>
                <c:pt idx="24">
                  <c:v>-5.8</c:v>
                </c:pt>
                <c:pt idx="25">
                  <c:v>-6.4</c:v>
                </c:pt>
                <c:pt idx="26">
                  <c:v>-9.1999999999999993</c:v>
                </c:pt>
                <c:pt idx="27">
                  <c:v>-6.9</c:v>
                </c:pt>
                <c:pt idx="28">
                  <c:v>-10.199999999999999</c:v>
                </c:pt>
                <c:pt idx="29">
                  <c:v>-5.2</c:v>
                </c:pt>
                <c:pt idx="30">
                  <c:v>-9.4</c:v>
                </c:pt>
                <c:pt idx="31">
                  <c:v>-8.6999999999999993</c:v>
                </c:pt>
                <c:pt idx="32">
                  <c:v>-7.2</c:v>
                </c:pt>
                <c:pt idx="33">
                  <c:v>-9.3000000000000007</c:v>
                </c:pt>
                <c:pt idx="34">
                  <c:v>-2.6</c:v>
                </c:pt>
                <c:pt idx="35">
                  <c:v>-9</c:v>
                </c:pt>
                <c:pt idx="36">
                  <c:v>-1.6</c:v>
                </c:pt>
                <c:pt idx="37">
                  <c:v>-3.4</c:v>
                </c:pt>
                <c:pt idx="38">
                  <c:v>-3.1</c:v>
                </c:pt>
                <c:pt idx="39">
                  <c:v>-1.4</c:v>
                </c:pt>
                <c:pt idx="40">
                  <c:v>-0.8</c:v>
                </c:pt>
                <c:pt idx="41">
                  <c:v>3.1</c:v>
                </c:pt>
                <c:pt idx="42">
                  <c:v>1.7</c:v>
                </c:pt>
                <c:pt idx="43">
                  <c:v>0.4</c:v>
                </c:pt>
                <c:pt idx="44">
                  <c:v>7.5</c:v>
                </c:pt>
                <c:pt idx="45">
                  <c:v>2.6</c:v>
                </c:pt>
                <c:pt idx="46">
                  <c:v>3.9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422412256"/>
        <c:axId val="1422419328"/>
      </c:lineChart>
      <c:catAx>
        <c:axId val="1422412256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22419328"/>
        <c:crossesAt val="0"/>
        <c:auto val="1"/>
        <c:lblAlgn val="ctr"/>
        <c:lblOffset val="100"/>
        <c:tickLblSkip val="1"/>
        <c:noMultiLvlLbl val="0"/>
      </c:catAx>
      <c:valAx>
        <c:axId val="14224193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2241225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268E-4"/>
          <c:y val="0.84503937007874019"/>
          <c:w val="0.9993317774660837"/>
          <c:h val="0.1549606299212598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4216712591104619E-2"/>
          <c:y val="3.182981166293733E-2"/>
          <c:w val="0.92505522157443221"/>
          <c:h val="0.68551983144386652"/>
        </c:manualLayout>
      </c:layout>
      <c:barChart>
        <c:barDir val="col"/>
        <c:grouping val="clustered"/>
        <c:varyColors val="0"/>
        <c:ser>
          <c:idx val="4"/>
          <c:order val="0"/>
          <c:tx>
            <c:strRef>
              <c:f>Arkusz1!$C$1</c:f>
              <c:strCache>
                <c:ptCount val="1"/>
                <c:pt idx="0">
                  <c:v>WWUK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Arkusz1!$B$2:$B$30</c:f>
              <c:strCache>
                <c:ptCount val="22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</c:strCache>
            </c:strRef>
          </c:cat>
          <c:val>
            <c:numRef>
              <c:f>Arkusz1!$C$2:$C$30</c:f>
              <c:numCache>
                <c:formatCode>0.0_)</c:formatCode>
                <c:ptCount val="22"/>
                <c:pt idx="0">
                  <c:v>-21.85</c:v>
                </c:pt>
                <c:pt idx="1">
                  <c:v>-29.625</c:v>
                </c:pt>
                <c:pt idx="2">
                  <c:v>-41.424999999999997</c:v>
                </c:pt>
                <c:pt idx="3">
                  <c:v>-44.6</c:v>
                </c:pt>
                <c:pt idx="4">
                  <c:v>-46.524999999999999</c:v>
                </c:pt>
                <c:pt idx="5">
                  <c:v>-47.825000000000003</c:v>
                </c:pt>
                <c:pt idx="6">
                  <c:v>-44.8</c:v>
                </c:pt>
                <c:pt idx="7">
                  <c:v>-35.700000000000003</c:v>
                </c:pt>
                <c:pt idx="8" formatCode="0.0">
                  <c:v>-27.2</c:v>
                </c:pt>
                <c:pt idx="9" formatCode="0.0">
                  <c:v>-18.5</c:v>
                </c:pt>
                <c:pt idx="10" formatCode="0.0">
                  <c:v>-7.9</c:v>
                </c:pt>
                <c:pt idx="11" formatCode="0.0">
                  <c:v>-11.6</c:v>
                </c:pt>
                <c:pt idx="12" formatCode="0.0">
                  <c:v>-32.5</c:v>
                </c:pt>
                <c:pt idx="13" formatCode="0.0">
                  <c:v>-23.5</c:v>
                </c:pt>
                <c:pt idx="14" formatCode="0.0">
                  <c:v>-29.8</c:v>
                </c:pt>
                <c:pt idx="15" formatCode="0.0">
                  <c:v>-36.700000000000003</c:v>
                </c:pt>
                <c:pt idx="16" formatCode="0.0">
                  <c:v>-33.700000000000003</c:v>
                </c:pt>
                <c:pt idx="17" formatCode="0.0">
                  <c:v>-21.8</c:v>
                </c:pt>
                <c:pt idx="18" formatCode="0.0">
                  <c:v>-15.1</c:v>
                </c:pt>
                <c:pt idx="19" formatCode="0.0">
                  <c:v>-8.6</c:v>
                </c:pt>
                <c:pt idx="20" formatCode="0.0">
                  <c:v>-0.3</c:v>
                </c:pt>
                <c:pt idx="21" formatCode="0.0">
                  <c:v>2.9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844302384"/>
        <c:axId val="1844298032"/>
      </c:barChart>
      <c:lineChart>
        <c:grouping val="standard"/>
        <c:varyColors val="0"/>
        <c:ser>
          <c:idx val="0"/>
          <c:order val="1"/>
          <c:tx>
            <c:strRef>
              <c:f>Arkusz1!$D$1</c:f>
              <c:strCache>
                <c:ptCount val="1"/>
                <c:pt idx="0">
                  <c:v>Zmiana syt. gosp. dom. w najbliższych 12 miesiącach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2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</c:strCache>
            </c:strRef>
          </c:cat>
          <c:val>
            <c:numRef>
              <c:f>Arkusz1!$D$2:$D$30</c:f>
              <c:numCache>
                <c:formatCode>0.0_)</c:formatCode>
                <c:ptCount val="22"/>
                <c:pt idx="0">
                  <c:v>-11</c:v>
                </c:pt>
                <c:pt idx="1">
                  <c:v>-19.2</c:v>
                </c:pt>
                <c:pt idx="2">
                  <c:v>-25.3</c:v>
                </c:pt>
                <c:pt idx="3">
                  <c:v>-26.8</c:v>
                </c:pt>
                <c:pt idx="4">
                  <c:v>-25.8</c:v>
                </c:pt>
                <c:pt idx="5">
                  <c:v>-27.8</c:v>
                </c:pt>
                <c:pt idx="6">
                  <c:v>-24.5</c:v>
                </c:pt>
                <c:pt idx="7">
                  <c:v>-22.3</c:v>
                </c:pt>
                <c:pt idx="8" formatCode="0.0">
                  <c:v>-12</c:v>
                </c:pt>
                <c:pt idx="9" formatCode="0.0">
                  <c:v>-6.1</c:v>
                </c:pt>
                <c:pt idx="10" formatCode="0.0">
                  <c:v>-1.9</c:v>
                </c:pt>
                <c:pt idx="11" formatCode="0.0">
                  <c:v>-4.5</c:v>
                </c:pt>
                <c:pt idx="12" formatCode="0.0">
                  <c:v>-11.1</c:v>
                </c:pt>
                <c:pt idx="13" formatCode="0.0">
                  <c:v>-8.1999999999999993</c:v>
                </c:pt>
                <c:pt idx="14" formatCode="0.0">
                  <c:v>-14.6</c:v>
                </c:pt>
                <c:pt idx="15" formatCode="0.0">
                  <c:v>-18.5</c:v>
                </c:pt>
                <c:pt idx="16" formatCode="0.0">
                  <c:v>-13.6</c:v>
                </c:pt>
                <c:pt idx="17" formatCode="0.0">
                  <c:v>-7.3</c:v>
                </c:pt>
                <c:pt idx="18" formatCode="0.0">
                  <c:v>-2.8</c:v>
                </c:pt>
                <c:pt idx="19" formatCode="0.0">
                  <c:v>0.9</c:v>
                </c:pt>
                <c:pt idx="20" formatCode="0.0">
                  <c:v>2.8</c:v>
                </c:pt>
                <c:pt idx="21" formatCode="0.0">
                  <c:v>3.6</c:v>
                </c:pt>
              </c:numCache>
            </c:numRef>
          </c:val>
          <c:smooth val="0"/>
        </c:ser>
        <c:ser>
          <c:idx val="5"/>
          <c:order val="2"/>
          <c:tx>
            <c:strRef>
              <c:f>Arkusz1!$E$1</c:f>
              <c:strCache>
                <c:ptCount val="1"/>
                <c:pt idx="0">
                  <c:v>Zmiana syt. kraju w najbliższych 12 miesiącach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2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</c:strCache>
            </c:strRef>
          </c:cat>
          <c:val>
            <c:numRef>
              <c:f>Arkusz1!$E$2:$E$30</c:f>
              <c:numCache>
                <c:formatCode>0.0_)</c:formatCode>
                <c:ptCount val="22"/>
                <c:pt idx="0">
                  <c:v>-10</c:v>
                </c:pt>
                <c:pt idx="1">
                  <c:v>-17</c:v>
                </c:pt>
                <c:pt idx="2">
                  <c:v>-29.7</c:v>
                </c:pt>
                <c:pt idx="3">
                  <c:v>-29.5</c:v>
                </c:pt>
                <c:pt idx="4">
                  <c:v>-32.200000000000003</c:v>
                </c:pt>
                <c:pt idx="5">
                  <c:v>-35.1</c:v>
                </c:pt>
                <c:pt idx="6">
                  <c:v>-35.200000000000003</c:v>
                </c:pt>
                <c:pt idx="7">
                  <c:v>-30.8</c:v>
                </c:pt>
                <c:pt idx="8" formatCode="0.0">
                  <c:v>-16.7</c:v>
                </c:pt>
                <c:pt idx="9" formatCode="0.0">
                  <c:v>-13</c:v>
                </c:pt>
                <c:pt idx="10" formatCode="0.0">
                  <c:v>-6.6</c:v>
                </c:pt>
                <c:pt idx="11" formatCode="0.0">
                  <c:v>-9.6999999999999993</c:v>
                </c:pt>
                <c:pt idx="12" formatCode="0.0">
                  <c:v>-26.5</c:v>
                </c:pt>
                <c:pt idx="13" formatCode="0.0">
                  <c:v>-18.899999999999999</c:v>
                </c:pt>
                <c:pt idx="14" formatCode="0.0">
                  <c:v>-30.8</c:v>
                </c:pt>
                <c:pt idx="15" formatCode="0.0">
                  <c:v>-38</c:v>
                </c:pt>
                <c:pt idx="16" formatCode="0.0">
                  <c:v>-31.2</c:v>
                </c:pt>
                <c:pt idx="17" formatCode="0.0">
                  <c:v>-18.399999999999999</c:v>
                </c:pt>
                <c:pt idx="18" formatCode="0.0">
                  <c:v>-11.4</c:v>
                </c:pt>
                <c:pt idx="19" formatCode="0.0">
                  <c:v>-9.4</c:v>
                </c:pt>
                <c:pt idx="20" formatCode="0.0">
                  <c:v>-1.8</c:v>
                </c:pt>
                <c:pt idx="21" formatCode="0.0">
                  <c:v>2.8</c:v>
                </c:pt>
              </c:numCache>
            </c:numRef>
          </c:val>
          <c:smooth val="0"/>
        </c:ser>
        <c:ser>
          <c:idx val="1"/>
          <c:order val="3"/>
          <c:tx>
            <c:strRef>
              <c:f>Arkusz1!$F$1</c:f>
              <c:strCache>
                <c:ptCount val="1"/>
                <c:pt idx="0">
                  <c:v>Zmiana poziomu bezrobocia</c:v>
                </c:pt>
              </c:strCache>
            </c:strRef>
          </c:tx>
          <c:spPr>
            <a:ln w="28575" cap="rnd">
              <a:solidFill>
                <a:srgbClr val="000000">
                  <a:alpha val="7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00">
                  <a:alpha val="70000"/>
                </a:srgb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2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</c:strCache>
            </c:strRef>
          </c:cat>
          <c:val>
            <c:numRef>
              <c:f>Arkusz1!$F$2:$F$30</c:f>
              <c:numCache>
                <c:formatCode>0.0_)</c:formatCode>
                <c:ptCount val="22"/>
                <c:pt idx="0">
                  <c:v>-15</c:v>
                </c:pt>
                <c:pt idx="1">
                  <c:v>-27.3</c:v>
                </c:pt>
                <c:pt idx="2">
                  <c:v>-53.1</c:v>
                </c:pt>
                <c:pt idx="3">
                  <c:v>-62</c:v>
                </c:pt>
                <c:pt idx="4">
                  <c:v>-68</c:v>
                </c:pt>
                <c:pt idx="5">
                  <c:v>-63.8</c:v>
                </c:pt>
                <c:pt idx="6">
                  <c:v>-54.1</c:v>
                </c:pt>
                <c:pt idx="7">
                  <c:v>-30.3</c:v>
                </c:pt>
                <c:pt idx="8" formatCode="0.0">
                  <c:v>-24.8</c:v>
                </c:pt>
                <c:pt idx="9" formatCode="0.0">
                  <c:v>-6.3</c:v>
                </c:pt>
                <c:pt idx="10" formatCode="0.0">
                  <c:v>17.600000000000001</c:v>
                </c:pt>
                <c:pt idx="11" formatCode="0.0">
                  <c:v>5.0999999999999996</c:v>
                </c:pt>
                <c:pt idx="12" formatCode="0.0">
                  <c:v>-54.6</c:v>
                </c:pt>
                <c:pt idx="13" formatCode="0.0">
                  <c:v>-34.4</c:v>
                </c:pt>
                <c:pt idx="14" formatCode="0.0">
                  <c:v>-37</c:v>
                </c:pt>
                <c:pt idx="15" formatCode="0.0">
                  <c:v>-53.3</c:v>
                </c:pt>
                <c:pt idx="16" formatCode="0.0">
                  <c:v>-53.7</c:v>
                </c:pt>
                <c:pt idx="17" formatCode="0.0">
                  <c:v>-31.1</c:v>
                </c:pt>
                <c:pt idx="18" formatCode="0.0">
                  <c:v>-19.7</c:v>
                </c:pt>
                <c:pt idx="19" formatCode="0.0">
                  <c:v>-7.8</c:v>
                </c:pt>
                <c:pt idx="20" formatCode="0.0">
                  <c:v>8.5</c:v>
                </c:pt>
                <c:pt idx="21" formatCode="0.0">
                  <c:v>12.6</c:v>
                </c:pt>
              </c:numCache>
            </c:numRef>
          </c:val>
          <c:smooth val="0"/>
        </c:ser>
        <c:ser>
          <c:idx val="2"/>
          <c:order val="4"/>
          <c:tx>
            <c:strRef>
              <c:f>Arkusz1!$G$1</c:f>
              <c:strCache>
                <c:ptCount val="1"/>
                <c:pt idx="0">
                  <c:v>Oszczędzanie pieniędzy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2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</c:strCache>
            </c:strRef>
          </c:cat>
          <c:val>
            <c:numRef>
              <c:f>Arkusz1!$G$2:$G$30</c:f>
              <c:numCache>
                <c:formatCode>0.0_)</c:formatCode>
                <c:ptCount val="22"/>
                <c:pt idx="0">
                  <c:v>-51.4</c:v>
                </c:pt>
                <c:pt idx="1">
                  <c:v>-55</c:v>
                </c:pt>
                <c:pt idx="2">
                  <c:v>-57.6</c:v>
                </c:pt>
                <c:pt idx="3">
                  <c:v>-60.1</c:v>
                </c:pt>
                <c:pt idx="4">
                  <c:v>-60.1</c:v>
                </c:pt>
                <c:pt idx="5">
                  <c:v>-64.599999999999994</c:v>
                </c:pt>
                <c:pt idx="6">
                  <c:v>-65.400000000000006</c:v>
                </c:pt>
                <c:pt idx="7">
                  <c:v>-58.8</c:v>
                </c:pt>
                <c:pt idx="8" formatCode="0.0">
                  <c:v>-54.6</c:v>
                </c:pt>
                <c:pt idx="9" formatCode="0.0">
                  <c:v>-48.3</c:v>
                </c:pt>
                <c:pt idx="10" formatCode="0.0">
                  <c:v>-40.700000000000003</c:v>
                </c:pt>
                <c:pt idx="11" formatCode="0.0">
                  <c:v>-37.200000000000003</c:v>
                </c:pt>
                <c:pt idx="12" formatCode="0.0">
                  <c:v>-37.1</c:v>
                </c:pt>
                <c:pt idx="13" formatCode="0.0">
                  <c:v>-32</c:v>
                </c:pt>
                <c:pt idx="14" formatCode="0.0">
                  <c:v>-36.1</c:v>
                </c:pt>
                <c:pt idx="15" formatCode="0.0">
                  <c:v>-36.9</c:v>
                </c:pt>
                <c:pt idx="16" formatCode="0.0">
                  <c:v>-36.1</c:v>
                </c:pt>
                <c:pt idx="17" formatCode="0.0">
                  <c:v>-30.5</c:v>
                </c:pt>
                <c:pt idx="18" formatCode="0.0">
                  <c:v>-26.3</c:v>
                </c:pt>
                <c:pt idx="19" formatCode="0.0">
                  <c:v>-18</c:v>
                </c:pt>
                <c:pt idx="20" formatCode="0.0">
                  <c:v>-10.6</c:v>
                </c:pt>
                <c:pt idx="21" formatCode="0.0">
                  <c:v>-7.5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844302384"/>
        <c:axId val="1844298032"/>
      </c:lineChart>
      <c:catAx>
        <c:axId val="1844302384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6350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844298032"/>
        <c:crossesAt val="0"/>
        <c:auto val="0"/>
        <c:lblAlgn val="ctr"/>
        <c:lblOffset val="100"/>
        <c:tickLblSkip val="1"/>
        <c:noMultiLvlLbl val="0"/>
      </c:catAx>
      <c:valAx>
        <c:axId val="184429803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_)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84430238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268E-4"/>
          <c:y val="0.86735319766516639"/>
          <c:w val="0.99511785645611706"/>
          <c:h val="0.1326468023348334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0.07018</cdr:x>
      <cdr:y>0.75718</cdr:y>
    </cdr:from>
    <cdr:to>
      <cdr:x>0.36348</cdr:x>
      <cdr:y>0.82589</cdr:y>
    </cdr:to>
    <cdr:sp macro="" textlink="">
      <cdr:nvSpPr>
        <cdr:cNvPr id="2" name="Pole tekstowe 2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359521" y="2973788"/>
          <a:ext cx="1502410" cy="269875"/>
        </a:xfrm>
        <a:prstGeom xmlns:a="http://schemas.openxmlformats.org/drawingml/2006/main" prst="rect">
          <a:avLst/>
        </a:prstGeom>
        <a:solidFill xmlns:a="http://schemas.openxmlformats.org/drawingml/2006/main">
          <a:srgbClr val="FFFFFF"/>
        </a:solidFill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 rot="0" vert="horz" wrap="square" lIns="91440" tIns="45720" rIns="91440" bIns="45720" anchor="t" anchorCtr="0">
          <a:noAutofit/>
        </a:bodyPr>
        <a:lstStyle xmlns:a="http://schemas.openxmlformats.org/drawingml/2006/main"/>
        <a:p xmlns:a="http://schemas.openxmlformats.org/drawingml/2006/main">
          <a:pPr marL="0" marR="0" lvl="0" indent="0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lang="pl-PL" sz="700">
              <a:solidFill>
                <a:schemeClr val="tx1"/>
              </a:solidFill>
              <a:effectLst/>
              <a:latin typeface="Fira Sans" panose="020B0503050000020004" pitchFamily="34" charset="0"/>
              <a:ea typeface="Fira Sans" panose="020B0503050000020004" pitchFamily="34" charset="0"/>
              <a:cs typeface="+mn-cs"/>
            </a:rPr>
            <a:t>** kwiecień, lipiec, październik</a:t>
          </a:r>
        </a:p>
        <a:p xmlns:a="http://schemas.openxmlformats.org/drawingml/2006/main">
          <a:endParaRPr lang="pl-PL"/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30d47203-49ec-4c8c-a442-62231931aabb"/>
  </ds:schemaRefs>
</ds:datastoreItem>
</file>

<file path=customXml/itemProps3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6BFB033-2B4B-43ED-9210-65DFD0BF61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900</Words>
  <Characters>5400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Koniunktura konsumencka - listopad 2019 roku</dc:title>
  <dc:subject/>
  <cp:keywords/>
  <dc:description/>
  <cp:revision>4</cp:revision>
  <cp:lastPrinted>2019-11-18T07:20:00Z</cp:lastPrinted>
  <dcterms:created xsi:type="dcterms:W3CDTF">2019-11-20T12:41:00Z</dcterms:created>
  <dcterms:modified xsi:type="dcterms:W3CDTF">2019-11-20T13:40:00Z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