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320AC5" w:rsidRDefault="00276811" w:rsidP="00320AC5">
      <w:pPr>
        <w:pStyle w:val="tytuinformacji"/>
        <w:spacing w:before="120" w:after="20"/>
      </w:pPr>
      <w:r w:rsidRPr="00320AC5">
        <w:t xml:space="preserve">Koniunktura w </w:t>
      </w:r>
      <w:r w:rsidR="00D33ADF" w:rsidRPr="00320AC5">
        <w:t>przetwórstwie przemysłowym</w:t>
      </w:r>
      <w:r w:rsidRPr="00320AC5">
        <w:t>, b</w:t>
      </w:r>
      <w:r w:rsidR="00E76D26" w:rsidRPr="00320AC5">
        <w:t xml:space="preserve">udownictwie, handlu i usługach </w:t>
      </w:r>
      <w:r w:rsidR="00347D72" w:rsidRPr="00320AC5">
        <w:t xml:space="preserve">– </w:t>
      </w:r>
      <w:r w:rsidR="00E45EE2">
        <w:t>październik</w:t>
      </w:r>
      <w:r w:rsidR="00526B0F" w:rsidRPr="00320AC5">
        <w:t xml:space="preserve"> 2019</w:t>
      </w:r>
      <w:r w:rsidR="00003437" w:rsidRPr="00320AC5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7A2DC1" w:rsidP="008F74D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7A2DC1" w:rsidP="008F74D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003437" w:rsidP="00320AC5">
      <w:pPr>
        <w:pStyle w:val="LID"/>
        <w:spacing w:after="120"/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7A1C6B" w:rsidRPr="00320A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EC589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7A1C6B" w:rsidRPr="00320A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C589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7A1C6B" w:rsidRPr="00320A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EC589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7A1C6B" w:rsidRPr="00320A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C589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 xml:space="preserve">Ogólny wskaźnik syntetyczny koniunktury gospodarczej GUS (SI) w </w:t>
      </w:r>
      <w:r w:rsidR="00EC589C">
        <w:t>październiku</w:t>
      </w:r>
      <w:r w:rsidR="00482FAD" w:rsidRPr="00482FAD">
        <w:t xml:space="preserve"> 201</w:t>
      </w:r>
      <w:r w:rsidR="00804892">
        <w:t>9</w:t>
      </w:r>
      <w:r w:rsidR="00482FAD" w:rsidRPr="00482FAD">
        <w:t xml:space="preserve"> r. kształtuje się na poziomie </w:t>
      </w:r>
      <w:r w:rsidR="0067076B">
        <w:t>zbliżonym do</w:t>
      </w:r>
      <w:r w:rsidR="000F42CD">
        <w:t xml:space="preserve"> </w:t>
      </w:r>
      <w:r w:rsidR="00A17162">
        <w:t xml:space="preserve">notowanego </w:t>
      </w:r>
      <w:r w:rsidR="00EC589C">
        <w:t xml:space="preserve">we wrześniu </w:t>
      </w:r>
      <w:r w:rsidR="003C4464">
        <w:t>2019</w:t>
      </w:r>
      <w:r w:rsidR="00A051F6">
        <w:t xml:space="preserve"> r.</w:t>
      </w:r>
      <w:r w:rsidR="0067076B">
        <w:t>, ale niższym niż w</w:t>
      </w:r>
      <w:r w:rsidR="00A32056">
        <w:t> </w:t>
      </w:r>
      <w:r w:rsidR="00EC589C">
        <w:t>październiku</w:t>
      </w:r>
      <w:r w:rsidR="00EC589C" w:rsidRPr="00482FAD">
        <w:t xml:space="preserve"> </w:t>
      </w:r>
      <w:r w:rsidR="005A6F50">
        <w:t>2018 r.</w:t>
      </w:r>
      <w:r w:rsidR="003C4464">
        <w:t xml:space="preserve"> </w:t>
      </w:r>
    </w:p>
    <w:p w:rsidR="00CD39BE" w:rsidRPr="00CD39BE" w:rsidRDefault="00CD39BE" w:rsidP="00320AC5">
      <w:pPr>
        <w:pStyle w:val="LID"/>
        <w:spacing w:after="120"/>
      </w:pP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5C1659" w:rsidRDefault="000F42CD" w:rsidP="001513B8">
      <w:pPr>
        <w:pStyle w:val="Nagwek1"/>
        <w:rPr>
          <w:szCs w:val="19"/>
        </w:rPr>
      </w:pPr>
      <w:r w:rsidRPr="005C1659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5234305</wp:posOffset>
                </wp:positionH>
                <wp:positionV relativeFrom="paragraph">
                  <wp:posOffset>384175</wp:posOffset>
                </wp:positionV>
                <wp:extent cx="1725295" cy="890270"/>
                <wp:effectExtent l="0" t="0" r="0" b="508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914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dla </w:t>
                            </w:r>
                            <w:r w:rsidR="00A17162" w:rsidRPr="00A171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przetwórstwa przemysłowego</w:t>
                            </w:r>
                            <w:r w:rsidR="007B1B5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E66C3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401B8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październiku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965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</w:t>
                            </w:r>
                            <w:r w:rsidR="00401B8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wyższym od</w:t>
                            </w:r>
                            <w:r w:rsidR="00E66C3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notowanego</w:t>
                            </w:r>
                            <w:r w:rsid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0664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401B8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E66C3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01B8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wrześniu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</w:t>
                            </w:r>
                            <w:r w:rsidR="005F6DFA" w:rsidRP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2.15pt;margin-top:30.25pt;width:135.85pt;height:70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914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dla </w:t>
                      </w:r>
                      <w:r w:rsidR="00A17162" w:rsidRPr="00A171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przetwórstwa przemysłowego</w:t>
                      </w:r>
                      <w:r w:rsidR="007B1B5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E66C3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401B8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październiku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965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</w:t>
                      </w:r>
                      <w:r w:rsidR="00401B8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wyższym od</w:t>
                      </w:r>
                      <w:r w:rsidR="00E66C3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notowanego</w:t>
                      </w:r>
                      <w:r w:rsid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0664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401B8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E66C3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01B8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wrześniu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</w:t>
                      </w:r>
                      <w:r w:rsidR="005F6DFA" w:rsidRP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5C1659">
        <w:rPr>
          <w:spacing w:val="-2"/>
          <w:szCs w:val="19"/>
        </w:rPr>
        <w:t xml:space="preserve">Ogólny wskaźnik </w:t>
      </w:r>
      <w:r w:rsidR="00276811" w:rsidRPr="005C1659">
        <w:t>syntetyczny k</w:t>
      </w:r>
      <w:r w:rsidR="00276811" w:rsidRPr="005C1659">
        <w:rPr>
          <w:spacing w:val="-2"/>
          <w:szCs w:val="19"/>
        </w:rPr>
        <w:t>oniunktury gospodarczej GUS dla Polski (</w:t>
      </w:r>
      <w:r w:rsidR="00EB4340" w:rsidRPr="005C1659">
        <w:rPr>
          <w:spacing w:val="-2"/>
          <w:szCs w:val="19"/>
        </w:rPr>
        <w:t>SI</w:t>
      </w:r>
      <w:r w:rsidR="00276811" w:rsidRPr="005C1659">
        <w:rPr>
          <w:spacing w:val="-2"/>
          <w:szCs w:val="19"/>
        </w:rPr>
        <w:t xml:space="preserve">) w </w:t>
      </w:r>
      <w:r w:rsidR="003249E3">
        <w:rPr>
          <w:spacing w:val="-2"/>
          <w:szCs w:val="19"/>
        </w:rPr>
        <w:t>październiku</w:t>
      </w:r>
      <w:r w:rsidR="00804892" w:rsidRPr="005C1659">
        <w:rPr>
          <w:spacing w:val="-2"/>
          <w:szCs w:val="19"/>
        </w:rPr>
        <w:t xml:space="preserve"> 2019</w:t>
      </w:r>
      <w:r w:rsidR="003E170B" w:rsidRPr="005C1659">
        <w:rPr>
          <w:spacing w:val="-2"/>
          <w:szCs w:val="19"/>
        </w:rPr>
        <w:t> </w:t>
      </w:r>
      <w:r w:rsidR="00276811" w:rsidRPr="005C1659">
        <w:rPr>
          <w:spacing w:val="-2"/>
          <w:szCs w:val="19"/>
        </w:rPr>
        <w:t>r.</w:t>
      </w:r>
    </w:p>
    <w:p w:rsidR="005F0DD0" w:rsidRDefault="00DA0179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>Składowa</w:t>
      </w:r>
      <w:r w:rsidR="00D41C37" w:rsidRPr="00C75940">
        <w:rPr>
          <w:rFonts w:ascii="Fira Sans" w:hAnsi="Fira Sans"/>
          <w:spacing w:val="-4"/>
          <w:sz w:val="19"/>
          <w:szCs w:val="19"/>
        </w:rPr>
        <w:t xml:space="preserve"> </w:t>
      </w:r>
      <w:r w:rsidR="00E87851">
        <w:rPr>
          <w:rFonts w:ascii="Fira Sans" w:hAnsi="Fira Sans"/>
          <w:spacing w:val="-4"/>
          <w:sz w:val="19"/>
          <w:szCs w:val="19"/>
        </w:rPr>
        <w:t xml:space="preserve">dla </w:t>
      </w:r>
      <w:r w:rsidR="00347E63">
        <w:rPr>
          <w:rFonts w:ascii="Fira Sans" w:hAnsi="Fira Sans"/>
          <w:spacing w:val="-4"/>
          <w:sz w:val="19"/>
          <w:szCs w:val="19"/>
        </w:rPr>
        <w:t xml:space="preserve">przetwórstwa przemysłowego </w:t>
      </w:r>
      <w:r w:rsidR="005F0DD0">
        <w:rPr>
          <w:rFonts w:ascii="Fira Sans" w:hAnsi="Fira Sans"/>
          <w:spacing w:val="-4"/>
          <w:sz w:val="19"/>
          <w:szCs w:val="19"/>
        </w:rPr>
        <w:t xml:space="preserve">kształtuje się na poziomie </w:t>
      </w:r>
      <w:r w:rsidR="003249E3">
        <w:rPr>
          <w:rFonts w:ascii="Fira Sans" w:hAnsi="Fira Sans"/>
          <w:spacing w:val="-4"/>
          <w:sz w:val="19"/>
          <w:szCs w:val="19"/>
        </w:rPr>
        <w:t>wyższym</w:t>
      </w:r>
      <w:r w:rsidR="00DD2DB1">
        <w:rPr>
          <w:rFonts w:ascii="Fira Sans" w:hAnsi="Fira Sans"/>
          <w:spacing w:val="-4"/>
          <w:sz w:val="19"/>
          <w:szCs w:val="19"/>
        </w:rPr>
        <w:t xml:space="preserve"> </w:t>
      </w:r>
      <w:r w:rsidR="003249E3">
        <w:rPr>
          <w:rFonts w:ascii="Fira Sans" w:hAnsi="Fira Sans"/>
          <w:spacing w:val="-4"/>
          <w:sz w:val="19"/>
          <w:szCs w:val="19"/>
        </w:rPr>
        <w:t>od</w:t>
      </w:r>
      <w:r w:rsidR="00A17162">
        <w:rPr>
          <w:rFonts w:ascii="Fira Sans" w:hAnsi="Fira Sans"/>
          <w:spacing w:val="-4"/>
          <w:sz w:val="19"/>
          <w:szCs w:val="19"/>
        </w:rPr>
        <w:t xml:space="preserve"> </w:t>
      </w:r>
      <w:r w:rsidR="007A1C6B">
        <w:rPr>
          <w:rFonts w:ascii="Fira Sans" w:hAnsi="Fira Sans"/>
          <w:spacing w:val="-4"/>
          <w:sz w:val="19"/>
          <w:szCs w:val="19"/>
        </w:rPr>
        <w:t>notowanego w</w:t>
      </w:r>
      <w:r w:rsidR="003249E3">
        <w:rPr>
          <w:rFonts w:ascii="Fira Sans" w:hAnsi="Fira Sans"/>
          <w:spacing w:val="-4"/>
          <w:sz w:val="19"/>
          <w:szCs w:val="19"/>
        </w:rPr>
        <w:t>e</w:t>
      </w:r>
      <w:r w:rsidR="007A1C6B">
        <w:rPr>
          <w:rFonts w:ascii="Fira Sans" w:hAnsi="Fira Sans"/>
          <w:spacing w:val="-4"/>
          <w:sz w:val="19"/>
          <w:szCs w:val="19"/>
        </w:rPr>
        <w:t xml:space="preserve"> </w:t>
      </w:r>
      <w:r w:rsidR="003249E3">
        <w:rPr>
          <w:rFonts w:ascii="Fira Sans" w:hAnsi="Fira Sans"/>
          <w:spacing w:val="-4"/>
          <w:sz w:val="19"/>
          <w:szCs w:val="19"/>
        </w:rPr>
        <w:t>wrześniu</w:t>
      </w:r>
      <w:r w:rsidR="00FC50D1">
        <w:rPr>
          <w:rFonts w:ascii="Fira Sans" w:hAnsi="Fira Sans"/>
          <w:spacing w:val="-4"/>
          <w:sz w:val="19"/>
          <w:szCs w:val="19"/>
        </w:rPr>
        <w:t xml:space="preserve"> br.</w:t>
      </w:r>
      <w:r w:rsidR="00E87851">
        <w:rPr>
          <w:rFonts w:ascii="Fira Sans" w:hAnsi="Fira Sans"/>
          <w:spacing w:val="-4"/>
          <w:sz w:val="19"/>
          <w:szCs w:val="19"/>
        </w:rPr>
        <w:t xml:space="preserve">, </w:t>
      </w:r>
      <w:r w:rsidR="005F0DD0">
        <w:rPr>
          <w:rFonts w:ascii="Fira Sans" w:hAnsi="Fira Sans"/>
          <w:spacing w:val="-4"/>
          <w:sz w:val="19"/>
          <w:szCs w:val="19"/>
        </w:rPr>
        <w:t>dotycząca</w:t>
      </w:r>
      <w:r w:rsidR="00A17162">
        <w:rPr>
          <w:rFonts w:ascii="Fira Sans" w:hAnsi="Fira Sans"/>
          <w:spacing w:val="-4"/>
          <w:sz w:val="19"/>
          <w:szCs w:val="19"/>
        </w:rPr>
        <w:t xml:space="preserve"> </w:t>
      </w:r>
      <w:r w:rsidR="003249E3">
        <w:rPr>
          <w:rFonts w:ascii="Fira Sans" w:hAnsi="Fira Sans"/>
          <w:spacing w:val="-4"/>
          <w:sz w:val="19"/>
          <w:szCs w:val="19"/>
        </w:rPr>
        <w:t>usług</w:t>
      </w:r>
      <w:r w:rsidR="00807CE8">
        <w:rPr>
          <w:rFonts w:ascii="Fira Sans" w:hAnsi="Fira Sans"/>
          <w:spacing w:val="-4"/>
          <w:sz w:val="19"/>
          <w:szCs w:val="19"/>
        </w:rPr>
        <w:t xml:space="preserve"> </w:t>
      </w:r>
      <w:r w:rsidR="00192DF3">
        <w:rPr>
          <w:rFonts w:ascii="Fira Sans" w:hAnsi="Fira Sans"/>
          <w:spacing w:val="-4"/>
          <w:sz w:val="19"/>
          <w:szCs w:val="19"/>
        </w:rPr>
        <w:t xml:space="preserve">– </w:t>
      </w:r>
      <w:r w:rsidR="005F0DD0">
        <w:rPr>
          <w:rFonts w:ascii="Fira Sans" w:hAnsi="Fira Sans"/>
          <w:spacing w:val="-4"/>
          <w:sz w:val="19"/>
          <w:szCs w:val="19"/>
        </w:rPr>
        <w:t xml:space="preserve">na </w:t>
      </w:r>
      <w:r w:rsidR="00DD2DB1">
        <w:rPr>
          <w:rFonts w:ascii="Fira Sans" w:hAnsi="Fira Sans"/>
          <w:spacing w:val="-4"/>
          <w:sz w:val="19"/>
          <w:szCs w:val="19"/>
        </w:rPr>
        <w:t>niższ</w:t>
      </w:r>
      <w:bookmarkStart w:id="0" w:name="_GoBack"/>
      <w:bookmarkEnd w:id="0"/>
      <w:r w:rsidR="00DD2DB1">
        <w:rPr>
          <w:rFonts w:ascii="Fira Sans" w:hAnsi="Fira Sans"/>
          <w:spacing w:val="-4"/>
          <w:sz w:val="19"/>
          <w:szCs w:val="19"/>
        </w:rPr>
        <w:t xml:space="preserve">ym </w:t>
      </w:r>
      <w:r w:rsidR="005F0DD0">
        <w:rPr>
          <w:rFonts w:ascii="Fira Sans" w:hAnsi="Fira Sans"/>
          <w:spacing w:val="-4"/>
          <w:sz w:val="19"/>
          <w:szCs w:val="19"/>
        </w:rPr>
        <w:t>poziomie</w:t>
      </w:r>
      <w:r w:rsidR="003249E3">
        <w:rPr>
          <w:rFonts w:ascii="Fira Sans" w:hAnsi="Fira Sans"/>
          <w:spacing w:val="-4"/>
          <w:sz w:val="19"/>
          <w:szCs w:val="19"/>
        </w:rPr>
        <w:t>. W przypadku</w:t>
      </w:r>
      <w:r w:rsidR="003249E3" w:rsidRPr="003249E3">
        <w:rPr>
          <w:rFonts w:ascii="Fira Sans" w:hAnsi="Fira Sans"/>
          <w:spacing w:val="-4"/>
          <w:sz w:val="19"/>
          <w:szCs w:val="19"/>
        </w:rPr>
        <w:t xml:space="preserve"> </w:t>
      </w:r>
      <w:r w:rsidR="003249E3">
        <w:rPr>
          <w:rFonts w:ascii="Fira Sans" w:hAnsi="Fira Sans"/>
          <w:spacing w:val="-4"/>
          <w:sz w:val="19"/>
          <w:szCs w:val="19"/>
        </w:rPr>
        <w:t>budownictwa i</w:t>
      </w:r>
      <w:r w:rsidR="003249E3" w:rsidRPr="003249E3">
        <w:rPr>
          <w:rFonts w:ascii="Fira Sans" w:hAnsi="Fira Sans"/>
          <w:spacing w:val="-4"/>
          <w:sz w:val="19"/>
          <w:szCs w:val="19"/>
        </w:rPr>
        <w:t xml:space="preserve"> </w:t>
      </w:r>
      <w:r w:rsidR="003249E3">
        <w:rPr>
          <w:rFonts w:ascii="Fira Sans" w:hAnsi="Fira Sans"/>
          <w:spacing w:val="-4"/>
          <w:sz w:val="19"/>
          <w:szCs w:val="19"/>
        </w:rPr>
        <w:t>handlu detalicznego składowa kształtuje się na poziomie zbliżonym do notowanego w ubiegłym miesiącu</w:t>
      </w:r>
      <w:r w:rsidR="008733DD">
        <w:rPr>
          <w:rFonts w:ascii="Fira Sans" w:hAnsi="Fira Sans"/>
          <w:spacing w:val="-4"/>
          <w:sz w:val="19"/>
          <w:szCs w:val="19"/>
        </w:rPr>
        <w:t>. W</w:t>
      </w:r>
      <w:r w:rsidR="00DD2DB1">
        <w:rPr>
          <w:rFonts w:ascii="Fira Sans" w:hAnsi="Fira Sans"/>
          <w:spacing w:val="-4"/>
          <w:sz w:val="19"/>
          <w:szCs w:val="19"/>
        </w:rPr>
        <w:t> </w:t>
      </w:r>
      <w:r w:rsidR="005F0DD0">
        <w:rPr>
          <w:rFonts w:ascii="Fira Sans" w:hAnsi="Fira Sans"/>
          <w:spacing w:val="-4"/>
          <w:sz w:val="19"/>
          <w:szCs w:val="19"/>
        </w:rPr>
        <w:t xml:space="preserve">stosunku </w:t>
      </w:r>
      <w:r w:rsidR="005F0DD0" w:rsidRPr="002B746F">
        <w:rPr>
          <w:rFonts w:ascii="Fira Sans" w:hAnsi="Fira Sans"/>
          <w:spacing w:val="-4"/>
          <w:sz w:val="19"/>
          <w:szCs w:val="19"/>
        </w:rPr>
        <w:t xml:space="preserve">do </w:t>
      </w:r>
      <w:r w:rsidR="003249E3">
        <w:rPr>
          <w:rFonts w:ascii="Fira Sans" w:hAnsi="Fira Sans"/>
          <w:spacing w:val="-4"/>
          <w:sz w:val="19"/>
          <w:szCs w:val="19"/>
        </w:rPr>
        <w:t>października</w:t>
      </w:r>
      <w:r w:rsidR="00133B51" w:rsidRPr="002B746F">
        <w:rPr>
          <w:rFonts w:ascii="Fira Sans" w:hAnsi="Fira Sans"/>
          <w:spacing w:val="-4"/>
          <w:sz w:val="19"/>
          <w:szCs w:val="19"/>
        </w:rPr>
        <w:t xml:space="preserve"> 2018</w:t>
      </w:r>
      <w:r w:rsidR="00133B51">
        <w:rPr>
          <w:rFonts w:ascii="Fira Sans" w:hAnsi="Fira Sans"/>
          <w:spacing w:val="-4"/>
          <w:sz w:val="19"/>
          <w:szCs w:val="19"/>
        </w:rPr>
        <w:t xml:space="preserve"> r. wartości </w:t>
      </w:r>
      <w:r w:rsidR="005F0DD0">
        <w:rPr>
          <w:rFonts w:ascii="Fira Sans" w:hAnsi="Fira Sans"/>
          <w:spacing w:val="-4"/>
          <w:sz w:val="19"/>
          <w:szCs w:val="19"/>
        </w:rPr>
        <w:t>składow</w:t>
      </w:r>
      <w:r w:rsidR="003249E3">
        <w:rPr>
          <w:rFonts w:ascii="Fira Sans" w:hAnsi="Fira Sans"/>
          <w:spacing w:val="-4"/>
          <w:sz w:val="19"/>
          <w:szCs w:val="19"/>
        </w:rPr>
        <w:t>ej</w:t>
      </w:r>
      <w:r w:rsidR="005F0DD0">
        <w:rPr>
          <w:rFonts w:ascii="Fira Sans" w:hAnsi="Fira Sans"/>
          <w:spacing w:val="-4"/>
          <w:sz w:val="19"/>
          <w:szCs w:val="19"/>
        </w:rPr>
        <w:t xml:space="preserve"> </w:t>
      </w:r>
      <w:r w:rsidR="003249E3">
        <w:rPr>
          <w:rFonts w:ascii="Fira Sans" w:hAnsi="Fira Sans"/>
          <w:spacing w:val="-4"/>
          <w:sz w:val="19"/>
          <w:szCs w:val="19"/>
        </w:rPr>
        <w:t>dla budownictwa,</w:t>
      </w:r>
      <w:r w:rsidR="003249E3" w:rsidRPr="003249E3">
        <w:rPr>
          <w:rFonts w:ascii="Fira Sans" w:hAnsi="Fira Sans"/>
          <w:spacing w:val="-4"/>
          <w:sz w:val="19"/>
          <w:szCs w:val="19"/>
        </w:rPr>
        <w:t xml:space="preserve"> </w:t>
      </w:r>
      <w:r w:rsidR="003249E3">
        <w:rPr>
          <w:rFonts w:ascii="Fira Sans" w:hAnsi="Fira Sans"/>
          <w:spacing w:val="-4"/>
          <w:sz w:val="19"/>
          <w:szCs w:val="19"/>
        </w:rPr>
        <w:t xml:space="preserve">handlu detalicznego </w:t>
      </w:r>
      <w:r w:rsidR="00401B8A">
        <w:rPr>
          <w:rFonts w:ascii="Fira Sans" w:hAnsi="Fira Sans"/>
          <w:spacing w:val="-4"/>
          <w:sz w:val="19"/>
          <w:szCs w:val="19"/>
        </w:rPr>
        <w:t>i </w:t>
      </w:r>
      <w:r w:rsidR="003249E3">
        <w:rPr>
          <w:rFonts w:ascii="Fira Sans" w:hAnsi="Fira Sans"/>
          <w:spacing w:val="-4"/>
          <w:sz w:val="19"/>
          <w:szCs w:val="19"/>
        </w:rPr>
        <w:t xml:space="preserve">usług </w:t>
      </w:r>
      <w:r w:rsidR="00E87851">
        <w:rPr>
          <w:rFonts w:ascii="Fira Sans" w:hAnsi="Fira Sans"/>
          <w:spacing w:val="-4"/>
          <w:sz w:val="19"/>
          <w:szCs w:val="19"/>
        </w:rPr>
        <w:t>są niższe</w:t>
      </w:r>
      <w:r w:rsidR="003249E3">
        <w:rPr>
          <w:rFonts w:ascii="Fira Sans" w:hAnsi="Fira Sans"/>
          <w:spacing w:val="-4"/>
          <w:sz w:val="19"/>
          <w:szCs w:val="19"/>
        </w:rPr>
        <w:t>, a dla przetwórstwa przemysłowego – zbliżone.</w:t>
      </w:r>
    </w:p>
    <w:p w:rsidR="00482BBE" w:rsidRDefault="00A7786D" w:rsidP="00532B4D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374CAC">
        <w:rPr>
          <w:rFonts w:ascii="Fira Sans" w:hAnsi="Fira Sans"/>
          <w:noProof/>
          <w:spacing w:val="-4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1712" behindDoc="1" locked="0" layoutInCell="1" allowOverlap="1" wp14:anchorId="502640BE" wp14:editId="668E98DB">
                <wp:simplePos x="0" y="0"/>
                <wp:positionH relativeFrom="column">
                  <wp:posOffset>5281474</wp:posOffset>
                </wp:positionH>
                <wp:positionV relativeFrom="paragraph">
                  <wp:posOffset>248303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A7786D">
                            <w:pPr>
                              <w:spacing w:before="120" w:after="2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SI w ostatnich sześciu </w:t>
                            </w: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640BE" id="Pole tekstowe 4" o:spid="_x0000_s1029" type="#_x0000_t202" style="position:absolute;margin-left:415.85pt;margin-top:19.55pt;width:135.85pt;height:38.55pt;z-index:-25142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" filled="f" stroked="f">
                <v:textbox>
                  <w:txbxContent>
                    <w:p w:rsidR="00193BDE" w:rsidRPr="00445683" w:rsidRDefault="00193BDE" w:rsidP="00A7786D">
                      <w:pPr>
                        <w:spacing w:before="120" w:after="2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 w ostatnich sześciu </w:t>
                      </w: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30C4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ocen diagnostycznych jest </w:t>
      </w:r>
      <w:r w:rsidR="003249E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wyższy w stosunku do </w:t>
      </w:r>
      <w:r w:rsidR="003249E3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>zgła</w:t>
      </w:r>
      <w:r w:rsidR="003249E3">
        <w:rPr>
          <w:rFonts w:ascii="Fira Sans" w:hAnsi="Fira Sans"/>
          <w:noProof/>
          <w:spacing w:val="-4"/>
          <w:sz w:val="19"/>
          <w:szCs w:val="19"/>
          <w:lang w:eastAsia="pl-PL"/>
        </w:rPr>
        <w:t>szanego przed miesiącem</w:t>
      </w:r>
      <w:r w:rsidR="00401B8A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oraz przed rokiem, natomiast prognostycznych – zbliżony do września 2019 r., ale niższy niż w październiku 2018 r. </w:t>
      </w:r>
    </w:p>
    <w:p w:rsidR="00DA0179" w:rsidRDefault="005D0FBF" w:rsidP="00271F56">
      <w:pPr>
        <w:spacing w:before="120" w:after="120"/>
        <w:ind w:left="794" w:hanging="794"/>
        <w:rPr>
          <w:rFonts w:ascii="Fira Sans" w:hAnsi="Fira Sans"/>
          <w:b/>
          <w:spacing w:val="-2"/>
          <w:sz w:val="18"/>
        </w:rPr>
      </w:pPr>
      <w:r w:rsidRPr="005D0FBF">
        <w:rPr>
          <w:noProof/>
          <w:lang w:eastAsia="pl-PL"/>
        </w:rPr>
        <w:drawing>
          <wp:anchor distT="0" distB="0" distL="114300" distR="114300" simplePos="0" relativeHeight="252050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4878000" cy="18720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CF8" w:rsidRPr="000E0161">
        <w:rPr>
          <w:noProof/>
          <w:lang w:eastAsia="pl-PL"/>
        </w:rPr>
        <w:drawing>
          <wp:anchor distT="0" distB="0" distL="114300" distR="114300" simplePos="0" relativeHeight="252040192" behindDoc="0" locked="0" layoutInCell="1" allowOverlap="1">
            <wp:simplePos x="0" y="0"/>
            <wp:positionH relativeFrom="column">
              <wp:posOffset>5294630</wp:posOffset>
            </wp:positionH>
            <wp:positionV relativeFrom="paragraph">
              <wp:posOffset>346956</wp:posOffset>
            </wp:positionV>
            <wp:extent cx="1396800" cy="1872000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318" w:rsidRPr="003E170B">
        <w:rPr>
          <w:rFonts w:ascii="Fira Sans" w:hAnsi="Fira Sans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3760" behindDoc="1" locked="0" layoutInCell="1" allowOverlap="1" wp14:anchorId="0B5A7663" wp14:editId="287C693E">
                <wp:simplePos x="0" y="0"/>
                <wp:positionH relativeFrom="column">
                  <wp:posOffset>5224780</wp:posOffset>
                </wp:positionH>
                <wp:positionV relativeFrom="paragraph">
                  <wp:posOffset>2219325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A7786D">
                            <w:pPr>
                              <w:spacing w:before="120" w:after="2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 oraz EU.ESI w 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A7663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30" type="#_x0000_t202" style="position:absolute;left:0;text-align:left;margin-left:411.4pt;margin-top:174.75pt;width:135.85pt;height:38.55pt;z-index:-25142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" filled="f" stroked="f">
                <v:textbox>
                  <w:txbxContent>
                    <w:p w:rsidR="00193BDE" w:rsidRPr="00445683" w:rsidRDefault="00193BDE" w:rsidP="00A7786D">
                      <w:pPr>
                        <w:spacing w:before="120" w:after="2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 oraz EU.ESI w 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0179" w:rsidRPr="00001C5B">
        <w:rPr>
          <w:rFonts w:ascii="Fira Sans" w:hAnsi="Fira Sans"/>
          <w:b/>
          <w:spacing w:val="-2"/>
          <w:sz w:val="18"/>
        </w:rPr>
        <w:t xml:space="preserve">Wykres </w:t>
      </w:r>
      <w:r w:rsidR="00DA0179">
        <w:rPr>
          <w:rFonts w:ascii="Fira Sans" w:hAnsi="Fira Sans"/>
          <w:b/>
          <w:spacing w:val="-2"/>
          <w:sz w:val="18"/>
        </w:rPr>
        <w:t>1</w:t>
      </w:r>
      <w:r w:rsidR="00DA0179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DA0179">
        <w:rPr>
          <w:rFonts w:ascii="Fira Sans" w:hAnsi="Fira Sans"/>
          <w:b/>
          <w:spacing w:val="-2"/>
          <w:sz w:val="18"/>
        </w:rPr>
        <w:t xml:space="preserve">(SI) </w:t>
      </w:r>
      <w:r w:rsidR="00DA0179">
        <w:rPr>
          <w:rFonts w:ascii="Fira Sans" w:hAnsi="Fira Sans"/>
          <w:b/>
          <w:spacing w:val="-2"/>
          <w:sz w:val="18"/>
        </w:rPr>
        <w:br/>
      </w:r>
      <w:r w:rsidR="00DA0179" w:rsidRPr="00001C5B">
        <w:rPr>
          <w:rFonts w:ascii="Fira Sans" w:hAnsi="Fira Sans"/>
          <w:b/>
          <w:spacing w:val="-2"/>
          <w:sz w:val="18"/>
        </w:rPr>
        <w:t>i jego dekompozycja</w:t>
      </w:r>
      <w:r w:rsidR="00134852" w:rsidRPr="00134852">
        <w:rPr>
          <w:rFonts w:ascii="Fira Sans" w:hAnsi="Fira Sans"/>
          <w:b/>
          <w:spacing w:val="-2"/>
          <w:sz w:val="18"/>
        </w:rPr>
        <w:t xml:space="preserve"> </w:t>
      </w:r>
    </w:p>
    <w:p w:rsidR="0098156A" w:rsidRDefault="00845ED0" w:rsidP="00271F56">
      <w:pPr>
        <w:spacing w:before="120" w:after="120"/>
        <w:ind w:left="794" w:hanging="794"/>
      </w:pPr>
      <w:r w:rsidRPr="000E0161">
        <w:rPr>
          <w:noProof/>
          <w:lang w:eastAsia="pl-PL"/>
        </w:rPr>
        <w:drawing>
          <wp:anchor distT="0" distB="0" distL="114300" distR="114300" simplePos="0" relativeHeight="252041216" behindDoc="0" locked="0" layoutInCell="1" allowOverlap="1">
            <wp:simplePos x="0" y="0"/>
            <wp:positionH relativeFrom="column">
              <wp:posOffset>5255895</wp:posOffset>
            </wp:positionH>
            <wp:positionV relativeFrom="paragraph">
              <wp:posOffset>2148840</wp:posOffset>
            </wp:positionV>
            <wp:extent cx="1396365" cy="1871980"/>
            <wp:effectExtent l="0" t="0" r="0" b="0"/>
            <wp:wrapTopAndBottom/>
            <wp:docPr id="31" name="Obraz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FBF">
        <w:rPr>
          <w:noProof/>
          <w:lang w:eastAsia="pl-PL"/>
        </w:rPr>
        <w:drawing>
          <wp:anchor distT="0" distB="0" distL="114300" distR="114300" simplePos="0" relativeHeight="252051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2157095</wp:posOffset>
            </wp:positionV>
            <wp:extent cx="4878000" cy="1872000"/>
            <wp:effectExtent l="0" t="0" r="0" b="0"/>
            <wp:wrapTopAndBottom/>
            <wp:docPr id="12" name="Obraz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B2" w:rsidRPr="00F20A38">
        <w:rPr>
          <w:rFonts w:ascii="Fira Sans" w:hAnsi="Fira Sans"/>
          <w:b/>
          <w:spacing w:val="-2"/>
          <w:sz w:val="18"/>
        </w:rPr>
        <w:t xml:space="preserve">Wykres </w:t>
      </w:r>
      <w:r w:rsidR="00DA0179" w:rsidRPr="00F20A38">
        <w:rPr>
          <w:rFonts w:ascii="Fira Sans" w:hAnsi="Fira Sans"/>
          <w:b/>
          <w:spacing w:val="-2"/>
          <w:sz w:val="18"/>
        </w:rPr>
        <w:t>2</w:t>
      </w:r>
      <w:r w:rsidR="009C1AB2" w:rsidRPr="00F20A38">
        <w:rPr>
          <w:rFonts w:ascii="Fira Sans" w:hAnsi="Fira Sans"/>
          <w:b/>
          <w:spacing w:val="-2"/>
          <w:sz w:val="18"/>
        </w:rPr>
        <w:t>. Ogóln</w:t>
      </w:r>
      <w:r w:rsidR="004118D1" w:rsidRPr="00F20A38">
        <w:rPr>
          <w:rFonts w:ascii="Fira Sans" w:hAnsi="Fira Sans"/>
          <w:b/>
          <w:spacing w:val="-2"/>
          <w:sz w:val="18"/>
        </w:rPr>
        <w:t>y</w:t>
      </w:r>
      <w:r w:rsidR="009C1AB2" w:rsidRPr="00F20A38">
        <w:rPr>
          <w:rFonts w:ascii="Fira Sans" w:hAnsi="Fira Sans"/>
          <w:b/>
          <w:spacing w:val="-2"/>
          <w:sz w:val="18"/>
        </w:rPr>
        <w:t xml:space="preserve"> wskaźnik syntetyczny koniunktury gospodarczej GUS dla Polski</w:t>
      </w:r>
      <w:r w:rsidR="003D5EA6" w:rsidRPr="00F20A38">
        <w:rPr>
          <w:rFonts w:ascii="Fira Sans" w:hAnsi="Fira Sans"/>
          <w:b/>
          <w:spacing w:val="-2"/>
          <w:sz w:val="18"/>
        </w:rPr>
        <w:t xml:space="preserve"> (SI)</w:t>
      </w:r>
      <w:r w:rsidR="009C1AB2" w:rsidRPr="00F20A38">
        <w:rPr>
          <w:rFonts w:ascii="Fira Sans" w:hAnsi="Fira Sans"/>
          <w:b/>
          <w:spacing w:val="-2"/>
          <w:sz w:val="18"/>
        </w:rPr>
        <w:t xml:space="preserve">, wskaźnik </w:t>
      </w:r>
      <w:r w:rsidR="001B48F9" w:rsidRPr="00F20A38">
        <w:rPr>
          <w:rFonts w:ascii="Fira Sans" w:hAnsi="Fira Sans"/>
          <w:b/>
          <w:spacing w:val="-2"/>
          <w:sz w:val="18"/>
        </w:rPr>
        <w:br/>
      </w:r>
      <w:r w:rsidR="009C1AB2" w:rsidRPr="00F20A38">
        <w:rPr>
          <w:rFonts w:ascii="Fira Sans" w:hAnsi="Fira Sans"/>
          <w:b/>
          <w:spacing w:val="-2"/>
          <w:sz w:val="18"/>
        </w:rPr>
        <w:t xml:space="preserve">odczuć ekonomicznych dla Unii Europejskiej </w:t>
      </w:r>
      <w:r w:rsidR="000E7ED0" w:rsidRPr="00F20A38">
        <w:rPr>
          <w:rFonts w:ascii="Fira Sans" w:hAnsi="Fira Sans"/>
          <w:b/>
          <w:spacing w:val="-2"/>
          <w:sz w:val="18"/>
        </w:rPr>
        <w:t>(EU.ESI)</w:t>
      </w:r>
      <w:r w:rsidR="0037077F" w:rsidRPr="00F20A38">
        <w:rPr>
          <w:rFonts w:ascii="Fira Sans" w:hAnsi="Fira Sans"/>
          <w:b/>
          <w:spacing w:val="-2"/>
          <w:sz w:val="18"/>
          <w:vertAlign w:val="superscript"/>
        </w:rPr>
        <w:footnoteReference w:id="1"/>
      </w:r>
      <w:r w:rsidR="00D715DF" w:rsidRPr="00F20A38">
        <w:rPr>
          <w:rFonts w:ascii="Fira Sans" w:hAnsi="Fira Sans"/>
          <w:b/>
          <w:spacing w:val="-2"/>
          <w:sz w:val="18"/>
          <w:vertAlign w:val="superscript"/>
        </w:rPr>
        <w:t xml:space="preserve"> </w:t>
      </w:r>
    </w:p>
    <w:p w:rsidR="00804892" w:rsidRPr="00001C5B" w:rsidRDefault="00804892" w:rsidP="00E664C5">
      <w:pPr>
        <w:pStyle w:val="tytuwykresu"/>
      </w:pPr>
    </w:p>
    <w:p w:rsidR="0098156A" w:rsidRPr="00001C5B" w:rsidRDefault="00996693" w:rsidP="00E76D26">
      <w:pPr>
        <w:pStyle w:val="Nagwek1"/>
        <w:rPr>
          <w:szCs w:val="19"/>
        </w:rPr>
      </w:pPr>
      <w:r w:rsidRPr="00057327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rightMargin">
                  <wp:posOffset>144145</wp:posOffset>
                </wp:positionH>
                <wp:positionV relativeFrom="paragraph">
                  <wp:posOffset>236220</wp:posOffset>
                </wp:positionV>
                <wp:extent cx="1725295" cy="10166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BE8" w:rsidRPr="00D616D2" w:rsidRDefault="001968F3" w:rsidP="009C016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przetwórstwie przemysłowym kształtuje się na dodatnim poziomie, </w:t>
                            </w:r>
                            <w:r w:rsidR="00F10FF6" w:rsidRPr="00F10FF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wyższym </w:t>
                            </w:r>
                            <w:r w:rsidR="00F10FF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</w:t>
                            </w: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F10FF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F10FF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wrześniu</w:t>
                            </w: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46F4" id="Pole tekstowe 17" o:spid="_x0000_s1031" type="#_x0000_t202" style="position:absolute;margin-left:11.35pt;margin-top:18.6pt;width:135.85pt;height:80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" filled="f" stroked="f">
                <v:textbox>
                  <w:txbxContent>
                    <w:p w:rsidR="00391BE8" w:rsidRPr="00D616D2" w:rsidRDefault="001968F3" w:rsidP="009C016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przetwórstwie przemysłowym kształtuje się na dodatnim poziomie, </w:t>
                      </w:r>
                      <w:r w:rsidR="00F10FF6" w:rsidRPr="00F10FF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wyższym </w:t>
                      </w:r>
                      <w:r w:rsidR="00F10FF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</w:t>
                      </w: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F10FF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F10FF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wrześniu</w:t>
                      </w: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P</w:t>
      </w:r>
      <w:r w:rsidR="00276811" w:rsidRPr="00057327">
        <w:rPr>
          <w:spacing w:val="-2"/>
          <w:szCs w:val="19"/>
        </w:rPr>
        <w:t>rzetwórstwo przemysłowe</w:t>
      </w:r>
    </w:p>
    <w:p w:rsidR="00E5190C" w:rsidRPr="00E5190C" w:rsidRDefault="001968F3" w:rsidP="00711297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1968F3">
        <w:rPr>
          <w:rFonts w:ascii="Fira Sans" w:hAnsi="Fira Sans"/>
          <w:spacing w:val="-4"/>
          <w:sz w:val="19"/>
          <w:szCs w:val="19"/>
        </w:rPr>
        <w:t xml:space="preserve">W </w:t>
      </w:r>
      <w:r w:rsidR="00F10FF6">
        <w:rPr>
          <w:rFonts w:ascii="Fira Sans" w:hAnsi="Fira Sans"/>
          <w:spacing w:val="-4"/>
          <w:sz w:val="19"/>
          <w:szCs w:val="19"/>
        </w:rPr>
        <w:t>październiku</w:t>
      </w:r>
      <w:r w:rsidRPr="001968F3">
        <w:rPr>
          <w:rFonts w:ascii="Fira Sans" w:hAnsi="Fira Sans"/>
          <w:spacing w:val="-4"/>
          <w:sz w:val="19"/>
          <w:szCs w:val="19"/>
        </w:rPr>
        <w:t xml:space="preserve"> </w:t>
      </w:r>
      <w:r w:rsidR="00D54F68">
        <w:rPr>
          <w:rFonts w:ascii="Fira Sans" w:hAnsi="Fira Sans"/>
          <w:spacing w:val="-4"/>
          <w:sz w:val="19"/>
          <w:szCs w:val="19"/>
        </w:rPr>
        <w:t xml:space="preserve">2019 r. </w:t>
      </w:r>
      <w:r w:rsidRPr="001968F3">
        <w:rPr>
          <w:rFonts w:ascii="Fira Sans" w:hAnsi="Fira Sans"/>
          <w:spacing w:val="-4"/>
          <w:sz w:val="19"/>
          <w:szCs w:val="19"/>
        </w:rPr>
        <w:t xml:space="preserve">wskaźnik ufności w przetwórstwie przemysłowym kształtuje się na dodatnim poziomie, </w:t>
      </w:r>
      <w:r w:rsidR="00F10FF6">
        <w:rPr>
          <w:rFonts w:ascii="Fira Sans" w:hAnsi="Fira Sans"/>
          <w:spacing w:val="-4"/>
          <w:sz w:val="19"/>
          <w:szCs w:val="19"/>
        </w:rPr>
        <w:t>wyższym w stosunku</w:t>
      </w:r>
      <w:r w:rsidR="00171C5E">
        <w:rPr>
          <w:rFonts w:ascii="Fira Sans" w:hAnsi="Fira Sans"/>
          <w:spacing w:val="-4"/>
          <w:sz w:val="19"/>
          <w:szCs w:val="19"/>
        </w:rPr>
        <w:t xml:space="preserve"> do</w:t>
      </w:r>
      <w:r w:rsidR="00B87703">
        <w:rPr>
          <w:rFonts w:ascii="Fira Sans" w:hAnsi="Fira Sans"/>
          <w:spacing w:val="-4"/>
          <w:sz w:val="19"/>
          <w:szCs w:val="19"/>
        </w:rPr>
        <w:t xml:space="preserve"> notowanego </w:t>
      </w:r>
      <w:r w:rsidRPr="001968F3">
        <w:rPr>
          <w:rFonts w:ascii="Fira Sans" w:hAnsi="Fira Sans"/>
          <w:spacing w:val="-4"/>
          <w:sz w:val="19"/>
          <w:szCs w:val="19"/>
        </w:rPr>
        <w:t xml:space="preserve">przed miesiącem. Oceny bieżącego portfela zamówień (krajowego i zagranicznego) są </w:t>
      </w:r>
      <w:r w:rsidR="00CF392B">
        <w:rPr>
          <w:rFonts w:ascii="Fira Sans" w:hAnsi="Fira Sans"/>
          <w:spacing w:val="-4"/>
          <w:sz w:val="19"/>
          <w:szCs w:val="19"/>
        </w:rPr>
        <w:t xml:space="preserve">pozytywne </w:t>
      </w:r>
      <w:r w:rsidR="00F10FF6">
        <w:rPr>
          <w:rFonts w:ascii="Fira Sans" w:hAnsi="Fira Sans"/>
          <w:spacing w:val="-4"/>
          <w:sz w:val="19"/>
          <w:szCs w:val="19"/>
        </w:rPr>
        <w:t>i zbliżone do</w:t>
      </w:r>
      <w:r w:rsidR="00171C5E">
        <w:rPr>
          <w:rFonts w:ascii="Fira Sans" w:hAnsi="Fira Sans"/>
          <w:spacing w:val="-4"/>
          <w:sz w:val="19"/>
          <w:szCs w:val="19"/>
        </w:rPr>
        <w:t xml:space="preserve"> </w:t>
      </w:r>
      <w:r w:rsidRPr="001968F3">
        <w:rPr>
          <w:rFonts w:ascii="Fira Sans" w:hAnsi="Fira Sans"/>
          <w:spacing w:val="-4"/>
          <w:sz w:val="19"/>
          <w:szCs w:val="19"/>
        </w:rPr>
        <w:t>sygnalizowanych w</w:t>
      </w:r>
      <w:r w:rsidR="00F10FF6">
        <w:rPr>
          <w:rFonts w:ascii="Fira Sans" w:hAnsi="Fira Sans"/>
          <w:spacing w:val="-4"/>
          <w:sz w:val="19"/>
          <w:szCs w:val="19"/>
        </w:rPr>
        <w:t>e</w:t>
      </w:r>
      <w:r w:rsidRPr="001968F3">
        <w:rPr>
          <w:rFonts w:ascii="Fira Sans" w:hAnsi="Fira Sans"/>
          <w:spacing w:val="-4"/>
          <w:sz w:val="19"/>
          <w:szCs w:val="19"/>
        </w:rPr>
        <w:t xml:space="preserve"> </w:t>
      </w:r>
      <w:r w:rsidR="00F10FF6">
        <w:rPr>
          <w:rFonts w:ascii="Fira Sans" w:hAnsi="Fira Sans"/>
          <w:spacing w:val="-4"/>
          <w:sz w:val="19"/>
          <w:szCs w:val="19"/>
        </w:rPr>
        <w:t>wrześniu</w:t>
      </w:r>
      <w:r w:rsidR="00C27378">
        <w:rPr>
          <w:rFonts w:ascii="Fira Sans" w:hAnsi="Fira Sans"/>
          <w:spacing w:val="-4"/>
          <w:sz w:val="19"/>
          <w:szCs w:val="19"/>
        </w:rPr>
        <w:t xml:space="preserve"> br</w:t>
      </w:r>
      <w:r w:rsidRPr="001968F3">
        <w:rPr>
          <w:rFonts w:ascii="Fira Sans" w:hAnsi="Fira Sans"/>
          <w:spacing w:val="-4"/>
          <w:sz w:val="19"/>
          <w:szCs w:val="19"/>
        </w:rPr>
        <w:t>. Prognozy produkcji</w:t>
      </w:r>
      <w:r>
        <w:rPr>
          <w:rFonts w:ascii="Fira Sans" w:hAnsi="Fira Sans"/>
          <w:spacing w:val="-4"/>
          <w:sz w:val="19"/>
          <w:szCs w:val="19"/>
        </w:rPr>
        <w:t xml:space="preserve"> są </w:t>
      </w:r>
      <w:r w:rsidR="00F10FF6">
        <w:rPr>
          <w:rFonts w:ascii="Fira Sans" w:hAnsi="Fira Sans"/>
          <w:spacing w:val="-4"/>
          <w:sz w:val="19"/>
          <w:szCs w:val="19"/>
        </w:rPr>
        <w:t xml:space="preserve">nieznacznie </w:t>
      </w:r>
      <w:r w:rsidR="00171C5E">
        <w:rPr>
          <w:rFonts w:ascii="Fira Sans" w:hAnsi="Fira Sans"/>
          <w:spacing w:val="-4"/>
          <w:sz w:val="19"/>
          <w:szCs w:val="19"/>
        </w:rPr>
        <w:t>mniej pesymistyczne od formułowanych</w:t>
      </w:r>
      <w:r w:rsidR="00401A81">
        <w:rPr>
          <w:rFonts w:ascii="Fira Sans" w:hAnsi="Fira Sans"/>
          <w:spacing w:val="-4"/>
          <w:sz w:val="19"/>
          <w:szCs w:val="19"/>
        </w:rPr>
        <w:t xml:space="preserve"> </w:t>
      </w:r>
      <w:r>
        <w:rPr>
          <w:rFonts w:ascii="Fira Sans" w:hAnsi="Fira Sans"/>
          <w:spacing w:val="-4"/>
          <w:sz w:val="19"/>
          <w:szCs w:val="19"/>
        </w:rPr>
        <w:t>w</w:t>
      </w:r>
      <w:r w:rsidR="00B87703">
        <w:rPr>
          <w:rFonts w:ascii="Fira Sans" w:hAnsi="Fira Sans"/>
          <w:spacing w:val="-4"/>
          <w:sz w:val="19"/>
          <w:szCs w:val="19"/>
        </w:rPr>
        <w:t xml:space="preserve"> </w:t>
      </w:r>
      <w:r w:rsidRPr="001968F3">
        <w:rPr>
          <w:rFonts w:ascii="Fira Sans" w:hAnsi="Fira Sans"/>
          <w:spacing w:val="-4"/>
          <w:sz w:val="19"/>
          <w:szCs w:val="19"/>
        </w:rPr>
        <w:t>ubiegłym miesiącu. Zgłaszany jest niedobór zapasów wyrobów gotowych.</w:t>
      </w:r>
    </w:p>
    <w:p w:rsidR="0098156A" w:rsidRDefault="00F10FF6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F10FF6">
        <w:rPr>
          <w:noProof/>
          <w:lang w:eastAsia="pl-PL"/>
        </w:rPr>
        <w:drawing>
          <wp:anchor distT="0" distB="0" distL="114300" distR="114300" simplePos="0" relativeHeight="252043264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340496</wp:posOffset>
            </wp:positionV>
            <wp:extent cx="1407600" cy="1908000"/>
            <wp:effectExtent l="0" t="0" r="2540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FF6">
        <w:rPr>
          <w:noProof/>
          <w:lang w:eastAsia="pl-PL"/>
        </w:rPr>
        <w:drawing>
          <wp:anchor distT="0" distB="0" distL="114300" distR="114300" simplePos="0" relativeHeight="252042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5122800" cy="2268000"/>
            <wp:effectExtent l="0" t="0" r="1905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D74A5A" w:rsidRPr="00001C5B" w:rsidRDefault="00D74A5A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8156A" w:rsidRPr="00E01436" w:rsidRDefault="00D74A5A" w:rsidP="00E76D26">
      <w:pPr>
        <w:pStyle w:val="Nagwek1"/>
      </w:pPr>
      <w:r w:rsidRPr="00057327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5251004</wp:posOffset>
                </wp:positionH>
                <wp:positionV relativeFrom="paragraph">
                  <wp:posOffset>231742</wp:posOffset>
                </wp:positionV>
                <wp:extent cx="1725295" cy="1075055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1315CD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315C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budownictwie kształtuje się na poziomie dodatnim, podobnym jak we wrześniu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2F61" id="Pole tekstowe 18" o:spid="_x0000_s1032" type="#_x0000_t202" style="position:absolute;margin-left:413.45pt;margin-top:18.25pt;width:135.85pt;height:84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" filled="f" stroked="f">
                <v:textbox>
                  <w:txbxContent>
                    <w:p w:rsidR="00397D18" w:rsidRPr="00D616D2" w:rsidRDefault="001315CD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315C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budownictwie kształtuje się na poziomie dodatnim, podobnym jak we wrześniu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B</w:t>
      </w:r>
      <w:r w:rsidR="00276811" w:rsidRPr="00057327">
        <w:rPr>
          <w:spacing w:val="-2"/>
          <w:szCs w:val="19"/>
        </w:rPr>
        <w:t>udownictwo</w:t>
      </w:r>
    </w:p>
    <w:p w:rsidR="0098156A" w:rsidRPr="00001C5B" w:rsidRDefault="001315CD" w:rsidP="00711297">
      <w:pPr>
        <w:spacing w:before="120" w:after="120"/>
        <w:rPr>
          <w:rFonts w:ascii="Fira Sans" w:hAnsi="Fira Sans"/>
          <w:sz w:val="19"/>
          <w:szCs w:val="19"/>
        </w:rPr>
      </w:pPr>
      <w:r w:rsidRPr="001315CD">
        <w:rPr>
          <w:rFonts w:ascii="Fira Sans" w:hAnsi="Fira Sans"/>
          <w:spacing w:val="-4"/>
          <w:sz w:val="19"/>
          <w:szCs w:val="19"/>
        </w:rPr>
        <w:t>Wskaźnik ufności w budownictwie kształtuje się w październiku na dodatnim poziomie, podobnym jak przed miesiącem. Utrzymują się pozytywne oceny bieżącego portfela zamówień na rynku krajowym i zagranicznym, natomiast prognozy zatrudnienia są nieco mniej optymistyczne od formułowanych we wrześniu br.</w:t>
      </w:r>
    </w:p>
    <w:p w:rsidR="007E3314" w:rsidRPr="00001C5B" w:rsidRDefault="007A0D08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1315CD">
        <w:rPr>
          <w:noProof/>
          <w:lang w:eastAsia="pl-PL"/>
        </w:rPr>
        <w:drawing>
          <wp:anchor distT="0" distB="0" distL="114300" distR="114300" simplePos="0" relativeHeight="252045312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284480</wp:posOffset>
            </wp:positionV>
            <wp:extent cx="1407160" cy="1965325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CD" w:rsidRPr="001315CD">
        <w:rPr>
          <w:noProof/>
          <w:lang w:eastAsia="pl-PL"/>
        </w:rPr>
        <w:drawing>
          <wp:anchor distT="0" distB="0" distL="114300" distR="114300" simplePos="0" relativeHeight="252044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249108</wp:posOffset>
            </wp:positionV>
            <wp:extent cx="5122800" cy="2268000"/>
            <wp:effectExtent l="0" t="0" r="1905" b="0"/>
            <wp:wrapTopAndBottom/>
            <wp:docPr id="46" name="Obraz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Default="00886332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102460" w:rsidRPr="00001C5B" w:rsidRDefault="00102460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886332" w:rsidRPr="00E01436" w:rsidRDefault="00582408" w:rsidP="00E76D26">
      <w:pPr>
        <w:pStyle w:val="Nagwek1"/>
      </w:pPr>
      <w:r w:rsidRPr="00057327">
        <w:rPr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5221312</wp:posOffset>
                </wp:positionH>
                <wp:positionV relativeFrom="paragraph">
                  <wp:posOffset>152986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4D0980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D098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handlu detalicznym kształtuje się </w:t>
                            </w:r>
                            <w:r w:rsidR="00A0230A" w:rsidRPr="00A0230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nieco niższym </w:t>
                            </w:r>
                            <w:r w:rsidR="00A0230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 stosunku </w:t>
                            </w:r>
                            <w:r w:rsidRPr="004D098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 sygnalizowanego we wrześniu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744C" id="Pole tekstowe 19" o:spid="_x0000_s1033" type="#_x0000_t202" style="position:absolute;margin-left:411.15pt;margin-top:12.05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yFEg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" filled="f" stroked="f">
                <v:textbox>
                  <w:txbxContent>
                    <w:p w:rsidR="00EB1390" w:rsidRPr="00D616D2" w:rsidRDefault="004D0980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D098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handlu detalicznym kształtuje się </w:t>
                      </w:r>
                      <w:r w:rsidR="00A0230A" w:rsidRPr="00A0230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nieco niższym </w:t>
                      </w:r>
                      <w:r w:rsidR="00A0230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 stosunku </w:t>
                      </w:r>
                      <w:r w:rsidRPr="004D098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 sygnalizowanego we wrześniu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H</w:t>
      </w:r>
      <w:r w:rsidR="00276811" w:rsidRPr="00057327">
        <w:rPr>
          <w:spacing w:val="-2"/>
          <w:szCs w:val="19"/>
        </w:rPr>
        <w:t>andel detaliczny</w:t>
      </w:r>
    </w:p>
    <w:p w:rsidR="008E6D40" w:rsidRDefault="004D0980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4D098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październiku 2019 r. wskaźnik ufności w handlu detalicznym kształtuje się na poziomie </w:t>
      </w:r>
      <w:r w:rsidR="00D10FD6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nieco niższym w stosunku</w:t>
      </w:r>
      <w:r w:rsidRPr="004D098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do sygnalizowanego przed miesiącem. </w:t>
      </w:r>
      <w:r w:rsidR="00D10FD6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Oceny sprzedaży zrealizowanej w </w:t>
      </w:r>
      <w:r w:rsidRPr="004D098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ostatnich trzech miesiącach są nieco bardziej korzystne niż sygnalizowano we wrześniu br. </w:t>
      </w:r>
      <w:r w:rsidR="00F54921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</w:t>
      </w:r>
      <w:r w:rsidRPr="004D098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rzewidywania dotyczące sprzedaży są pesymistyczne, wobec pozytywnych</w:t>
      </w:r>
      <w:r w:rsidR="00F54921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prognoz</w:t>
      </w:r>
      <w:r w:rsidRPr="004D098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formułowanych miesiąc wcześniej. Bieżący stan zapasów towarów jest uznawany</w:t>
      </w:r>
      <w:r w:rsidR="0085649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za zbliżony do odpowiedniego w </w:t>
      </w:r>
      <w:r w:rsidRPr="004D0980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stosunku do zapotrzebowania.</w:t>
      </w:r>
    </w:p>
    <w:p w:rsidR="003D60A9" w:rsidRDefault="00856490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856490">
        <w:rPr>
          <w:noProof/>
          <w:lang w:eastAsia="pl-PL"/>
        </w:rPr>
        <w:drawing>
          <wp:anchor distT="0" distB="0" distL="114300" distR="114300" simplePos="0" relativeHeight="252047360" behindDoc="0" locked="0" layoutInCell="1" allowOverlap="1">
            <wp:simplePos x="0" y="0"/>
            <wp:positionH relativeFrom="column">
              <wp:posOffset>5293995</wp:posOffset>
            </wp:positionH>
            <wp:positionV relativeFrom="paragraph">
              <wp:posOffset>250190</wp:posOffset>
            </wp:positionV>
            <wp:extent cx="1407160" cy="1965325"/>
            <wp:effectExtent l="0" t="0" r="0" b="0"/>
            <wp:wrapTopAndBottom/>
            <wp:docPr id="54" name="Obraz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490">
        <w:rPr>
          <w:noProof/>
          <w:lang w:eastAsia="pl-PL"/>
        </w:rPr>
        <w:drawing>
          <wp:anchor distT="0" distB="0" distL="114300" distR="114300" simplePos="0" relativeHeight="252046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201584</wp:posOffset>
            </wp:positionV>
            <wp:extent cx="5122800" cy="2268000"/>
            <wp:effectExtent l="0" t="0" r="1905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321A79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001C5B" w:rsidRDefault="00321A79" w:rsidP="00E76D26">
      <w:pPr>
        <w:pStyle w:val="Nagwek1"/>
      </w:pPr>
      <w:r w:rsidRPr="00057327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5230749</wp:posOffset>
                </wp:positionH>
                <wp:positionV relativeFrom="paragraph">
                  <wp:posOffset>246253</wp:posOffset>
                </wp:positionV>
                <wp:extent cx="1725295" cy="906145"/>
                <wp:effectExtent l="0" t="0" r="0" b="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0366E9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usługach kształtuje się na ujemnym poziomie, </w:t>
                            </w:r>
                            <w:r w:rsidR="00445C2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niższym</w:t>
                            </w:r>
                            <w:r w:rsidR="00880EC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45C2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 we wrześniu</w:t>
                            </w:r>
                            <w:r w:rsidR="005111EF" w:rsidRPr="005111E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2019 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E8DD" id="Pole tekstowe 20" o:spid="_x0000_s1034" type="#_x0000_t202" style="position:absolute;margin-left:411.85pt;margin-top:19.4pt;width:135.85pt;height:71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" filled="f" stroked="f">
                <v:textbox>
                  <w:txbxContent>
                    <w:p w:rsidR="00ED55C0" w:rsidRPr="00D616D2" w:rsidRDefault="000366E9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usługach kształtuje się na ujemnym poziomie, </w:t>
                      </w:r>
                      <w:r w:rsidR="00445C2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niższym</w:t>
                      </w:r>
                      <w:r w:rsidR="00880EC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45C2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 we wrześniu</w:t>
                      </w:r>
                      <w:r w:rsidR="005111EF" w:rsidRPr="005111E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2019 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057327">
        <w:rPr>
          <w:spacing w:val="-2"/>
          <w:szCs w:val="19"/>
        </w:rPr>
        <w:t>Wskaźniki ufności – Usługi</w:t>
      </w:r>
    </w:p>
    <w:p w:rsidR="0044644A" w:rsidRPr="0044644A" w:rsidRDefault="000366E9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</w:t>
      </w:r>
      <w:r w:rsidR="00445C2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październiku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7C14F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2019 r.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wskaźnik ufności w usługach kształtuje się na ujemnym poziomie, </w:t>
      </w:r>
      <w:r w:rsidR="00445C2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niższym niż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</w:t>
      </w:r>
      <w:r w:rsidR="00445C2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e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445C2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wrześniu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br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Oceny formułowane dla ostatnich trzech miesięcy zarówno </w:t>
      </w:r>
      <w:r w:rsidR="00EE123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</w:t>
      </w:r>
      <w:r w:rsidR="00A32056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 </w:t>
      </w:r>
      <w:r w:rsidR="00FE2DD1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przypadku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ogólnej s</w:t>
      </w:r>
      <w:r w:rsidR="00D3676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ytuacji gospodarczej, jak i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popytu są negatywne. Pro</w:t>
      </w:r>
      <w:r w:rsidR="007A038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gnozy popytu są </w:t>
      </w:r>
      <w:r w:rsidR="00AB450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bardziej </w:t>
      </w:r>
      <w:r w:rsidR="007A038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pesymistyczne </w:t>
      </w:r>
      <w:r w:rsidR="00AB450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stosunku do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przewidywań z </w:t>
      </w:r>
      <w:r w:rsidR="00445C2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września 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br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</w:t>
      </w:r>
      <w:r w:rsidR="00CB77D4" w:rsidRPr="00CB77D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</w:p>
    <w:p w:rsidR="00ED0A2A" w:rsidRDefault="00F6733E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F6733E">
        <w:rPr>
          <w:noProof/>
          <w:lang w:eastAsia="pl-PL"/>
        </w:rPr>
        <w:drawing>
          <wp:anchor distT="0" distB="0" distL="114300" distR="114300" simplePos="0" relativeHeight="252049408" behindDoc="0" locked="0" layoutInCell="1" allowOverlap="1">
            <wp:simplePos x="0" y="0"/>
            <wp:positionH relativeFrom="column">
              <wp:posOffset>5323205</wp:posOffset>
            </wp:positionH>
            <wp:positionV relativeFrom="paragraph">
              <wp:posOffset>268605</wp:posOffset>
            </wp:positionV>
            <wp:extent cx="1407160" cy="1946275"/>
            <wp:effectExtent l="0" t="0" r="0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33E">
        <w:rPr>
          <w:noProof/>
          <w:lang w:eastAsia="pl-PL"/>
        </w:rPr>
        <w:drawing>
          <wp:anchor distT="0" distB="0" distL="114300" distR="114300" simplePos="0" relativeHeight="252048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235585</wp:posOffset>
            </wp:positionV>
            <wp:extent cx="5122800" cy="2268000"/>
            <wp:effectExtent l="0" t="0" r="1905" b="0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BE5833" w:rsidRDefault="00BE5833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rFonts w:ascii="Fira Sans" w:hAnsi="Fira Sans"/>
          <w:b/>
          <w:spacing w:val="-2"/>
          <w:sz w:val="18"/>
        </w:rPr>
        <w:br w:type="page"/>
      </w:r>
    </w:p>
    <w:p w:rsidR="00BE5833" w:rsidRPr="00E01436" w:rsidRDefault="00BE5833" w:rsidP="00BE5833">
      <w:pPr>
        <w:pStyle w:val="Nagwek1"/>
      </w:pPr>
      <w:r w:rsidRPr="007676C2">
        <w:rPr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32417A95" wp14:editId="15087242">
                <wp:simplePos x="0" y="0"/>
                <wp:positionH relativeFrom="column">
                  <wp:posOffset>5240909</wp:posOffset>
                </wp:positionH>
                <wp:positionV relativeFrom="paragraph">
                  <wp:posOffset>163398</wp:posOffset>
                </wp:positionV>
                <wp:extent cx="1725295" cy="933718"/>
                <wp:effectExtent l="0" t="0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3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833" w:rsidRPr="00D616D2" w:rsidRDefault="009C2D29" w:rsidP="00BE5833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C2D2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Wykorzystanie mocy produkcyjnych w budownictwie wynosi 86,3%, a w przetwórstwie przemysłowym – 81,2%.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17A95" id="Pole tekstowe 13" o:spid="_x0000_s1035" type="#_x0000_t202" style="position:absolute;margin-left:412.65pt;margin-top:12.85pt;width:135.85pt;height:73.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" filled="f" stroked="f">
                <v:textbox>
                  <w:txbxContent>
                    <w:p w:rsidR="00BE5833" w:rsidRPr="00D616D2" w:rsidRDefault="009C2D29" w:rsidP="00BE5833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C2D2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Wykorzystanie mocy produkcyjnych w budownictwie wynosi 86,3%, a w przetwórstwie przemysłowym – 81,2%.</w:t>
                      </w:r>
                    </w:p>
                  </w:txbxContent>
                </v:textbox>
              </v:shape>
            </w:pict>
          </mc:Fallback>
        </mc:AlternateContent>
      </w:r>
      <w:r w:rsidRPr="007676C2">
        <w:rPr>
          <w:spacing w:val="-2"/>
          <w:szCs w:val="19"/>
        </w:rPr>
        <w:t>Stopień wykorzystania mocy produkcyjnych</w:t>
      </w:r>
    </w:p>
    <w:p w:rsidR="009C2D29" w:rsidRDefault="009C2D29" w:rsidP="00BE5833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9C2D2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bieżącym miesiącu wykorzystanie mocy produkcyjnych zgłaszane przez firmy budowlane wynosi 86,3% (przed rokiem 87,0%). </w:t>
      </w:r>
    </w:p>
    <w:p w:rsidR="00BE5833" w:rsidRPr="00001C5B" w:rsidRDefault="009C2D29" w:rsidP="00BE5833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9C2D2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Wykorzystanie mocy produkcyjnych w sekcji przetwórstwo przemysłowe wynosi 81,2% (w październiku ub.r</w:t>
      </w:r>
      <w:proofErr w:type="gramStart"/>
      <w:r w:rsidRPr="009C2D2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 82,5%). Najwyższe</w:t>
      </w:r>
      <w:proofErr w:type="gramEnd"/>
      <w:r w:rsidRPr="009C2D2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wykorzystanie mocy produkcyjnych w przetwórstwie przemysłowym odnotowują zajmujący się naprawą, konserwacją i instalowaniem maszyn i urządzeń oraz producenci mebli i odzieży, a najniższe – producenci podstawowych substancji farmaceutycznych oraz leków i pozostałych wyrobów farmaceutycznych, producenci metali, a także skór i wyrobów ze skór wyprawionych.</w:t>
      </w:r>
    </w:p>
    <w:p w:rsidR="00BE5833" w:rsidRDefault="00EE5691" w:rsidP="00BE5833">
      <w:pPr>
        <w:spacing w:before="120" w:after="120"/>
        <w:ind w:left="851" w:hanging="851"/>
        <w:rPr>
          <w:rFonts w:ascii="Fira Sans" w:hAnsi="Fira Sans"/>
          <w:b/>
          <w:spacing w:val="-2"/>
          <w:sz w:val="18"/>
        </w:rPr>
      </w:pPr>
      <w:r w:rsidRPr="00EE5691">
        <w:rPr>
          <w:noProof/>
          <w:lang w:eastAsia="pl-PL"/>
        </w:rPr>
        <w:drawing>
          <wp:anchor distT="0" distB="0" distL="114300" distR="114300" simplePos="0" relativeHeight="2520340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312420</wp:posOffset>
            </wp:positionV>
            <wp:extent cx="5124450" cy="2266950"/>
            <wp:effectExtent l="0" t="0" r="0" b="0"/>
            <wp:wrapTopAndBottom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833">
        <w:rPr>
          <w:rFonts w:ascii="Fira Sans" w:hAnsi="Fira Sans"/>
          <w:b/>
          <w:spacing w:val="-2"/>
          <w:sz w:val="18"/>
        </w:rPr>
        <w:t>Wykres 7</w:t>
      </w:r>
      <w:r w:rsidR="00BE5833" w:rsidRPr="007676C2">
        <w:rPr>
          <w:rFonts w:ascii="Fira Sans" w:hAnsi="Fira Sans"/>
          <w:b/>
          <w:spacing w:val="-2"/>
          <w:sz w:val="18"/>
        </w:rPr>
        <w:t xml:space="preserve">. </w:t>
      </w:r>
      <w:r w:rsidR="00BE5833" w:rsidRPr="00001C5B">
        <w:rPr>
          <w:rFonts w:ascii="Fira Sans" w:hAnsi="Fira Sans"/>
          <w:b/>
          <w:spacing w:val="-2"/>
          <w:sz w:val="18"/>
        </w:rPr>
        <w:t xml:space="preserve">Stopień wykorzystania mocy produkcyjnych w przetwórstwie przemysłowym </w:t>
      </w:r>
      <w:r w:rsidR="00BE5833">
        <w:rPr>
          <w:rFonts w:ascii="Fira Sans" w:hAnsi="Fira Sans"/>
          <w:b/>
          <w:spacing w:val="-2"/>
          <w:sz w:val="18"/>
        </w:rPr>
        <w:br/>
      </w:r>
      <w:r w:rsidR="00BE5833" w:rsidRPr="00001C5B">
        <w:rPr>
          <w:rFonts w:ascii="Fira Sans" w:hAnsi="Fira Sans"/>
          <w:b/>
          <w:spacing w:val="-2"/>
          <w:sz w:val="18"/>
        </w:rPr>
        <w:t>i budownictwie</w:t>
      </w:r>
    </w:p>
    <w:p w:rsidR="008D361F" w:rsidRDefault="00A76F87" w:rsidP="00BE5833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A76F87">
        <w:rPr>
          <w:noProof/>
          <w:lang w:eastAsia="pl-PL"/>
        </w:rPr>
        <w:drawing>
          <wp:anchor distT="0" distB="0" distL="114300" distR="114300" simplePos="0" relativeHeight="2520371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5235575</wp:posOffset>
            </wp:positionV>
            <wp:extent cx="2700000" cy="1620000"/>
            <wp:effectExtent l="0" t="0" r="5715" b="0"/>
            <wp:wrapTopAndBottom/>
            <wp:docPr id="44" name="Obraz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F87">
        <w:rPr>
          <w:noProof/>
          <w:lang w:eastAsia="pl-PL"/>
        </w:rPr>
        <w:drawing>
          <wp:anchor distT="0" distB="0" distL="114300" distR="114300" simplePos="0" relativeHeight="2520360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5216525</wp:posOffset>
            </wp:positionV>
            <wp:extent cx="2699385" cy="1619885"/>
            <wp:effectExtent l="0" t="0" r="5715" b="0"/>
            <wp:wrapTopAndBottom/>
            <wp:docPr id="43" name="Obraz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691" w:rsidRPr="00EE5691">
        <w:rPr>
          <w:noProof/>
          <w:lang w:eastAsia="pl-PL"/>
        </w:rPr>
        <w:drawing>
          <wp:anchor distT="0" distB="0" distL="114300" distR="114300" simplePos="0" relativeHeight="2520350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2378075</wp:posOffset>
            </wp:positionV>
            <wp:extent cx="5038725" cy="2705100"/>
            <wp:effectExtent l="0" t="0" r="9525" b="0"/>
            <wp:wrapTopAndBottom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833">
        <w:rPr>
          <w:rFonts w:ascii="Fira Sans" w:hAnsi="Fira Sans"/>
          <w:b/>
          <w:spacing w:val="-2"/>
          <w:sz w:val="18"/>
        </w:rPr>
        <w:t>Wykres 8. A</w:t>
      </w:r>
      <w:r w:rsidR="00BE5833" w:rsidRPr="00B60C8B">
        <w:rPr>
          <w:rFonts w:ascii="Fira Sans" w:hAnsi="Fira Sans"/>
          <w:b/>
          <w:spacing w:val="-2"/>
          <w:sz w:val="18"/>
        </w:rPr>
        <w:t>ktualne moce produkcyjne</w:t>
      </w:r>
      <w:r w:rsidR="00BE5833">
        <w:rPr>
          <w:rFonts w:ascii="Fira Sans" w:hAnsi="Fira Sans"/>
          <w:b/>
          <w:spacing w:val="-2"/>
          <w:sz w:val="18"/>
        </w:rPr>
        <w:t xml:space="preserve"> </w:t>
      </w:r>
      <w:r w:rsidR="00BE5833" w:rsidRPr="00001C5B">
        <w:rPr>
          <w:rFonts w:ascii="Fira Sans" w:hAnsi="Fira Sans"/>
          <w:b/>
          <w:spacing w:val="-2"/>
          <w:sz w:val="18"/>
        </w:rPr>
        <w:t>w przetwórstwie przemysłowym i budownictwie</w:t>
      </w:r>
    </w:p>
    <w:p w:rsidR="00E71CE1" w:rsidRPr="008D361F" w:rsidRDefault="00E71CE1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rFonts w:ascii="Fira Sans" w:hAnsi="Fira Sans"/>
          <w:b/>
          <w:spacing w:val="-2"/>
          <w:sz w:val="18"/>
        </w:rPr>
        <w:t>Analizy z zakresu barier</w:t>
      </w:r>
      <w:r w:rsidRPr="008D361F">
        <w:rPr>
          <w:rFonts w:ascii="Fira Sans" w:hAnsi="Fira Sans"/>
          <w:b/>
          <w:spacing w:val="-2"/>
          <w:sz w:val="18"/>
        </w:rPr>
        <w:t xml:space="preserve"> działalności przedsiębiorstw</w:t>
      </w:r>
      <w:r>
        <w:rPr>
          <w:rFonts w:ascii="Fira Sans" w:hAnsi="Fira Sans"/>
          <w:b/>
          <w:spacing w:val="-2"/>
          <w:sz w:val="18"/>
        </w:rPr>
        <w:t xml:space="preserve"> będą dostępne w publikacji </w:t>
      </w:r>
      <w:r>
        <w:rPr>
          <w:rFonts w:ascii="Fira Sans" w:hAnsi="Fira Sans"/>
          <w:b/>
          <w:i/>
          <w:spacing w:val="-2"/>
          <w:sz w:val="18"/>
        </w:rPr>
        <w:t>Koniunktura w przetwórstwie przemysłowym, budownictwie, handlu i usługach 2000-2019</w:t>
      </w:r>
      <w:r>
        <w:rPr>
          <w:rFonts w:ascii="Fira Sans" w:hAnsi="Fira Sans"/>
          <w:b/>
          <w:spacing w:val="-2"/>
          <w:sz w:val="18"/>
        </w:rPr>
        <w:t>, która ukaże się 2</w:t>
      </w:r>
      <w:r w:rsidR="00BE5833">
        <w:rPr>
          <w:rFonts w:ascii="Fira Sans" w:hAnsi="Fira Sans"/>
          <w:b/>
          <w:spacing w:val="-2"/>
          <w:sz w:val="18"/>
        </w:rPr>
        <w:t>4</w:t>
      </w:r>
      <w:r>
        <w:rPr>
          <w:rFonts w:ascii="Fira Sans" w:hAnsi="Fira Sans"/>
          <w:b/>
          <w:spacing w:val="-2"/>
          <w:sz w:val="18"/>
        </w:rPr>
        <w:t xml:space="preserve"> </w:t>
      </w:r>
      <w:r w:rsidR="00BE5833">
        <w:rPr>
          <w:rFonts w:ascii="Fira Sans" w:hAnsi="Fira Sans"/>
          <w:b/>
          <w:spacing w:val="-2"/>
          <w:sz w:val="18"/>
        </w:rPr>
        <w:t>października</w:t>
      </w:r>
      <w:r>
        <w:rPr>
          <w:rFonts w:ascii="Fira Sans" w:hAnsi="Fira Sans"/>
          <w:b/>
          <w:spacing w:val="-2"/>
          <w:sz w:val="18"/>
        </w:rPr>
        <w:t xml:space="preserve"> 2019 r.</w:t>
      </w:r>
    </w:p>
    <w:p w:rsidR="00B560E4" w:rsidRDefault="00DC10F1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spacing w:val="-2"/>
          <w:szCs w:val="19"/>
        </w:rPr>
        <w:t xml:space="preserve"> </w:t>
      </w:r>
      <w:r w:rsidR="00B560E4">
        <w:rPr>
          <w:rFonts w:ascii="Fira Sans" w:hAnsi="Fira Sans"/>
          <w:b/>
          <w:spacing w:val="-2"/>
          <w:szCs w:val="19"/>
        </w:rPr>
        <w:br w:type="page"/>
      </w:r>
    </w:p>
    <w:p w:rsidR="002F4E60" w:rsidRPr="00001C5B" w:rsidRDefault="002F4E60" w:rsidP="00E76D26">
      <w:pPr>
        <w:spacing w:before="120" w:after="120"/>
        <w:rPr>
          <w:rFonts w:ascii="Fira Sans" w:hAnsi="Fira Sans"/>
          <w:sz w:val="18"/>
        </w:rPr>
        <w:sectPr w:rsidR="002F4E60" w:rsidRPr="00001C5B" w:rsidSect="001448A7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AB6D25" w:rsidRPr="00807CE8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A051F6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  <w:t>Olga Gaca</w:t>
            </w:r>
          </w:p>
          <w:p w:rsidR="00AB6D25" w:rsidRPr="00A051F6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Tel: 22 608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36</w:t>
            </w:r>
            <w:r w:rsidR="00867E9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51</w:t>
            </w:r>
          </w:p>
          <w:p w:rsidR="001951DA" w:rsidRPr="008D361F" w:rsidRDefault="001951DA" w:rsidP="0088188F">
            <w:pPr>
              <w:rPr>
                <w:lang w:val="it-IT"/>
              </w:rPr>
            </w:pPr>
            <w:r w:rsidRPr="008D36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r w:rsidR="00E6291D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="00E6291D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instrText xml:space="preserve"> HYPERLINK "mailto:o.gaca@stat.gov.pl" </w:instrText>
            </w:r>
            <w:r w:rsidR="00E6291D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separate"/>
            </w:r>
            <w:r w:rsidR="0088188F" w:rsidRPr="008D361F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t>o.gaca@stat.gov.pl</w:t>
            </w:r>
            <w:r w:rsidR="00E6291D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</w:t>
            </w:r>
            <w:proofErr w:type="gramStart"/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DB478F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</w:t>
            </w:r>
            <w:r w:rsidR="00867E9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 </w:t>
            </w: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75, 22 608 30</w:t>
            </w:r>
            <w:r w:rsidR="00867E9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 </w:t>
            </w: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09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  <w:r w:rsidRPr="009F46A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r w:rsidR="00E6291D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="00E6291D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instrText xml:space="preserve"> HYPERLINK "mailto:rzecznik@stat.gov.pl" </w:instrText>
            </w:r>
            <w:r w:rsidR="00E6291D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separate"/>
            </w:r>
            <w:r w:rsidRPr="009F46A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>rzecznik@stat.gov.pl</w:t>
            </w:r>
            <w:r w:rsidR="00E6291D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end"/>
            </w: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694D6E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166286">
              <w:rPr>
                <w:rFonts w:ascii="Fira Sans" w:hAnsi="Fira Sans" w:cs="Arial"/>
                <w:color w:val="000000" w:themeColor="text1"/>
                <w:sz w:val="20"/>
              </w:rPr>
              <w:t>Tel:</w:t>
            </w:r>
            <w:r w:rsidR="00521BC3" w:rsidRPr="00001C5B">
              <w:rPr>
                <w:rFonts w:ascii="Fira Sans" w:hAnsi="Fira Sans"/>
                <w:b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>22</w:t>
            </w:r>
            <w:r w:rsidR="00166286" w:rsidRPr="00166286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521BC3" w:rsidRPr="00001C5B">
              <w:rPr>
                <w:rFonts w:ascii="Fira Sans" w:hAnsi="Fira Sans"/>
                <w:sz w:val="20"/>
              </w:rPr>
              <w:t>608 34</w:t>
            </w:r>
            <w:r w:rsidR="00867E9B">
              <w:rPr>
                <w:rFonts w:ascii="Fira Sans" w:hAnsi="Fira Sans"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 xml:space="preserve">91, </w:t>
            </w:r>
            <w:r w:rsidR="001B48F9">
              <w:rPr>
                <w:rFonts w:ascii="Fira Sans" w:hAnsi="Fira Sans"/>
                <w:sz w:val="20"/>
              </w:rPr>
              <w:t>22</w:t>
            </w:r>
            <w:r w:rsidR="00166286" w:rsidRPr="00CF5970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521BC3" w:rsidRPr="00001C5B">
              <w:rPr>
                <w:rFonts w:ascii="Fira Sans" w:hAnsi="Fira Sans"/>
                <w:sz w:val="20"/>
              </w:rPr>
              <w:t>608 38</w:t>
            </w:r>
            <w:r w:rsidR="00867E9B">
              <w:rPr>
                <w:rFonts w:ascii="Fira Sans" w:hAnsi="Fira Sans"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 xml:space="preserve">04 </w:t>
            </w:r>
          </w:p>
          <w:p w:rsidR="00521BC3" w:rsidRPr="0003281D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03281D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03281D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30" w:history="1">
              <w:r w:rsidRPr="0003281D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03281D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proofErr w:type="gramStart"/>
            <w:r w:rsidRPr="00001C5B">
              <w:rPr>
                <w:rFonts w:ascii="Fira Sans" w:hAnsi="Fira Sans"/>
                <w:sz w:val="20"/>
              </w:rPr>
              <w:t>www</w:t>
            </w:r>
            <w:proofErr w:type="gramEnd"/>
            <w:r w:rsidRPr="00001C5B">
              <w:rPr>
                <w:rFonts w:ascii="Fira Sans" w:hAnsi="Fira Sans"/>
                <w:sz w:val="20"/>
              </w:rPr>
              <w:t>.</w:t>
            </w:r>
            <w:proofErr w:type="gramStart"/>
            <w:r w:rsidRPr="00001C5B">
              <w:rPr>
                <w:rFonts w:ascii="Fira Sans" w:hAnsi="Fira Sans"/>
                <w:sz w:val="20"/>
              </w:rPr>
              <w:t>stat</w:t>
            </w:r>
            <w:proofErr w:type="gramEnd"/>
            <w:r w:rsidRPr="00001C5B">
              <w:rPr>
                <w:rFonts w:ascii="Fira Sans" w:hAnsi="Fira Sans"/>
                <w:sz w:val="20"/>
              </w:rPr>
              <w:t>.</w:t>
            </w:r>
            <w:proofErr w:type="gramStart"/>
            <w:r w:rsidRPr="00001C5B">
              <w:rPr>
                <w:rFonts w:ascii="Fira Sans" w:hAnsi="Fira Sans"/>
                <w:sz w:val="20"/>
              </w:rPr>
              <w:t>gov</w:t>
            </w:r>
            <w:proofErr w:type="gramEnd"/>
            <w:r w:rsidRPr="00001C5B">
              <w:rPr>
                <w:rFonts w:ascii="Fira Sans" w:hAnsi="Fira Sans"/>
                <w:sz w:val="20"/>
              </w:rPr>
              <w:t>.</w:t>
            </w:r>
            <w:proofErr w:type="gramStart"/>
            <w:r w:rsidRPr="00001C5B">
              <w:rPr>
                <w:rFonts w:ascii="Fira Sans" w:hAnsi="Fira Sans"/>
                <w:sz w:val="20"/>
              </w:rPr>
              <w:t>pl</w:t>
            </w:r>
            <w:proofErr w:type="gramEnd"/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F588F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6A517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l0MQIAAFAEAAAOAAAAZHJzL2Uyb0RvYy54bWysVFFv0zAQfkfiP1h+p2lCs3ZR02l0FCEN&#10;mDT4AY7jJNZsX7DdJuPXc3a6rp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zurfOfBGgSNiW1&#10;KH9EZ4d750M2rHgJCY85ULLeSaWiYdtqqyw5MGyVXfxiARdhypChpNd5lk8E/AERulacQKp2ouAC&#10;QUuPLa+kLulqHr6pCQNrH00dG9IzqaY9ZqzMkcbA3MShH6sxipbGy4HjCupnJNbC1OI4krjpwP6i&#10;ZMD2Lqn7uWdWUKI+GxTnOl0swjxEY5EvMzTsuac69zDDEaqknpJpu/VxhgJvBm5RxEZGfl8zOeaM&#10;bRtpP45YmItzO0a9/gg2vwE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7OtJdDECAABQ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A53132" w:rsidRPr="004C7599" w:rsidRDefault="00284602" w:rsidP="00DD4415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BC512B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przetwórstwie przemysłowym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, budownictwie, handlu i usługach 2000 – 201</w:t>
                              </w:r>
                            </w:hyperlink>
                            <w:r w:rsidR="00BC512B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9</w:t>
                            </w:r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DD4415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11518C" w:rsidRDefault="00284602" w:rsidP="00DD4415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7" w:history="1"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11518C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284602" w:rsidP="00DD4415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AB6D25" w:rsidRPr="00805B46" w:rsidRDefault="00284602" w:rsidP="00DD4415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284602" w:rsidP="00DD4415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AB6D25" w:rsidRPr="00805B46" w:rsidRDefault="00284602" w:rsidP="00DD4415">
                            <w:pPr>
                              <w:pStyle w:val="Nagwek4"/>
                              <w:spacing w:before="120" w:after="120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41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7A3C6F" w:rsidRDefault="00284602" w:rsidP="00DD4415">
                            <w:pPr>
                              <w:pStyle w:val="Nagwek4"/>
                              <w:spacing w:before="120" w:after="120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42" w:history="1">
                              <w:r w:rsidR="007A3C6F" w:rsidRPr="007A3C6F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Wskaźnik ufności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7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KHPwIAAHQ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02RE9GGD&#10;9SOJ73AcAxpbWrTofnHW0whU3P/cgZOc6c+WDFxM5/M4M2kzL97PaONOI5vTCFhBUBUPnI3LdUhz&#10;FrlavCKjG5UseGFy4ExPO2l4GMM4O6f7lPXys1g9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EYrKH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A53132" w:rsidRPr="004C7599" w:rsidRDefault="00D5627F" w:rsidP="00DD4415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BC512B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przetwórstwie przemysłowym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, budownictwie, handlu i usługach 2000 – 201</w:t>
                        </w:r>
                      </w:hyperlink>
                      <w:r w:rsidR="00BC512B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9</w:t>
                      </w:r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DD4415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11518C" w:rsidRDefault="00D5627F" w:rsidP="00DD4415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6" w:history="1"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11518C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D5627F" w:rsidP="00DD4415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AB6D25" w:rsidRPr="00805B46" w:rsidRDefault="00D5627F" w:rsidP="00DD4415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D5627F" w:rsidP="00DD4415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AB6D25" w:rsidRPr="00805B46" w:rsidRDefault="00D5627F" w:rsidP="00DD4415">
                      <w:pPr>
                        <w:pStyle w:val="Nagwek4"/>
                        <w:spacing w:before="120" w:after="120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50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7A3C6F" w:rsidRDefault="00D5627F" w:rsidP="00DD4415">
                      <w:pPr>
                        <w:pStyle w:val="Nagwek4"/>
                        <w:spacing w:before="120" w:after="120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51" w:history="1">
                        <w:r w:rsidR="007A3C6F" w:rsidRPr="007A3C6F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Wskaźnik ufności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5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602" w:rsidRDefault="00284602" w:rsidP="000662E2">
      <w:pPr>
        <w:spacing w:after="0" w:line="240" w:lineRule="auto"/>
      </w:pPr>
      <w:r>
        <w:separator/>
      </w:r>
    </w:p>
  </w:endnote>
  <w:endnote w:type="continuationSeparator" w:id="0">
    <w:p w:rsidR="00284602" w:rsidRDefault="0028460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807CE8">
          <w:rPr>
            <w:rFonts w:ascii="Fira Sans" w:hAnsi="Fira Sans"/>
            <w:noProof/>
            <w:sz w:val="19"/>
            <w:szCs w:val="19"/>
          </w:rPr>
          <w:t>5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807CE8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602" w:rsidRDefault="00284602" w:rsidP="000662E2">
      <w:pPr>
        <w:spacing w:after="0" w:line="240" w:lineRule="auto"/>
      </w:pPr>
      <w:r>
        <w:separator/>
      </w:r>
    </w:p>
  </w:footnote>
  <w:footnote w:type="continuationSeparator" w:id="0">
    <w:p w:rsidR="00284602" w:rsidRDefault="00284602" w:rsidP="000662E2">
      <w:pPr>
        <w:spacing w:after="0" w:line="240" w:lineRule="auto"/>
      </w:pPr>
      <w:r>
        <w:continuationSeparator/>
      </w:r>
    </w:p>
  </w:footnote>
  <w:footnote w:id="1">
    <w:p w:rsidR="0037077F" w:rsidRPr="00126D9E" w:rsidRDefault="0037077F" w:rsidP="00126D9E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Patrz</w:t>
      </w:r>
      <w:proofErr w:type="spellEnd"/>
      <w:r w:rsidRPr="00126D9E">
        <w:rPr>
          <w:rFonts w:ascii="Fira Sans" w:hAnsi="Fira Sans"/>
          <w:sz w:val="16"/>
          <w:szCs w:val="16"/>
          <w:lang w:val="en-US"/>
        </w:rPr>
        <w:t xml:space="preserve"> Business and Consumer Surveys,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Komisja</w:t>
      </w:r>
      <w:proofErr w:type="spellEnd"/>
      <w:r w:rsidRPr="00126D9E">
        <w:rPr>
          <w:rFonts w:ascii="Fira Sans" w:hAnsi="Fira Sans"/>
          <w:sz w:val="16"/>
          <w:szCs w:val="16"/>
          <w:lang w:val="en-GB"/>
        </w:rPr>
        <w:t xml:space="preserve">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Europejska</w:t>
      </w:r>
      <w:proofErr w:type="spellEnd"/>
      <w:r w:rsidRPr="00126D9E">
        <w:rPr>
          <w:rFonts w:ascii="Fira Sans" w:hAnsi="Fira Sans"/>
          <w:sz w:val="16"/>
          <w:szCs w:val="16"/>
          <w:lang w:val="en-US"/>
        </w:rPr>
        <w:t>, DG ECFIN</w:t>
      </w:r>
    </w:p>
    <w:p w:rsidR="0037077F" w:rsidRPr="00A94152" w:rsidRDefault="00284602" w:rsidP="00126D9E">
      <w:pPr>
        <w:pStyle w:val="Tekstprzypisudolnego"/>
        <w:spacing w:before="120"/>
        <w:rPr>
          <w:color w:val="001D77"/>
          <w:lang w:val="en-US"/>
        </w:rPr>
      </w:pPr>
      <w:hyperlink r:id="rId1" w:history="1">
        <w:r w:rsidR="0037077F" w:rsidRPr="00A94152">
          <w:rPr>
            <w:rStyle w:val="Hipercze"/>
            <w:rFonts w:ascii="Fira Sans" w:hAnsi="Fira Sans" w:cstheme="minorBidi"/>
            <w:color w:val="001D77"/>
            <w:sz w:val="16"/>
            <w:szCs w:val="16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2C272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20AC5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320AC5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20AC5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320AC5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6261FC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114E77">
      <w:rPr>
        <w:noProof/>
        <w:lang w:eastAsia="pl-PL"/>
      </w:rPr>
      <w:drawing>
        <wp:inline distT="0" distB="0" distL="0" distR="0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320AC5" w:rsidRDefault="000958A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E45EE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2.10</w:t>
                          </w:r>
                          <w:r w:rsidR="00711297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="00526B0F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2019</w:t>
                          </w:r>
                          <w:r w:rsidR="00F37172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 w:rsidR="00F37172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r</w:t>
                          </w:r>
                          <w:proofErr w:type="gramEnd"/>
                          <w:r w:rsidR="00F37172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37172" w:rsidRPr="00320AC5" w:rsidRDefault="000958A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E45EE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2.10</w:t>
                    </w:r>
                    <w:r w:rsidR="00711297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="00526B0F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2019</w:t>
                    </w:r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r</w:t>
                    </w:r>
                    <w:proofErr w:type="gramEnd"/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122.7pt;height:127.75pt;visibility:visible;mso-wrap-style:square" o:bullet="t">
        <v:imagedata r:id="rId1" o:title=""/>
      </v:shape>
    </w:pict>
  </w:numPicBullet>
  <w:numPicBullet w:numPicBulletId="1">
    <w:pict>
      <v:shape id="_x0000_i1164" type="#_x0000_t75" style="width:124.25pt;height:127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1FB"/>
    <w:rsid w:val="00001C5B"/>
    <w:rsid w:val="00003437"/>
    <w:rsid w:val="00005CE7"/>
    <w:rsid w:val="0000709F"/>
    <w:rsid w:val="000108B8"/>
    <w:rsid w:val="00011A11"/>
    <w:rsid w:val="00011C7D"/>
    <w:rsid w:val="000152F5"/>
    <w:rsid w:val="000169F3"/>
    <w:rsid w:val="000259F3"/>
    <w:rsid w:val="0003281D"/>
    <w:rsid w:val="00034B19"/>
    <w:rsid w:val="000366E9"/>
    <w:rsid w:val="0004582E"/>
    <w:rsid w:val="00051931"/>
    <w:rsid w:val="00057327"/>
    <w:rsid w:val="00057B5C"/>
    <w:rsid w:val="00057BCF"/>
    <w:rsid w:val="00057CA1"/>
    <w:rsid w:val="00061635"/>
    <w:rsid w:val="000662E2"/>
    <w:rsid w:val="00066883"/>
    <w:rsid w:val="00072A06"/>
    <w:rsid w:val="00074600"/>
    <w:rsid w:val="00075359"/>
    <w:rsid w:val="00076C1A"/>
    <w:rsid w:val="00076EB8"/>
    <w:rsid w:val="000806F7"/>
    <w:rsid w:val="000834E9"/>
    <w:rsid w:val="00090DEE"/>
    <w:rsid w:val="0009359E"/>
    <w:rsid w:val="0009439B"/>
    <w:rsid w:val="000958A9"/>
    <w:rsid w:val="00096BB4"/>
    <w:rsid w:val="000A0C17"/>
    <w:rsid w:val="000A6754"/>
    <w:rsid w:val="000B0727"/>
    <w:rsid w:val="000B1421"/>
    <w:rsid w:val="000B627F"/>
    <w:rsid w:val="000C061B"/>
    <w:rsid w:val="000C135D"/>
    <w:rsid w:val="000C2167"/>
    <w:rsid w:val="000C362F"/>
    <w:rsid w:val="000C411C"/>
    <w:rsid w:val="000D1D43"/>
    <w:rsid w:val="000D225C"/>
    <w:rsid w:val="000E0161"/>
    <w:rsid w:val="000E0918"/>
    <w:rsid w:val="000E59A9"/>
    <w:rsid w:val="000E5D92"/>
    <w:rsid w:val="000E78E2"/>
    <w:rsid w:val="000E7ED0"/>
    <w:rsid w:val="000F3461"/>
    <w:rsid w:val="000F42CD"/>
    <w:rsid w:val="001005D5"/>
    <w:rsid w:val="001011C3"/>
    <w:rsid w:val="00101BB6"/>
    <w:rsid w:val="00101D21"/>
    <w:rsid w:val="00102460"/>
    <w:rsid w:val="001027F5"/>
    <w:rsid w:val="00110D87"/>
    <w:rsid w:val="00110DEB"/>
    <w:rsid w:val="00112E06"/>
    <w:rsid w:val="00114DB9"/>
    <w:rsid w:val="00114E77"/>
    <w:rsid w:val="00114F89"/>
    <w:rsid w:val="0011518C"/>
    <w:rsid w:val="00116087"/>
    <w:rsid w:val="00123319"/>
    <w:rsid w:val="00126B50"/>
    <w:rsid w:val="00126D9E"/>
    <w:rsid w:val="00130296"/>
    <w:rsid w:val="001315CD"/>
    <w:rsid w:val="00133B51"/>
    <w:rsid w:val="00134852"/>
    <w:rsid w:val="00134F39"/>
    <w:rsid w:val="001423B6"/>
    <w:rsid w:val="001448A7"/>
    <w:rsid w:val="00146621"/>
    <w:rsid w:val="001479AC"/>
    <w:rsid w:val="001513B8"/>
    <w:rsid w:val="001523FD"/>
    <w:rsid w:val="001557B1"/>
    <w:rsid w:val="00162325"/>
    <w:rsid w:val="00163E39"/>
    <w:rsid w:val="00166286"/>
    <w:rsid w:val="00171A1E"/>
    <w:rsid w:val="00171C5E"/>
    <w:rsid w:val="00172E2E"/>
    <w:rsid w:val="0017455C"/>
    <w:rsid w:val="00175DB8"/>
    <w:rsid w:val="001762A6"/>
    <w:rsid w:val="0018029F"/>
    <w:rsid w:val="00186B0A"/>
    <w:rsid w:val="00187A01"/>
    <w:rsid w:val="00187EC6"/>
    <w:rsid w:val="00192DF3"/>
    <w:rsid w:val="00193BDE"/>
    <w:rsid w:val="001951DA"/>
    <w:rsid w:val="001968F3"/>
    <w:rsid w:val="001A1B86"/>
    <w:rsid w:val="001A1D09"/>
    <w:rsid w:val="001A42E2"/>
    <w:rsid w:val="001B00DC"/>
    <w:rsid w:val="001B48F9"/>
    <w:rsid w:val="001B56B5"/>
    <w:rsid w:val="001B64F3"/>
    <w:rsid w:val="001B6EF1"/>
    <w:rsid w:val="001C3269"/>
    <w:rsid w:val="001D1DB4"/>
    <w:rsid w:val="001D5205"/>
    <w:rsid w:val="001E14AC"/>
    <w:rsid w:val="001E155C"/>
    <w:rsid w:val="001E668B"/>
    <w:rsid w:val="001E7473"/>
    <w:rsid w:val="001F075D"/>
    <w:rsid w:val="001F0E57"/>
    <w:rsid w:val="001F1BE1"/>
    <w:rsid w:val="001F257B"/>
    <w:rsid w:val="002053BC"/>
    <w:rsid w:val="00205BC2"/>
    <w:rsid w:val="00207ED8"/>
    <w:rsid w:val="002112C0"/>
    <w:rsid w:val="002140F5"/>
    <w:rsid w:val="00216024"/>
    <w:rsid w:val="002213DC"/>
    <w:rsid w:val="00223D5A"/>
    <w:rsid w:val="002248CD"/>
    <w:rsid w:val="00224BF7"/>
    <w:rsid w:val="00224FBD"/>
    <w:rsid w:val="00236D7C"/>
    <w:rsid w:val="0023792A"/>
    <w:rsid w:val="002476AC"/>
    <w:rsid w:val="00252628"/>
    <w:rsid w:val="00254E20"/>
    <w:rsid w:val="002574F9"/>
    <w:rsid w:val="00263742"/>
    <w:rsid w:val="00271F56"/>
    <w:rsid w:val="00274903"/>
    <w:rsid w:val="00276811"/>
    <w:rsid w:val="00281218"/>
    <w:rsid w:val="00282699"/>
    <w:rsid w:val="00284602"/>
    <w:rsid w:val="002914E4"/>
    <w:rsid w:val="0029253E"/>
    <w:rsid w:val="00292653"/>
    <w:rsid w:val="002926DF"/>
    <w:rsid w:val="002946A4"/>
    <w:rsid w:val="00296697"/>
    <w:rsid w:val="002B0472"/>
    <w:rsid w:val="002B1A65"/>
    <w:rsid w:val="002B5972"/>
    <w:rsid w:val="002B6B12"/>
    <w:rsid w:val="002B746F"/>
    <w:rsid w:val="002C01DB"/>
    <w:rsid w:val="002C22D7"/>
    <w:rsid w:val="002C39DC"/>
    <w:rsid w:val="002C4FF0"/>
    <w:rsid w:val="002D3F81"/>
    <w:rsid w:val="002D5A7F"/>
    <w:rsid w:val="002E3115"/>
    <w:rsid w:val="002E6140"/>
    <w:rsid w:val="002E6985"/>
    <w:rsid w:val="002E71B6"/>
    <w:rsid w:val="002F14FA"/>
    <w:rsid w:val="002F2B58"/>
    <w:rsid w:val="002F4D66"/>
    <w:rsid w:val="002F4E60"/>
    <w:rsid w:val="002F6BA0"/>
    <w:rsid w:val="002F77C8"/>
    <w:rsid w:val="00301633"/>
    <w:rsid w:val="00303D35"/>
    <w:rsid w:val="003041CB"/>
    <w:rsid w:val="00304F22"/>
    <w:rsid w:val="003065C9"/>
    <w:rsid w:val="00306C7C"/>
    <w:rsid w:val="00310C8E"/>
    <w:rsid w:val="00311059"/>
    <w:rsid w:val="00312C71"/>
    <w:rsid w:val="00320AC5"/>
    <w:rsid w:val="00321A79"/>
    <w:rsid w:val="00322D35"/>
    <w:rsid w:val="00322EDD"/>
    <w:rsid w:val="00323111"/>
    <w:rsid w:val="003239A4"/>
    <w:rsid w:val="003249E3"/>
    <w:rsid w:val="00332320"/>
    <w:rsid w:val="00333F88"/>
    <w:rsid w:val="00335366"/>
    <w:rsid w:val="003373F3"/>
    <w:rsid w:val="003407E4"/>
    <w:rsid w:val="00346D76"/>
    <w:rsid w:val="0034734A"/>
    <w:rsid w:val="00347A0E"/>
    <w:rsid w:val="00347D72"/>
    <w:rsid w:val="00347E63"/>
    <w:rsid w:val="00350157"/>
    <w:rsid w:val="003530F3"/>
    <w:rsid w:val="00354A53"/>
    <w:rsid w:val="00357F62"/>
    <w:rsid w:val="0036049A"/>
    <w:rsid w:val="00367237"/>
    <w:rsid w:val="0036763D"/>
    <w:rsid w:val="003703DC"/>
    <w:rsid w:val="0037077F"/>
    <w:rsid w:val="00371234"/>
    <w:rsid w:val="0037141A"/>
    <w:rsid w:val="00371EF7"/>
    <w:rsid w:val="00373882"/>
    <w:rsid w:val="00374CAC"/>
    <w:rsid w:val="00377D20"/>
    <w:rsid w:val="003854F5"/>
    <w:rsid w:val="003904F8"/>
    <w:rsid w:val="00391BE8"/>
    <w:rsid w:val="00394D38"/>
    <w:rsid w:val="003954DD"/>
    <w:rsid w:val="003972AF"/>
    <w:rsid w:val="00397D18"/>
    <w:rsid w:val="003A0ABA"/>
    <w:rsid w:val="003A1B36"/>
    <w:rsid w:val="003A271E"/>
    <w:rsid w:val="003A2905"/>
    <w:rsid w:val="003A2DFB"/>
    <w:rsid w:val="003A42AD"/>
    <w:rsid w:val="003A48C2"/>
    <w:rsid w:val="003A5036"/>
    <w:rsid w:val="003B1FED"/>
    <w:rsid w:val="003B5B72"/>
    <w:rsid w:val="003C0845"/>
    <w:rsid w:val="003C4464"/>
    <w:rsid w:val="003C4528"/>
    <w:rsid w:val="003C509F"/>
    <w:rsid w:val="003C59E0"/>
    <w:rsid w:val="003C6A94"/>
    <w:rsid w:val="003C6C8D"/>
    <w:rsid w:val="003D2D75"/>
    <w:rsid w:val="003D2F16"/>
    <w:rsid w:val="003D4F95"/>
    <w:rsid w:val="003D5EA6"/>
    <w:rsid w:val="003D5F42"/>
    <w:rsid w:val="003D60A9"/>
    <w:rsid w:val="003E1635"/>
    <w:rsid w:val="003E170B"/>
    <w:rsid w:val="003E781B"/>
    <w:rsid w:val="003F4C97"/>
    <w:rsid w:val="003F7FE6"/>
    <w:rsid w:val="004002B7"/>
    <w:rsid w:val="00401A81"/>
    <w:rsid w:val="00401B8A"/>
    <w:rsid w:val="00403C6B"/>
    <w:rsid w:val="004040CC"/>
    <w:rsid w:val="0040435C"/>
    <w:rsid w:val="004109C9"/>
    <w:rsid w:val="004118D1"/>
    <w:rsid w:val="004159FA"/>
    <w:rsid w:val="0042323E"/>
    <w:rsid w:val="004232C1"/>
    <w:rsid w:val="00423D86"/>
    <w:rsid w:val="0042406F"/>
    <w:rsid w:val="0042446D"/>
    <w:rsid w:val="00427BF8"/>
    <w:rsid w:val="00431C02"/>
    <w:rsid w:val="00432074"/>
    <w:rsid w:val="00432D84"/>
    <w:rsid w:val="00432E3F"/>
    <w:rsid w:val="004335CF"/>
    <w:rsid w:val="004366B1"/>
    <w:rsid w:val="00437395"/>
    <w:rsid w:val="00443AC0"/>
    <w:rsid w:val="00445047"/>
    <w:rsid w:val="00445683"/>
    <w:rsid w:val="00445C2D"/>
    <w:rsid w:val="0044644A"/>
    <w:rsid w:val="0045269C"/>
    <w:rsid w:val="0045370E"/>
    <w:rsid w:val="00454346"/>
    <w:rsid w:val="004546ED"/>
    <w:rsid w:val="00454A5C"/>
    <w:rsid w:val="004553E8"/>
    <w:rsid w:val="00463E39"/>
    <w:rsid w:val="00464546"/>
    <w:rsid w:val="004657FC"/>
    <w:rsid w:val="004662CE"/>
    <w:rsid w:val="00470A70"/>
    <w:rsid w:val="004733F6"/>
    <w:rsid w:val="00473463"/>
    <w:rsid w:val="00474E69"/>
    <w:rsid w:val="00482BBE"/>
    <w:rsid w:val="00482FAD"/>
    <w:rsid w:val="004853D3"/>
    <w:rsid w:val="0049621B"/>
    <w:rsid w:val="004A569A"/>
    <w:rsid w:val="004A592F"/>
    <w:rsid w:val="004A6CC2"/>
    <w:rsid w:val="004B059E"/>
    <w:rsid w:val="004B0752"/>
    <w:rsid w:val="004B1FEA"/>
    <w:rsid w:val="004B7384"/>
    <w:rsid w:val="004C0E8B"/>
    <w:rsid w:val="004C1895"/>
    <w:rsid w:val="004C21B2"/>
    <w:rsid w:val="004C5169"/>
    <w:rsid w:val="004C6D40"/>
    <w:rsid w:val="004C7599"/>
    <w:rsid w:val="004D0980"/>
    <w:rsid w:val="004D211A"/>
    <w:rsid w:val="004D30A4"/>
    <w:rsid w:val="004D4BCB"/>
    <w:rsid w:val="004E070B"/>
    <w:rsid w:val="004E2635"/>
    <w:rsid w:val="004E6AB5"/>
    <w:rsid w:val="004E6C95"/>
    <w:rsid w:val="004E75CB"/>
    <w:rsid w:val="004E7DEA"/>
    <w:rsid w:val="004F0508"/>
    <w:rsid w:val="004F096D"/>
    <w:rsid w:val="004F0C3C"/>
    <w:rsid w:val="004F2AEE"/>
    <w:rsid w:val="004F4B2E"/>
    <w:rsid w:val="004F63FC"/>
    <w:rsid w:val="0050144E"/>
    <w:rsid w:val="0050225F"/>
    <w:rsid w:val="00505A92"/>
    <w:rsid w:val="005111EF"/>
    <w:rsid w:val="00512656"/>
    <w:rsid w:val="00512767"/>
    <w:rsid w:val="005203F1"/>
    <w:rsid w:val="00521BC3"/>
    <w:rsid w:val="00526B0F"/>
    <w:rsid w:val="00530791"/>
    <w:rsid w:val="00530B2D"/>
    <w:rsid w:val="00530EF8"/>
    <w:rsid w:val="00532B4D"/>
    <w:rsid w:val="0054251F"/>
    <w:rsid w:val="005436D8"/>
    <w:rsid w:val="005462FF"/>
    <w:rsid w:val="005520D8"/>
    <w:rsid w:val="00556CF1"/>
    <w:rsid w:val="00560493"/>
    <w:rsid w:val="005762A7"/>
    <w:rsid w:val="0057767A"/>
    <w:rsid w:val="00582408"/>
    <w:rsid w:val="00582602"/>
    <w:rsid w:val="005828BF"/>
    <w:rsid w:val="0058585A"/>
    <w:rsid w:val="005864BA"/>
    <w:rsid w:val="005916D7"/>
    <w:rsid w:val="005A698C"/>
    <w:rsid w:val="005A6F50"/>
    <w:rsid w:val="005B11DA"/>
    <w:rsid w:val="005B44E2"/>
    <w:rsid w:val="005B5280"/>
    <w:rsid w:val="005C1659"/>
    <w:rsid w:val="005C4F00"/>
    <w:rsid w:val="005D0FBF"/>
    <w:rsid w:val="005D77FB"/>
    <w:rsid w:val="005E0799"/>
    <w:rsid w:val="005E14A3"/>
    <w:rsid w:val="005E16AD"/>
    <w:rsid w:val="005E2CB6"/>
    <w:rsid w:val="005E4ABD"/>
    <w:rsid w:val="005E5E39"/>
    <w:rsid w:val="005F0DD0"/>
    <w:rsid w:val="005F5A80"/>
    <w:rsid w:val="005F6DFA"/>
    <w:rsid w:val="005F7FD7"/>
    <w:rsid w:val="00601033"/>
    <w:rsid w:val="006044FF"/>
    <w:rsid w:val="00605F33"/>
    <w:rsid w:val="00606660"/>
    <w:rsid w:val="00607CC5"/>
    <w:rsid w:val="00611E75"/>
    <w:rsid w:val="0061219D"/>
    <w:rsid w:val="006140C6"/>
    <w:rsid w:val="00617632"/>
    <w:rsid w:val="006218D3"/>
    <w:rsid w:val="00632056"/>
    <w:rsid w:val="00633014"/>
    <w:rsid w:val="0063437B"/>
    <w:rsid w:val="0063792B"/>
    <w:rsid w:val="00640163"/>
    <w:rsid w:val="00640F41"/>
    <w:rsid w:val="006467C3"/>
    <w:rsid w:val="006516CF"/>
    <w:rsid w:val="00652FE9"/>
    <w:rsid w:val="0065356C"/>
    <w:rsid w:val="00655B16"/>
    <w:rsid w:val="00661D83"/>
    <w:rsid w:val="006650CE"/>
    <w:rsid w:val="006667DB"/>
    <w:rsid w:val="00666FE6"/>
    <w:rsid w:val="006673CA"/>
    <w:rsid w:val="00667C4F"/>
    <w:rsid w:val="0067076B"/>
    <w:rsid w:val="006715A8"/>
    <w:rsid w:val="00676B47"/>
    <w:rsid w:val="00683277"/>
    <w:rsid w:val="0068372A"/>
    <w:rsid w:val="00685679"/>
    <w:rsid w:val="00692138"/>
    <w:rsid w:val="006932A5"/>
    <w:rsid w:val="00694612"/>
    <w:rsid w:val="00694D6E"/>
    <w:rsid w:val="00695688"/>
    <w:rsid w:val="00695D66"/>
    <w:rsid w:val="006A41E2"/>
    <w:rsid w:val="006B05FA"/>
    <w:rsid w:val="006B0E9E"/>
    <w:rsid w:val="006B3239"/>
    <w:rsid w:val="006B3857"/>
    <w:rsid w:val="006B5AE4"/>
    <w:rsid w:val="006B66F5"/>
    <w:rsid w:val="006C17AE"/>
    <w:rsid w:val="006D1E5A"/>
    <w:rsid w:val="006D4054"/>
    <w:rsid w:val="006D4318"/>
    <w:rsid w:val="006D6347"/>
    <w:rsid w:val="006E02EC"/>
    <w:rsid w:val="006E1123"/>
    <w:rsid w:val="006E4BB4"/>
    <w:rsid w:val="006F3AF2"/>
    <w:rsid w:val="006F40E0"/>
    <w:rsid w:val="006F40FA"/>
    <w:rsid w:val="006F57E5"/>
    <w:rsid w:val="006F5D8B"/>
    <w:rsid w:val="00702737"/>
    <w:rsid w:val="00711297"/>
    <w:rsid w:val="00711571"/>
    <w:rsid w:val="007205CE"/>
    <w:rsid w:val="007211B1"/>
    <w:rsid w:val="0072341B"/>
    <w:rsid w:val="00724410"/>
    <w:rsid w:val="00726B70"/>
    <w:rsid w:val="00730184"/>
    <w:rsid w:val="00732809"/>
    <w:rsid w:val="0073602C"/>
    <w:rsid w:val="00737ADD"/>
    <w:rsid w:val="00746187"/>
    <w:rsid w:val="00752B07"/>
    <w:rsid w:val="00754106"/>
    <w:rsid w:val="00754C63"/>
    <w:rsid w:val="007623ED"/>
    <w:rsid w:val="00762403"/>
    <w:rsid w:val="0076254F"/>
    <w:rsid w:val="007676C2"/>
    <w:rsid w:val="007700E4"/>
    <w:rsid w:val="0077196D"/>
    <w:rsid w:val="00774C6B"/>
    <w:rsid w:val="007801F5"/>
    <w:rsid w:val="00783CA4"/>
    <w:rsid w:val="007842FB"/>
    <w:rsid w:val="00786124"/>
    <w:rsid w:val="00792ACE"/>
    <w:rsid w:val="0079514B"/>
    <w:rsid w:val="00797821"/>
    <w:rsid w:val="00797A85"/>
    <w:rsid w:val="007A0384"/>
    <w:rsid w:val="007A0D08"/>
    <w:rsid w:val="007A1C6B"/>
    <w:rsid w:val="007A2DC1"/>
    <w:rsid w:val="007A3C6F"/>
    <w:rsid w:val="007A7C0E"/>
    <w:rsid w:val="007B0DCD"/>
    <w:rsid w:val="007B1B50"/>
    <w:rsid w:val="007B5805"/>
    <w:rsid w:val="007B7014"/>
    <w:rsid w:val="007C14FB"/>
    <w:rsid w:val="007D3319"/>
    <w:rsid w:val="007D335D"/>
    <w:rsid w:val="007D5ACA"/>
    <w:rsid w:val="007D7E68"/>
    <w:rsid w:val="007E2821"/>
    <w:rsid w:val="007E3301"/>
    <w:rsid w:val="007E3314"/>
    <w:rsid w:val="007E4B03"/>
    <w:rsid w:val="007F324B"/>
    <w:rsid w:val="007F3482"/>
    <w:rsid w:val="007F5697"/>
    <w:rsid w:val="00804892"/>
    <w:rsid w:val="0080553C"/>
    <w:rsid w:val="00805B46"/>
    <w:rsid w:val="00807CE8"/>
    <w:rsid w:val="0081118B"/>
    <w:rsid w:val="00812AC9"/>
    <w:rsid w:val="00825DC2"/>
    <w:rsid w:val="008278E4"/>
    <w:rsid w:val="00827A31"/>
    <w:rsid w:val="008325FD"/>
    <w:rsid w:val="00834AD3"/>
    <w:rsid w:val="0083594E"/>
    <w:rsid w:val="00835F27"/>
    <w:rsid w:val="00843795"/>
    <w:rsid w:val="00845ED0"/>
    <w:rsid w:val="008468C4"/>
    <w:rsid w:val="00846BFF"/>
    <w:rsid w:val="00847F0F"/>
    <w:rsid w:val="0085032D"/>
    <w:rsid w:val="00852448"/>
    <w:rsid w:val="00854334"/>
    <w:rsid w:val="00856490"/>
    <w:rsid w:val="008672E8"/>
    <w:rsid w:val="00867E9B"/>
    <w:rsid w:val="0087165C"/>
    <w:rsid w:val="00872B57"/>
    <w:rsid w:val="008733DD"/>
    <w:rsid w:val="00875D1F"/>
    <w:rsid w:val="00880870"/>
    <w:rsid w:val="00880EC5"/>
    <w:rsid w:val="0088188F"/>
    <w:rsid w:val="0088258A"/>
    <w:rsid w:val="00883AA9"/>
    <w:rsid w:val="00884717"/>
    <w:rsid w:val="00885FEC"/>
    <w:rsid w:val="00886332"/>
    <w:rsid w:val="00886696"/>
    <w:rsid w:val="008A26D9"/>
    <w:rsid w:val="008A781A"/>
    <w:rsid w:val="008B1EC9"/>
    <w:rsid w:val="008B6C73"/>
    <w:rsid w:val="008C0242"/>
    <w:rsid w:val="008C75E2"/>
    <w:rsid w:val="008D361F"/>
    <w:rsid w:val="008E0426"/>
    <w:rsid w:val="008E1753"/>
    <w:rsid w:val="008E3158"/>
    <w:rsid w:val="008E3FD2"/>
    <w:rsid w:val="008E6509"/>
    <w:rsid w:val="008E6D40"/>
    <w:rsid w:val="008E7B86"/>
    <w:rsid w:val="008F3638"/>
    <w:rsid w:val="008F423C"/>
    <w:rsid w:val="008F42BF"/>
    <w:rsid w:val="008F6CB7"/>
    <w:rsid w:val="008F6F31"/>
    <w:rsid w:val="008F74DF"/>
    <w:rsid w:val="00903EC3"/>
    <w:rsid w:val="00910C4C"/>
    <w:rsid w:val="009127BA"/>
    <w:rsid w:val="0091509B"/>
    <w:rsid w:val="0091740C"/>
    <w:rsid w:val="00920B7D"/>
    <w:rsid w:val="009227A6"/>
    <w:rsid w:val="009269E1"/>
    <w:rsid w:val="0092753D"/>
    <w:rsid w:val="00933EC1"/>
    <w:rsid w:val="0094021A"/>
    <w:rsid w:val="00941C5E"/>
    <w:rsid w:val="00943F43"/>
    <w:rsid w:val="009530DB"/>
    <w:rsid w:val="00953676"/>
    <w:rsid w:val="009602FC"/>
    <w:rsid w:val="00961A8B"/>
    <w:rsid w:val="009647C9"/>
    <w:rsid w:val="00964B83"/>
    <w:rsid w:val="00967F99"/>
    <w:rsid w:val="009705EE"/>
    <w:rsid w:val="00977927"/>
    <w:rsid w:val="0098135C"/>
    <w:rsid w:val="0098156A"/>
    <w:rsid w:val="0098537F"/>
    <w:rsid w:val="00985CAD"/>
    <w:rsid w:val="0098728B"/>
    <w:rsid w:val="00996693"/>
    <w:rsid w:val="009A24B0"/>
    <w:rsid w:val="009A40B0"/>
    <w:rsid w:val="009B068E"/>
    <w:rsid w:val="009B4CC8"/>
    <w:rsid w:val="009C0165"/>
    <w:rsid w:val="009C1335"/>
    <w:rsid w:val="009C149B"/>
    <w:rsid w:val="009C1AB2"/>
    <w:rsid w:val="009C22CC"/>
    <w:rsid w:val="009C2D29"/>
    <w:rsid w:val="009C5DCB"/>
    <w:rsid w:val="009C7251"/>
    <w:rsid w:val="009D0E86"/>
    <w:rsid w:val="009D3868"/>
    <w:rsid w:val="009D48BF"/>
    <w:rsid w:val="009E1846"/>
    <w:rsid w:val="009E1D0F"/>
    <w:rsid w:val="009E2E91"/>
    <w:rsid w:val="009F46AA"/>
    <w:rsid w:val="009F7BAC"/>
    <w:rsid w:val="00A0230A"/>
    <w:rsid w:val="00A0232F"/>
    <w:rsid w:val="00A0402E"/>
    <w:rsid w:val="00A051F6"/>
    <w:rsid w:val="00A068AA"/>
    <w:rsid w:val="00A06BD8"/>
    <w:rsid w:val="00A11D43"/>
    <w:rsid w:val="00A139F5"/>
    <w:rsid w:val="00A13D15"/>
    <w:rsid w:val="00A1570A"/>
    <w:rsid w:val="00A17162"/>
    <w:rsid w:val="00A24EE1"/>
    <w:rsid w:val="00A25E14"/>
    <w:rsid w:val="00A32056"/>
    <w:rsid w:val="00A321E4"/>
    <w:rsid w:val="00A33F4A"/>
    <w:rsid w:val="00A365F4"/>
    <w:rsid w:val="00A36BA6"/>
    <w:rsid w:val="00A36EB7"/>
    <w:rsid w:val="00A4019F"/>
    <w:rsid w:val="00A42C0A"/>
    <w:rsid w:val="00A44AB4"/>
    <w:rsid w:val="00A47D80"/>
    <w:rsid w:val="00A521CD"/>
    <w:rsid w:val="00A53132"/>
    <w:rsid w:val="00A563F2"/>
    <w:rsid w:val="00A566E8"/>
    <w:rsid w:val="00A57A69"/>
    <w:rsid w:val="00A62657"/>
    <w:rsid w:val="00A643BB"/>
    <w:rsid w:val="00A66A57"/>
    <w:rsid w:val="00A66C2E"/>
    <w:rsid w:val="00A66EAC"/>
    <w:rsid w:val="00A70B9B"/>
    <w:rsid w:val="00A72F76"/>
    <w:rsid w:val="00A73ABE"/>
    <w:rsid w:val="00A74B25"/>
    <w:rsid w:val="00A758C8"/>
    <w:rsid w:val="00A76F87"/>
    <w:rsid w:val="00A7786D"/>
    <w:rsid w:val="00A852B4"/>
    <w:rsid w:val="00A86ECC"/>
    <w:rsid w:val="00A86FCC"/>
    <w:rsid w:val="00A94152"/>
    <w:rsid w:val="00A94A12"/>
    <w:rsid w:val="00A96559"/>
    <w:rsid w:val="00AA6722"/>
    <w:rsid w:val="00AA710D"/>
    <w:rsid w:val="00AB4503"/>
    <w:rsid w:val="00AB5850"/>
    <w:rsid w:val="00AB6D25"/>
    <w:rsid w:val="00AC18F4"/>
    <w:rsid w:val="00AC2BAC"/>
    <w:rsid w:val="00AC3527"/>
    <w:rsid w:val="00AC7777"/>
    <w:rsid w:val="00AD699B"/>
    <w:rsid w:val="00AE14B1"/>
    <w:rsid w:val="00AE269F"/>
    <w:rsid w:val="00AE2D4B"/>
    <w:rsid w:val="00AE4F99"/>
    <w:rsid w:val="00AE62E6"/>
    <w:rsid w:val="00AF2781"/>
    <w:rsid w:val="00AF4F89"/>
    <w:rsid w:val="00AF5CF8"/>
    <w:rsid w:val="00B14952"/>
    <w:rsid w:val="00B23D69"/>
    <w:rsid w:val="00B24A8B"/>
    <w:rsid w:val="00B25B97"/>
    <w:rsid w:val="00B31E5A"/>
    <w:rsid w:val="00B36FEF"/>
    <w:rsid w:val="00B41A2C"/>
    <w:rsid w:val="00B44F0A"/>
    <w:rsid w:val="00B50344"/>
    <w:rsid w:val="00B511F2"/>
    <w:rsid w:val="00B51E9F"/>
    <w:rsid w:val="00B5224C"/>
    <w:rsid w:val="00B560E4"/>
    <w:rsid w:val="00B56BFB"/>
    <w:rsid w:val="00B60A9B"/>
    <w:rsid w:val="00B60C8B"/>
    <w:rsid w:val="00B60CAA"/>
    <w:rsid w:val="00B60EB4"/>
    <w:rsid w:val="00B61233"/>
    <w:rsid w:val="00B653AB"/>
    <w:rsid w:val="00B653BB"/>
    <w:rsid w:val="00B65F9E"/>
    <w:rsid w:val="00B66B19"/>
    <w:rsid w:val="00B7359B"/>
    <w:rsid w:val="00B76EA1"/>
    <w:rsid w:val="00B836C6"/>
    <w:rsid w:val="00B86633"/>
    <w:rsid w:val="00B8712B"/>
    <w:rsid w:val="00B87703"/>
    <w:rsid w:val="00B914E9"/>
    <w:rsid w:val="00B956EE"/>
    <w:rsid w:val="00BA0245"/>
    <w:rsid w:val="00BA2BA1"/>
    <w:rsid w:val="00BB127F"/>
    <w:rsid w:val="00BC512B"/>
    <w:rsid w:val="00BD26FA"/>
    <w:rsid w:val="00BD4E33"/>
    <w:rsid w:val="00BD5606"/>
    <w:rsid w:val="00BE0358"/>
    <w:rsid w:val="00BE5833"/>
    <w:rsid w:val="00BE6E57"/>
    <w:rsid w:val="00BF1A32"/>
    <w:rsid w:val="00BF212B"/>
    <w:rsid w:val="00BF21DD"/>
    <w:rsid w:val="00C02FA0"/>
    <w:rsid w:val="00C030DE"/>
    <w:rsid w:val="00C17BB9"/>
    <w:rsid w:val="00C22105"/>
    <w:rsid w:val="00C22830"/>
    <w:rsid w:val="00C244B6"/>
    <w:rsid w:val="00C254FB"/>
    <w:rsid w:val="00C2702E"/>
    <w:rsid w:val="00C27378"/>
    <w:rsid w:val="00C3244F"/>
    <w:rsid w:val="00C3598D"/>
    <w:rsid w:val="00C41277"/>
    <w:rsid w:val="00C4751D"/>
    <w:rsid w:val="00C537C3"/>
    <w:rsid w:val="00C548B8"/>
    <w:rsid w:val="00C549B0"/>
    <w:rsid w:val="00C60C4B"/>
    <w:rsid w:val="00C630DB"/>
    <w:rsid w:val="00C64A37"/>
    <w:rsid w:val="00C6574D"/>
    <w:rsid w:val="00C7158E"/>
    <w:rsid w:val="00C7250B"/>
    <w:rsid w:val="00C7346B"/>
    <w:rsid w:val="00C75437"/>
    <w:rsid w:val="00C75940"/>
    <w:rsid w:val="00C77C0E"/>
    <w:rsid w:val="00C91687"/>
    <w:rsid w:val="00C924A8"/>
    <w:rsid w:val="00C93EB3"/>
    <w:rsid w:val="00C945FE"/>
    <w:rsid w:val="00C96FAA"/>
    <w:rsid w:val="00C97302"/>
    <w:rsid w:val="00C97A04"/>
    <w:rsid w:val="00CA107B"/>
    <w:rsid w:val="00CA44F3"/>
    <w:rsid w:val="00CA484D"/>
    <w:rsid w:val="00CB4B4E"/>
    <w:rsid w:val="00CB61AE"/>
    <w:rsid w:val="00CB77D4"/>
    <w:rsid w:val="00CB7B94"/>
    <w:rsid w:val="00CC4F14"/>
    <w:rsid w:val="00CC739E"/>
    <w:rsid w:val="00CD39BE"/>
    <w:rsid w:val="00CD58B7"/>
    <w:rsid w:val="00CE06F1"/>
    <w:rsid w:val="00CE738C"/>
    <w:rsid w:val="00CF0700"/>
    <w:rsid w:val="00CF3244"/>
    <w:rsid w:val="00CF392B"/>
    <w:rsid w:val="00CF4099"/>
    <w:rsid w:val="00CF5970"/>
    <w:rsid w:val="00D05C62"/>
    <w:rsid w:val="00D07944"/>
    <w:rsid w:val="00D10FD6"/>
    <w:rsid w:val="00D144D4"/>
    <w:rsid w:val="00D2087F"/>
    <w:rsid w:val="00D23A75"/>
    <w:rsid w:val="00D261A2"/>
    <w:rsid w:val="00D31EDD"/>
    <w:rsid w:val="00D32E28"/>
    <w:rsid w:val="00D33ADF"/>
    <w:rsid w:val="00D33AF1"/>
    <w:rsid w:val="00D3643B"/>
    <w:rsid w:val="00D3676A"/>
    <w:rsid w:val="00D4076C"/>
    <w:rsid w:val="00D41C37"/>
    <w:rsid w:val="00D424E9"/>
    <w:rsid w:val="00D45C50"/>
    <w:rsid w:val="00D475CA"/>
    <w:rsid w:val="00D50F65"/>
    <w:rsid w:val="00D527B6"/>
    <w:rsid w:val="00D54F68"/>
    <w:rsid w:val="00D5627F"/>
    <w:rsid w:val="00D608CF"/>
    <w:rsid w:val="00D6132E"/>
    <w:rsid w:val="00D616D2"/>
    <w:rsid w:val="00D635A9"/>
    <w:rsid w:val="00D63B5F"/>
    <w:rsid w:val="00D64C6A"/>
    <w:rsid w:val="00D64CD7"/>
    <w:rsid w:val="00D7099F"/>
    <w:rsid w:val="00D70AF2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90208"/>
    <w:rsid w:val="00D94EED"/>
    <w:rsid w:val="00D96026"/>
    <w:rsid w:val="00DA0110"/>
    <w:rsid w:val="00DA0179"/>
    <w:rsid w:val="00DA42BA"/>
    <w:rsid w:val="00DA70D1"/>
    <w:rsid w:val="00DB0097"/>
    <w:rsid w:val="00DB147A"/>
    <w:rsid w:val="00DB1B7A"/>
    <w:rsid w:val="00DB478F"/>
    <w:rsid w:val="00DC0014"/>
    <w:rsid w:val="00DC10F1"/>
    <w:rsid w:val="00DC25CD"/>
    <w:rsid w:val="00DC58EC"/>
    <w:rsid w:val="00DC6708"/>
    <w:rsid w:val="00DD2DB1"/>
    <w:rsid w:val="00DD36F0"/>
    <w:rsid w:val="00DD4415"/>
    <w:rsid w:val="00DD4D9D"/>
    <w:rsid w:val="00DD54A4"/>
    <w:rsid w:val="00DD68E9"/>
    <w:rsid w:val="00DD6C42"/>
    <w:rsid w:val="00DE0352"/>
    <w:rsid w:val="00DE2DE3"/>
    <w:rsid w:val="00DE3577"/>
    <w:rsid w:val="00DE6052"/>
    <w:rsid w:val="00DE7222"/>
    <w:rsid w:val="00DF3B68"/>
    <w:rsid w:val="00E00298"/>
    <w:rsid w:val="00E01436"/>
    <w:rsid w:val="00E045BD"/>
    <w:rsid w:val="00E0664E"/>
    <w:rsid w:val="00E06DD1"/>
    <w:rsid w:val="00E10FCD"/>
    <w:rsid w:val="00E1291B"/>
    <w:rsid w:val="00E16D71"/>
    <w:rsid w:val="00E17B77"/>
    <w:rsid w:val="00E21369"/>
    <w:rsid w:val="00E26998"/>
    <w:rsid w:val="00E30AAF"/>
    <w:rsid w:val="00E31714"/>
    <w:rsid w:val="00E318F3"/>
    <w:rsid w:val="00E32061"/>
    <w:rsid w:val="00E36AD5"/>
    <w:rsid w:val="00E42FF9"/>
    <w:rsid w:val="00E454B8"/>
    <w:rsid w:val="00E45EE2"/>
    <w:rsid w:val="00E4714C"/>
    <w:rsid w:val="00E5190C"/>
    <w:rsid w:val="00E51AEB"/>
    <w:rsid w:val="00E522A7"/>
    <w:rsid w:val="00E54452"/>
    <w:rsid w:val="00E569F9"/>
    <w:rsid w:val="00E57A2E"/>
    <w:rsid w:val="00E6291D"/>
    <w:rsid w:val="00E664C5"/>
    <w:rsid w:val="00E66C3B"/>
    <w:rsid w:val="00E671A2"/>
    <w:rsid w:val="00E7165D"/>
    <w:rsid w:val="00E7180B"/>
    <w:rsid w:val="00E71CE1"/>
    <w:rsid w:val="00E72C42"/>
    <w:rsid w:val="00E74B3C"/>
    <w:rsid w:val="00E75A5C"/>
    <w:rsid w:val="00E76D26"/>
    <w:rsid w:val="00E77CC5"/>
    <w:rsid w:val="00E80DCA"/>
    <w:rsid w:val="00E87851"/>
    <w:rsid w:val="00EA0278"/>
    <w:rsid w:val="00EA1D9A"/>
    <w:rsid w:val="00EA45BA"/>
    <w:rsid w:val="00EB1390"/>
    <w:rsid w:val="00EB2C71"/>
    <w:rsid w:val="00EB4340"/>
    <w:rsid w:val="00EC30C4"/>
    <w:rsid w:val="00EC41F8"/>
    <w:rsid w:val="00EC526F"/>
    <w:rsid w:val="00EC5695"/>
    <w:rsid w:val="00EC589C"/>
    <w:rsid w:val="00ED0A2A"/>
    <w:rsid w:val="00ED55C0"/>
    <w:rsid w:val="00ED682B"/>
    <w:rsid w:val="00ED6FDF"/>
    <w:rsid w:val="00ED7F3A"/>
    <w:rsid w:val="00EE096A"/>
    <w:rsid w:val="00EE0F10"/>
    <w:rsid w:val="00EE1234"/>
    <w:rsid w:val="00EE4180"/>
    <w:rsid w:val="00EE41D5"/>
    <w:rsid w:val="00EE5691"/>
    <w:rsid w:val="00EF6153"/>
    <w:rsid w:val="00F037A4"/>
    <w:rsid w:val="00F0474B"/>
    <w:rsid w:val="00F070E2"/>
    <w:rsid w:val="00F07A6E"/>
    <w:rsid w:val="00F10EB2"/>
    <w:rsid w:val="00F10FF6"/>
    <w:rsid w:val="00F20A38"/>
    <w:rsid w:val="00F27C8F"/>
    <w:rsid w:val="00F32749"/>
    <w:rsid w:val="00F37172"/>
    <w:rsid w:val="00F37483"/>
    <w:rsid w:val="00F37D5F"/>
    <w:rsid w:val="00F4061B"/>
    <w:rsid w:val="00F438D5"/>
    <w:rsid w:val="00F4477E"/>
    <w:rsid w:val="00F44980"/>
    <w:rsid w:val="00F54921"/>
    <w:rsid w:val="00F608F3"/>
    <w:rsid w:val="00F63133"/>
    <w:rsid w:val="00F6733E"/>
    <w:rsid w:val="00F67D8F"/>
    <w:rsid w:val="00F70A4C"/>
    <w:rsid w:val="00F71749"/>
    <w:rsid w:val="00F741F3"/>
    <w:rsid w:val="00F82633"/>
    <w:rsid w:val="00F84C3E"/>
    <w:rsid w:val="00F86024"/>
    <w:rsid w:val="00F8611A"/>
    <w:rsid w:val="00F86708"/>
    <w:rsid w:val="00F8700B"/>
    <w:rsid w:val="00F94BC4"/>
    <w:rsid w:val="00FA05E8"/>
    <w:rsid w:val="00FA2604"/>
    <w:rsid w:val="00FA3557"/>
    <w:rsid w:val="00FA5128"/>
    <w:rsid w:val="00FA733A"/>
    <w:rsid w:val="00FB42D4"/>
    <w:rsid w:val="00FB5906"/>
    <w:rsid w:val="00FB762F"/>
    <w:rsid w:val="00FC2AED"/>
    <w:rsid w:val="00FC4A0F"/>
    <w:rsid w:val="00FC4E4E"/>
    <w:rsid w:val="00FC50D1"/>
    <w:rsid w:val="00FC7D3D"/>
    <w:rsid w:val="00FD0C73"/>
    <w:rsid w:val="00FD36B3"/>
    <w:rsid w:val="00FD3DD3"/>
    <w:rsid w:val="00FD4C00"/>
    <w:rsid w:val="00FD52C7"/>
    <w:rsid w:val="00FE1393"/>
    <w:rsid w:val="00FE19AE"/>
    <w:rsid w:val="00FE2B04"/>
    <w:rsid w:val="00FE2DD1"/>
    <w:rsid w:val="00FE489B"/>
    <w:rsid w:val="00FE77C5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eader" Target="header1.xml"/><Relationship Id="rId39" Type="http://schemas.openxmlformats.org/officeDocument/2006/relationships/hyperlink" Target="http://swaid.stat.gov.pl/SitePagesDBW/KoniunkturaGospodarcza.aspx" TargetMode="External"/><Relationship Id="rId21" Type="http://schemas.openxmlformats.org/officeDocument/2006/relationships/image" Target="media/image15.emf"/><Relationship Id="rId34" Type="http://schemas.openxmlformats.org/officeDocument/2006/relationships/image" Target="media/image24.png"/><Relationship Id="rId42" Type="http://schemas.openxmlformats.org/officeDocument/2006/relationships/hyperlink" Target="http://stat.gov.pl/metainformacje/slownik-pojec/pojecia-stosowane-w-statystyce-publicznej/3977,pojecie.html" TargetMode="External"/><Relationship Id="rId47" Type="http://schemas.openxmlformats.org/officeDocument/2006/relationships/hyperlink" Target="http://stat.gov.pl/obszary-tematyczne/koniunktura/koniunktura/badanie-koniunktury-gospodarczej-zeszyt-metodologiczny,5,9.html" TargetMode="External"/><Relationship Id="rId50" Type="http://schemas.openxmlformats.org/officeDocument/2006/relationships/hyperlink" Target="http://stat.gov.pl/metainformacje/slownik-pojec/pojecia-stosowane-w-statystyce-publicznej/2076,pojeci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footer" Target="footer2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2.png"/><Relationship Id="rId37" Type="http://schemas.openxmlformats.org/officeDocument/2006/relationships/hyperlink" Target="http://stat.gov.pl/infografiki-widzety/infografiki/publikacja,38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obszary-tematyczne/koniunktura/koniunktura/publikacja,4.html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header" Target="header2.xml"/><Relationship Id="rId36" Type="http://schemas.openxmlformats.org/officeDocument/2006/relationships/hyperlink" Target="http://stat.gov.pl/obszary-tematyczne/koniunktura/koniunktura/publikacja,4.html" TargetMode="External"/><Relationship Id="rId49" Type="http://schemas.openxmlformats.org/officeDocument/2006/relationships/hyperlink" Target="http://bdm.stat.gov.pl/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1.png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footer" Target="footer1.xml"/><Relationship Id="rId30" Type="http://schemas.openxmlformats.org/officeDocument/2006/relationships/hyperlink" Target="mailto:obslugaprasowa@stat.gov.pl" TargetMode="External"/><Relationship Id="rId35" Type="http://schemas.openxmlformats.org/officeDocument/2006/relationships/image" Target="media/image25.png"/><Relationship Id="rId48" Type="http://schemas.openxmlformats.org/officeDocument/2006/relationships/hyperlink" Target="http://swaid.stat.gov.pl/SitePagesDBW/KoniunkturaGospodarcza.aspx" TargetMode="External"/><Relationship Id="rId8" Type="http://schemas.openxmlformats.org/officeDocument/2006/relationships/image" Target="media/image3.emf"/><Relationship Id="rId51" Type="http://schemas.openxmlformats.org/officeDocument/2006/relationships/hyperlink" Target="http://stat.gov.pl/metainformacje/slownik-pojec/pojecia-stosowane-w-statystyce-publicznej/3977,pojecie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3.png"/><Relationship Id="rId38" Type="http://schemas.openxmlformats.org/officeDocument/2006/relationships/hyperlink" Target="http://stat.gov.pl/obszary-tematyczne/koniunktura/koniunktura/badanie-koniunktury-gospodarczej-zeszyt-metodologiczny,5,9.html" TargetMode="External"/><Relationship Id="rId46" Type="http://schemas.openxmlformats.org/officeDocument/2006/relationships/hyperlink" Target="http://stat.gov.pl/infografiki-widzety/infografiki/publikacja,38.html" TargetMode="External"/><Relationship Id="rId20" Type="http://schemas.openxmlformats.org/officeDocument/2006/relationships/image" Target="media/image14.emf"/><Relationship Id="rId41" Type="http://schemas.openxmlformats.org/officeDocument/2006/relationships/hyperlink" Target="http://stat.gov.pl/metainformacje/slownik-pojec/pojecia-stosowane-w-statystyce-publicznej/2076,pojecie.htm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4FF0-7466-41E4-8E04-FD292891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w październiku 2019 roku</dc:title>
  <dc:subject/>
  <cp:keywords/>
  <dc:description/>
  <cp:lastPrinted>2019-03-21T08:33:00Z</cp:lastPrinted>
  <dcterms:created xsi:type="dcterms:W3CDTF">2019-09-16T12:02:00Z</dcterms:created>
  <dcterms:modified xsi:type="dcterms:W3CDTF">2019-10-18T12:23:00Z</dcterms:modified>
</cp:coreProperties>
</file>