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4B45B20" w:rsidR="0098135C" w:rsidRDefault="000712AA" w:rsidP="00074DD8">
      <w:pPr>
        <w:pStyle w:val="tytuinformacji"/>
        <w:rPr>
          <w:shd w:val="clear" w:color="auto" w:fill="FFFFFF"/>
        </w:rPr>
      </w:pPr>
      <w:r w:rsidRPr="000712AA">
        <w:rPr>
          <w:shd w:val="clear" w:color="auto" w:fill="FFFFFF"/>
        </w:rPr>
        <w:t xml:space="preserve">Charakterystyka obszarów przygranicznych na terenie </w:t>
      </w:r>
      <w:r>
        <w:rPr>
          <w:shd w:val="clear" w:color="auto" w:fill="FFFFFF"/>
        </w:rPr>
        <w:t>P</w:t>
      </w:r>
      <w:r w:rsidRPr="000712AA">
        <w:rPr>
          <w:shd w:val="clear" w:color="auto" w:fill="FFFFFF"/>
        </w:rPr>
        <w:t>olski</w:t>
      </w:r>
      <w:r>
        <w:rPr>
          <w:shd w:val="clear" w:color="auto" w:fill="FFFFFF"/>
        </w:rPr>
        <w:t xml:space="preserve">. </w:t>
      </w:r>
      <w:r w:rsidRPr="000712AA">
        <w:rPr>
          <w:shd w:val="clear" w:color="auto" w:fill="FFFFFF"/>
        </w:rPr>
        <w:t>Podmioty gospodarki narodowej w 2017 r.</w:t>
      </w:r>
    </w:p>
    <w:p w14:paraId="7B920C37" w14:textId="469CB925" w:rsidR="00393761" w:rsidRPr="00001C5B" w:rsidRDefault="00FE7CFB" w:rsidP="00074DD8">
      <w:pPr>
        <w:pStyle w:val="tytuinformacji"/>
        <w:rPr>
          <w:sz w:val="32"/>
        </w:rPr>
      </w:pPr>
      <w:r w:rsidRPr="00107742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5E65A084">
                <wp:simplePos x="0" y="0"/>
                <wp:positionH relativeFrom="column">
                  <wp:posOffset>5236210</wp:posOffset>
                </wp:positionH>
                <wp:positionV relativeFrom="paragraph">
                  <wp:posOffset>325880</wp:posOffset>
                </wp:positionV>
                <wp:extent cx="1785620" cy="1057275"/>
                <wp:effectExtent l="0" t="0" r="0" b="0"/>
                <wp:wrapTight wrapText="bothSides">
                  <wp:wrapPolygon edited="0">
                    <wp:start x="691" y="0"/>
                    <wp:lineTo x="691" y="21016"/>
                    <wp:lineTo x="20740" y="21016"/>
                    <wp:lineTo x="20740" y="0"/>
                    <wp:lineTo x="69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0" w14:textId="746FEF8A" w:rsidR="007A2DC1" w:rsidRPr="00074DD8" w:rsidRDefault="0016034D" w:rsidP="00B074E0">
                            <w:pPr>
                              <w:pStyle w:val="tekstzboku"/>
                              <w:spacing w:before="0"/>
                            </w:pPr>
                            <w:r w:rsidRPr="002F5A01">
                              <w:t xml:space="preserve">33,7% </w:t>
                            </w:r>
                            <w:r>
                              <w:t>ogólnej liczby p</w:t>
                            </w:r>
                            <w:r w:rsidRPr="002F5A01">
                              <w:t>odmiot</w:t>
                            </w:r>
                            <w:r>
                              <w:t>ów</w:t>
                            </w:r>
                            <w:r w:rsidRPr="002F5A01">
                              <w:t xml:space="preserve"> gospodarki narodowej </w:t>
                            </w:r>
                            <w:r>
                              <w:t xml:space="preserve">wpisanych do rejestru REGON to podmioty </w:t>
                            </w:r>
                            <w:r w:rsidRPr="002F5A01">
                              <w:t>zlokalizowan</w:t>
                            </w:r>
                            <w:r>
                              <w:t>e</w:t>
                            </w:r>
                            <w:r w:rsidRPr="002F5A01">
                              <w:t xml:space="preserve"> na obszarach prz</w:t>
                            </w:r>
                            <w:r>
                              <w:t>ygranicznych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3pt;margin-top:25.65pt;width:140.6pt;height:83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" filled="f" stroked="f">
                <v:textbox>
                  <w:txbxContent>
                    <w:p w14:paraId="7B920D00" w14:textId="746FEF8A" w:rsidR="007A2DC1" w:rsidRPr="00074DD8" w:rsidRDefault="0016034D" w:rsidP="00B074E0">
                      <w:pPr>
                        <w:pStyle w:val="tekstzboku"/>
                        <w:spacing w:before="0"/>
                      </w:pPr>
                      <w:r w:rsidRPr="002F5A01">
                        <w:t xml:space="preserve">33,7% </w:t>
                      </w:r>
                      <w:r>
                        <w:t>ogólnej liczby p</w:t>
                      </w:r>
                      <w:r w:rsidRPr="002F5A01">
                        <w:t>odmiot</w:t>
                      </w:r>
                      <w:r>
                        <w:t>ów</w:t>
                      </w:r>
                      <w:r w:rsidRPr="002F5A01">
                        <w:t xml:space="preserve"> gospodarki narodowej </w:t>
                      </w:r>
                      <w:r>
                        <w:t xml:space="preserve">wpisanych do rejestru REGON to podmioty </w:t>
                      </w:r>
                      <w:r w:rsidRPr="002F5A01">
                        <w:t>zlokalizowan</w:t>
                      </w:r>
                      <w:r>
                        <w:t>e</w:t>
                      </w:r>
                      <w:r w:rsidRPr="002F5A01">
                        <w:t xml:space="preserve"> na obszarach prz</w:t>
                      </w:r>
                      <w:r>
                        <w:t>ygranicznych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920C38" w14:textId="02A6732A" w:rsidR="005916D7" w:rsidRPr="00107742" w:rsidRDefault="00C26CC4" w:rsidP="00107742">
      <w:pPr>
        <w:pStyle w:val="LID"/>
        <w:tabs>
          <w:tab w:val="left" w:pos="3066"/>
        </w:tabs>
      </w:pPr>
      <w:r w:rsidRPr="0010774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34731B3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91260"/>
                <wp:effectExtent l="0" t="0" r="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171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2F906596" w:rsidR="00933EC1" w:rsidRPr="00B66B19" w:rsidRDefault="00E8430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7B920D16">
                                <v:shape id="_x0000_i1028" type="#_x0000_t75" style="width:29.45pt;height:28.3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2F5A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F5A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7B920D02" w14:textId="2C275B70" w:rsidR="00933EC1" w:rsidRPr="003F2F30" w:rsidRDefault="003F2F30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pacing w:val="-2"/>
                                <w:szCs w:val="20"/>
                              </w:rPr>
                            </w:pPr>
                            <w:r w:rsidRPr="003F2F30">
                              <w:rPr>
                                <w:spacing w:val="-2"/>
                                <w:szCs w:val="20"/>
                              </w:rPr>
                              <w:t>D</w:t>
                            </w:r>
                            <w:r w:rsidR="002F5A01" w:rsidRPr="003F2F30">
                              <w:rPr>
                                <w:spacing w:val="-2"/>
                                <w:szCs w:val="20"/>
                              </w:rPr>
                              <w:t>ynamik</w:t>
                            </w:r>
                            <w:r w:rsidRPr="003F2F30">
                              <w:rPr>
                                <w:spacing w:val="-2"/>
                                <w:szCs w:val="20"/>
                              </w:rPr>
                              <w:t>a</w:t>
                            </w:r>
                            <w:r w:rsidR="002F5A01" w:rsidRPr="003F2F30">
                              <w:rPr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C26CC4">
                              <w:rPr>
                                <w:spacing w:val="-2"/>
                                <w:szCs w:val="20"/>
                              </w:rPr>
                              <w:t xml:space="preserve">liczby </w:t>
                            </w:r>
                            <w:r w:rsidRPr="003F2F30">
                              <w:rPr>
                                <w:spacing w:val="-2"/>
                                <w:szCs w:val="20"/>
                              </w:rPr>
                              <w:t>podmiotów w </w:t>
                            </w:r>
                            <w:r w:rsidR="00C26CC4">
                              <w:rPr>
                                <w:spacing w:val="-2"/>
                                <w:szCs w:val="20"/>
                              </w:rPr>
                              <w:t>strefie przygranicznej 2012 </w:t>
                            </w:r>
                            <w:r w:rsidR="002F5A01" w:rsidRPr="003F2F30">
                              <w:rPr>
                                <w:spacing w:val="-2"/>
                                <w:szCs w:val="20"/>
                              </w:rPr>
                              <w:t>r.</w:t>
                            </w:r>
                            <w:r w:rsidRPr="003F2F30">
                              <w:rPr>
                                <w:spacing w:val="-2"/>
                                <w:szCs w:val="20"/>
                              </w:rPr>
                              <w:t xml:space="preserve">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margin-left:0;margin-top:6.55pt;width:2in;height:93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" fillcolor="#001d77" stroked="f">
                <v:textbox>
                  <w:txbxContent>
                    <w:p w14:paraId="7B920D01" w14:textId="2F906596" w:rsidR="00933EC1" w:rsidRPr="00B66B19" w:rsidRDefault="00C502C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7B920D16">
                          <v:shape id="_x0000_i1028" type="#_x0000_t75" style="width:29.6pt;height:28.6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2F5A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F5A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7B920D02" w14:textId="2C275B70" w:rsidR="00933EC1" w:rsidRPr="003F2F30" w:rsidRDefault="003F2F30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pacing w:val="-2"/>
                          <w:szCs w:val="20"/>
                        </w:rPr>
                      </w:pPr>
                      <w:r w:rsidRPr="003F2F30">
                        <w:rPr>
                          <w:spacing w:val="-2"/>
                          <w:szCs w:val="20"/>
                        </w:rPr>
                        <w:t>D</w:t>
                      </w:r>
                      <w:r w:rsidR="002F5A01" w:rsidRPr="003F2F30">
                        <w:rPr>
                          <w:spacing w:val="-2"/>
                          <w:szCs w:val="20"/>
                        </w:rPr>
                        <w:t>ynamik</w:t>
                      </w:r>
                      <w:r w:rsidRPr="003F2F30">
                        <w:rPr>
                          <w:spacing w:val="-2"/>
                          <w:szCs w:val="20"/>
                        </w:rPr>
                        <w:t>a</w:t>
                      </w:r>
                      <w:r w:rsidR="002F5A01" w:rsidRPr="003F2F30">
                        <w:rPr>
                          <w:spacing w:val="-2"/>
                          <w:szCs w:val="20"/>
                        </w:rPr>
                        <w:t xml:space="preserve"> </w:t>
                      </w:r>
                      <w:r w:rsidR="00C26CC4">
                        <w:rPr>
                          <w:spacing w:val="-2"/>
                          <w:szCs w:val="20"/>
                        </w:rPr>
                        <w:t xml:space="preserve">liczby </w:t>
                      </w:r>
                      <w:r w:rsidRPr="003F2F30">
                        <w:rPr>
                          <w:spacing w:val="-2"/>
                          <w:szCs w:val="20"/>
                        </w:rPr>
                        <w:t>podmiotów w </w:t>
                      </w:r>
                      <w:r w:rsidR="00C26CC4">
                        <w:rPr>
                          <w:spacing w:val="-2"/>
                          <w:szCs w:val="20"/>
                        </w:rPr>
                        <w:t>strefie przygranicznej 2012 </w:t>
                      </w:r>
                      <w:r w:rsidR="002F5A01" w:rsidRPr="003F2F30">
                        <w:rPr>
                          <w:spacing w:val="-2"/>
                          <w:szCs w:val="20"/>
                        </w:rPr>
                        <w:t>r.</w:t>
                      </w:r>
                      <w:r w:rsidRPr="003F2F30">
                        <w:rPr>
                          <w:spacing w:val="-2"/>
                          <w:szCs w:val="20"/>
                        </w:rPr>
                        <w:t xml:space="preserve">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34D" w:rsidRPr="00107742">
        <w:t>Według stanu na koniec grudnia 2017 r. w rejestrze REGON wpisanych było 1453,2 tys. podmiotów gospo</w:t>
      </w:r>
      <w:r w:rsidR="00241D7D">
        <w:t>-</w:t>
      </w:r>
      <w:r w:rsidR="0016034D" w:rsidRPr="00107742">
        <w:t>darki naro</w:t>
      </w:r>
      <w:r w:rsidR="00107742" w:rsidRPr="00107742">
        <w:t>do</w:t>
      </w:r>
      <w:r w:rsidR="0016034D" w:rsidRPr="00107742">
        <w:t>wej zlokalizowanych na obszarach przygra</w:t>
      </w:r>
      <w:r w:rsidR="00241D7D">
        <w:t>-</w:t>
      </w:r>
      <w:r w:rsidR="0016034D" w:rsidRPr="00107742">
        <w:t>nicznych na terenie Polski, co stanowiło 33,7% ogó</w:t>
      </w:r>
      <w:r w:rsidR="002207D9">
        <w:t xml:space="preserve">lnej liczby </w:t>
      </w:r>
      <w:r w:rsidR="00107742" w:rsidRPr="00107742">
        <w:t xml:space="preserve">podmiotów </w:t>
      </w:r>
      <w:r w:rsidR="0016034D" w:rsidRPr="00107742">
        <w:t>w kraj</w:t>
      </w:r>
      <w:r w:rsidR="00107742" w:rsidRPr="00107742">
        <w:t>u (4309,8 tys.). W porównaniu z </w:t>
      </w:r>
      <w:r w:rsidR="0016034D" w:rsidRPr="00107742">
        <w:t>2016 r. w analizowanej strefie licz</w:t>
      </w:r>
      <w:r w:rsidR="00107742" w:rsidRPr="00107742">
        <w:t>ba podmiotów zwiększyła się o </w:t>
      </w:r>
      <w:r w:rsidR="00107742">
        <w:t>18,5 tys., tj. o 1,3% (w </w:t>
      </w:r>
      <w:r w:rsidR="0016034D" w:rsidRPr="00107742">
        <w:t>kraju o</w:t>
      </w:r>
      <w:r w:rsidR="00241D7D">
        <w:t> </w:t>
      </w:r>
      <w:r w:rsidR="002207D9">
        <w:t>1,7%), a w </w:t>
      </w:r>
      <w:r w:rsidR="0016034D" w:rsidRPr="00107742">
        <w:t>odniesieniu do 2012 r</w:t>
      </w:r>
      <w:r w:rsidR="00107742" w:rsidRPr="00107742">
        <w:t>.</w:t>
      </w:r>
      <w:r w:rsidR="0016034D" w:rsidRPr="00107742">
        <w:t xml:space="preserve"> odnotowano wzrost o 82,8 tys. – tj. </w:t>
      </w:r>
      <w:r w:rsidR="00107742">
        <w:t xml:space="preserve">o </w:t>
      </w:r>
      <w:r>
        <w:t>6,0% (w </w:t>
      </w:r>
      <w:r w:rsidR="0016034D" w:rsidRPr="00107742">
        <w:t>kraju o 8,4%).</w:t>
      </w:r>
    </w:p>
    <w:p w14:paraId="7B920C39" w14:textId="77777777" w:rsidR="00003437" w:rsidRPr="00A44C08" w:rsidRDefault="00003437" w:rsidP="00E76D26">
      <w:pPr>
        <w:pStyle w:val="Nagwek1"/>
        <w:spacing w:before="0"/>
        <w:rPr>
          <w:rFonts w:ascii="Fira Sans" w:hAnsi="Fira Sans"/>
          <w:b/>
          <w:color w:val="auto"/>
          <w:spacing w:val="-2"/>
          <w:szCs w:val="19"/>
        </w:rPr>
      </w:pPr>
    </w:p>
    <w:p w14:paraId="7B920C3D" w14:textId="2DC19615" w:rsidR="00116087" w:rsidRPr="003C43DA" w:rsidRDefault="003F2F30" w:rsidP="001553AA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 w:rsidRPr="003C43DA">
        <w:rPr>
          <w:rFonts w:ascii="Fira Sans" w:hAnsi="Fira Sans"/>
          <w:b/>
          <w:color w:val="auto"/>
          <w:sz w:val="18"/>
          <w:szCs w:val="18"/>
        </w:rPr>
        <w:t>Wykres 1.</w:t>
      </w:r>
      <w:r w:rsidRPr="003C43DA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Podmioty gospodarki narodowej w latach 2012-2017</w:t>
      </w:r>
    </w:p>
    <w:p w14:paraId="7B920C3E" w14:textId="6A2E4BA6" w:rsidR="00F802BE" w:rsidRDefault="00055CCD" w:rsidP="001553AA">
      <w:pPr>
        <w:pStyle w:val="Nagwek1"/>
        <w:jc w:val="center"/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B920CDB" wp14:editId="04BBCCBE">
                <wp:simplePos x="0" y="0"/>
                <wp:positionH relativeFrom="column">
                  <wp:posOffset>5218430</wp:posOffset>
                </wp:positionH>
                <wp:positionV relativeFrom="paragraph">
                  <wp:posOffset>2500894</wp:posOffset>
                </wp:positionV>
                <wp:extent cx="1802765" cy="784225"/>
                <wp:effectExtent l="0" t="0" r="0" b="0"/>
                <wp:wrapTight wrapText="bothSides">
                  <wp:wrapPolygon edited="0">
                    <wp:start x="685" y="0"/>
                    <wp:lineTo x="685" y="20988"/>
                    <wp:lineTo x="20771" y="20988"/>
                    <wp:lineTo x="20771" y="0"/>
                    <wp:lineTo x="68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78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F020" w14:textId="0047FB4D" w:rsidR="003E2993" w:rsidRDefault="00501187" w:rsidP="00B074E0">
                            <w:pPr>
                              <w:pStyle w:val="tekstzboku"/>
                              <w:spacing w:before="0"/>
                            </w:pPr>
                            <w:r w:rsidRPr="00501187">
                              <w:t xml:space="preserve">95,7% podmiotów </w:t>
                            </w:r>
                            <w:r w:rsidRPr="002F5A01">
                              <w:t xml:space="preserve">gospodarki narodowej </w:t>
                            </w:r>
                            <w:r w:rsidRPr="00501187">
                              <w:t>strefy przygranicznej</w:t>
                            </w:r>
                            <w:r>
                              <w:t xml:space="preserve"> </w:t>
                            </w:r>
                            <w:r w:rsidR="006D65A8">
                              <w:t xml:space="preserve">to </w:t>
                            </w:r>
                            <w:r>
                              <w:t>sektor pry</w:t>
                            </w:r>
                            <w:r w:rsidRPr="00501187">
                              <w:t>watn</w:t>
                            </w:r>
                            <w:r w:rsidR="006D65A8">
                              <w:t>y</w:t>
                            </w:r>
                            <w:r w:rsidR="003E2993" w:rsidRPr="003E2993">
                              <w:t xml:space="preserve"> </w:t>
                            </w:r>
                          </w:p>
                          <w:p w14:paraId="7B920D04" w14:textId="1CCD0510" w:rsidR="00D616D2" w:rsidRPr="00501187" w:rsidRDefault="005E67AB" w:rsidP="00B074E0">
                            <w:pPr>
                              <w:pStyle w:val="tekstzboku"/>
                              <w:spacing w:before="0"/>
                            </w:pPr>
                            <w:r>
                              <w:t>(</w:t>
                            </w:r>
                            <w:r w:rsidR="003E2993" w:rsidRPr="003E2993">
                              <w:t>w kraju</w:t>
                            </w:r>
                            <w:r w:rsidR="003E2993">
                              <w:t xml:space="preserve"> – </w:t>
                            </w:r>
                            <w:r w:rsidR="003E2993" w:rsidRPr="003E2993">
                              <w:t>96,1%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B" id="_x0000_s1028" type="#_x0000_t202" style="position:absolute;left:0;text-align:left;margin-left:410.9pt;margin-top:196.9pt;width:141.95pt;height:61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" filled="f" stroked="f">
                <v:textbox>
                  <w:txbxContent>
                    <w:p w14:paraId="37ECF020" w14:textId="0047FB4D" w:rsidR="003E2993" w:rsidRDefault="00501187" w:rsidP="00B074E0">
                      <w:pPr>
                        <w:pStyle w:val="tekstzboku"/>
                        <w:spacing w:before="0"/>
                      </w:pPr>
                      <w:r w:rsidRPr="00501187">
                        <w:t xml:space="preserve">95,7% podmiotów </w:t>
                      </w:r>
                      <w:r w:rsidRPr="002F5A01">
                        <w:t xml:space="preserve">gospodarki narodowej </w:t>
                      </w:r>
                      <w:r w:rsidRPr="00501187">
                        <w:t>strefy przygranicznej</w:t>
                      </w:r>
                      <w:r>
                        <w:t xml:space="preserve"> </w:t>
                      </w:r>
                      <w:r w:rsidR="006D65A8">
                        <w:t xml:space="preserve">to </w:t>
                      </w:r>
                      <w:r>
                        <w:t>sektor pry</w:t>
                      </w:r>
                      <w:r w:rsidRPr="00501187">
                        <w:t>watn</w:t>
                      </w:r>
                      <w:r w:rsidR="006D65A8">
                        <w:t>y</w:t>
                      </w:r>
                      <w:r w:rsidR="003E2993" w:rsidRPr="003E2993">
                        <w:t xml:space="preserve"> </w:t>
                      </w:r>
                    </w:p>
                    <w:p w14:paraId="7B920D04" w14:textId="1CCD0510" w:rsidR="00D616D2" w:rsidRPr="00501187" w:rsidRDefault="005E67AB" w:rsidP="00B074E0">
                      <w:pPr>
                        <w:pStyle w:val="tekstzboku"/>
                        <w:spacing w:before="0"/>
                      </w:pPr>
                      <w:r>
                        <w:t>(</w:t>
                      </w:r>
                      <w:r w:rsidR="003E2993" w:rsidRPr="003E2993">
                        <w:t>w kraju</w:t>
                      </w:r>
                      <w:r w:rsidR="003E2993">
                        <w:t xml:space="preserve"> – </w:t>
                      </w:r>
                      <w:r w:rsidR="003E2993" w:rsidRPr="003E2993">
                        <w:t>96,1%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1B99" w:rsidRPr="00E41B99">
        <w:rPr>
          <w:noProof/>
        </w:rPr>
        <w:drawing>
          <wp:inline distT="0" distB="0" distL="0" distR="0" wp14:anchorId="0BFD85F0" wp14:editId="69F60519">
            <wp:extent cx="4673498" cy="24228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98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B8FE" w14:textId="72214347" w:rsidR="0016034D" w:rsidRPr="002D1FF2" w:rsidRDefault="0016034D" w:rsidP="0016034D">
      <w:pPr>
        <w:rPr>
          <w:shd w:val="clear" w:color="auto" w:fill="FFFFFF"/>
        </w:rPr>
      </w:pPr>
      <w:r w:rsidRPr="002D1FF2">
        <w:rPr>
          <w:shd w:val="clear" w:color="auto" w:fill="FFFFFF"/>
        </w:rPr>
        <w:t xml:space="preserve">Zdecydowana większość podmiotów strefy przygranicznej </w:t>
      </w:r>
      <w:r w:rsidR="00F66036">
        <w:rPr>
          <w:shd w:val="clear" w:color="auto" w:fill="FFFFFF"/>
        </w:rPr>
        <w:t>na koniec 2017 roku</w:t>
      </w:r>
      <w:r w:rsidRPr="002D1FF2">
        <w:rPr>
          <w:shd w:val="clear" w:color="auto" w:fill="FFFFFF"/>
        </w:rPr>
        <w:t xml:space="preserve"> należała do sektora prywatnego (95,7% wobec 96,1% w kraju). W porównaniu z 2016 r. liczba podmiotów gospodarki narodowej w tym sektorze zwiększyła się </w:t>
      </w:r>
      <w:r>
        <w:rPr>
          <w:shd w:val="clear" w:color="auto" w:fill="FFFFFF"/>
        </w:rPr>
        <w:t>o 19,2 tys. do 1390,6 tys., tj. </w:t>
      </w:r>
      <w:r w:rsidR="002207D9">
        <w:rPr>
          <w:shd w:val="clear" w:color="auto" w:fill="FFFFFF"/>
        </w:rPr>
        <w:t xml:space="preserve">o </w:t>
      </w:r>
      <w:r w:rsidR="00F66036">
        <w:rPr>
          <w:shd w:val="clear" w:color="auto" w:fill="FFFFFF"/>
        </w:rPr>
        <w:t>1,4% (w </w:t>
      </w:r>
      <w:r w:rsidRPr="002D1FF2">
        <w:rPr>
          <w:shd w:val="clear" w:color="auto" w:fill="FFFFFF"/>
        </w:rPr>
        <w:t>kraju wzrosła o 1,7 %). Natomiast do sektora publicznego nale</w:t>
      </w:r>
      <w:r w:rsidR="00F66036">
        <w:rPr>
          <w:shd w:val="clear" w:color="auto" w:fill="FFFFFF"/>
        </w:rPr>
        <w:t>żało 51,0 tys. podmiotów, tj. o </w:t>
      </w:r>
      <w:r w:rsidRPr="002D1FF2">
        <w:rPr>
          <w:shd w:val="clear" w:color="auto" w:fill="FFFFFF"/>
        </w:rPr>
        <w:t>2,9 tys. mniej (</w:t>
      </w:r>
      <w:r>
        <w:rPr>
          <w:shd w:val="clear" w:color="auto" w:fill="FFFFFF"/>
        </w:rPr>
        <w:t>o 5,3%) niż w roku poprzednim (</w:t>
      </w:r>
      <w:r w:rsidRPr="002D1FF2">
        <w:rPr>
          <w:shd w:val="clear" w:color="auto" w:fill="FFFFFF"/>
        </w:rPr>
        <w:t>w kraju o 5,6% mniej).</w:t>
      </w:r>
    </w:p>
    <w:p w14:paraId="128664C8" w14:textId="63B6A809" w:rsidR="00501187" w:rsidRPr="00501187" w:rsidRDefault="0016034D" w:rsidP="0016034D">
      <w:pPr>
        <w:rPr>
          <w:lang w:eastAsia="pl-PL"/>
        </w:rPr>
      </w:pPr>
      <w:r w:rsidRPr="002D1FF2">
        <w:rPr>
          <w:shd w:val="clear" w:color="auto" w:fill="FFFFFF"/>
        </w:rPr>
        <w:t>W ogólnej liczbie podmiotów zlokalizowanych w strefie przygranicznej w 2017</w:t>
      </w:r>
      <w:r w:rsidRPr="005B68F6">
        <w:rPr>
          <w:shd w:val="clear" w:color="auto" w:fill="FFFFFF"/>
        </w:rPr>
        <w:t xml:space="preserve"> roku</w:t>
      </w:r>
      <w:r w:rsidRPr="002D1FF2">
        <w:rPr>
          <w:shd w:val="clear" w:color="auto" w:fill="FFFFFF"/>
        </w:rPr>
        <w:t>, największy udział stanowiły osoby fizyczne prowadzące działalność gospodarczą – 70,4% (w kraju 69,6%). W porównaniu z 2016 r. w rejestrze REGON wpisanych było o 10,2 tys. więcej (o 1,0%) osób fizycznych prowadzących działalność gospodarczą (w kraju – o 1,1% więcej).</w:t>
      </w:r>
    </w:p>
    <w:p w14:paraId="179FEE61" w14:textId="5F3F35BF" w:rsidR="0016034D" w:rsidRPr="00A44C08" w:rsidRDefault="00FE7CFB" w:rsidP="0016034D">
      <w:pPr>
        <w:pStyle w:val="Nagwek1"/>
      </w:pPr>
      <w:r w:rsidRPr="00B074E0">
        <w:rPr>
          <w:b/>
          <w:noProof/>
          <w:color w:val="FF0000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1744E03" wp14:editId="727850CD">
                <wp:simplePos x="0" y="0"/>
                <wp:positionH relativeFrom="page">
                  <wp:posOffset>5682615</wp:posOffset>
                </wp:positionH>
                <wp:positionV relativeFrom="paragraph">
                  <wp:posOffset>236345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AE4E" w14:textId="3C8F38A5" w:rsidR="006D65A8" w:rsidRPr="00501187" w:rsidRDefault="000F2962" w:rsidP="00B074E0">
                            <w:pPr>
                              <w:pStyle w:val="tekstzboku"/>
                              <w:spacing w:before="0"/>
                            </w:pPr>
                            <w:r>
                              <w:t>N</w:t>
                            </w:r>
                            <w:r w:rsidR="006D65A8" w:rsidRPr="006D65A8">
                              <w:t xml:space="preserve">a 1000 ludności </w:t>
                            </w:r>
                            <w:r w:rsidR="006D65A8">
                              <w:t>w</w:t>
                            </w:r>
                            <w:r w:rsidR="006D65A8" w:rsidRPr="006D65A8">
                              <w:t xml:space="preserve"> strefie przygranicznej przypadało 106,6 podmiotów</w:t>
                            </w:r>
                            <w:r w:rsidR="006D65A8">
                              <w:t xml:space="preserve"> gospodarki narodowej</w:t>
                            </w:r>
                            <w:r w:rsidR="005E67AB">
                              <w:t xml:space="preserve"> (</w:t>
                            </w:r>
                            <w:r w:rsidR="006D65A8" w:rsidRPr="006D65A8">
                              <w:t>w kraju 112,2</w:t>
                            </w:r>
                            <w:r w:rsidR="005E67AB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4E03" id="Pole tekstowe 13" o:spid="_x0000_s1029" type="#_x0000_t202" style="position:absolute;margin-left:447.45pt;margin-top:18.6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" filled="f" stroked="f">
                <v:textbox>
                  <w:txbxContent>
                    <w:p w14:paraId="57C8AE4E" w14:textId="3C8F38A5" w:rsidR="006D65A8" w:rsidRPr="00501187" w:rsidRDefault="000F2962" w:rsidP="00B074E0">
                      <w:pPr>
                        <w:pStyle w:val="tekstzboku"/>
                        <w:spacing w:before="0"/>
                      </w:pPr>
                      <w:r>
                        <w:t>N</w:t>
                      </w:r>
                      <w:r w:rsidR="006D65A8" w:rsidRPr="006D65A8">
                        <w:t xml:space="preserve">a 1000 ludności </w:t>
                      </w:r>
                      <w:r w:rsidR="006D65A8">
                        <w:t>w</w:t>
                      </w:r>
                      <w:r w:rsidR="006D65A8" w:rsidRPr="006D65A8">
                        <w:t xml:space="preserve"> strefie przygranicznej przypadało 106,6 podmiotów</w:t>
                      </w:r>
                      <w:r w:rsidR="006D65A8">
                        <w:t xml:space="preserve"> gospodarki narodowej</w:t>
                      </w:r>
                      <w:r w:rsidR="005E67AB">
                        <w:t xml:space="preserve"> (</w:t>
                      </w:r>
                      <w:r w:rsidR="006D65A8" w:rsidRPr="006D65A8">
                        <w:t>w kraju 112,2</w:t>
                      </w:r>
                      <w:r w:rsidR="005E67AB">
                        <w:t>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6034D" w:rsidRPr="00A44C08">
        <w:t>Podmioty gospodarki narodowej na 1000 ludności</w:t>
      </w:r>
    </w:p>
    <w:p w14:paraId="686CA259" w14:textId="3699D67B" w:rsidR="00520CF4" w:rsidRPr="00520CF4" w:rsidRDefault="0016034D" w:rsidP="00520CF4">
      <w:pPr>
        <w:rPr>
          <w:shd w:val="clear" w:color="auto" w:fill="FFFFFF"/>
        </w:rPr>
      </w:pPr>
      <w:r w:rsidRPr="00520CF4">
        <w:rPr>
          <w:shd w:val="clear" w:color="auto" w:fill="FFFFFF"/>
        </w:rPr>
        <w:t xml:space="preserve">W strefie przygranicznej w 2017 r. na 1000 ludności przypadało 106,6 podmiotów (w kraju 112,2). W 2016 r. wskaźniki te wyniosły odpowiednio 105,2 i 110,3. </w:t>
      </w:r>
      <w:r w:rsidR="00482168">
        <w:rPr>
          <w:shd w:val="clear" w:color="auto" w:fill="FFFFFF"/>
        </w:rPr>
        <w:t>W strefie przygranicznej</w:t>
      </w:r>
      <w:r w:rsidR="00DE3CBB">
        <w:rPr>
          <w:shd w:val="clear" w:color="auto" w:fill="FFFFFF"/>
        </w:rPr>
        <w:t xml:space="preserve"> </w:t>
      </w:r>
      <w:r w:rsidR="00482168">
        <w:rPr>
          <w:shd w:val="clear" w:color="auto" w:fill="FFFFFF"/>
        </w:rPr>
        <w:t>a</w:t>
      </w:r>
      <w:r w:rsidRPr="00520CF4">
        <w:rPr>
          <w:shd w:val="clear" w:color="auto" w:fill="FFFFFF"/>
        </w:rPr>
        <w:t>naliz</w:t>
      </w:r>
      <w:r w:rsidR="00482168">
        <w:rPr>
          <w:shd w:val="clear" w:color="auto" w:fill="FFFFFF"/>
        </w:rPr>
        <w:t>owanej</w:t>
      </w:r>
      <w:r w:rsidRPr="00520CF4">
        <w:rPr>
          <w:shd w:val="clear" w:color="auto" w:fill="FFFFFF"/>
        </w:rPr>
        <w:t xml:space="preserve"> według odcinków </w:t>
      </w:r>
      <w:r w:rsidR="00873EAC">
        <w:rPr>
          <w:shd w:val="clear" w:color="auto" w:fill="FFFFFF"/>
        </w:rPr>
        <w:t>granic</w:t>
      </w:r>
      <w:r w:rsidRPr="00FA2015">
        <w:rPr>
          <w:shd w:val="clear" w:color="auto" w:fill="FFFFFF"/>
        </w:rPr>
        <w:t xml:space="preserve">, najwięcej </w:t>
      </w:r>
      <w:r w:rsidRPr="00520CF4">
        <w:rPr>
          <w:shd w:val="clear" w:color="auto" w:fill="FFFFFF"/>
        </w:rPr>
        <w:t xml:space="preserve">podmiotów na 1000 ludności w 2017 r. odnotowano </w:t>
      </w:r>
      <w:r w:rsidR="00545FF9" w:rsidRPr="00BC36BE">
        <w:rPr>
          <w:shd w:val="clear" w:color="auto" w:fill="FFFFFF"/>
        </w:rPr>
        <w:t>nad</w:t>
      </w:r>
      <w:r w:rsidRPr="00BC36BE">
        <w:rPr>
          <w:shd w:val="clear" w:color="auto" w:fill="FFFFFF"/>
        </w:rPr>
        <w:t xml:space="preserve"> </w:t>
      </w:r>
      <w:r w:rsidRPr="00520CF4">
        <w:rPr>
          <w:shd w:val="clear" w:color="auto" w:fill="FFFFFF"/>
        </w:rPr>
        <w:t>morzem (</w:t>
      </w:r>
      <w:r w:rsidR="006133D3">
        <w:rPr>
          <w:shd w:val="clear" w:color="auto" w:fill="FFFFFF"/>
        </w:rPr>
        <w:t>130,3 wobec 128,0 przed rokiem)</w:t>
      </w:r>
      <w:r w:rsidRPr="00520CF4">
        <w:rPr>
          <w:shd w:val="clear" w:color="auto" w:fill="FFFFFF"/>
        </w:rPr>
        <w:t xml:space="preserve"> </w:t>
      </w:r>
      <w:r w:rsidR="006133D3">
        <w:rPr>
          <w:shd w:val="clear" w:color="auto" w:fill="FFFFFF"/>
        </w:rPr>
        <w:t>oraz</w:t>
      </w:r>
      <w:r w:rsidRPr="00BC36BE">
        <w:rPr>
          <w:shd w:val="clear" w:color="auto" w:fill="FFFFFF"/>
        </w:rPr>
        <w:t xml:space="preserve"> </w:t>
      </w:r>
      <w:r w:rsidR="001B3763" w:rsidRPr="00BC36BE">
        <w:rPr>
          <w:shd w:val="clear" w:color="auto" w:fill="FFFFFF"/>
        </w:rPr>
        <w:t>przy granicy</w:t>
      </w:r>
      <w:r w:rsidRPr="00BC36BE">
        <w:rPr>
          <w:shd w:val="clear" w:color="auto" w:fill="FFFFFF"/>
        </w:rPr>
        <w:t xml:space="preserve"> </w:t>
      </w:r>
      <w:r w:rsidRPr="00520CF4">
        <w:rPr>
          <w:shd w:val="clear" w:color="auto" w:fill="FFFFFF"/>
        </w:rPr>
        <w:t>z Niemcami (125,7 wobec 124,2). W strefie pr</w:t>
      </w:r>
      <w:r w:rsidR="00873EAC">
        <w:rPr>
          <w:shd w:val="clear" w:color="auto" w:fill="FFFFFF"/>
        </w:rPr>
        <w:t>zy pozostałych odcinkach granic</w:t>
      </w:r>
      <w:r w:rsidRPr="00520CF4">
        <w:rPr>
          <w:shd w:val="clear" w:color="auto" w:fill="FFFFFF"/>
        </w:rPr>
        <w:t xml:space="preserve"> liczba podmiotów na 1000 ludności była mniejsza niż wartość tego wskaźnika dla ogółu obszarów przygranicznych na terenie Polski (106,6). Najmniejsza liczba podmiotów na 1000 ludności wystąpiła przy granicy z Ukrainą (72,3) oraz Litwą (80,2).</w:t>
      </w:r>
    </w:p>
    <w:p w14:paraId="465ADAD3" w14:textId="16C03A0B" w:rsidR="001553AA" w:rsidRDefault="0016034D" w:rsidP="00734205">
      <w:pPr>
        <w:spacing w:before="0" w:after="0"/>
        <w:rPr>
          <w:shd w:val="clear" w:color="auto" w:fill="FFFFFF"/>
        </w:rPr>
      </w:pPr>
      <w:r w:rsidRPr="00520CF4">
        <w:rPr>
          <w:shd w:val="clear" w:color="auto" w:fill="FFFFFF"/>
        </w:rPr>
        <w:t>Spośród obszarów przygranicznych w województwach, k</w:t>
      </w:r>
      <w:r w:rsidR="0044267C">
        <w:rPr>
          <w:shd w:val="clear" w:color="auto" w:fill="FFFFFF"/>
        </w:rPr>
        <w:t>tóre tworzą strefę przygraniczną</w:t>
      </w:r>
      <w:r w:rsidR="0044267C">
        <w:rPr>
          <w:shd w:val="clear" w:color="auto" w:fill="FFFFFF"/>
        </w:rPr>
        <w:br/>
      </w:r>
      <w:r w:rsidRPr="00520CF4">
        <w:rPr>
          <w:shd w:val="clear" w:color="auto" w:fill="FFFFFF"/>
        </w:rPr>
        <w:t>Polski, najwięce</w:t>
      </w:r>
      <w:r>
        <w:rPr>
          <w:shd w:val="clear" w:color="auto" w:fill="FFFFFF"/>
        </w:rPr>
        <w:t>j podmiotów</w:t>
      </w:r>
      <w:r w:rsidRPr="00520CF4">
        <w:rPr>
          <w:shd w:val="clear" w:color="auto" w:fill="FFFFFF"/>
        </w:rPr>
        <w:t xml:space="preserve"> </w:t>
      </w:r>
      <w:r w:rsidR="00AD45F3">
        <w:rPr>
          <w:shd w:val="clear" w:color="auto" w:fill="FFFFFF"/>
        </w:rPr>
        <w:t>wpisanych</w:t>
      </w:r>
      <w:r w:rsidRPr="00520CF4">
        <w:rPr>
          <w:shd w:val="clear" w:color="auto" w:fill="FFFFFF"/>
        </w:rPr>
        <w:t xml:space="preserve"> w rejestrze R</w:t>
      </w:r>
      <w:r>
        <w:rPr>
          <w:shd w:val="clear" w:color="auto" w:fill="FFFFFF"/>
        </w:rPr>
        <w:t xml:space="preserve">EGON, przypadało na 1000 </w:t>
      </w:r>
      <w:r w:rsidR="00334830">
        <w:rPr>
          <w:shd w:val="clear" w:color="auto" w:fill="FFFFFF"/>
        </w:rPr>
        <w:t>ludności</w:t>
      </w:r>
      <w:r w:rsidR="00AD45F3"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>w </w:t>
      </w:r>
      <w:r w:rsidRPr="00520CF4">
        <w:rPr>
          <w:shd w:val="clear" w:color="auto" w:fill="FFFFFF"/>
        </w:rPr>
        <w:t xml:space="preserve">województwie zachodniopomorskim (137,3), pomorskim (134,0) i lubuskim (117,5). Wartości </w:t>
      </w:r>
      <w:r w:rsidRPr="0099741F">
        <w:rPr>
          <w:shd w:val="clear" w:color="auto" w:fill="FFFFFF"/>
        </w:rPr>
        <w:t>te były wyższe aniżeli dla całych województw, które wyniosły</w:t>
      </w:r>
      <w:r w:rsidR="00922E9B">
        <w:rPr>
          <w:shd w:val="clear" w:color="auto" w:fill="FFFFFF"/>
        </w:rPr>
        <w:t xml:space="preserve"> odpowiednio</w:t>
      </w:r>
      <w:r w:rsidRPr="0099741F">
        <w:rPr>
          <w:shd w:val="clear" w:color="auto" w:fill="FFFFFF"/>
        </w:rPr>
        <w:t>: 130,7; 126,6; 111,1.</w:t>
      </w:r>
      <w:r w:rsidR="00922E9B">
        <w:rPr>
          <w:shd w:val="clear" w:color="auto" w:fill="FFFFFF"/>
        </w:rPr>
        <w:t xml:space="preserve"> </w:t>
      </w:r>
    </w:p>
    <w:p w14:paraId="0CB8861F" w14:textId="449FC235" w:rsidR="00A57A10" w:rsidRPr="0099741F" w:rsidRDefault="00A57A10" w:rsidP="00734205">
      <w:pPr>
        <w:spacing w:before="0" w:after="0"/>
      </w:pPr>
      <w:r>
        <w:rPr>
          <w:shd w:val="clear" w:color="auto" w:fill="FFFFFF"/>
        </w:rPr>
        <w:t xml:space="preserve">Natomiast w województwie mazowieckim liczba podmiotów na 1000 ludności była znacznie większa </w:t>
      </w:r>
      <w:r w:rsidR="00F96A8C">
        <w:rPr>
          <w:shd w:val="clear" w:color="auto" w:fill="FFFFFF"/>
        </w:rPr>
        <w:t>(</w:t>
      </w:r>
      <w:r w:rsidR="00F96A8C" w:rsidRPr="0099741F">
        <w:rPr>
          <w:shd w:val="clear" w:color="auto" w:fill="FFFFFF"/>
        </w:rPr>
        <w:t>150,6</w:t>
      </w:r>
      <w:r w:rsidR="00F96A8C"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niż </w:t>
      </w:r>
      <w:r w:rsidR="00F96A8C">
        <w:rPr>
          <w:shd w:val="clear" w:color="auto" w:fill="FFFFFF"/>
        </w:rPr>
        <w:t xml:space="preserve">w </w:t>
      </w:r>
      <w:r>
        <w:rPr>
          <w:shd w:val="clear" w:color="auto" w:fill="FFFFFF"/>
        </w:rPr>
        <w:t>obszar</w:t>
      </w:r>
      <w:r w:rsidR="00F96A8C">
        <w:rPr>
          <w:shd w:val="clear" w:color="auto" w:fill="FFFFFF"/>
        </w:rPr>
        <w:t>ze</w:t>
      </w:r>
      <w:r>
        <w:rPr>
          <w:shd w:val="clear" w:color="auto" w:fill="FFFFFF"/>
        </w:rPr>
        <w:t xml:space="preserve"> </w:t>
      </w:r>
      <w:r w:rsidR="00F96A8C">
        <w:rPr>
          <w:shd w:val="clear" w:color="auto" w:fill="FFFFFF"/>
        </w:rPr>
        <w:t>przygranicznym</w:t>
      </w:r>
      <w:r>
        <w:rPr>
          <w:shd w:val="clear" w:color="auto" w:fill="FFFFFF"/>
        </w:rPr>
        <w:t xml:space="preserve"> </w:t>
      </w:r>
      <w:r w:rsidR="00F96A8C">
        <w:rPr>
          <w:shd w:val="clear" w:color="auto" w:fill="FFFFFF"/>
        </w:rPr>
        <w:t>znajdującym</w:t>
      </w:r>
      <w:r>
        <w:rPr>
          <w:shd w:val="clear" w:color="auto" w:fill="FFFFFF"/>
        </w:rPr>
        <w:t xml:space="preserve"> się na terenie tego województwa</w:t>
      </w:r>
      <w:r w:rsidR="00F96A8C">
        <w:rPr>
          <w:shd w:val="clear" w:color="auto" w:fill="FFFFFF"/>
        </w:rPr>
        <w:t xml:space="preserve"> (72,6)</w:t>
      </w:r>
      <w:r>
        <w:rPr>
          <w:shd w:val="clear" w:color="auto" w:fill="FFFFFF"/>
        </w:rPr>
        <w:t xml:space="preserve">. </w:t>
      </w:r>
      <w:r w:rsidR="00F96A8C" w:rsidRPr="0099741F">
        <w:rPr>
          <w:shd w:val="clear" w:color="auto" w:fill="FFFFFF"/>
        </w:rPr>
        <w:t>Należy jednak zaznaczyć, że w tym przypadku powierzchnia strefy przygranicznej jest relatywnie mała.</w:t>
      </w:r>
    </w:p>
    <w:p w14:paraId="384B783A" w14:textId="0934617C" w:rsidR="002D1FF2" w:rsidRPr="003C43DA" w:rsidRDefault="002D1FF2" w:rsidP="00F802BE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3C43DA">
        <w:rPr>
          <w:rFonts w:ascii="Fira Sans" w:hAnsi="Fira Sans"/>
          <w:b/>
          <w:color w:val="auto"/>
          <w:sz w:val="18"/>
          <w:szCs w:val="18"/>
        </w:rPr>
        <w:t>Mapa 1.</w:t>
      </w:r>
      <w:r w:rsidRPr="003C43DA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Podmioty gospodarki narodowej w 2017 r</w:t>
      </w:r>
      <w:r w:rsidR="00A44C08" w:rsidRPr="003C43DA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oku</w:t>
      </w:r>
    </w:p>
    <w:p w14:paraId="1769BC81" w14:textId="6D8CA8C8" w:rsidR="002D1FF2" w:rsidRDefault="00E84302" w:rsidP="002D1FF2">
      <w:pPr>
        <w:spacing w:line="240" w:lineRule="auto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833F8C4" wp14:editId="4CEFEFE9">
            <wp:extent cx="4706109" cy="34956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pa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109" cy="34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4BEB" w14:textId="77777777" w:rsidR="003C43DA" w:rsidRPr="003C43DA" w:rsidRDefault="003C43DA" w:rsidP="003C43DA">
      <w:pPr>
        <w:rPr>
          <w:sz w:val="18"/>
          <w:szCs w:val="18"/>
          <w:lang w:eastAsia="pl-PL"/>
        </w:rPr>
      </w:pPr>
    </w:p>
    <w:p w14:paraId="65F30E2C" w14:textId="2800870A" w:rsidR="003B4809" w:rsidRPr="003B4809" w:rsidRDefault="00A44C08" w:rsidP="007A6A82">
      <w:pPr>
        <w:pStyle w:val="LID"/>
        <w:ind w:left="822" w:hanging="822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t>Tablica 1</w:t>
      </w:r>
      <w:r>
        <w:rPr>
          <w:sz w:val="18"/>
          <w:szCs w:val="18"/>
        </w:rPr>
        <w:t xml:space="preserve">. </w:t>
      </w:r>
      <w:r w:rsidRPr="00A44C08">
        <w:rPr>
          <w:sz w:val="18"/>
          <w:szCs w:val="18"/>
        </w:rPr>
        <w:t>Podmioty gospodarki narodowej na obszarach przygranicznych według odcinków granic w 201</w:t>
      </w:r>
      <w:r w:rsidR="003C43DA">
        <w:rPr>
          <w:sz w:val="18"/>
          <w:szCs w:val="18"/>
        </w:rPr>
        <w:t>7</w:t>
      </w:r>
      <w:r w:rsidRPr="00A44C08">
        <w:rPr>
          <w:sz w:val="18"/>
          <w:szCs w:val="18"/>
        </w:rPr>
        <w:t xml:space="preserve"> r</w:t>
      </w:r>
      <w:r w:rsidR="003C43DA">
        <w:rPr>
          <w:sz w:val="18"/>
          <w:szCs w:val="18"/>
        </w:rPr>
        <w:t>oku</w:t>
      </w:r>
    </w:p>
    <w:tbl>
      <w:tblPr>
        <w:tblStyle w:val="Siatkatabelijasna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95"/>
        <w:gridCol w:w="1430"/>
        <w:gridCol w:w="1430"/>
        <w:gridCol w:w="1441"/>
        <w:gridCol w:w="1427"/>
      </w:tblGrid>
      <w:tr w:rsidR="00EE6FC7" w:rsidRPr="00A04330" w14:paraId="7B920C44" w14:textId="77777777" w:rsidTr="00A04330">
        <w:trPr>
          <w:trHeight w:val="57"/>
        </w:trPr>
        <w:tc>
          <w:tcPr>
            <w:tcW w:w="2195" w:type="dxa"/>
            <w:vMerge w:val="restart"/>
            <w:vAlign w:val="center"/>
          </w:tcPr>
          <w:p w14:paraId="7B920C41" w14:textId="77777777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WYSZCZEGÓLNIENIE</w:t>
            </w:r>
          </w:p>
        </w:tc>
        <w:tc>
          <w:tcPr>
            <w:tcW w:w="1430" w:type="dxa"/>
            <w:vAlign w:val="center"/>
          </w:tcPr>
          <w:p w14:paraId="57FB3177" w14:textId="252152DE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Liczba podmiotów gospodarki narodowej</w:t>
            </w:r>
            <w:r w:rsidRPr="00A04330">
              <w:rPr>
                <w:sz w:val="16"/>
                <w:szCs w:val="16"/>
              </w:rPr>
              <w:br/>
              <w:t>ogółem</w:t>
            </w:r>
          </w:p>
        </w:tc>
        <w:tc>
          <w:tcPr>
            <w:tcW w:w="1430" w:type="dxa"/>
            <w:vAlign w:val="center"/>
          </w:tcPr>
          <w:p w14:paraId="5AA58D27" w14:textId="1F371EEF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Osoby fizyczne prowadzące działalność</w:t>
            </w:r>
            <w:r w:rsidRPr="00A04330">
              <w:rPr>
                <w:sz w:val="16"/>
                <w:szCs w:val="16"/>
              </w:rPr>
              <w:br/>
              <w:t>gospodarczą</w:t>
            </w:r>
          </w:p>
        </w:tc>
        <w:tc>
          <w:tcPr>
            <w:tcW w:w="1441" w:type="dxa"/>
            <w:vMerge w:val="restart"/>
            <w:vAlign w:val="center"/>
          </w:tcPr>
          <w:p w14:paraId="7B920C42" w14:textId="3E14029B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Udział spółek handlowych w ogólnej liczbie podmiotów w %</w:t>
            </w:r>
          </w:p>
        </w:tc>
        <w:tc>
          <w:tcPr>
            <w:tcW w:w="1427" w:type="dxa"/>
            <w:vMerge w:val="restart"/>
            <w:vAlign w:val="center"/>
          </w:tcPr>
          <w:p w14:paraId="7B920C43" w14:textId="09558F73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Spółki</w:t>
            </w:r>
            <w:r w:rsidR="00C8347C" w:rsidRPr="00A04330">
              <w:rPr>
                <w:sz w:val="16"/>
                <w:szCs w:val="16"/>
              </w:rPr>
              <w:t xml:space="preserve"> </w:t>
            </w:r>
            <w:r w:rsidRPr="00A04330">
              <w:rPr>
                <w:sz w:val="16"/>
                <w:szCs w:val="16"/>
              </w:rPr>
              <w:t>z udziałem</w:t>
            </w:r>
            <w:r w:rsidR="00C8347C" w:rsidRPr="00A04330">
              <w:rPr>
                <w:sz w:val="16"/>
                <w:szCs w:val="16"/>
              </w:rPr>
              <w:t xml:space="preserve"> </w:t>
            </w:r>
            <w:r w:rsidRPr="00A04330">
              <w:rPr>
                <w:sz w:val="16"/>
                <w:szCs w:val="16"/>
              </w:rPr>
              <w:t>kapitału</w:t>
            </w:r>
            <w:r w:rsidR="00C8347C" w:rsidRPr="00A04330">
              <w:rPr>
                <w:sz w:val="16"/>
                <w:szCs w:val="16"/>
              </w:rPr>
              <w:br/>
            </w:r>
            <w:r w:rsidRPr="00A04330">
              <w:rPr>
                <w:sz w:val="16"/>
                <w:szCs w:val="16"/>
              </w:rPr>
              <w:t>zagranicznego</w:t>
            </w:r>
            <w:r w:rsidR="00C8347C" w:rsidRPr="00A04330">
              <w:rPr>
                <w:sz w:val="16"/>
                <w:szCs w:val="16"/>
              </w:rPr>
              <w:br/>
            </w:r>
            <w:r w:rsidRPr="00A04330">
              <w:rPr>
                <w:sz w:val="16"/>
                <w:szCs w:val="16"/>
              </w:rPr>
              <w:t>2016 = 100</w:t>
            </w:r>
          </w:p>
        </w:tc>
      </w:tr>
      <w:tr w:rsidR="00EE6FC7" w:rsidRPr="00A04330" w14:paraId="7B920C4A" w14:textId="77777777" w:rsidTr="00A04330">
        <w:trPr>
          <w:trHeight w:val="284"/>
        </w:trPr>
        <w:tc>
          <w:tcPr>
            <w:tcW w:w="2195" w:type="dxa"/>
            <w:vMerge/>
            <w:tcBorders>
              <w:bottom w:val="single" w:sz="12" w:space="0" w:color="212492"/>
            </w:tcBorders>
            <w:vAlign w:val="center"/>
          </w:tcPr>
          <w:p w14:paraId="7B920C45" w14:textId="77777777" w:rsidR="00EE6FC7" w:rsidRPr="00A04330" w:rsidRDefault="00EE6FC7" w:rsidP="00A04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bottom w:val="single" w:sz="12" w:space="0" w:color="212492"/>
            </w:tcBorders>
            <w:vAlign w:val="center"/>
          </w:tcPr>
          <w:p w14:paraId="7B920C47" w14:textId="217C009F" w:rsidR="00EE6FC7" w:rsidRPr="00A04330" w:rsidRDefault="00EE6FC7" w:rsidP="00A0433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na 1000 ludności</w:t>
            </w:r>
          </w:p>
        </w:tc>
        <w:tc>
          <w:tcPr>
            <w:tcW w:w="1441" w:type="dxa"/>
            <w:vMerge/>
            <w:tcBorders>
              <w:bottom w:val="single" w:sz="12" w:space="0" w:color="212492"/>
            </w:tcBorders>
            <w:vAlign w:val="center"/>
          </w:tcPr>
          <w:p w14:paraId="7B920C48" w14:textId="58D9A786" w:rsidR="00EE6FC7" w:rsidRPr="00A04330" w:rsidRDefault="00EE6FC7" w:rsidP="00A04330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212492"/>
            </w:tcBorders>
            <w:vAlign w:val="center"/>
          </w:tcPr>
          <w:p w14:paraId="7B920C49" w14:textId="6F24262E" w:rsidR="00EE6FC7" w:rsidRPr="00A04330" w:rsidRDefault="00EE6FC7" w:rsidP="00A04330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CC0140" w:rsidRPr="00A04330" w14:paraId="7B920C50" w14:textId="77777777" w:rsidTr="00A04330">
        <w:trPr>
          <w:trHeight w:val="57"/>
        </w:trPr>
        <w:tc>
          <w:tcPr>
            <w:tcW w:w="2195" w:type="dxa"/>
            <w:tcBorders>
              <w:top w:val="single" w:sz="12" w:space="0" w:color="212492"/>
            </w:tcBorders>
            <w:vAlign w:val="center"/>
          </w:tcPr>
          <w:p w14:paraId="7B920C4B" w14:textId="002EAE8B" w:rsidR="00CC0140" w:rsidRPr="00A04330" w:rsidRDefault="00CC0140" w:rsidP="003E49CF">
            <w:pPr>
              <w:spacing w:before="40" w:after="0"/>
              <w:rPr>
                <w:b/>
                <w:sz w:val="16"/>
                <w:szCs w:val="16"/>
              </w:rPr>
            </w:pPr>
            <w:r w:rsidRPr="00A04330">
              <w:rPr>
                <w:b/>
                <w:sz w:val="16"/>
                <w:szCs w:val="16"/>
              </w:rPr>
              <w:t>POLSKA</w:t>
            </w:r>
          </w:p>
        </w:tc>
        <w:tc>
          <w:tcPr>
            <w:tcW w:w="1430" w:type="dxa"/>
            <w:tcBorders>
              <w:top w:val="single" w:sz="12" w:space="0" w:color="212492"/>
            </w:tcBorders>
            <w:vAlign w:val="bottom"/>
          </w:tcPr>
          <w:p w14:paraId="7B920C4C" w14:textId="5641AF92" w:rsidR="00CC0140" w:rsidRPr="00627A05" w:rsidRDefault="00CC0140" w:rsidP="003E49CF">
            <w:pPr>
              <w:spacing w:before="40" w:after="0"/>
              <w:jc w:val="right"/>
              <w:rPr>
                <w:b/>
                <w:sz w:val="16"/>
                <w:szCs w:val="16"/>
              </w:rPr>
            </w:pPr>
            <w:r w:rsidRPr="00627A05">
              <w:rPr>
                <w:b/>
                <w:sz w:val="16"/>
                <w:szCs w:val="16"/>
              </w:rPr>
              <w:t>112,2</w:t>
            </w:r>
          </w:p>
        </w:tc>
        <w:tc>
          <w:tcPr>
            <w:tcW w:w="1430" w:type="dxa"/>
            <w:tcBorders>
              <w:top w:val="single" w:sz="12" w:space="0" w:color="212492"/>
            </w:tcBorders>
            <w:vAlign w:val="bottom"/>
          </w:tcPr>
          <w:p w14:paraId="7B920C4D" w14:textId="66DA2629" w:rsidR="00CC0140" w:rsidRPr="00627A05" w:rsidRDefault="00CC0140" w:rsidP="003E49CF">
            <w:pPr>
              <w:spacing w:before="40" w:after="0"/>
              <w:jc w:val="right"/>
              <w:rPr>
                <w:b/>
                <w:sz w:val="16"/>
                <w:szCs w:val="16"/>
              </w:rPr>
            </w:pPr>
            <w:r w:rsidRPr="00627A05"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1441" w:type="dxa"/>
            <w:tcBorders>
              <w:top w:val="single" w:sz="12" w:space="0" w:color="212492"/>
            </w:tcBorders>
            <w:vAlign w:val="bottom"/>
          </w:tcPr>
          <w:p w14:paraId="7B920C4E" w14:textId="6CB1731D" w:rsidR="00CC0140" w:rsidRPr="00627A05" w:rsidRDefault="00CC0140" w:rsidP="003E49CF">
            <w:pPr>
              <w:spacing w:before="40" w:after="0"/>
              <w:jc w:val="right"/>
              <w:rPr>
                <w:b/>
                <w:sz w:val="16"/>
                <w:szCs w:val="16"/>
              </w:rPr>
            </w:pPr>
            <w:r w:rsidRPr="00627A05">
              <w:rPr>
                <w:b/>
                <w:sz w:val="16"/>
                <w:szCs w:val="16"/>
              </w:rPr>
              <w:t>12,5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bottom"/>
          </w:tcPr>
          <w:p w14:paraId="7B920C4F" w14:textId="25B2B62C" w:rsidR="00CC0140" w:rsidRPr="00627A05" w:rsidRDefault="00CC0140" w:rsidP="003E49CF">
            <w:pPr>
              <w:spacing w:before="40" w:after="0"/>
              <w:jc w:val="right"/>
              <w:rPr>
                <w:b/>
                <w:sz w:val="16"/>
                <w:szCs w:val="16"/>
              </w:rPr>
            </w:pPr>
            <w:r w:rsidRPr="00627A05">
              <w:rPr>
                <w:b/>
                <w:sz w:val="16"/>
                <w:szCs w:val="16"/>
              </w:rPr>
              <w:t>104,0</w:t>
            </w:r>
          </w:p>
        </w:tc>
      </w:tr>
      <w:tr w:rsidR="00CC0140" w:rsidRPr="00A04330" w14:paraId="7B920C56" w14:textId="77777777" w:rsidTr="00A04330">
        <w:trPr>
          <w:trHeight w:val="57"/>
        </w:trPr>
        <w:tc>
          <w:tcPr>
            <w:tcW w:w="2195" w:type="dxa"/>
            <w:vAlign w:val="center"/>
          </w:tcPr>
          <w:p w14:paraId="7B920C51" w14:textId="6D086E2D" w:rsidR="00CC0140" w:rsidRPr="00A04330" w:rsidRDefault="00CC0140" w:rsidP="003E49CF">
            <w:pPr>
              <w:spacing w:before="40" w:after="0"/>
              <w:ind w:left="113" w:hanging="113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Obszary przygraniczne</w:t>
            </w:r>
            <w:r w:rsidR="00263201">
              <w:rPr>
                <w:sz w:val="16"/>
                <w:szCs w:val="16"/>
              </w:rPr>
              <w:t xml:space="preserve"> na terenie Polski</w:t>
            </w:r>
          </w:p>
        </w:tc>
        <w:tc>
          <w:tcPr>
            <w:tcW w:w="1430" w:type="dxa"/>
            <w:vAlign w:val="bottom"/>
          </w:tcPr>
          <w:p w14:paraId="7B920C52" w14:textId="0D1D2FBD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106,6</w:t>
            </w:r>
          </w:p>
        </w:tc>
        <w:tc>
          <w:tcPr>
            <w:tcW w:w="1430" w:type="dxa"/>
            <w:vAlign w:val="bottom"/>
          </w:tcPr>
          <w:p w14:paraId="7B920C53" w14:textId="33BD1444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75,0</w:t>
            </w:r>
          </w:p>
        </w:tc>
        <w:tc>
          <w:tcPr>
            <w:tcW w:w="1441" w:type="dxa"/>
            <w:vAlign w:val="bottom"/>
          </w:tcPr>
          <w:p w14:paraId="7B920C54" w14:textId="77BF4DCA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9,8</w:t>
            </w:r>
          </w:p>
        </w:tc>
        <w:tc>
          <w:tcPr>
            <w:tcW w:w="1427" w:type="dxa"/>
            <w:vAlign w:val="bottom"/>
          </w:tcPr>
          <w:p w14:paraId="7B920C55" w14:textId="01183D77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101,7</w:t>
            </w:r>
          </w:p>
        </w:tc>
      </w:tr>
      <w:tr w:rsidR="00CC0140" w:rsidRPr="00A04330" w14:paraId="7B920C5C" w14:textId="77777777" w:rsidTr="00A04330">
        <w:trPr>
          <w:trHeight w:val="57"/>
        </w:trPr>
        <w:tc>
          <w:tcPr>
            <w:tcW w:w="2195" w:type="dxa"/>
            <w:vAlign w:val="center"/>
          </w:tcPr>
          <w:p w14:paraId="7B920C57" w14:textId="089868FF" w:rsidR="00CC0140" w:rsidRPr="00A04330" w:rsidRDefault="00CC0140" w:rsidP="003E49CF">
            <w:pPr>
              <w:spacing w:before="40" w:after="0"/>
              <w:ind w:left="17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sąsiadujące z:</w:t>
            </w:r>
          </w:p>
        </w:tc>
        <w:tc>
          <w:tcPr>
            <w:tcW w:w="1430" w:type="dxa"/>
            <w:vAlign w:val="bottom"/>
          </w:tcPr>
          <w:p w14:paraId="7B920C58" w14:textId="6262D049" w:rsidR="00CC0140" w:rsidRPr="00A04330" w:rsidRDefault="00CC0140" w:rsidP="00A04330">
            <w:pPr>
              <w:spacing w:before="6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30" w:type="dxa"/>
            <w:vAlign w:val="bottom"/>
          </w:tcPr>
          <w:p w14:paraId="7B920C59" w14:textId="24581678" w:rsidR="00CC0140" w:rsidRPr="00A04330" w:rsidRDefault="00CC0140" w:rsidP="00A04330">
            <w:pPr>
              <w:spacing w:before="6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41" w:type="dxa"/>
            <w:vAlign w:val="bottom"/>
          </w:tcPr>
          <w:p w14:paraId="7B920C5A" w14:textId="08D311A2" w:rsidR="00CC0140" w:rsidRPr="00A04330" w:rsidRDefault="00CC0140" w:rsidP="00A04330">
            <w:pPr>
              <w:spacing w:before="6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27" w:type="dxa"/>
            <w:vAlign w:val="bottom"/>
          </w:tcPr>
          <w:p w14:paraId="7B920C5B" w14:textId="44659A09" w:rsidR="00CC0140" w:rsidRPr="00A04330" w:rsidRDefault="00CC0140" w:rsidP="00A04330">
            <w:pPr>
              <w:spacing w:before="60" w:after="0"/>
              <w:jc w:val="right"/>
              <w:rPr>
                <w:sz w:val="16"/>
                <w:szCs w:val="16"/>
              </w:rPr>
            </w:pPr>
          </w:p>
        </w:tc>
      </w:tr>
      <w:tr w:rsidR="00CC0140" w:rsidRPr="00A04330" w14:paraId="7B920C62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7B920C5D" w14:textId="2D113FD3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Rosją</w:t>
            </w:r>
          </w:p>
        </w:tc>
        <w:tc>
          <w:tcPr>
            <w:tcW w:w="1430" w:type="dxa"/>
            <w:vAlign w:val="bottom"/>
          </w:tcPr>
          <w:p w14:paraId="7B920C5E" w14:textId="641CB226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86,4</w:t>
            </w:r>
          </w:p>
        </w:tc>
        <w:tc>
          <w:tcPr>
            <w:tcW w:w="1430" w:type="dxa"/>
            <w:vAlign w:val="bottom"/>
          </w:tcPr>
          <w:p w14:paraId="7B920C5F" w14:textId="4B3ED80D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60,5</w:t>
            </w:r>
          </w:p>
        </w:tc>
        <w:tc>
          <w:tcPr>
            <w:tcW w:w="1441" w:type="dxa"/>
            <w:vAlign w:val="bottom"/>
          </w:tcPr>
          <w:p w14:paraId="7B920C60" w14:textId="43130010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6,3</w:t>
            </w:r>
          </w:p>
        </w:tc>
        <w:tc>
          <w:tcPr>
            <w:tcW w:w="1427" w:type="dxa"/>
            <w:vAlign w:val="bottom"/>
          </w:tcPr>
          <w:p w14:paraId="7B920C61" w14:textId="642B58E1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101,7</w:t>
            </w:r>
          </w:p>
        </w:tc>
      </w:tr>
      <w:tr w:rsidR="00CC0140" w:rsidRPr="00A04330" w14:paraId="34766B69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7123A7F5" w14:textId="4EB079A8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Litwą</w:t>
            </w:r>
          </w:p>
        </w:tc>
        <w:tc>
          <w:tcPr>
            <w:tcW w:w="1430" w:type="dxa"/>
            <w:vAlign w:val="bottom"/>
          </w:tcPr>
          <w:p w14:paraId="7FEF4B20" w14:textId="6DFDADEA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80,2</w:t>
            </w:r>
          </w:p>
        </w:tc>
        <w:tc>
          <w:tcPr>
            <w:tcW w:w="1430" w:type="dxa"/>
            <w:vAlign w:val="bottom"/>
          </w:tcPr>
          <w:p w14:paraId="1A2204D6" w14:textId="3805E5B7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59,3</w:t>
            </w:r>
          </w:p>
        </w:tc>
        <w:tc>
          <w:tcPr>
            <w:tcW w:w="1441" w:type="dxa"/>
            <w:vAlign w:val="bottom"/>
          </w:tcPr>
          <w:p w14:paraId="2620431C" w14:textId="554A731F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6,1</w:t>
            </w:r>
          </w:p>
        </w:tc>
        <w:tc>
          <w:tcPr>
            <w:tcW w:w="1427" w:type="dxa"/>
            <w:vAlign w:val="bottom"/>
          </w:tcPr>
          <w:p w14:paraId="3EBB59F2" w14:textId="242F5DB5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106,9</w:t>
            </w:r>
          </w:p>
        </w:tc>
      </w:tr>
      <w:tr w:rsidR="00CC0140" w:rsidRPr="00A04330" w14:paraId="2CAAE17D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5A175A93" w14:textId="71D06FA5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Białorusią</w:t>
            </w:r>
          </w:p>
        </w:tc>
        <w:tc>
          <w:tcPr>
            <w:tcW w:w="1430" w:type="dxa"/>
            <w:vAlign w:val="bottom"/>
          </w:tcPr>
          <w:p w14:paraId="4CFAB050" w14:textId="482A9C61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84,7</w:t>
            </w:r>
          </w:p>
        </w:tc>
        <w:tc>
          <w:tcPr>
            <w:tcW w:w="1430" w:type="dxa"/>
            <w:vAlign w:val="bottom"/>
          </w:tcPr>
          <w:p w14:paraId="484AD104" w14:textId="25BE14D9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63,1</w:t>
            </w:r>
          </w:p>
        </w:tc>
        <w:tc>
          <w:tcPr>
            <w:tcW w:w="1441" w:type="dxa"/>
            <w:vAlign w:val="bottom"/>
          </w:tcPr>
          <w:p w14:paraId="79416C21" w14:textId="083299FC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8,5</w:t>
            </w:r>
          </w:p>
        </w:tc>
        <w:tc>
          <w:tcPr>
            <w:tcW w:w="1427" w:type="dxa"/>
            <w:vAlign w:val="bottom"/>
          </w:tcPr>
          <w:p w14:paraId="5DDE1A7C" w14:textId="184A0129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110,7</w:t>
            </w:r>
          </w:p>
        </w:tc>
      </w:tr>
      <w:tr w:rsidR="00CC0140" w:rsidRPr="00A04330" w14:paraId="438BC31B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3FA9ACE0" w14:textId="5F3D9914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Ukrainą</w:t>
            </w:r>
          </w:p>
        </w:tc>
        <w:tc>
          <w:tcPr>
            <w:tcW w:w="1430" w:type="dxa"/>
            <w:vAlign w:val="bottom"/>
          </w:tcPr>
          <w:p w14:paraId="6B59EF4E" w14:textId="6A1B469A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72,3</w:t>
            </w:r>
          </w:p>
        </w:tc>
        <w:tc>
          <w:tcPr>
            <w:tcW w:w="1430" w:type="dxa"/>
            <w:vAlign w:val="bottom"/>
          </w:tcPr>
          <w:p w14:paraId="743E6CAF" w14:textId="33707171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53,9</w:t>
            </w:r>
          </w:p>
        </w:tc>
        <w:tc>
          <w:tcPr>
            <w:tcW w:w="1441" w:type="dxa"/>
            <w:vAlign w:val="bottom"/>
          </w:tcPr>
          <w:p w14:paraId="19DC5E67" w14:textId="7BBCBA50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6,2</w:t>
            </w:r>
          </w:p>
        </w:tc>
        <w:tc>
          <w:tcPr>
            <w:tcW w:w="1427" w:type="dxa"/>
            <w:vAlign w:val="bottom"/>
          </w:tcPr>
          <w:p w14:paraId="361E4D64" w14:textId="12448D18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110,9</w:t>
            </w:r>
          </w:p>
        </w:tc>
      </w:tr>
      <w:tr w:rsidR="00CC0140" w:rsidRPr="00A04330" w14:paraId="64E20982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4B842FDC" w14:textId="7E73C075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Słowacją</w:t>
            </w:r>
          </w:p>
        </w:tc>
        <w:tc>
          <w:tcPr>
            <w:tcW w:w="1430" w:type="dxa"/>
            <w:vAlign w:val="bottom"/>
          </w:tcPr>
          <w:p w14:paraId="292CEFDA" w14:textId="6AE59946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94,0</w:t>
            </w:r>
          </w:p>
        </w:tc>
        <w:tc>
          <w:tcPr>
            <w:tcW w:w="1430" w:type="dxa"/>
            <w:vAlign w:val="bottom"/>
          </w:tcPr>
          <w:p w14:paraId="3BFA4B5F" w14:textId="0535FE2E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72,3</w:t>
            </w:r>
          </w:p>
        </w:tc>
        <w:tc>
          <w:tcPr>
            <w:tcW w:w="1441" w:type="dxa"/>
            <w:vAlign w:val="bottom"/>
          </w:tcPr>
          <w:p w14:paraId="0C2A58CD" w14:textId="0364E5FC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6,9</w:t>
            </w:r>
          </w:p>
        </w:tc>
        <w:tc>
          <w:tcPr>
            <w:tcW w:w="1427" w:type="dxa"/>
            <w:vAlign w:val="bottom"/>
          </w:tcPr>
          <w:p w14:paraId="4F9D696B" w14:textId="50D79BA9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98,9</w:t>
            </w:r>
          </w:p>
        </w:tc>
      </w:tr>
      <w:tr w:rsidR="00CC0140" w:rsidRPr="00A04330" w14:paraId="096AB619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3AC38CD1" w14:textId="7FFEE5CD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Czechami</w:t>
            </w:r>
          </w:p>
        </w:tc>
        <w:tc>
          <w:tcPr>
            <w:tcW w:w="1430" w:type="dxa"/>
            <w:vAlign w:val="bottom"/>
          </w:tcPr>
          <w:p w14:paraId="7AFDF807" w14:textId="7A7B7530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106,5</w:t>
            </w:r>
          </w:p>
        </w:tc>
        <w:tc>
          <w:tcPr>
            <w:tcW w:w="1430" w:type="dxa"/>
            <w:vAlign w:val="bottom"/>
          </w:tcPr>
          <w:p w14:paraId="7C211708" w14:textId="6D4BA79F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71,3</w:t>
            </w:r>
          </w:p>
        </w:tc>
        <w:tc>
          <w:tcPr>
            <w:tcW w:w="1441" w:type="dxa"/>
            <w:vAlign w:val="bottom"/>
          </w:tcPr>
          <w:p w14:paraId="1C7D7CBA" w14:textId="0A6A8244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10,5</w:t>
            </w:r>
          </w:p>
        </w:tc>
        <w:tc>
          <w:tcPr>
            <w:tcW w:w="1427" w:type="dxa"/>
            <w:vAlign w:val="bottom"/>
          </w:tcPr>
          <w:p w14:paraId="1526B7ED" w14:textId="331415CA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100,0</w:t>
            </w:r>
          </w:p>
        </w:tc>
      </w:tr>
      <w:tr w:rsidR="00CC0140" w:rsidRPr="00A04330" w14:paraId="3582B68D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4290F3C6" w14:textId="7AAAD685" w:rsidR="00CC0140" w:rsidRPr="00A04330" w:rsidRDefault="00CC0140" w:rsidP="003E49CF">
            <w:pPr>
              <w:spacing w:before="40" w:after="0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Niemcami</w:t>
            </w:r>
          </w:p>
        </w:tc>
        <w:tc>
          <w:tcPr>
            <w:tcW w:w="1430" w:type="dxa"/>
            <w:vAlign w:val="bottom"/>
          </w:tcPr>
          <w:p w14:paraId="4DE4CF9E" w14:textId="2494AADF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125,7</w:t>
            </w:r>
          </w:p>
        </w:tc>
        <w:tc>
          <w:tcPr>
            <w:tcW w:w="1430" w:type="dxa"/>
            <w:vAlign w:val="bottom"/>
          </w:tcPr>
          <w:p w14:paraId="5DFDAE53" w14:textId="766BE13C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87,6</w:t>
            </w:r>
          </w:p>
        </w:tc>
        <w:tc>
          <w:tcPr>
            <w:tcW w:w="1441" w:type="dxa"/>
            <w:vAlign w:val="bottom"/>
          </w:tcPr>
          <w:p w14:paraId="68157C65" w14:textId="23ACABCA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10,8</w:t>
            </w:r>
          </w:p>
        </w:tc>
        <w:tc>
          <w:tcPr>
            <w:tcW w:w="1427" w:type="dxa"/>
            <w:vAlign w:val="bottom"/>
          </w:tcPr>
          <w:p w14:paraId="1B520B28" w14:textId="32473AED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101,6</w:t>
            </w:r>
          </w:p>
        </w:tc>
      </w:tr>
      <w:tr w:rsidR="00CC0140" w:rsidRPr="00A04330" w14:paraId="4D5C33FB" w14:textId="77777777" w:rsidTr="00A04330">
        <w:trPr>
          <w:trHeight w:val="57"/>
        </w:trPr>
        <w:tc>
          <w:tcPr>
            <w:tcW w:w="2195" w:type="dxa"/>
            <w:vAlign w:val="bottom"/>
          </w:tcPr>
          <w:p w14:paraId="15866C12" w14:textId="6ACD13A0" w:rsidR="00CC0140" w:rsidRPr="00A04330" w:rsidRDefault="00083932" w:rsidP="003E49CF">
            <w:pPr>
              <w:spacing w:before="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C0140" w:rsidRPr="00A04330">
              <w:rPr>
                <w:sz w:val="16"/>
                <w:szCs w:val="16"/>
              </w:rPr>
              <w:t>orzem</w:t>
            </w:r>
          </w:p>
        </w:tc>
        <w:tc>
          <w:tcPr>
            <w:tcW w:w="1430" w:type="dxa"/>
            <w:vAlign w:val="bottom"/>
          </w:tcPr>
          <w:p w14:paraId="60EC99EC" w14:textId="71AC6811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130,3</w:t>
            </w:r>
          </w:p>
        </w:tc>
        <w:tc>
          <w:tcPr>
            <w:tcW w:w="1430" w:type="dxa"/>
            <w:vAlign w:val="bottom"/>
          </w:tcPr>
          <w:p w14:paraId="6FD9D317" w14:textId="7E21496F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92,5</w:t>
            </w:r>
          </w:p>
        </w:tc>
        <w:tc>
          <w:tcPr>
            <w:tcW w:w="1441" w:type="dxa"/>
            <w:vAlign w:val="bottom"/>
          </w:tcPr>
          <w:p w14:paraId="128409D3" w14:textId="5E0B31DD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10,9</w:t>
            </w:r>
          </w:p>
        </w:tc>
        <w:tc>
          <w:tcPr>
            <w:tcW w:w="1427" w:type="dxa"/>
            <w:vAlign w:val="bottom"/>
          </w:tcPr>
          <w:p w14:paraId="6E79AFDA" w14:textId="6E84E5F1" w:rsidR="00CC0140" w:rsidRPr="00A04330" w:rsidRDefault="00CC0140" w:rsidP="003E49CF">
            <w:pPr>
              <w:spacing w:before="40" w:after="0"/>
              <w:jc w:val="right"/>
              <w:rPr>
                <w:sz w:val="16"/>
                <w:szCs w:val="16"/>
              </w:rPr>
            </w:pPr>
            <w:r w:rsidRPr="00A04330">
              <w:rPr>
                <w:sz w:val="16"/>
                <w:szCs w:val="16"/>
              </w:rPr>
              <w:t>101,4</w:t>
            </w:r>
          </w:p>
        </w:tc>
      </w:tr>
    </w:tbl>
    <w:p w14:paraId="325D5D67" w14:textId="47B2003C" w:rsidR="00CA10E6" w:rsidRPr="00074DD8" w:rsidRDefault="00CA10E6" w:rsidP="007A6A82">
      <w:pPr>
        <w:pStyle w:val="Nagwek1"/>
        <w:spacing w:before="0"/>
      </w:pPr>
      <w:r>
        <w:lastRenderedPageBreak/>
        <w:t>Spółki handlowe</w:t>
      </w:r>
    </w:p>
    <w:p w14:paraId="1992D5B2" w14:textId="66D71F45" w:rsidR="00CA10E6" w:rsidRPr="00CA10E6" w:rsidRDefault="00233FC3" w:rsidP="00CA10E6">
      <w:pPr>
        <w:rPr>
          <w:shd w:val="clear" w:color="auto" w:fill="FFFFFF"/>
        </w:rPr>
      </w:pPr>
      <w:r w:rsidRPr="000F2962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519028D" wp14:editId="5B8DEB75">
                <wp:simplePos x="0" y="0"/>
                <wp:positionH relativeFrom="page">
                  <wp:posOffset>5680440</wp:posOffset>
                </wp:positionH>
                <wp:positionV relativeFrom="paragraph">
                  <wp:posOffset>1123085</wp:posOffset>
                </wp:positionV>
                <wp:extent cx="1716405" cy="1078230"/>
                <wp:effectExtent l="0" t="0" r="0" b="0"/>
                <wp:wrapTight wrapText="bothSides">
                  <wp:wrapPolygon edited="0">
                    <wp:start x="719" y="0"/>
                    <wp:lineTo x="719" y="20989"/>
                    <wp:lineTo x="20857" y="20989"/>
                    <wp:lineTo x="20857" y="0"/>
                    <wp:lineTo x="71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5670" w14:textId="53AB41D9" w:rsidR="0016034D" w:rsidRPr="00501187" w:rsidRDefault="0016034D" w:rsidP="0016034D">
                            <w:pPr>
                              <w:pStyle w:val="tekstzboku"/>
                              <w:spacing w:before="0"/>
                            </w:pPr>
                            <w:r>
                              <w:t>W 2017 r. liczba spółek</w:t>
                            </w:r>
                            <w:r>
                              <w:br/>
                              <w:t>handlowych w </w:t>
                            </w:r>
                            <w:r w:rsidRPr="00FA290C">
                              <w:t>strefie</w:t>
                            </w:r>
                            <w:r>
                              <w:br/>
                            </w:r>
                            <w:r w:rsidRPr="00FA290C">
                              <w:t>przygranicznej wzrosła o</w:t>
                            </w:r>
                            <w:r>
                              <w:t> </w:t>
                            </w:r>
                            <w:r w:rsidRPr="00FA290C">
                              <w:t>5,8%</w:t>
                            </w:r>
                            <w:r>
                              <w:t xml:space="preserve"> w porównaniu</w:t>
                            </w:r>
                            <w:r>
                              <w:br/>
                              <w:t>z poprzednim rokiem (w </w:t>
                            </w:r>
                            <w:r w:rsidR="00A57A8C">
                              <w:t>kraju o 7,2%)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028D" id="Pole tekstowe 14" o:spid="_x0000_s1030" type="#_x0000_t202" style="position:absolute;margin-left:447.3pt;margin-top:88.45pt;width:135.15pt;height:84.9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" filled="f" stroked="f">
                <v:textbox>
                  <w:txbxContent>
                    <w:p w14:paraId="6EAE5670" w14:textId="53AB41D9" w:rsidR="0016034D" w:rsidRPr="00501187" w:rsidRDefault="0016034D" w:rsidP="0016034D">
                      <w:pPr>
                        <w:pStyle w:val="tekstzboku"/>
                        <w:spacing w:before="0"/>
                      </w:pPr>
                      <w:r>
                        <w:t>W 2017 r. liczba spółek</w:t>
                      </w:r>
                      <w:r>
                        <w:br/>
                        <w:t>handlowych w </w:t>
                      </w:r>
                      <w:r w:rsidRPr="00FA290C">
                        <w:t>strefie</w:t>
                      </w:r>
                      <w:r>
                        <w:br/>
                      </w:r>
                      <w:r w:rsidRPr="00FA290C">
                        <w:t>przygranicznej wzrosła o</w:t>
                      </w:r>
                      <w:r>
                        <w:t> </w:t>
                      </w:r>
                      <w:r w:rsidRPr="00FA290C">
                        <w:t>5,8%</w:t>
                      </w:r>
                      <w:r>
                        <w:t xml:space="preserve"> w porównaniu</w:t>
                      </w:r>
                      <w:r>
                        <w:br/>
                        <w:t>z poprzednim rokiem (w </w:t>
                      </w:r>
                      <w:r w:rsidR="00A57A8C">
                        <w:t>kraju o 7,2%)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6034D" w:rsidRPr="00CA10E6">
        <w:rPr>
          <w:shd w:val="clear" w:color="auto" w:fill="FFFFFF"/>
        </w:rPr>
        <w:t>W rejestrze REGON w końcu 2017 r</w:t>
      </w:r>
      <w:r w:rsidR="0016034D" w:rsidRPr="003B280F">
        <w:rPr>
          <w:shd w:val="clear" w:color="auto" w:fill="FFFFFF"/>
        </w:rPr>
        <w:t xml:space="preserve">. na </w:t>
      </w:r>
      <w:r w:rsidR="0016034D" w:rsidRPr="00103011">
        <w:rPr>
          <w:shd w:val="clear" w:color="auto" w:fill="FFFFFF"/>
        </w:rPr>
        <w:t>teren</w:t>
      </w:r>
      <w:r w:rsidR="00E84178" w:rsidRPr="00103011">
        <w:rPr>
          <w:shd w:val="clear" w:color="auto" w:fill="FFFFFF"/>
        </w:rPr>
        <w:t>ie</w:t>
      </w:r>
      <w:r w:rsidR="0016034D" w:rsidRPr="00103011">
        <w:rPr>
          <w:shd w:val="clear" w:color="auto" w:fill="FFFFFF"/>
        </w:rPr>
        <w:t xml:space="preserve"> </w:t>
      </w:r>
      <w:r w:rsidR="0016034D" w:rsidRPr="003B280F">
        <w:rPr>
          <w:shd w:val="clear" w:color="auto" w:fill="FFFFFF"/>
        </w:rPr>
        <w:t xml:space="preserve">strefy przygranicznej </w:t>
      </w:r>
      <w:r w:rsidR="0016034D" w:rsidRPr="00CA10E6">
        <w:rPr>
          <w:shd w:val="clear" w:color="auto" w:fill="FFFFFF"/>
        </w:rPr>
        <w:t xml:space="preserve">wpisanych było 142,6 tys. spółek handlowych, co stanowiło 9,8% ogółu podmiotów gospodarki narodowej w tej strefie (w kraju analogiczny udział wyniósł 12,5%). Spółki handlowe mające siedzibę </w:t>
      </w:r>
      <w:r w:rsidR="00C843EB" w:rsidRPr="00103011">
        <w:rPr>
          <w:shd w:val="clear" w:color="auto" w:fill="FFFFFF"/>
        </w:rPr>
        <w:t xml:space="preserve">w </w:t>
      </w:r>
      <w:r w:rsidR="0016034D" w:rsidRPr="00103011">
        <w:rPr>
          <w:shd w:val="clear" w:color="auto" w:fill="FFFFFF"/>
        </w:rPr>
        <w:t>stref</w:t>
      </w:r>
      <w:r w:rsidR="00C843EB" w:rsidRPr="00103011">
        <w:rPr>
          <w:shd w:val="clear" w:color="auto" w:fill="FFFFFF"/>
        </w:rPr>
        <w:t xml:space="preserve">ie </w:t>
      </w:r>
      <w:r w:rsidR="0016034D" w:rsidRPr="00CA10E6">
        <w:rPr>
          <w:shd w:val="clear" w:color="auto" w:fill="FFFFFF"/>
        </w:rPr>
        <w:t>stanowiły 26,5% ogółu zarejestrowanych w kraju. W strukturze spółek handlowych</w:t>
      </w:r>
      <w:r w:rsidR="002C3265">
        <w:rPr>
          <w:shd w:val="clear" w:color="auto" w:fill="FFFFFF"/>
        </w:rPr>
        <w:t xml:space="preserve"> </w:t>
      </w:r>
      <w:r w:rsidR="00322F1A" w:rsidRPr="00103011">
        <w:rPr>
          <w:shd w:val="clear" w:color="auto" w:fill="FFFFFF"/>
        </w:rPr>
        <w:t xml:space="preserve">działających </w:t>
      </w:r>
      <w:r w:rsidR="002C3265" w:rsidRPr="00103011">
        <w:rPr>
          <w:shd w:val="clear" w:color="auto" w:fill="FFFFFF"/>
        </w:rPr>
        <w:t xml:space="preserve">na obszarze przygranicznym </w:t>
      </w:r>
      <w:r w:rsidR="0016034D" w:rsidRPr="00103011">
        <w:rPr>
          <w:shd w:val="clear" w:color="auto" w:fill="FFFFFF"/>
        </w:rPr>
        <w:t>–</w:t>
      </w:r>
      <w:r w:rsidR="0016034D" w:rsidRPr="00CA10E6">
        <w:rPr>
          <w:shd w:val="clear" w:color="auto" w:fill="FFFFFF"/>
        </w:rPr>
        <w:t xml:space="preserve"> podobnie jak w kraju – największy udzi</w:t>
      </w:r>
      <w:r w:rsidR="0016034D">
        <w:rPr>
          <w:shd w:val="clear" w:color="auto" w:fill="FFFFFF"/>
        </w:rPr>
        <w:t>ał miały spółki z </w:t>
      </w:r>
      <w:r w:rsidR="0016034D" w:rsidRPr="00CA10E6">
        <w:rPr>
          <w:shd w:val="clear" w:color="auto" w:fill="FFFFFF"/>
        </w:rPr>
        <w:t>ograniczoną odpowiedzialnością (83,7%), dużo mniejszy – spółki jawne (8,1%), komandyt</w:t>
      </w:r>
      <w:r w:rsidR="0016034D">
        <w:rPr>
          <w:shd w:val="clear" w:color="auto" w:fill="FFFFFF"/>
        </w:rPr>
        <w:t>owe (5,1%) oraz akcyjne (2,1%).</w:t>
      </w:r>
    </w:p>
    <w:p w14:paraId="311CD67F" w14:textId="2854A502" w:rsidR="00CA10E6" w:rsidRPr="00CA10E6" w:rsidRDefault="0016034D" w:rsidP="00CA10E6">
      <w:pPr>
        <w:rPr>
          <w:shd w:val="clear" w:color="auto" w:fill="FFFFFF"/>
        </w:rPr>
      </w:pPr>
      <w:r w:rsidRPr="00CA10E6">
        <w:rPr>
          <w:shd w:val="clear" w:color="auto" w:fill="FFFFFF"/>
        </w:rPr>
        <w:t xml:space="preserve">W 2017 r. liczba spółek </w:t>
      </w:r>
      <w:r w:rsidRPr="00E87FFA">
        <w:rPr>
          <w:shd w:val="clear" w:color="auto" w:fill="FFFFFF"/>
        </w:rPr>
        <w:t xml:space="preserve">handlowych </w:t>
      </w:r>
      <w:r w:rsidR="0028638B">
        <w:rPr>
          <w:shd w:val="clear" w:color="auto" w:fill="FFFFFF"/>
        </w:rPr>
        <w:t xml:space="preserve">działających </w:t>
      </w:r>
      <w:r w:rsidRPr="00E87FFA">
        <w:rPr>
          <w:shd w:val="clear" w:color="auto" w:fill="FFFFFF"/>
        </w:rPr>
        <w:t>w strefie przygranicznej</w:t>
      </w:r>
      <w:r w:rsidRPr="00CA10E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wzrosła </w:t>
      </w:r>
      <w:r w:rsidR="000100E4">
        <w:rPr>
          <w:shd w:val="clear" w:color="auto" w:fill="FFFFFF"/>
        </w:rPr>
        <w:t xml:space="preserve">w porównaniu z 2016 r. </w:t>
      </w:r>
      <w:r>
        <w:rPr>
          <w:shd w:val="clear" w:color="auto" w:fill="FFFFFF"/>
        </w:rPr>
        <w:t>o 7821 jednostek, tj. o </w:t>
      </w:r>
      <w:r w:rsidRPr="00CA10E6">
        <w:rPr>
          <w:shd w:val="clear" w:color="auto" w:fill="FFFFFF"/>
        </w:rPr>
        <w:t>5,8% (w kraju o 7,2</w:t>
      </w:r>
      <w:r w:rsidR="000100E4">
        <w:rPr>
          <w:shd w:val="clear" w:color="auto" w:fill="FFFFFF"/>
        </w:rPr>
        <w:t>%). Wzrost odnotowano zarówno w </w:t>
      </w:r>
      <w:r w:rsidRPr="00CA10E6">
        <w:rPr>
          <w:shd w:val="clear" w:color="auto" w:fill="FFFFFF"/>
        </w:rPr>
        <w:t>grupi</w:t>
      </w:r>
      <w:r>
        <w:rPr>
          <w:shd w:val="clear" w:color="auto" w:fill="FFFFFF"/>
        </w:rPr>
        <w:t>e spółek kapitałowych (o 6575 – </w:t>
      </w:r>
      <w:r w:rsidRPr="00CA10E6">
        <w:rPr>
          <w:shd w:val="clear" w:color="auto" w:fill="FFFFFF"/>
        </w:rPr>
        <w:t>5,7%), jak i osobowych (o 1246 – 6,5%). Relatywnie n</w:t>
      </w:r>
      <w:r w:rsidR="0028638B">
        <w:rPr>
          <w:shd w:val="clear" w:color="auto" w:fill="FFFFFF"/>
        </w:rPr>
        <w:t>ajwiększy wzrost w porównaniu z </w:t>
      </w:r>
      <w:r w:rsidRPr="00CA10E6">
        <w:rPr>
          <w:shd w:val="clear" w:color="auto" w:fill="FFFFFF"/>
        </w:rPr>
        <w:t>rokiem poprzednim odnoto</w:t>
      </w:r>
      <w:r>
        <w:rPr>
          <w:shd w:val="clear" w:color="auto" w:fill="FFFFFF"/>
        </w:rPr>
        <w:t>wano wśród spółek komandytowych</w:t>
      </w:r>
      <w:r w:rsidR="000100E4">
        <w:rPr>
          <w:shd w:val="clear" w:color="auto" w:fill="FFFFFF"/>
        </w:rPr>
        <w:t xml:space="preserve"> (o </w:t>
      </w:r>
      <w:r w:rsidRPr="00CA10E6">
        <w:rPr>
          <w:shd w:val="clear" w:color="auto" w:fill="FFFFFF"/>
        </w:rPr>
        <w:t>21,7%</w:t>
      </w:r>
      <w:r>
        <w:rPr>
          <w:shd w:val="clear" w:color="auto" w:fill="FFFFFF"/>
        </w:rPr>
        <w:t>, tj. o 1291 podmiotów do 7234)</w:t>
      </w:r>
      <w:r w:rsidRPr="00CA10E6">
        <w:rPr>
          <w:shd w:val="clear" w:color="auto" w:fill="FFFFFF"/>
        </w:rPr>
        <w:t>.</w:t>
      </w:r>
    </w:p>
    <w:p w14:paraId="03E2CF9F" w14:textId="29D606A9" w:rsidR="00966DCA" w:rsidRDefault="00233FC3" w:rsidP="00CA10E6">
      <w:pPr>
        <w:rPr>
          <w:shd w:val="clear" w:color="auto" w:fill="FFFFFF"/>
        </w:rPr>
      </w:pPr>
      <w:r w:rsidRPr="00FA290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7CD77D60" wp14:editId="321A0240">
                <wp:simplePos x="0" y="0"/>
                <wp:positionH relativeFrom="page">
                  <wp:posOffset>5676900</wp:posOffset>
                </wp:positionH>
                <wp:positionV relativeFrom="paragraph">
                  <wp:posOffset>616849</wp:posOffset>
                </wp:positionV>
                <wp:extent cx="1725295" cy="1409700"/>
                <wp:effectExtent l="0" t="0" r="0" b="0"/>
                <wp:wrapTight wrapText="bothSides">
                  <wp:wrapPolygon edited="0">
                    <wp:start x="715" y="0"/>
                    <wp:lineTo x="715" y="21308"/>
                    <wp:lineTo x="20749" y="2130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F19F4" w14:textId="0EADC592" w:rsidR="00F462AE" w:rsidRPr="0016034D" w:rsidRDefault="0016034D" w:rsidP="00FA290C">
                            <w:pPr>
                              <w:pStyle w:val="tekstzboku"/>
                            </w:pPr>
                            <w:r w:rsidRPr="00103BD4">
                              <w:t>Największy wzrost spółek z kapitałem zagranicznym, w stosunku do poprzedniego roku, miał miejsce w strefie przy granicy z Ukrainą – o 10,9% oraz Białorusią – o 10,7% i Litwą – o 6,9%</w:t>
                            </w:r>
                            <w:r w:rsidRPr="00103BD4">
                              <w:br/>
                              <w:t>(w kraju o 4</w:t>
                            </w:r>
                            <w:r w:rsidR="00CB10FB">
                              <w:t>,0</w:t>
                            </w:r>
                            <w:r w:rsidRPr="00103BD4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7D60" id="Pole tekstowe 15" o:spid="_x0000_s1031" type="#_x0000_t202" style="position:absolute;margin-left:447pt;margin-top:48.55pt;width:135.85pt;height:111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" filled="f" stroked="f">
                <v:textbox>
                  <w:txbxContent>
                    <w:p w14:paraId="1D1F19F4" w14:textId="0EADC592" w:rsidR="00F462AE" w:rsidRPr="0016034D" w:rsidRDefault="0016034D" w:rsidP="00FA290C">
                      <w:pPr>
                        <w:pStyle w:val="tekstzboku"/>
                      </w:pPr>
                      <w:r w:rsidRPr="00103BD4">
                        <w:t>Największy wzrost spółek z kapitałem zagranicznym, w stosunku do poprzedniego roku, miał miejsce w strefie przy granicy z Ukrainą – o 10,9% oraz Białorusią – o 10,7% i Litwą – o 6,9%</w:t>
                      </w:r>
                      <w:r w:rsidRPr="00103BD4">
                        <w:br/>
                        <w:t>(w kraju o 4</w:t>
                      </w:r>
                      <w:r w:rsidR="00CB10FB">
                        <w:t>,0</w:t>
                      </w:r>
                      <w:r w:rsidRPr="00103BD4"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6034D" w:rsidRPr="00F91B65">
        <w:rPr>
          <w:shd w:val="clear" w:color="auto" w:fill="FFFFFF"/>
        </w:rPr>
        <w:t>W grupie spółek handlowych ważną rolę odgrywają spółki z udziałem kapitału zagranicznego, których obecność może świadczyć o atrakcyjności inwestycyjnej danego regi</w:t>
      </w:r>
      <w:r w:rsidR="0016034D">
        <w:rPr>
          <w:shd w:val="clear" w:color="auto" w:fill="FFFFFF"/>
        </w:rPr>
        <w:t>onu. W </w:t>
      </w:r>
      <w:r w:rsidR="0016034D" w:rsidRPr="00F91B65">
        <w:rPr>
          <w:shd w:val="clear" w:color="auto" w:fill="FFFFFF"/>
        </w:rPr>
        <w:t>końcu</w:t>
      </w:r>
      <w:r w:rsidR="0016034D" w:rsidRPr="00163C58">
        <w:rPr>
          <w:shd w:val="clear" w:color="auto" w:fill="FFFFFF"/>
        </w:rPr>
        <w:t xml:space="preserve"> 2017 r. na terenie strefy przygranicznej siedzibę miało 24299 jednostek (17,0% ogółu spółek handlowych w strefie), w kraju udział ten wyniósł 17,6%. </w:t>
      </w:r>
      <w:r w:rsidR="00415756">
        <w:rPr>
          <w:shd w:val="clear" w:color="auto" w:fill="FFFFFF"/>
        </w:rPr>
        <w:t>W</w:t>
      </w:r>
      <w:r w:rsidR="0016034D" w:rsidRPr="00163C58">
        <w:rPr>
          <w:shd w:val="clear" w:color="auto" w:fill="FFFFFF"/>
        </w:rPr>
        <w:t xml:space="preserve"> 2017 r. liczba </w:t>
      </w:r>
      <w:r w:rsidR="00C843EB">
        <w:rPr>
          <w:shd w:val="clear" w:color="auto" w:fill="FFFFFF"/>
        </w:rPr>
        <w:t>spółek z kapitałem zagranicznym</w:t>
      </w:r>
      <w:r w:rsidR="0016034D" w:rsidRPr="00163C58">
        <w:rPr>
          <w:shd w:val="clear" w:color="auto" w:fill="FFFFFF"/>
        </w:rPr>
        <w:t xml:space="preserve"> zlokalizowanych w strefie przygranicznej zwiększyła się</w:t>
      </w:r>
      <w:r w:rsidR="00C843EB" w:rsidRPr="00C843EB">
        <w:rPr>
          <w:shd w:val="clear" w:color="auto" w:fill="FFFFFF"/>
        </w:rPr>
        <w:t xml:space="preserve"> </w:t>
      </w:r>
      <w:r w:rsidR="00C843EB" w:rsidRPr="00103011">
        <w:rPr>
          <w:shd w:val="clear" w:color="auto" w:fill="FFFFFF"/>
        </w:rPr>
        <w:t>o 397 podmiotów</w:t>
      </w:r>
      <w:r w:rsidR="00415756">
        <w:rPr>
          <w:shd w:val="clear" w:color="auto" w:fill="FFFFFF"/>
        </w:rPr>
        <w:t xml:space="preserve"> (tj. o </w:t>
      </w:r>
      <w:r w:rsidR="0016034D" w:rsidRPr="00103011">
        <w:rPr>
          <w:shd w:val="clear" w:color="auto" w:fill="FFFFFF"/>
        </w:rPr>
        <w:t>1,7%,</w:t>
      </w:r>
      <w:r w:rsidR="00415756">
        <w:rPr>
          <w:shd w:val="clear" w:color="auto" w:fill="FFFFFF"/>
        </w:rPr>
        <w:t xml:space="preserve"> </w:t>
      </w:r>
      <w:r w:rsidR="00C843EB" w:rsidRPr="00103011">
        <w:rPr>
          <w:shd w:val="clear" w:color="auto" w:fill="FFFFFF"/>
        </w:rPr>
        <w:t xml:space="preserve">w porównaniu z poprzednim rokiem, </w:t>
      </w:r>
      <w:r w:rsidR="0016034D" w:rsidRPr="00103011">
        <w:rPr>
          <w:shd w:val="clear" w:color="auto" w:fill="FFFFFF"/>
        </w:rPr>
        <w:t>a w kraju o 4,0%)</w:t>
      </w:r>
      <w:r w:rsidR="00C843EB" w:rsidRPr="00103011">
        <w:rPr>
          <w:shd w:val="clear" w:color="auto" w:fill="FFFFFF"/>
        </w:rPr>
        <w:t>. Natomiast</w:t>
      </w:r>
      <w:r w:rsidR="0016034D" w:rsidRPr="00103011">
        <w:rPr>
          <w:shd w:val="clear" w:color="auto" w:fill="FFFFFF"/>
        </w:rPr>
        <w:t xml:space="preserve"> w 2016 r. przybyło 1078 </w:t>
      </w:r>
      <w:r w:rsidR="00600BC5" w:rsidRPr="00103011">
        <w:rPr>
          <w:shd w:val="clear" w:color="auto" w:fill="FFFFFF"/>
        </w:rPr>
        <w:t xml:space="preserve">takich </w:t>
      </w:r>
      <w:r w:rsidR="0016034D" w:rsidRPr="00233FC3">
        <w:rPr>
          <w:shd w:val="clear" w:color="auto" w:fill="FFFFFF"/>
        </w:rPr>
        <w:t xml:space="preserve">jednostek (wzrost </w:t>
      </w:r>
      <w:r w:rsidR="0016034D">
        <w:rPr>
          <w:shd w:val="clear" w:color="auto" w:fill="FFFFFF"/>
        </w:rPr>
        <w:t xml:space="preserve">w porównaniu do 2015 r. </w:t>
      </w:r>
      <w:r w:rsidR="0016034D" w:rsidRPr="00233FC3">
        <w:rPr>
          <w:shd w:val="clear" w:color="auto" w:fill="FFFFFF"/>
        </w:rPr>
        <w:t xml:space="preserve">o 4,7%). </w:t>
      </w:r>
      <w:r w:rsidR="0016034D">
        <w:rPr>
          <w:shd w:val="clear" w:color="auto" w:fill="FFFFFF"/>
        </w:rPr>
        <w:t>N</w:t>
      </w:r>
      <w:r w:rsidR="00D83BC7">
        <w:rPr>
          <w:shd w:val="clear" w:color="auto" w:fill="FFFFFF"/>
        </w:rPr>
        <w:t>ajwiększy</w:t>
      </w:r>
      <w:r w:rsidR="0016034D" w:rsidRPr="00233FC3">
        <w:rPr>
          <w:shd w:val="clear" w:color="auto" w:fill="FFFFFF"/>
        </w:rPr>
        <w:t xml:space="preserve"> wzrost </w:t>
      </w:r>
      <w:r w:rsidR="00FA2015" w:rsidRPr="00103011">
        <w:rPr>
          <w:shd w:val="clear" w:color="auto" w:fill="FFFFFF"/>
        </w:rPr>
        <w:t>(</w:t>
      </w:r>
      <w:r w:rsidR="00791FBD" w:rsidRPr="00103011">
        <w:rPr>
          <w:shd w:val="clear" w:color="auto" w:fill="FFFFFF"/>
        </w:rPr>
        <w:t>w </w:t>
      </w:r>
      <w:r w:rsidR="0016034D" w:rsidRPr="00103011">
        <w:rPr>
          <w:shd w:val="clear" w:color="auto" w:fill="FFFFFF"/>
        </w:rPr>
        <w:t>2017</w:t>
      </w:r>
      <w:r w:rsidR="00791FBD" w:rsidRPr="00103011">
        <w:rPr>
          <w:shd w:val="clear" w:color="auto" w:fill="FFFFFF"/>
        </w:rPr>
        <w:t> </w:t>
      </w:r>
      <w:r w:rsidR="0016034D" w:rsidRPr="00103011">
        <w:rPr>
          <w:shd w:val="clear" w:color="auto" w:fill="FFFFFF"/>
        </w:rPr>
        <w:t>r.</w:t>
      </w:r>
      <w:r w:rsidR="00FA2015" w:rsidRPr="00103011">
        <w:rPr>
          <w:shd w:val="clear" w:color="auto" w:fill="FFFFFF"/>
        </w:rPr>
        <w:t>)</w:t>
      </w:r>
      <w:r w:rsidR="0016034D" w:rsidRPr="00103011">
        <w:rPr>
          <w:shd w:val="clear" w:color="auto" w:fill="FFFFFF"/>
        </w:rPr>
        <w:t xml:space="preserve"> </w:t>
      </w:r>
      <w:r w:rsidR="0016034D" w:rsidRPr="00233FC3">
        <w:rPr>
          <w:shd w:val="clear" w:color="auto" w:fill="FFFFFF"/>
        </w:rPr>
        <w:t>miał miejsce przy granicy z Ukrainą</w:t>
      </w:r>
      <w:r w:rsidR="00D83BC7">
        <w:rPr>
          <w:shd w:val="clear" w:color="auto" w:fill="FFFFFF"/>
        </w:rPr>
        <w:t xml:space="preserve"> (o 10,9%, tj. o 106 jednostek)</w:t>
      </w:r>
      <w:r w:rsidR="0016034D" w:rsidRPr="00233FC3">
        <w:rPr>
          <w:shd w:val="clear" w:color="auto" w:fill="FFFFFF"/>
        </w:rPr>
        <w:t xml:space="preserve"> oraz Białorusią</w:t>
      </w:r>
      <w:r w:rsidR="00103011">
        <w:rPr>
          <w:shd w:val="clear" w:color="auto" w:fill="FFFFFF"/>
        </w:rPr>
        <w:br/>
      </w:r>
      <w:r w:rsidR="0016034D" w:rsidRPr="00233FC3">
        <w:rPr>
          <w:shd w:val="clear" w:color="auto" w:fill="FFFFFF"/>
        </w:rPr>
        <w:t>(o 10,7%, tj. o 135) i Litwą (o 6,9%, tj. o 12 jednostek)</w:t>
      </w:r>
      <w:r w:rsidR="00D83BC7">
        <w:rPr>
          <w:shd w:val="clear" w:color="auto" w:fill="FFFFFF"/>
        </w:rPr>
        <w:t xml:space="preserve">, jednak wskaźniki te były niższe niż </w:t>
      </w:r>
      <w:r w:rsidR="00866A57">
        <w:rPr>
          <w:shd w:val="clear" w:color="auto" w:fill="FFFFFF"/>
        </w:rPr>
        <w:t>w </w:t>
      </w:r>
      <w:r w:rsidR="00D83BC7">
        <w:rPr>
          <w:shd w:val="clear" w:color="auto" w:fill="FFFFFF"/>
        </w:rPr>
        <w:t>roku p</w:t>
      </w:r>
      <w:r w:rsidR="00866A57">
        <w:rPr>
          <w:shd w:val="clear" w:color="auto" w:fill="FFFFFF"/>
        </w:rPr>
        <w:t>opr</w:t>
      </w:r>
      <w:r w:rsidR="00D83BC7">
        <w:rPr>
          <w:shd w:val="clear" w:color="auto" w:fill="FFFFFF"/>
        </w:rPr>
        <w:t>z</w:t>
      </w:r>
      <w:r w:rsidR="00866A57">
        <w:rPr>
          <w:shd w:val="clear" w:color="auto" w:fill="FFFFFF"/>
        </w:rPr>
        <w:t>e</w:t>
      </w:r>
      <w:r w:rsidR="00D83BC7">
        <w:rPr>
          <w:shd w:val="clear" w:color="auto" w:fill="FFFFFF"/>
        </w:rPr>
        <w:t>dnim</w:t>
      </w:r>
      <w:r w:rsidR="0016034D" w:rsidRPr="00233FC3">
        <w:rPr>
          <w:shd w:val="clear" w:color="auto" w:fill="FFFFFF"/>
        </w:rPr>
        <w:t xml:space="preserve">. </w:t>
      </w:r>
      <w:r w:rsidR="00D83BC7">
        <w:rPr>
          <w:shd w:val="clear" w:color="auto" w:fill="FFFFFF"/>
        </w:rPr>
        <w:t>W 2016 r.</w:t>
      </w:r>
      <w:r w:rsidR="0016034D" w:rsidRPr="00233FC3">
        <w:rPr>
          <w:shd w:val="clear" w:color="auto" w:fill="FFFFFF"/>
        </w:rPr>
        <w:t xml:space="preserve"> </w:t>
      </w:r>
      <w:r w:rsidR="00D83BC7">
        <w:rPr>
          <w:shd w:val="clear" w:color="auto" w:fill="FFFFFF"/>
        </w:rPr>
        <w:t>liczba</w:t>
      </w:r>
      <w:r w:rsidR="0016034D" w:rsidRPr="00233FC3">
        <w:rPr>
          <w:shd w:val="clear" w:color="auto" w:fill="FFFFFF"/>
        </w:rPr>
        <w:t xml:space="preserve"> spółek z kapitałem zagranic</w:t>
      </w:r>
      <w:r w:rsidR="00873EAC">
        <w:rPr>
          <w:shd w:val="clear" w:color="auto" w:fill="FFFFFF"/>
        </w:rPr>
        <w:t>znym przy tych odcinkach granic</w:t>
      </w:r>
      <w:r w:rsidR="0016034D" w:rsidRPr="00233FC3">
        <w:rPr>
          <w:shd w:val="clear" w:color="auto" w:fill="FFFFFF"/>
        </w:rPr>
        <w:t xml:space="preserve"> </w:t>
      </w:r>
      <w:r w:rsidR="00D83BC7">
        <w:rPr>
          <w:shd w:val="clear" w:color="auto" w:fill="FFFFFF"/>
        </w:rPr>
        <w:t>wzrosła</w:t>
      </w:r>
      <w:r w:rsidR="0016034D" w:rsidRPr="00233FC3">
        <w:rPr>
          <w:shd w:val="clear" w:color="auto" w:fill="FFFFFF"/>
        </w:rPr>
        <w:t xml:space="preserve"> </w:t>
      </w:r>
      <w:r w:rsidR="00D83BC7">
        <w:rPr>
          <w:shd w:val="clear" w:color="auto" w:fill="FFFFFF"/>
        </w:rPr>
        <w:t xml:space="preserve">w porównaniu do 2015 r. </w:t>
      </w:r>
      <w:r w:rsidR="0016034D" w:rsidRPr="00233FC3">
        <w:rPr>
          <w:shd w:val="clear" w:color="auto" w:fill="FFFFFF"/>
        </w:rPr>
        <w:t>odpowiednio</w:t>
      </w:r>
      <w:r w:rsidR="00D83BC7">
        <w:rPr>
          <w:shd w:val="clear" w:color="auto" w:fill="FFFFFF"/>
        </w:rPr>
        <w:t xml:space="preserve"> o: </w:t>
      </w:r>
      <w:r w:rsidR="0016034D" w:rsidRPr="00233FC3">
        <w:rPr>
          <w:shd w:val="clear" w:color="auto" w:fill="FFFFFF"/>
        </w:rPr>
        <w:t>26,4</w:t>
      </w:r>
      <w:r w:rsidR="00D83BC7">
        <w:rPr>
          <w:shd w:val="clear" w:color="auto" w:fill="FFFFFF"/>
        </w:rPr>
        <w:t xml:space="preserve">%, </w:t>
      </w:r>
      <w:r w:rsidR="0016034D" w:rsidRPr="00233FC3">
        <w:rPr>
          <w:shd w:val="clear" w:color="auto" w:fill="FFFFFF"/>
        </w:rPr>
        <w:t>14,6</w:t>
      </w:r>
      <w:r w:rsidR="00D83BC7">
        <w:rPr>
          <w:shd w:val="clear" w:color="auto" w:fill="FFFFFF"/>
        </w:rPr>
        <w:t xml:space="preserve">%, </w:t>
      </w:r>
      <w:r w:rsidR="0016034D" w:rsidRPr="00233FC3">
        <w:rPr>
          <w:shd w:val="clear" w:color="auto" w:fill="FFFFFF"/>
        </w:rPr>
        <w:t>12,3</w:t>
      </w:r>
      <w:r w:rsidR="00D83BC7">
        <w:rPr>
          <w:shd w:val="clear" w:color="auto" w:fill="FFFFFF"/>
        </w:rPr>
        <w:t>%</w:t>
      </w:r>
      <w:r w:rsidR="0016034D" w:rsidRPr="00233FC3">
        <w:rPr>
          <w:shd w:val="clear" w:color="auto" w:fill="FFFFFF"/>
        </w:rPr>
        <w:t>.</w:t>
      </w:r>
      <w:r w:rsidR="00D83BC7">
        <w:rPr>
          <w:shd w:val="clear" w:color="auto" w:fill="FFFFFF"/>
        </w:rPr>
        <w:t xml:space="preserve"> W</w:t>
      </w:r>
      <w:r w:rsidR="0016034D" w:rsidRPr="00233FC3">
        <w:rPr>
          <w:shd w:val="clear" w:color="auto" w:fill="FFFFFF"/>
        </w:rPr>
        <w:t xml:space="preserve"> 2017 r. (</w:t>
      </w:r>
      <w:r w:rsidR="00F60715">
        <w:rPr>
          <w:shd w:val="clear" w:color="auto" w:fill="FFFFFF"/>
        </w:rPr>
        <w:t xml:space="preserve">w odniesieniu do </w:t>
      </w:r>
      <w:r w:rsidR="0016034D" w:rsidRPr="00233FC3">
        <w:rPr>
          <w:shd w:val="clear" w:color="auto" w:fill="FFFFFF"/>
        </w:rPr>
        <w:t>2016 r</w:t>
      </w:r>
      <w:r w:rsidR="00F60715">
        <w:rPr>
          <w:shd w:val="clear" w:color="auto" w:fill="FFFFFF"/>
        </w:rPr>
        <w:t>.</w:t>
      </w:r>
      <w:r w:rsidR="0016034D" w:rsidRPr="00233FC3">
        <w:rPr>
          <w:shd w:val="clear" w:color="auto" w:fill="FFFFFF"/>
        </w:rPr>
        <w:t xml:space="preserve">) </w:t>
      </w:r>
      <w:r w:rsidR="00D83BC7">
        <w:rPr>
          <w:shd w:val="clear" w:color="auto" w:fill="FFFFFF"/>
        </w:rPr>
        <w:t>l</w:t>
      </w:r>
      <w:r w:rsidR="00D83BC7" w:rsidRPr="00233FC3">
        <w:rPr>
          <w:shd w:val="clear" w:color="auto" w:fill="FFFFFF"/>
        </w:rPr>
        <w:t xml:space="preserve">iczba zarejestrowanych spółek z </w:t>
      </w:r>
      <w:r w:rsidR="00D83BC7">
        <w:rPr>
          <w:shd w:val="clear" w:color="auto" w:fill="FFFFFF"/>
        </w:rPr>
        <w:t>kapitałem zagranicznym</w:t>
      </w:r>
      <w:r w:rsidR="0016034D" w:rsidRPr="00233FC3">
        <w:rPr>
          <w:shd w:val="clear" w:color="auto" w:fill="FFFFFF"/>
        </w:rPr>
        <w:t xml:space="preserve"> p</w:t>
      </w:r>
      <w:r w:rsidR="00D83BC7">
        <w:rPr>
          <w:shd w:val="clear" w:color="auto" w:fill="FFFFFF"/>
        </w:rPr>
        <w:t>rzy odcinku granicy ze Słowacją</w:t>
      </w:r>
      <w:r w:rsidR="0016034D" w:rsidRPr="00233FC3">
        <w:rPr>
          <w:shd w:val="clear" w:color="auto" w:fill="FFFFFF"/>
        </w:rPr>
        <w:t xml:space="preserve"> </w:t>
      </w:r>
      <w:r w:rsidR="0016034D">
        <w:rPr>
          <w:shd w:val="clear" w:color="auto" w:fill="FFFFFF"/>
        </w:rPr>
        <w:t>spadła o </w:t>
      </w:r>
      <w:r w:rsidR="0016034D" w:rsidRPr="00233FC3">
        <w:rPr>
          <w:shd w:val="clear" w:color="auto" w:fill="FFFFFF"/>
        </w:rPr>
        <w:t>1,1%</w:t>
      </w:r>
      <w:r w:rsidR="00693A96">
        <w:rPr>
          <w:shd w:val="clear" w:color="auto" w:fill="FFFFFF"/>
        </w:rPr>
        <w:t xml:space="preserve"> </w:t>
      </w:r>
      <w:r w:rsidR="0016034D" w:rsidRPr="00233FC3">
        <w:rPr>
          <w:shd w:val="clear" w:color="auto" w:fill="FFFFFF"/>
        </w:rPr>
        <w:t>(tj. o 24 jednostki i wyniosła 2114), natomiast w poprze</w:t>
      </w:r>
      <w:r w:rsidR="0016034D">
        <w:rPr>
          <w:shd w:val="clear" w:color="auto" w:fill="FFFFFF"/>
        </w:rPr>
        <w:t>dnim roku miał miejsce wzrost o </w:t>
      </w:r>
      <w:r w:rsidR="0016034D" w:rsidRPr="00233FC3">
        <w:rPr>
          <w:shd w:val="clear" w:color="auto" w:fill="FFFFFF"/>
        </w:rPr>
        <w:t>7,0%.</w:t>
      </w:r>
    </w:p>
    <w:p w14:paraId="42D50A64" w14:textId="68A1EA75" w:rsidR="00CA10E6" w:rsidRPr="00520CF4" w:rsidRDefault="00A254CC" w:rsidP="00CA10E6">
      <w:pPr>
        <w:rPr>
          <w:shd w:val="clear" w:color="auto" w:fill="FFFFFF"/>
        </w:rPr>
      </w:pPr>
      <w:r w:rsidRPr="00520CF4">
        <w:rPr>
          <w:shd w:val="clear" w:color="auto" w:fill="FFFFFF"/>
        </w:rPr>
        <w:t>W strefie przygranicznej w 2017 r. na 10</w:t>
      </w:r>
      <w:r>
        <w:rPr>
          <w:shd w:val="clear" w:color="auto" w:fill="FFFFFF"/>
        </w:rPr>
        <w:t xml:space="preserve"> tys. </w:t>
      </w:r>
      <w:r w:rsidRPr="00520CF4">
        <w:rPr>
          <w:shd w:val="clear" w:color="auto" w:fill="FFFFFF"/>
        </w:rPr>
        <w:t xml:space="preserve">ludności przypadało </w:t>
      </w:r>
      <w:r>
        <w:rPr>
          <w:shd w:val="clear" w:color="auto" w:fill="FFFFFF"/>
        </w:rPr>
        <w:t>17,8</w:t>
      </w:r>
      <w:r w:rsidRPr="00520CF4">
        <w:rPr>
          <w:shd w:val="clear" w:color="auto" w:fill="FFFFFF"/>
        </w:rPr>
        <w:t xml:space="preserve"> </w:t>
      </w:r>
      <w:r w:rsidRPr="00CA10E6">
        <w:rPr>
          <w:shd w:val="clear" w:color="auto" w:fill="FFFFFF"/>
        </w:rPr>
        <w:t>spółek z udziałem kapitału zagranicznego</w:t>
      </w:r>
      <w:r w:rsidRPr="00520CF4">
        <w:rPr>
          <w:shd w:val="clear" w:color="auto" w:fill="FFFFFF"/>
        </w:rPr>
        <w:t xml:space="preserve"> (w kraju </w:t>
      </w:r>
      <w:r>
        <w:rPr>
          <w:shd w:val="clear" w:color="auto" w:fill="FFFFFF"/>
        </w:rPr>
        <w:t>24,7</w:t>
      </w:r>
      <w:r w:rsidRPr="00520CF4">
        <w:rPr>
          <w:shd w:val="clear" w:color="auto" w:fill="FFFFFF"/>
        </w:rPr>
        <w:t>).</w:t>
      </w:r>
      <w:r>
        <w:rPr>
          <w:shd w:val="clear" w:color="auto" w:fill="FFFFFF"/>
        </w:rPr>
        <w:t xml:space="preserve"> </w:t>
      </w:r>
      <w:r w:rsidR="0016034D" w:rsidRPr="00CA10E6">
        <w:rPr>
          <w:shd w:val="clear" w:color="auto" w:fill="FFFFFF"/>
        </w:rPr>
        <w:t xml:space="preserve">Pod </w:t>
      </w:r>
      <w:r>
        <w:rPr>
          <w:shd w:val="clear" w:color="auto" w:fill="FFFFFF"/>
        </w:rPr>
        <w:t xml:space="preserve">tym względem </w:t>
      </w:r>
      <w:r w:rsidR="0016034D" w:rsidRPr="00CA10E6">
        <w:rPr>
          <w:shd w:val="clear" w:color="auto" w:fill="FFFFFF"/>
        </w:rPr>
        <w:t>wyróżniały się obszary strefy przy granic</w:t>
      </w:r>
      <w:r w:rsidR="00791FBD">
        <w:rPr>
          <w:shd w:val="clear" w:color="auto" w:fill="FFFFFF"/>
        </w:rPr>
        <w:t>y</w:t>
      </w:r>
      <w:r w:rsidR="0016034D" w:rsidRPr="00CA10E6">
        <w:rPr>
          <w:shd w:val="clear" w:color="auto" w:fill="FFFFFF"/>
        </w:rPr>
        <w:t xml:space="preserve"> z Niemcami (34,4) i morzem (22,6), gdzie wystąpiły najwyższe wartości. Przy granicy z Czechami liczba spółek z kapitałem zagranicznym na 10 tys. ludności kształtowała się na poziomie miernika dl</w:t>
      </w:r>
      <w:r w:rsidR="000B3101">
        <w:rPr>
          <w:shd w:val="clear" w:color="auto" w:fill="FFFFFF"/>
        </w:rPr>
        <w:t>a całej strefy przygranicznej w </w:t>
      </w:r>
      <w:r w:rsidR="0016034D" w:rsidRPr="00CA10E6">
        <w:rPr>
          <w:shd w:val="clear" w:color="auto" w:fill="FFFFFF"/>
        </w:rPr>
        <w:t xml:space="preserve">Polsce. Na terenach przygranicznych z </w:t>
      </w:r>
      <w:r w:rsidR="000B3101">
        <w:rPr>
          <w:shd w:val="clear" w:color="auto" w:fill="FFFFFF"/>
        </w:rPr>
        <w:t>pozostałymi</w:t>
      </w:r>
      <w:r w:rsidR="00890ECA">
        <w:rPr>
          <w:shd w:val="clear" w:color="auto" w:fill="FFFFFF"/>
        </w:rPr>
        <w:t xml:space="preserve"> krajami</w:t>
      </w:r>
      <w:r w:rsidR="0016034D" w:rsidRPr="00CA10E6">
        <w:rPr>
          <w:shd w:val="clear" w:color="auto" w:fill="FFFFFF"/>
        </w:rPr>
        <w:t xml:space="preserve"> wskaźnik ten był niższy</w:t>
      </w:r>
      <w:r w:rsidR="000B3101">
        <w:rPr>
          <w:shd w:val="clear" w:color="auto" w:fill="FFFFFF"/>
        </w:rPr>
        <w:t xml:space="preserve"> niż dla ogółu strefy przygranicznej</w:t>
      </w:r>
      <w:r w:rsidR="0016034D" w:rsidRPr="00CA10E6">
        <w:rPr>
          <w:shd w:val="clear" w:color="auto" w:fill="FFFFFF"/>
        </w:rPr>
        <w:t>. Najmniej spółek z</w:t>
      </w:r>
      <w:r>
        <w:rPr>
          <w:shd w:val="clear" w:color="auto" w:fill="FFFFFF"/>
        </w:rPr>
        <w:t> </w:t>
      </w:r>
      <w:r w:rsidR="0016034D" w:rsidRPr="00CA10E6">
        <w:rPr>
          <w:shd w:val="clear" w:color="auto" w:fill="FFFFFF"/>
        </w:rPr>
        <w:t>kapitałem zagranicznym na 10 tys. lud</w:t>
      </w:r>
      <w:r w:rsidR="00BA7B08">
        <w:rPr>
          <w:shd w:val="clear" w:color="auto" w:fill="FFFFFF"/>
        </w:rPr>
        <w:t>ności odnotowano przy granicy z </w:t>
      </w:r>
      <w:r w:rsidR="0016034D" w:rsidRPr="00CA10E6">
        <w:rPr>
          <w:shd w:val="clear" w:color="auto" w:fill="FFFFFF"/>
        </w:rPr>
        <w:t>Litwą (7,6) i Słowacją (8,1).</w:t>
      </w:r>
    </w:p>
    <w:p w14:paraId="0310280E" w14:textId="6EB4E273" w:rsidR="00370628" w:rsidRPr="00A44C08" w:rsidRDefault="00370628" w:rsidP="00370628">
      <w:pPr>
        <w:pStyle w:val="Nagwek1"/>
        <w:rPr>
          <w:color w:val="auto"/>
          <w:shd w:val="clear" w:color="auto" w:fill="FFFFFF"/>
        </w:rPr>
      </w:pPr>
      <w:r w:rsidRPr="00A44C08">
        <w:rPr>
          <w:color w:val="auto"/>
        </w:rPr>
        <w:t>Mapa 2.</w:t>
      </w:r>
      <w:r w:rsidRPr="00A44C08">
        <w:rPr>
          <w:color w:val="auto"/>
          <w:shd w:val="clear" w:color="auto" w:fill="FFFFFF"/>
        </w:rPr>
        <w:t xml:space="preserve"> Spółki z udziałem kapitału zagranicznego w 2017</w:t>
      </w:r>
      <w:r w:rsidR="003B4809">
        <w:rPr>
          <w:color w:val="auto"/>
          <w:shd w:val="clear" w:color="auto" w:fill="FFFFFF"/>
        </w:rPr>
        <w:t xml:space="preserve"> roku</w:t>
      </w:r>
      <w:bookmarkStart w:id="0" w:name="_GoBack"/>
      <w:bookmarkEnd w:id="0"/>
    </w:p>
    <w:p w14:paraId="07CDCF2E" w14:textId="14F65E9B" w:rsidR="004E08D0" w:rsidRDefault="00E84302" w:rsidP="00370628">
      <w:pPr>
        <w:spacing w:line="240" w:lineRule="auto"/>
        <w:rPr>
          <w:sz w:val="18"/>
        </w:rPr>
        <w:sectPr w:rsidR="004E08D0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sz w:val="18"/>
          <w:lang w:eastAsia="pl-PL"/>
        </w:rPr>
        <w:drawing>
          <wp:inline distT="0" distB="0" distL="0" distR="0" wp14:anchorId="4A981309" wp14:editId="0D6812AB">
            <wp:extent cx="4706109" cy="34956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a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109" cy="34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2BF0" w14:textId="43525E8E" w:rsidR="00DD0DB1" w:rsidRPr="00213B96" w:rsidRDefault="00DD0DB1" w:rsidP="0077001B">
      <w:pPr>
        <w:spacing w:before="240"/>
        <w:jc w:val="center"/>
        <w:rPr>
          <w:rFonts w:cs="Arial"/>
          <w:szCs w:val="19"/>
        </w:rPr>
      </w:pPr>
      <w:r w:rsidRPr="003E2993">
        <w:rPr>
          <w:rFonts w:cs="Arial"/>
          <w:b/>
          <w:szCs w:val="19"/>
        </w:rPr>
        <w:lastRenderedPageBreak/>
        <w:t>Uwagi</w:t>
      </w:r>
      <w:r>
        <w:rPr>
          <w:rFonts w:cs="Arial"/>
          <w:b/>
          <w:szCs w:val="19"/>
        </w:rPr>
        <w:t xml:space="preserve"> metodyczne</w:t>
      </w:r>
    </w:p>
    <w:p w14:paraId="2DB860D2" w14:textId="057F7705" w:rsidR="00DD0DB1" w:rsidRPr="00DD0DB1" w:rsidRDefault="00DD0DB1" w:rsidP="00DD0DB1">
      <w:pPr>
        <w:pStyle w:val="Akapitzlist"/>
        <w:numPr>
          <w:ilvl w:val="0"/>
          <w:numId w:val="3"/>
        </w:numPr>
        <w:spacing w:before="0"/>
        <w:ind w:left="340" w:hanging="340"/>
        <w:contextualSpacing w:val="0"/>
        <w:rPr>
          <w:rFonts w:cs="Arial"/>
          <w:szCs w:val="19"/>
        </w:rPr>
      </w:pPr>
      <w:r w:rsidRPr="00DD0DB1">
        <w:rPr>
          <w:rFonts w:cs="Arial"/>
          <w:szCs w:val="19"/>
        </w:rPr>
        <w:t>Informację opracowano na podstawie danych wpisanych do krajowego rejestru urzędowego podmiotów gospodarki narodowej – REGON, według stanu w dniu 31 grudnia. Dane o podmiotach nie obejmują osób prowadzących gospodarstwa indywidualne w rolnictwie.</w:t>
      </w:r>
    </w:p>
    <w:p w14:paraId="15671F79" w14:textId="7EAC85D9" w:rsidR="00DD0DB1" w:rsidRPr="00DD0DB1" w:rsidRDefault="00DD0DB1" w:rsidP="00DD0DB1">
      <w:pPr>
        <w:pStyle w:val="Akapitzlist"/>
        <w:numPr>
          <w:ilvl w:val="0"/>
          <w:numId w:val="3"/>
        </w:numPr>
        <w:spacing w:before="0"/>
        <w:ind w:left="340" w:hanging="340"/>
        <w:contextualSpacing w:val="0"/>
        <w:rPr>
          <w:rFonts w:cs="Arial"/>
          <w:szCs w:val="19"/>
        </w:rPr>
      </w:pPr>
      <w:r w:rsidRPr="00DD0DB1">
        <w:rPr>
          <w:rFonts w:cs="Arial"/>
          <w:szCs w:val="19"/>
        </w:rPr>
        <w:t xml:space="preserve">Obszar przygraniczny (strefa przygraniczna) </w:t>
      </w:r>
      <w:proofErr w:type="spellStart"/>
      <w:r w:rsidRPr="00DD0DB1">
        <w:rPr>
          <w:rFonts w:cs="Arial"/>
          <w:szCs w:val="19"/>
        </w:rPr>
        <w:t>zdelimitowany</w:t>
      </w:r>
      <w:proofErr w:type="spellEnd"/>
      <w:r w:rsidRPr="00DD0DB1">
        <w:rPr>
          <w:rFonts w:cs="Arial"/>
          <w:szCs w:val="19"/>
        </w:rPr>
        <w:t xml:space="preserve"> został na potrzeby charakterystyki obszarów przygranicznych na terenie Polski. Strefa przygraniczna obejmuje powiaty i miasta na prawach powiatu, których siedziba władz zlokalizowana jest w miastach położonych w odległości do 50 km od granicy Polski z krajami sąsiadującymi lub od linii brzegowej Morza Bałtyckiego.</w:t>
      </w:r>
      <w:r w:rsidRPr="00DD0DB1">
        <w:rPr>
          <w:b/>
          <w:noProof/>
          <w:szCs w:val="19"/>
        </w:rPr>
        <w:t xml:space="preserve"> </w:t>
      </w:r>
    </w:p>
    <w:p w14:paraId="302F2DDD" w14:textId="77777777" w:rsidR="00DD0DB1" w:rsidRPr="00DD0DB1" w:rsidRDefault="00DD0DB1" w:rsidP="00DD0DB1">
      <w:pPr>
        <w:pStyle w:val="Akapitzlist"/>
        <w:numPr>
          <w:ilvl w:val="0"/>
          <w:numId w:val="3"/>
        </w:numPr>
        <w:spacing w:before="0"/>
        <w:ind w:left="340" w:hanging="340"/>
        <w:contextualSpacing w:val="0"/>
        <w:rPr>
          <w:rFonts w:cs="Arial"/>
          <w:szCs w:val="19"/>
        </w:rPr>
      </w:pPr>
      <w:r w:rsidRPr="00DD0DB1">
        <w:rPr>
          <w:rFonts w:cs="Arial"/>
          <w:szCs w:val="19"/>
        </w:rPr>
        <w:t>W strefie przygranicznej na terenie Polski znajdują się 144 powiaty. Obejmują one obszar ponad 114 tys. km</w:t>
      </w:r>
      <w:r w:rsidRPr="00DD0DB1">
        <w:rPr>
          <w:rFonts w:cs="Arial"/>
          <w:szCs w:val="19"/>
          <w:vertAlign w:val="superscript"/>
        </w:rPr>
        <w:t>2</w:t>
      </w:r>
      <w:r w:rsidRPr="00DD0DB1">
        <w:rPr>
          <w:rFonts w:cs="Arial"/>
          <w:szCs w:val="19"/>
        </w:rPr>
        <w:t xml:space="preserve"> (około 36,6% powierzchni Polski), który zamieszkuje ponad 13,6 mln osób (35,5% ludności Polski). </w:t>
      </w:r>
    </w:p>
    <w:p w14:paraId="0540AF2C" w14:textId="422F6F22" w:rsidR="00CE435A" w:rsidRPr="00DD0DB1" w:rsidRDefault="00DD0DB1" w:rsidP="00DD0DB1">
      <w:pPr>
        <w:pStyle w:val="Akapitzlist"/>
        <w:numPr>
          <w:ilvl w:val="0"/>
          <w:numId w:val="3"/>
        </w:numPr>
        <w:spacing w:before="0"/>
        <w:ind w:left="340" w:hanging="340"/>
        <w:contextualSpacing w:val="0"/>
        <w:rPr>
          <w:rFonts w:cs="Arial"/>
          <w:szCs w:val="19"/>
        </w:rPr>
      </w:pPr>
      <w:r w:rsidRPr="00DD0DB1">
        <w:rPr>
          <w:rFonts w:cs="Arial"/>
          <w:szCs w:val="19"/>
        </w:rPr>
        <w:t xml:space="preserve">Analizując strefę przygraniczną na terenie Polski według odcinków </w:t>
      </w:r>
      <w:r w:rsidRPr="00BC36BE">
        <w:rPr>
          <w:rFonts w:cs="Arial"/>
          <w:szCs w:val="19"/>
        </w:rPr>
        <w:t>granic</w:t>
      </w:r>
      <w:r w:rsidRPr="00DD0DB1">
        <w:rPr>
          <w:rFonts w:cs="Arial"/>
          <w:szCs w:val="19"/>
        </w:rPr>
        <w:t xml:space="preserve"> z krajami sąsiadującymi (w tym z morzem) należy zauważyć, że w kilku przypadkach występują powiaty, które są obszarami przygranicznymi jednocześnie przy dwóch lub trzech krajach. Przy charakterystyce danego obszaru przygranicznego powiaty te ujmowane są jeden raz.</w:t>
      </w:r>
    </w:p>
    <w:p w14:paraId="3BAFD4FA" w14:textId="77777777" w:rsidR="00567426" w:rsidRPr="00E61E72" w:rsidRDefault="00567426" w:rsidP="0016034D">
      <w:pPr>
        <w:spacing w:line="240" w:lineRule="auto"/>
        <w:rPr>
          <w:sz w:val="2"/>
          <w:szCs w:val="2"/>
        </w:rPr>
      </w:pPr>
    </w:p>
    <w:p w14:paraId="7B920CB9" w14:textId="77777777" w:rsidR="00694AF0" w:rsidRPr="00E61E72" w:rsidRDefault="00694AF0" w:rsidP="00E76D26">
      <w:pPr>
        <w:rPr>
          <w:sz w:val="2"/>
          <w:szCs w:val="2"/>
        </w:rPr>
        <w:sectPr w:rsidR="00694AF0" w:rsidRPr="00E61E72" w:rsidSect="0077001B">
          <w:headerReference w:type="first" r:id="rId20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BC36BE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8865941" w14:textId="77777777" w:rsidR="00567426" w:rsidRPr="00567426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51ACEDB" w14:textId="77777777" w:rsidR="00567426" w:rsidRPr="00567426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Ośrodek Badań Obszarów Transgranicznych</w:t>
            </w:r>
          </w:p>
          <w:p w14:paraId="7B920CBC" w14:textId="307E82E6" w:rsidR="000470AA" w:rsidRPr="008F3638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i Statystyki Euroregionalnej</w:t>
            </w:r>
          </w:p>
          <w:p w14:paraId="7B920CBD" w14:textId="2C8C8EA6" w:rsidR="000470AA" w:rsidRPr="00BB4F09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6742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Wiesława Magryś</w:t>
            </w:r>
          </w:p>
          <w:p w14:paraId="7B920CBE" w14:textId="250B56A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17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853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10</w:t>
            </w:r>
          </w:p>
          <w:p w14:paraId="7B920CBF" w14:textId="43945C26" w:rsidR="000470AA" w:rsidRPr="008F3638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50118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67426" w:rsidRPr="00501187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B920CC1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7B920CC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7B920CC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501187" w:rsidRDefault="000470AA" w:rsidP="000470AA">
      <w:pPr>
        <w:rPr>
          <w:sz w:val="20"/>
          <w:lang w:val="en-US"/>
        </w:rPr>
      </w:pPr>
    </w:p>
    <w:p w14:paraId="7B920CC6" w14:textId="77777777" w:rsidR="000470AA" w:rsidRPr="00501187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7B920CC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B920CC7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B920CC8" w14:textId="718B850A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22 608 34 91, 22 608 38 04 </w:t>
            </w:r>
          </w:p>
          <w:p w14:paraId="7B920CC9" w14:textId="01F8193D" w:rsidR="000470AA" w:rsidRPr="00501187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501187">
              <w:rPr>
                <w:b/>
                <w:sz w:val="20"/>
                <w:lang w:val="en-US"/>
              </w:rPr>
              <w:t>faks</w:t>
            </w:r>
            <w:proofErr w:type="spellEnd"/>
            <w:r w:rsidRPr="00501187">
              <w:rPr>
                <w:b/>
                <w:sz w:val="20"/>
                <w:lang w:val="en-US"/>
              </w:rPr>
              <w:t>:</w:t>
            </w:r>
            <w:r w:rsidRPr="00501187">
              <w:rPr>
                <w:sz w:val="20"/>
                <w:lang w:val="en-US"/>
              </w:rPr>
              <w:t xml:space="preserve"> 22 608 38 86 </w:t>
            </w:r>
          </w:p>
          <w:p w14:paraId="7B920CCA" w14:textId="77777777" w:rsidR="000470AA" w:rsidRPr="00501187" w:rsidRDefault="000470AA" w:rsidP="000470AA">
            <w:pPr>
              <w:rPr>
                <w:sz w:val="18"/>
                <w:lang w:val="en-US"/>
              </w:rPr>
            </w:pPr>
            <w:r w:rsidRPr="00501187">
              <w:rPr>
                <w:b/>
                <w:sz w:val="20"/>
                <w:lang w:val="en-US"/>
              </w:rPr>
              <w:t>e-mail:</w:t>
            </w:r>
            <w:r w:rsidRPr="00501187">
              <w:rPr>
                <w:sz w:val="20"/>
                <w:lang w:val="en-US"/>
              </w:rPr>
              <w:t xml:space="preserve"> </w:t>
            </w:r>
            <w:hyperlink r:id="rId23" w:history="1">
              <w:r w:rsidRPr="0050118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50118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2CEDD6B7">
                <wp:simplePos x="0" y="0"/>
                <wp:positionH relativeFrom="margin">
                  <wp:posOffset>17145</wp:posOffset>
                </wp:positionH>
                <wp:positionV relativeFrom="paragraph">
                  <wp:posOffset>422910</wp:posOffset>
                </wp:positionV>
                <wp:extent cx="6559550" cy="3674745"/>
                <wp:effectExtent l="0" t="0" r="12700" b="2095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74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45FF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45FF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9" w14:textId="28F68545" w:rsidR="00AB6D25" w:rsidRPr="00545FF9" w:rsidRDefault="00E8430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502713" w:rsidRPr="00545FF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Zmiany strukturalne grup podmiotów gospodarki narodowej na obszarach przygranicznych na terenie Polski</w:t>
                              </w:r>
                            </w:hyperlink>
                          </w:p>
                          <w:p w14:paraId="7B920D0D" w14:textId="77777777" w:rsidR="00673C26" w:rsidRPr="00545FF9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0E" w14:textId="77777777" w:rsidR="00AB6D25" w:rsidRPr="00545FF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45FF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7B920D0F" w14:textId="151B7CD1" w:rsidR="00673C26" w:rsidRPr="00545FF9" w:rsidRDefault="00E843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70912" w:rsidRPr="00545FF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14:paraId="7B920D11" w14:textId="77777777" w:rsidR="00AB6D25" w:rsidRPr="00545FF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3FF3E28B" w:rsidR="00673C26" w:rsidRPr="00673C26" w:rsidRDefault="00E843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26996" w:rsidRPr="00426996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Podmiot gospodarki narodowej</w:t>
                              </w:r>
                            </w:hyperlink>
                          </w:p>
                          <w:p w14:paraId="7B920D14" w14:textId="133983B1" w:rsidR="00673C26" w:rsidRPr="00545FF9" w:rsidRDefault="00E843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55A1E" w:rsidRPr="00545FF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Osoba fizyczna prowadząca działalność gospodarczą</w:t>
                              </w:r>
                            </w:hyperlink>
                          </w:p>
                          <w:p w14:paraId="7039EB2C" w14:textId="7D2895AD" w:rsidR="00155A1E" w:rsidRPr="00545FF9" w:rsidRDefault="00E84302" w:rsidP="00155A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55A1E" w:rsidRPr="00545FF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Sektor prywatny</w:t>
                              </w:r>
                            </w:hyperlink>
                          </w:p>
                          <w:p w14:paraId="44D443CB" w14:textId="53733638" w:rsidR="003B4809" w:rsidRPr="00545FF9" w:rsidRDefault="00E84302" w:rsidP="00155A1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155A1E" w:rsidRPr="00545FF9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Sektor publiczny</w:t>
                              </w:r>
                            </w:hyperlink>
                          </w:p>
                          <w:p w14:paraId="33A230E1" w14:textId="77777777" w:rsidR="00155A1E" w:rsidRPr="00545FF9" w:rsidRDefault="00155A1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2A59F2E5" w14:textId="68024E61" w:rsidR="00AB10CF" w:rsidRPr="00AB10CF" w:rsidRDefault="00E84302" w:rsidP="00AB10CF">
                            <w:pPr>
                              <w:rPr>
                                <w:b/>
                                <w:szCs w:val="24"/>
                              </w:rPr>
                            </w:pPr>
                            <w:hyperlink r:id="rId33" w:history="1">
                              <w:r w:rsidR="00AB10CF" w:rsidRPr="00AB10CF">
                                <w:rPr>
                                  <w:rStyle w:val="Hipercze"/>
                                  <w:rFonts w:cstheme="minorBidi"/>
                                  <w:b/>
                                  <w:color w:val="auto"/>
                                  <w:szCs w:val="24"/>
                                </w:rPr>
                                <w:t>Więcej informacji o rejestrze REGON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3.3pt;width:516.5pt;height:289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45FF9" w:rsidRDefault="00AB6D25" w:rsidP="00AB6D25">
                      <w:pPr>
                        <w:rPr>
                          <w:b/>
                        </w:rPr>
                      </w:pPr>
                      <w:r w:rsidRPr="00545FF9">
                        <w:rPr>
                          <w:b/>
                        </w:rPr>
                        <w:t>Powiązane opracowania</w:t>
                      </w:r>
                    </w:p>
                    <w:p w14:paraId="7B920D09" w14:textId="28F68545" w:rsidR="00AB6D25" w:rsidRPr="00545FF9" w:rsidRDefault="007E299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502713" w:rsidRPr="00545FF9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Zmiany strukturalne grup podmiotów gospodarki narodowej na obszarach przygranicznych na terenie Polski</w:t>
                        </w:r>
                      </w:hyperlink>
                    </w:p>
                    <w:p w14:paraId="7B920D0D" w14:textId="77777777" w:rsidR="00673C26" w:rsidRPr="00545FF9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0E" w14:textId="77777777" w:rsidR="00AB6D25" w:rsidRPr="00545FF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45FF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7B920D0F" w14:textId="151B7CD1" w:rsidR="00673C26" w:rsidRPr="00545FF9" w:rsidRDefault="007E29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70912" w:rsidRPr="00545FF9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14:paraId="7B920D11" w14:textId="77777777" w:rsidR="00AB6D25" w:rsidRPr="00545FF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3FF3E28B" w:rsidR="00673C26" w:rsidRPr="00673C26" w:rsidRDefault="007E29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26996" w:rsidRPr="00426996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Podmiot gospodarki narodowej</w:t>
                        </w:r>
                      </w:hyperlink>
                    </w:p>
                    <w:p w14:paraId="7B920D14" w14:textId="133983B1" w:rsidR="00673C26" w:rsidRPr="00545FF9" w:rsidRDefault="007E29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55A1E" w:rsidRPr="00545FF9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Osoba fizyczna prowadząca działalność gospodarczą</w:t>
                        </w:r>
                      </w:hyperlink>
                    </w:p>
                    <w:p w14:paraId="7039EB2C" w14:textId="7D2895AD" w:rsidR="00155A1E" w:rsidRPr="00545FF9" w:rsidRDefault="007E2990" w:rsidP="00155A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155A1E" w:rsidRPr="00545FF9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Sektor prywatny</w:t>
                        </w:r>
                      </w:hyperlink>
                    </w:p>
                    <w:p w14:paraId="44D443CB" w14:textId="53733638" w:rsidR="003B4809" w:rsidRPr="00545FF9" w:rsidRDefault="007E2990" w:rsidP="00155A1E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155A1E" w:rsidRPr="00545FF9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Sektor publiczny</w:t>
                        </w:r>
                      </w:hyperlink>
                    </w:p>
                    <w:p w14:paraId="33A230E1" w14:textId="77777777" w:rsidR="00155A1E" w:rsidRPr="00545FF9" w:rsidRDefault="00155A1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bookmarkStart w:id="1" w:name="_GoBack"/>
                      <w:bookmarkEnd w:id="1"/>
                    </w:p>
                    <w:p w14:paraId="2A59F2E5" w14:textId="68024E61" w:rsidR="00AB10CF" w:rsidRPr="00AB10CF" w:rsidRDefault="007E2990" w:rsidP="00AB10CF">
                      <w:pPr>
                        <w:rPr>
                          <w:b/>
                          <w:szCs w:val="24"/>
                        </w:rPr>
                      </w:pPr>
                      <w:hyperlink r:id="rId40" w:history="1">
                        <w:r w:rsidR="00AB10CF" w:rsidRPr="00AB10CF">
                          <w:rPr>
                            <w:rStyle w:val="Hipercze"/>
                            <w:rFonts w:cstheme="minorBidi"/>
                            <w:b/>
                            <w:color w:val="auto"/>
                            <w:szCs w:val="24"/>
                          </w:rPr>
                          <w:t>Więcej informacji o rejestrze REGON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20CEB" w14:textId="77777777" w:rsidR="00262B61" w:rsidRDefault="00262B61" w:rsidP="000662E2">
      <w:pPr>
        <w:spacing w:after="0" w:line="240" w:lineRule="auto"/>
      </w:pPr>
      <w:r>
        <w:separator/>
      </w:r>
    </w:p>
  </w:endnote>
  <w:endnote w:type="continuationSeparator" w:id="0">
    <w:p w14:paraId="7B920CEC" w14:textId="77777777" w:rsidR="00262B61" w:rsidRDefault="00262B6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0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02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0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0CE9" w14:textId="77777777" w:rsidR="00262B61" w:rsidRDefault="00262B61" w:rsidP="000662E2">
      <w:pPr>
        <w:spacing w:after="0" w:line="240" w:lineRule="auto"/>
      </w:pPr>
      <w:r>
        <w:separator/>
      </w:r>
    </w:p>
  </w:footnote>
  <w:footnote w:type="continuationSeparator" w:id="0">
    <w:p w14:paraId="7B920CEA" w14:textId="77777777" w:rsidR="00262B61" w:rsidRDefault="00262B6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3D61F2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0AACC6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7B920CF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B34D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673EDA" w:rsidRPr="00EC37ED">
      <w:rPr>
        <w:noProof/>
        <w:lang w:eastAsia="pl-PL"/>
      </w:rPr>
      <w:drawing>
        <wp:inline distT="0" distB="0" distL="0" distR="0" wp14:anchorId="719C3566" wp14:editId="10B972CF">
          <wp:extent cx="2199882" cy="72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8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7B920CF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A12C948" w:rsidR="00F37172" w:rsidRPr="00C97596" w:rsidRDefault="000712A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7B920D18" w14:textId="6A12C948" w:rsidR="00F37172" w:rsidRPr="00C97596" w:rsidRDefault="000712A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E4DEB" w14:textId="268116DB" w:rsidR="00DD0DB1" w:rsidRDefault="00DD0DB1">
    <w:pPr>
      <w:pStyle w:val="Nagwek"/>
      <w:rPr>
        <w:noProof/>
        <w:lang w:eastAsia="pl-PL"/>
      </w:rPr>
    </w:pPr>
  </w:p>
  <w:p w14:paraId="0B9FF84E" w14:textId="47DC9121" w:rsidR="00DD0DB1" w:rsidRDefault="00DD0DB1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5pt;height:12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2.75pt;height:122.7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0E4"/>
    <w:rsid w:val="000108B8"/>
    <w:rsid w:val="000152F5"/>
    <w:rsid w:val="000174CD"/>
    <w:rsid w:val="00030C94"/>
    <w:rsid w:val="0004582E"/>
    <w:rsid w:val="000470AA"/>
    <w:rsid w:val="00055CCD"/>
    <w:rsid w:val="00057CA1"/>
    <w:rsid w:val="000662E2"/>
    <w:rsid w:val="00066883"/>
    <w:rsid w:val="000712AA"/>
    <w:rsid w:val="00072952"/>
    <w:rsid w:val="00074DD8"/>
    <w:rsid w:val="000806F7"/>
    <w:rsid w:val="00083932"/>
    <w:rsid w:val="000B0727"/>
    <w:rsid w:val="000B3101"/>
    <w:rsid w:val="000C135D"/>
    <w:rsid w:val="000D1D43"/>
    <w:rsid w:val="000D225C"/>
    <w:rsid w:val="000D2A5C"/>
    <w:rsid w:val="000E0918"/>
    <w:rsid w:val="000F17F6"/>
    <w:rsid w:val="000F2962"/>
    <w:rsid w:val="000F7106"/>
    <w:rsid w:val="001002F2"/>
    <w:rsid w:val="001011C3"/>
    <w:rsid w:val="00103011"/>
    <w:rsid w:val="00107742"/>
    <w:rsid w:val="00110D87"/>
    <w:rsid w:val="00114DB9"/>
    <w:rsid w:val="00116087"/>
    <w:rsid w:val="00130296"/>
    <w:rsid w:val="00136F86"/>
    <w:rsid w:val="001423B6"/>
    <w:rsid w:val="001448A7"/>
    <w:rsid w:val="00146621"/>
    <w:rsid w:val="001553AA"/>
    <w:rsid w:val="00155A1E"/>
    <w:rsid w:val="0016034D"/>
    <w:rsid w:val="00162325"/>
    <w:rsid w:val="00163C58"/>
    <w:rsid w:val="00180FC4"/>
    <w:rsid w:val="001951DA"/>
    <w:rsid w:val="001B0159"/>
    <w:rsid w:val="001B3763"/>
    <w:rsid w:val="001C3269"/>
    <w:rsid w:val="001C7DFF"/>
    <w:rsid w:val="001D1DB4"/>
    <w:rsid w:val="001E6E21"/>
    <w:rsid w:val="001F33A7"/>
    <w:rsid w:val="00216DF7"/>
    <w:rsid w:val="002207D9"/>
    <w:rsid w:val="00227FCA"/>
    <w:rsid w:val="00233FC3"/>
    <w:rsid w:val="00241D7D"/>
    <w:rsid w:val="002574F9"/>
    <w:rsid w:val="00262B61"/>
    <w:rsid w:val="00263201"/>
    <w:rsid w:val="00276811"/>
    <w:rsid w:val="00282699"/>
    <w:rsid w:val="0028638B"/>
    <w:rsid w:val="002926DF"/>
    <w:rsid w:val="00296697"/>
    <w:rsid w:val="002B0472"/>
    <w:rsid w:val="002B6B12"/>
    <w:rsid w:val="002C3265"/>
    <w:rsid w:val="002D1FF2"/>
    <w:rsid w:val="002E14D4"/>
    <w:rsid w:val="002E6140"/>
    <w:rsid w:val="002E6985"/>
    <w:rsid w:val="002E71B6"/>
    <w:rsid w:val="002F5A01"/>
    <w:rsid w:val="002F77C8"/>
    <w:rsid w:val="00304F22"/>
    <w:rsid w:val="0030598F"/>
    <w:rsid w:val="00306C7C"/>
    <w:rsid w:val="00321002"/>
    <w:rsid w:val="00322EDD"/>
    <w:rsid w:val="00322F1A"/>
    <w:rsid w:val="00332320"/>
    <w:rsid w:val="00334830"/>
    <w:rsid w:val="00347D72"/>
    <w:rsid w:val="00357333"/>
    <w:rsid w:val="00357611"/>
    <w:rsid w:val="00367237"/>
    <w:rsid w:val="00370628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B4809"/>
    <w:rsid w:val="003C43DA"/>
    <w:rsid w:val="003C59E0"/>
    <w:rsid w:val="003C6C8D"/>
    <w:rsid w:val="003D4F95"/>
    <w:rsid w:val="003D5F42"/>
    <w:rsid w:val="003D60A9"/>
    <w:rsid w:val="003E2993"/>
    <w:rsid w:val="003E49CF"/>
    <w:rsid w:val="003F2F30"/>
    <w:rsid w:val="003F4C97"/>
    <w:rsid w:val="003F7FE6"/>
    <w:rsid w:val="00400193"/>
    <w:rsid w:val="00415756"/>
    <w:rsid w:val="004212E7"/>
    <w:rsid w:val="0042446D"/>
    <w:rsid w:val="00426996"/>
    <w:rsid w:val="00427BF8"/>
    <w:rsid w:val="00431C02"/>
    <w:rsid w:val="00437395"/>
    <w:rsid w:val="0044267C"/>
    <w:rsid w:val="00445047"/>
    <w:rsid w:val="00463E39"/>
    <w:rsid w:val="004657FC"/>
    <w:rsid w:val="00472288"/>
    <w:rsid w:val="004733F6"/>
    <w:rsid w:val="00474E69"/>
    <w:rsid w:val="00482168"/>
    <w:rsid w:val="0049621B"/>
    <w:rsid w:val="004C1895"/>
    <w:rsid w:val="004C6D40"/>
    <w:rsid w:val="004D7D4F"/>
    <w:rsid w:val="004E08D0"/>
    <w:rsid w:val="004F0C3C"/>
    <w:rsid w:val="004F63FC"/>
    <w:rsid w:val="00501187"/>
    <w:rsid w:val="00502713"/>
    <w:rsid w:val="00505A92"/>
    <w:rsid w:val="005203F1"/>
    <w:rsid w:val="00520CF4"/>
    <w:rsid w:val="00521BC3"/>
    <w:rsid w:val="00533632"/>
    <w:rsid w:val="00534942"/>
    <w:rsid w:val="00541E6E"/>
    <w:rsid w:val="0054251F"/>
    <w:rsid w:val="00545FF9"/>
    <w:rsid w:val="005520D8"/>
    <w:rsid w:val="00552E44"/>
    <w:rsid w:val="005569C4"/>
    <w:rsid w:val="00556CF1"/>
    <w:rsid w:val="00567426"/>
    <w:rsid w:val="005762A7"/>
    <w:rsid w:val="00582A04"/>
    <w:rsid w:val="005916D7"/>
    <w:rsid w:val="005A698C"/>
    <w:rsid w:val="005C7E77"/>
    <w:rsid w:val="005E0799"/>
    <w:rsid w:val="005E67AB"/>
    <w:rsid w:val="005F5A80"/>
    <w:rsid w:val="00600BC5"/>
    <w:rsid w:val="006044FF"/>
    <w:rsid w:val="00607CC5"/>
    <w:rsid w:val="006133D3"/>
    <w:rsid w:val="00614545"/>
    <w:rsid w:val="00627A05"/>
    <w:rsid w:val="00633014"/>
    <w:rsid w:val="0063437B"/>
    <w:rsid w:val="00651E11"/>
    <w:rsid w:val="006673CA"/>
    <w:rsid w:val="00673C26"/>
    <w:rsid w:val="00673EDA"/>
    <w:rsid w:val="006812AF"/>
    <w:rsid w:val="0068327D"/>
    <w:rsid w:val="00683381"/>
    <w:rsid w:val="00693A96"/>
    <w:rsid w:val="00694AF0"/>
    <w:rsid w:val="006A1DE7"/>
    <w:rsid w:val="006A4686"/>
    <w:rsid w:val="006B0E9E"/>
    <w:rsid w:val="006B5AE4"/>
    <w:rsid w:val="006D1507"/>
    <w:rsid w:val="006D4054"/>
    <w:rsid w:val="006D65A8"/>
    <w:rsid w:val="006E02EC"/>
    <w:rsid w:val="006F3BD7"/>
    <w:rsid w:val="007211B1"/>
    <w:rsid w:val="00734205"/>
    <w:rsid w:val="00746187"/>
    <w:rsid w:val="0076254F"/>
    <w:rsid w:val="0077001B"/>
    <w:rsid w:val="007801F5"/>
    <w:rsid w:val="00783CA4"/>
    <w:rsid w:val="007842FB"/>
    <w:rsid w:val="00786124"/>
    <w:rsid w:val="00791FBD"/>
    <w:rsid w:val="0079514B"/>
    <w:rsid w:val="007A2DC1"/>
    <w:rsid w:val="007A6A82"/>
    <w:rsid w:val="007D1EC7"/>
    <w:rsid w:val="007D3319"/>
    <w:rsid w:val="007D335D"/>
    <w:rsid w:val="007E2990"/>
    <w:rsid w:val="007E3314"/>
    <w:rsid w:val="007E4B03"/>
    <w:rsid w:val="007F324B"/>
    <w:rsid w:val="0080553C"/>
    <w:rsid w:val="00805B46"/>
    <w:rsid w:val="0081772A"/>
    <w:rsid w:val="00825DC2"/>
    <w:rsid w:val="008272D8"/>
    <w:rsid w:val="00834AD3"/>
    <w:rsid w:val="00843795"/>
    <w:rsid w:val="00847F0F"/>
    <w:rsid w:val="00852448"/>
    <w:rsid w:val="00866A57"/>
    <w:rsid w:val="00873EAC"/>
    <w:rsid w:val="0088258A"/>
    <w:rsid w:val="00886332"/>
    <w:rsid w:val="00890ECA"/>
    <w:rsid w:val="008A26D9"/>
    <w:rsid w:val="008A6A5B"/>
    <w:rsid w:val="008B2611"/>
    <w:rsid w:val="008C0C29"/>
    <w:rsid w:val="008C62B5"/>
    <w:rsid w:val="008C784A"/>
    <w:rsid w:val="008D4B0B"/>
    <w:rsid w:val="008F3638"/>
    <w:rsid w:val="008F4441"/>
    <w:rsid w:val="008F6F31"/>
    <w:rsid w:val="008F74DF"/>
    <w:rsid w:val="009127BA"/>
    <w:rsid w:val="009227A6"/>
    <w:rsid w:val="00922E9B"/>
    <w:rsid w:val="00933EC1"/>
    <w:rsid w:val="009530DB"/>
    <w:rsid w:val="00953676"/>
    <w:rsid w:val="00966DCA"/>
    <w:rsid w:val="009705EE"/>
    <w:rsid w:val="00977927"/>
    <w:rsid w:val="0098135C"/>
    <w:rsid w:val="0098156A"/>
    <w:rsid w:val="00991BAC"/>
    <w:rsid w:val="0099741F"/>
    <w:rsid w:val="009A6EA0"/>
    <w:rsid w:val="009C1335"/>
    <w:rsid w:val="009C1AB2"/>
    <w:rsid w:val="009C7251"/>
    <w:rsid w:val="009D1BF4"/>
    <w:rsid w:val="009E2E91"/>
    <w:rsid w:val="009F2834"/>
    <w:rsid w:val="00A04330"/>
    <w:rsid w:val="00A139F5"/>
    <w:rsid w:val="00A24E25"/>
    <w:rsid w:val="00A254CC"/>
    <w:rsid w:val="00A365F4"/>
    <w:rsid w:val="00A44C08"/>
    <w:rsid w:val="00A47D80"/>
    <w:rsid w:val="00A51736"/>
    <w:rsid w:val="00A53132"/>
    <w:rsid w:val="00A563F2"/>
    <w:rsid w:val="00A566E8"/>
    <w:rsid w:val="00A57A10"/>
    <w:rsid w:val="00A57A8C"/>
    <w:rsid w:val="00A70912"/>
    <w:rsid w:val="00A810F9"/>
    <w:rsid w:val="00A84237"/>
    <w:rsid w:val="00A86ECC"/>
    <w:rsid w:val="00A86FCC"/>
    <w:rsid w:val="00AA710D"/>
    <w:rsid w:val="00AB10CF"/>
    <w:rsid w:val="00AB6D25"/>
    <w:rsid w:val="00AD45F3"/>
    <w:rsid w:val="00AE2D4B"/>
    <w:rsid w:val="00AE4F99"/>
    <w:rsid w:val="00AF6913"/>
    <w:rsid w:val="00B074E0"/>
    <w:rsid w:val="00B14952"/>
    <w:rsid w:val="00B31E5A"/>
    <w:rsid w:val="00B653AB"/>
    <w:rsid w:val="00B65F9E"/>
    <w:rsid w:val="00B66B19"/>
    <w:rsid w:val="00B84593"/>
    <w:rsid w:val="00B914E9"/>
    <w:rsid w:val="00B956EE"/>
    <w:rsid w:val="00B961DD"/>
    <w:rsid w:val="00BA2BA1"/>
    <w:rsid w:val="00BA7B08"/>
    <w:rsid w:val="00BB4F09"/>
    <w:rsid w:val="00BC36BE"/>
    <w:rsid w:val="00BC4D1B"/>
    <w:rsid w:val="00BD4E33"/>
    <w:rsid w:val="00C00F97"/>
    <w:rsid w:val="00C030DE"/>
    <w:rsid w:val="00C22105"/>
    <w:rsid w:val="00C244B6"/>
    <w:rsid w:val="00C26CC4"/>
    <w:rsid w:val="00C3702F"/>
    <w:rsid w:val="00C37B93"/>
    <w:rsid w:val="00C502C3"/>
    <w:rsid w:val="00C53EF5"/>
    <w:rsid w:val="00C55DFB"/>
    <w:rsid w:val="00C64A37"/>
    <w:rsid w:val="00C70FA1"/>
    <w:rsid w:val="00C7158E"/>
    <w:rsid w:val="00C7250B"/>
    <w:rsid w:val="00C7346B"/>
    <w:rsid w:val="00C77C0E"/>
    <w:rsid w:val="00C8347C"/>
    <w:rsid w:val="00C843EB"/>
    <w:rsid w:val="00C91687"/>
    <w:rsid w:val="00C924A8"/>
    <w:rsid w:val="00C945FE"/>
    <w:rsid w:val="00C96FAA"/>
    <w:rsid w:val="00C97A04"/>
    <w:rsid w:val="00CA107B"/>
    <w:rsid w:val="00CA10E6"/>
    <w:rsid w:val="00CA2E4F"/>
    <w:rsid w:val="00CA484D"/>
    <w:rsid w:val="00CA4FB6"/>
    <w:rsid w:val="00CB10FB"/>
    <w:rsid w:val="00CC0140"/>
    <w:rsid w:val="00CC1967"/>
    <w:rsid w:val="00CC739E"/>
    <w:rsid w:val="00CD58B7"/>
    <w:rsid w:val="00CE435A"/>
    <w:rsid w:val="00CF4099"/>
    <w:rsid w:val="00D00796"/>
    <w:rsid w:val="00D261A2"/>
    <w:rsid w:val="00D335CC"/>
    <w:rsid w:val="00D616D2"/>
    <w:rsid w:val="00D63B5F"/>
    <w:rsid w:val="00D70CAE"/>
    <w:rsid w:val="00D70EF7"/>
    <w:rsid w:val="00D8397C"/>
    <w:rsid w:val="00D83BC7"/>
    <w:rsid w:val="00D94EED"/>
    <w:rsid w:val="00D96026"/>
    <w:rsid w:val="00DA68F7"/>
    <w:rsid w:val="00DA7C1C"/>
    <w:rsid w:val="00DB147A"/>
    <w:rsid w:val="00DB1B7A"/>
    <w:rsid w:val="00DC6708"/>
    <w:rsid w:val="00DD0DB1"/>
    <w:rsid w:val="00DE3CBB"/>
    <w:rsid w:val="00DE72D2"/>
    <w:rsid w:val="00E01436"/>
    <w:rsid w:val="00E045BD"/>
    <w:rsid w:val="00E06833"/>
    <w:rsid w:val="00E17B77"/>
    <w:rsid w:val="00E23337"/>
    <w:rsid w:val="00E259EA"/>
    <w:rsid w:val="00E32061"/>
    <w:rsid w:val="00E41B99"/>
    <w:rsid w:val="00E42FF9"/>
    <w:rsid w:val="00E4714C"/>
    <w:rsid w:val="00E51AEB"/>
    <w:rsid w:val="00E522A7"/>
    <w:rsid w:val="00E54452"/>
    <w:rsid w:val="00E61E72"/>
    <w:rsid w:val="00E664C5"/>
    <w:rsid w:val="00E671A2"/>
    <w:rsid w:val="00E72387"/>
    <w:rsid w:val="00E76D26"/>
    <w:rsid w:val="00E84178"/>
    <w:rsid w:val="00E84302"/>
    <w:rsid w:val="00E87FFA"/>
    <w:rsid w:val="00EB1390"/>
    <w:rsid w:val="00EB2C71"/>
    <w:rsid w:val="00EB4340"/>
    <w:rsid w:val="00EB556D"/>
    <w:rsid w:val="00EB5A7D"/>
    <w:rsid w:val="00EC593F"/>
    <w:rsid w:val="00ED55C0"/>
    <w:rsid w:val="00ED682B"/>
    <w:rsid w:val="00EE41D5"/>
    <w:rsid w:val="00EE6FC7"/>
    <w:rsid w:val="00F037A4"/>
    <w:rsid w:val="00F162BC"/>
    <w:rsid w:val="00F27C8F"/>
    <w:rsid w:val="00F32749"/>
    <w:rsid w:val="00F37172"/>
    <w:rsid w:val="00F4477E"/>
    <w:rsid w:val="00F462AE"/>
    <w:rsid w:val="00F60715"/>
    <w:rsid w:val="00F66036"/>
    <w:rsid w:val="00F67D8F"/>
    <w:rsid w:val="00F71721"/>
    <w:rsid w:val="00F802BE"/>
    <w:rsid w:val="00F80BB8"/>
    <w:rsid w:val="00F86024"/>
    <w:rsid w:val="00F8611A"/>
    <w:rsid w:val="00F91B65"/>
    <w:rsid w:val="00F96A8C"/>
    <w:rsid w:val="00F97AD7"/>
    <w:rsid w:val="00FA2015"/>
    <w:rsid w:val="00FA290C"/>
    <w:rsid w:val="00FA5128"/>
    <w:rsid w:val="00FB42D4"/>
    <w:rsid w:val="00FB5906"/>
    <w:rsid w:val="00FB762F"/>
    <w:rsid w:val="00FC2AED"/>
    <w:rsid w:val="00FD4D37"/>
    <w:rsid w:val="00FD51A8"/>
    <w:rsid w:val="00FD5EA7"/>
    <w:rsid w:val="00FE7CFB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26" Type="http://schemas.openxmlformats.org/officeDocument/2006/relationships/image" Target="media/image9.png"/><Relationship Id="rId39" Type="http://schemas.openxmlformats.org/officeDocument/2006/relationships/hyperlink" Target="http://stat.gov.pl/metainformacje/slownik-pojec/pojecia-stosowane-w-statystyce-publicznej/2961,pojecie.html" TargetMode="External"/><Relationship Id="rId21" Type="http://schemas.openxmlformats.org/officeDocument/2006/relationships/hyperlink" Target="mailto:w.magrys@stat.gov.pl" TargetMode="External"/><Relationship Id="rId34" Type="http://schemas.openxmlformats.org/officeDocument/2006/relationships/hyperlink" Target="http://stat.gov.pl/obszary-tematyczne/podmioty-gospodarcze-wyniki-finansowe/zmiany-strukturalne-grup-podmiotow/zmiany-strukturalne-grup-podmiotow-gospodarki-narodowej-na-obszarach-przygranicznych-na-terenie-polski-w-2016-roku,2,6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hyperlink" Target="http://stat.gov.pl/metainformacje/slownik-pojec/pojecia-stosowane-w-statystyce-publicznej/814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2961,pojecie.html" TargetMode="External"/><Relationship Id="rId37" Type="http://schemas.openxmlformats.org/officeDocument/2006/relationships/hyperlink" Target="http://stat.gov.pl/metainformacje/slownik-pojec/pojecia-stosowane-w-statystyce-publicznej/817,pojecie.html" TargetMode="External"/><Relationship Id="rId40" Type="http://schemas.openxmlformats.org/officeDocument/2006/relationships/hyperlink" Target="http://bip.stat.gov.pl/dzialalnosc-statystyki-publicznej/rejestr-reg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81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96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podmioty-gospodarcze-wyniki-finansowe/zmiany-strukturalne-grup-podmiotow/zmiany-strukturalne-grup-podmiotow-gospodarki-narodowej-na-obszarach-przygranicznych-na-terenie-polski-w-2016-roku,2,6.html" TargetMode="External"/><Relationship Id="rId30" Type="http://schemas.openxmlformats.org/officeDocument/2006/relationships/hyperlink" Target="http://stat.gov.pl/metainformacje/slownik-pojec/pojecia-stosowane-w-statystyce-publicznej/817,pojecie.html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5" Type="http://schemas.openxmlformats.org/officeDocument/2006/relationships/image" Target="media/image8.png"/><Relationship Id="rId33" Type="http://schemas.openxmlformats.org/officeDocument/2006/relationships/hyperlink" Target="http://bip.stat.gov.pl/dzialalnosc-statystyki-publicznej/rejestr-regon/" TargetMode="External"/><Relationship Id="rId38" Type="http://schemas.openxmlformats.org/officeDocument/2006/relationships/hyperlink" Target="http://stat.gov.pl/metainformacje/slownik-pojec/pojecia-stosowane-w-statystyce-publicznej/296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EA7066-36C1-42FC-A746-8505DD5C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Zielański Maciej</cp:lastModifiedBy>
  <cp:revision>4</cp:revision>
  <cp:lastPrinted>2018-04-05T06:36:00Z</cp:lastPrinted>
  <dcterms:created xsi:type="dcterms:W3CDTF">2018-04-11T09:49:00Z</dcterms:created>
  <dcterms:modified xsi:type="dcterms:W3CDTF">2018-04-11T11:10:00Z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