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E70" w:rsidRDefault="000B7D5D" w:rsidP="000B7D5D">
      <w:pPr>
        <w:pStyle w:val="tytuinformacji"/>
        <w:rPr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t xml:space="preserve">Wyniki finansowe </w:t>
      </w:r>
      <w:r w:rsidR="00C84C99">
        <w:rPr>
          <w:shd w:val="clear" w:color="auto" w:fill="FFFFFF"/>
        </w:rPr>
        <w:t xml:space="preserve"> funduszy inwestycyjnych </w:t>
      </w:r>
    </w:p>
    <w:p w:rsidR="0098135C" w:rsidRPr="009711F5" w:rsidRDefault="00416E70" w:rsidP="000B7D5D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 xml:space="preserve">i </w:t>
      </w:r>
      <w:r w:rsidR="00C84C99">
        <w:rPr>
          <w:shd w:val="clear" w:color="auto" w:fill="FFFFFF"/>
        </w:rPr>
        <w:t>towarzystw funduszy inwestycyjnych</w:t>
      </w:r>
      <w:r w:rsidR="002F00B0">
        <w:rPr>
          <w:shd w:val="clear" w:color="auto" w:fill="FFFFFF"/>
        </w:rPr>
        <w:t xml:space="preserve"> </w:t>
      </w:r>
      <w:r w:rsidR="000B7D5D" w:rsidRPr="000B7D5D">
        <w:rPr>
          <w:shd w:val="clear" w:color="auto" w:fill="FFFFFF"/>
        </w:rPr>
        <w:t xml:space="preserve">w </w:t>
      </w:r>
      <w:r w:rsidR="00894AEF">
        <w:rPr>
          <w:shd w:val="clear" w:color="auto" w:fill="FFFFFF"/>
        </w:rPr>
        <w:t xml:space="preserve">I półroczu </w:t>
      </w:r>
      <w:r w:rsidR="000B7D5D" w:rsidRPr="000B7D5D">
        <w:rPr>
          <w:shd w:val="clear" w:color="auto" w:fill="FFFFFF"/>
        </w:rPr>
        <w:t>201</w:t>
      </w:r>
      <w:r w:rsidR="00894AEF">
        <w:rPr>
          <w:shd w:val="clear" w:color="auto" w:fill="FFFFFF"/>
        </w:rPr>
        <w:t>8</w:t>
      </w:r>
      <w:r w:rsidR="000B7D5D" w:rsidRPr="000B7D5D">
        <w:rPr>
          <w:shd w:val="clear" w:color="auto" w:fill="FFFFFF"/>
        </w:rPr>
        <w:t xml:space="preserve"> roku</w:t>
      </w:r>
    </w:p>
    <w:p w:rsidR="00393761" w:rsidRPr="009711F5" w:rsidRDefault="00393761" w:rsidP="00074DD8">
      <w:pPr>
        <w:pStyle w:val="tytuinformacji"/>
        <w:rPr>
          <w:sz w:val="32"/>
        </w:rPr>
      </w:pPr>
    </w:p>
    <w:p w:rsidR="00416E70" w:rsidRDefault="0097287E" w:rsidP="00416E70">
      <w:pPr>
        <w:pStyle w:val="LID"/>
        <w:spacing w:after="80"/>
        <w:jc w:val="both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76F1745" wp14:editId="7BDCB2CA">
                <wp:simplePos x="0" y="0"/>
                <wp:positionH relativeFrom="margin">
                  <wp:posOffset>0</wp:posOffset>
                </wp:positionH>
                <wp:positionV relativeFrom="paragraph">
                  <wp:posOffset>50165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1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CD2" w:rsidRPr="00B66B19" w:rsidRDefault="00364CD2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A61E4C3">
                                  <wp:extent cx="333375" cy="333375"/>
                                  <wp:effectExtent l="0" t="0" r="9525" b="9525"/>
                                  <wp:docPr id="2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8,0%</w:t>
                            </w:r>
                          </w:p>
                          <w:p w:rsidR="00364CD2" w:rsidRPr="007C7F88" w:rsidRDefault="00364CD2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Pr="007C7F88">
                              <w:t xml:space="preserve"> aktywów </w:t>
                            </w:r>
                            <w:r>
                              <w:t>funduszy inwestycyjnych w</w:t>
                            </w:r>
                            <w:r w:rsidRPr="007C7F88">
                              <w:t xml:space="preserve"> </w:t>
                            </w:r>
                            <w:r>
                              <w:t xml:space="preserve">I półroczu </w:t>
                            </w:r>
                            <w:r w:rsidRPr="007C7F88">
                              <w:t>20</w:t>
                            </w:r>
                            <w:r>
                              <w:t>18</w:t>
                            </w:r>
                            <w:r w:rsidRPr="007C7F88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F174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3.95pt;width:2in;height:94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" fillcolor="#001d77" stroked="f">
                <v:textbox>
                  <w:txbxContent>
                    <w:p w:rsidR="00364CD2" w:rsidRPr="00B66B19" w:rsidRDefault="00364CD2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A61E4C3">
                            <wp:extent cx="333375" cy="333375"/>
                            <wp:effectExtent l="0" t="0" r="9525" b="9525"/>
                            <wp:docPr id="2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8,0%</w:t>
                      </w:r>
                    </w:p>
                    <w:p w:rsidR="00364CD2" w:rsidRPr="007C7F88" w:rsidRDefault="00364CD2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Pr="007C7F88">
                        <w:t xml:space="preserve"> aktywów </w:t>
                      </w:r>
                      <w:r>
                        <w:t>funduszy inwestycyjnych w</w:t>
                      </w:r>
                      <w:r w:rsidRPr="007C7F88">
                        <w:t xml:space="preserve"> </w:t>
                      </w:r>
                      <w:r>
                        <w:t xml:space="preserve">I półroczu </w:t>
                      </w:r>
                      <w:r w:rsidRPr="007C7F88">
                        <w:t>20</w:t>
                      </w:r>
                      <w:r>
                        <w:t>18</w:t>
                      </w:r>
                      <w:r w:rsidRPr="007C7F88"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7D5D" w:rsidRPr="000B7D5D">
        <w:t xml:space="preserve"> </w:t>
      </w:r>
      <w:r w:rsidR="00F41498">
        <w:t xml:space="preserve">Wartość aktywów ogółem zgromadzonych </w:t>
      </w:r>
      <w:r w:rsidR="00276839">
        <w:t>p</w:t>
      </w:r>
      <w:r w:rsidR="00F41498">
        <w:t>rze</w:t>
      </w:r>
      <w:r w:rsidR="00276839">
        <w:t xml:space="preserve">z </w:t>
      </w:r>
      <w:r w:rsidR="00F41498">
        <w:t xml:space="preserve">fundusze inwestycyjne </w:t>
      </w:r>
      <w:r w:rsidR="00385622">
        <w:t xml:space="preserve">na koniec </w:t>
      </w:r>
      <w:r w:rsidR="00151B45">
        <w:t>czerwca</w:t>
      </w:r>
      <w:r w:rsidR="00385622">
        <w:t xml:space="preserve"> 201</w:t>
      </w:r>
      <w:r w:rsidR="00151B45">
        <w:t>8</w:t>
      </w:r>
      <w:r w:rsidR="00047E14">
        <w:t> </w:t>
      </w:r>
      <w:r w:rsidR="00385622">
        <w:t>r. wyniosła 3</w:t>
      </w:r>
      <w:r w:rsidR="00151B45">
        <w:t>34</w:t>
      </w:r>
      <w:r w:rsidR="00385622">
        <w:t>,</w:t>
      </w:r>
      <w:r w:rsidR="00151B45">
        <w:t>2</w:t>
      </w:r>
      <w:r>
        <w:t> </w:t>
      </w:r>
      <w:r w:rsidR="00385622">
        <w:t>mld</w:t>
      </w:r>
      <w:r w:rsidR="00047E14">
        <w:t> </w:t>
      </w:r>
      <w:r w:rsidR="00385622">
        <w:t xml:space="preserve">zł (wzrost o </w:t>
      </w:r>
      <w:r w:rsidR="00151B45">
        <w:t>8</w:t>
      </w:r>
      <w:r w:rsidR="00385622">
        <w:t>,</w:t>
      </w:r>
      <w:r w:rsidR="00151B45">
        <w:t>0</w:t>
      </w:r>
      <w:r w:rsidR="00385622">
        <w:t xml:space="preserve">% w </w:t>
      </w:r>
      <w:r w:rsidR="0047313F">
        <w:t>porównaniu do analogicznego okresu</w:t>
      </w:r>
      <w:r w:rsidR="00385622">
        <w:t xml:space="preserve"> roku </w:t>
      </w:r>
      <w:r w:rsidR="0047313F">
        <w:t>ubiegłego</w:t>
      </w:r>
      <w:r w:rsidR="00385622">
        <w:t xml:space="preserve">). </w:t>
      </w:r>
      <w:r w:rsidR="00276839">
        <w:t xml:space="preserve">W </w:t>
      </w:r>
      <w:r w:rsidR="00151B45">
        <w:t xml:space="preserve">I półroczu </w:t>
      </w:r>
      <w:r w:rsidR="00276839">
        <w:t>201</w:t>
      </w:r>
      <w:r w:rsidR="00151B45">
        <w:t>8 </w:t>
      </w:r>
      <w:r w:rsidR="00276839">
        <w:t>r. fundusze inwestycyjne osiągnęły dodatni wynik z</w:t>
      </w:r>
      <w:r w:rsidR="0047313F">
        <w:t> </w:t>
      </w:r>
      <w:r w:rsidR="00276839">
        <w:t>operacji w kwocie 1</w:t>
      </w:r>
      <w:r w:rsidR="00034BF1">
        <w:t>0</w:t>
      </w:r>
      <w:r w:rsidR="00276839">
        <w:t xml:space="preserve">,5 mld zł (o </w:t>
      </w:r>
      <w:r w:rsidR="00034BF1">
        <w:t>3</w:t>
      </w:r>
      <w:r w:rsidR="00276839">
        <w:t>,</w:t>
      </w:r>
      <w:r w:rsidR="00034BF1">
        <w:t>3</w:t>
      </w:r>
      <w:r w:rsidR="00276839">
        <w:t xml:space="preserve"> mld zł mniej niż rok wcześniej). Wartość lokat funduszy zwiększyła się do 2</w:t>
      </w:r>
      <w:r w:rsidR="00034BF1">
        <w:t>90</w:t>
      </w:r>
      <w:r w:rsidR="00276839">
        <w:t>,</w:t>
      </w:r>
      <w:r w:rsidR="00034BF1">
        <w:t>9</w:t>
      </w:r>
      <w:r w:rsidR="00276839">
        <w:t xml:space="preserve"> mld zł (o </w:t>
      </w:r>
      <w:r w:rsidR="00034BF1">
        <w:t>6</w:t>
      </w:r>
      <w:r w:rsidR="00276839">
        <w:t xml:space="preserve">,1%). </w:t>
      </w:r>
    </w:p>
    <w:p w:rsidR="005916D7" w:rsidRDefault="00AA2832" w:rsidP="00047E14">
      <w:pPr>
        <w:pStyle w:val="LID"/>
        <w:spacing w:after="430"/>
        <w:jc w:val="both"/>
      </w:pPr>
      <w:r>
        <w:t>Aktywa towarzystw funduszy inwestycyjnych wyniosły 2,</w:t>
      </w:r>
      <w:r w:rsidR="00034BF1">
        <w:t>2</w:t>
      </w:r>
      <w:r>
        <w:t xml:space="preserve"> mld zł </w:t>
      </w:r>
      <w:r w:rsidR="00034BF1">
        <w:t>i pozostały na tym samym poziomie jak przed rokiem</w:t>
      </w:r>
      <w:r>
        <w:t xml:space="preserve">. Wynik finansowy netto TFI wyniósł na koniec </w:t>
      </w:r>
      <w:r w:rsidR="00034BF1">
        <w:t xml:space="preserve">I półrocza </w:t>
      </w:r>
      <w:r>
        <w:t>201</w:t>
      </w:r>
      <w:r w:rsidR="00034BF1">
        <w:t>8</w:t>
      </w:r>
      <w:r w:rsidR="00136483">
        <w:t> </w:t>
      </w:r>
      <w:r>
        <w:t>r. 0,</w:t>
      </w:r>
      <w:r w:rsidR="00034BF1">
        <w:t>5 </w:t>
      </w:r>
      <w:r>
        <w:t xml:space="preserve">mld zł i był wyższy o </w:t>
      </w:r>
      <w:r w:rsidR="00034BF1">
        <w:t>62</w:t>
      </w:r>
      <w:r>
        <w:t>,</w:t>
      </w:r>
      <w:r w:rsidR="00034BF1">
        <w:t>1</w:t>
      </w:r>
      <w:r>
        <w:t xml:space="preserve">% niż przed rokiem. </w:t>
      </w:r>
      <w:r w:rsidR="00276839">
        <w:t xml:space="preserve"> </w:t>
      </w:r>
    </w:p>
    <w:p w:rsidR="00003437" w:rsidRPr="00342EC3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027439" w:rsidRPr="00696765" w:rsidRDefault="006C74EF" w:rsidP="00027439">
      <w:pPr>
        <w:rPr>
          <w:b/>
          <w:spacing w:val="-2"/>
          <w:sz w:val="18"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A61E484" wp14:editId="7A61E485">
                <wp:simplePos x="0" y="0"/>
                <wp:positionH relativeFrom="column">
                  <wp:posOffset>5238750</wp:posOffset>
                </wp:positionH>
                <wp:positionV relativeFrom="paragraph">
                  <wp:posOffset>241300</wp:posOffset>
                </wp:positionV>
                <wp:extent cx="1725295" cy="1552575"/>
                <wp:effectExtent l="0" t="0" r="0" b="0"/>
                <wp:wrapTight wrapText="bothSides">
                  <wp:wrapPolygon edited="0">
                    <wp:start x="715" y="0"/>
                    <wp:lineTo x="715" y="21202"/>
                    <wp:lineTo x="20749" y="21202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CD2" w:rsidRPr="009711F5" w:rsidRDefault="00364CD2" w:rsidP="002920C6">
                            <w:pPr>
                              <w:pStyle w:val="tekstzboku"/>
                              <w:jc w:val="both"/>
                            </w:pPr>
                            <w:r w:rsidRPr="009711F5">
                              <w:t>Wynik</w:t>
                            </w:r>
                            <w:r>
                              <w:t xml:space="preserve"> z operacji funduszy inwestycyjnych był w I półroczu 2018 r. dodatni i wyniósł 10,5</w:t>
                            </w:r>
                            <w:r w:rsidR="00714E4B">
                              <w:t> </w:t>
                            </w:r>
                            <w:r>
                              <w:t>mld</w:t>
                            </w:r>
                            <w:r w:rsidR="00714E4B">
                              <w:t> </w:t>
                            </w:r>
                            <w:r>
                              <w:t>zł</w:t>
                            </w:r>
                            <w:r w:rsidR="0047313F">
                              <w:t>,</w:t>
                            </w:r>
                            <w:r>
                              <w:t xml:space="preserve"> ale był niższy o</w:t>
                            </w:r>
                            <w:r w:rsidR="00714E4B">
                              <w:t> </w:t>
                            </w:r>
                            <w:r>
                              <w:t>23,8% niż w I półroczu 2017</w:t>
                            </w:r>
                            <w:r w:rsidR="004A07C6">
                              <w:t> </w:t>
                            </w:r>
                            <w: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1E48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2.5pt;margin-top:19pt;width:135.85pt;height:122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" filled="f" stroked="f">
                <v:textbox>
                  <w:txbxContent>
                    <w:p w:rsidR="00364CD2" w:rsidRPr="009711F5" w:rsidRDefault="00364CD2" w:rsidP="002920C6">
                      <w:pPr>
                        <w:pStyle w:val="tekstzboku"/>
                        <w:jc w:val="both"/>
                      </w:pPr>
                      <w:r w:rsidRPr="009711F5">
                        <w:t>Wynik</w:t>
                      </w:r>
                      <w:r>
                        <w:t xml:space="preserve"> z operacji funduszy inwestycyjnych był w I półroczu 2018 r. dodatni i wyniósł 10,5</w:t>
                      </w:r>
                      <w:r w:rsidR="00714E4B">
                        <w:t> </w:t>
                      </w:r>
                      <w:r>
                        <w:t>mld</w:t>
                      </w:r>
                      <w:r w:rsidR="00714E4B">
                        <w:t> </w:t>
                      </w:r>
                      <w:r>
                        <w:t>zł</w:t>
                      </w:r>
                      <w:r w:rsidR="0047313F">
                        <w:t>,</w:t>
                      </w:r>
                      <w:r>
                        <w:t xml:space="preserve"> ale był niższy o</w:t>
                      </w:r>
                      <w:r w:rsidR="00714E4B">
                        <w:t> </w:t>
                      </w:r>
                      <w:r>
                        <w:t>23,8% niż w I półroczu 2017</w:t>
                      </w:r>
                      <w:r w:rsidR="004A07C6">
                        <w:t> </w:t>
                      </w:r>
                      <w:r>
                        <w:t>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27439" w:rsidRPr="004B3C88">
        <w:rPr>
          <w:b/>
          <w:spacing w:val="-2"/>
          <w:sz w:val="18"/>
          <w:shd w:val="clear" w:color="auto" w:fill="FFFFFF"/>
        </w:rPr>
        <w:t xml:space="preserve">Tablica 1. </w:t>
      </w:r>
      <w:r w:rsidR="00DE44C0" w:rsidRPr="00DE44C0">
        <w:rPr>
          <w:b/>
          <w:spacing w:val="-2"/>
          <w:sz w:val="18"/>
          <w:shd w:val="clear" w:color="auto" w:fill="FFFFFF"/>
        </w:rPr>
        <w:t xml:space="preserve">Podstawowe dane </w:t>
      </w:r>
      <w:r w:rsidR="0078532B">
        <w:rPr>
          <w:b/>
          <w:spacing w:val="-2"/>
          <w:sz w:val="18"/>
          <w:shd w:val="clear" w:color="auto" w:fill="FFFFFF"/>
        </w:rPr>
        <w:t>funduszy inwestycyjnych i towarzystw funduszy inwestycyjnych</w:t>
      </w:r>
    </w:p>
    <w:tbl>
      <w:tblPr>
        <w:tblStyle w:val="Siatkatabelijasna1"/>
        <w:tblpPr w:leftFromText="141" w:rightFromText="141" w:vertAnchor="text" w:horzAnchor="margin" w:tblpY="129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1701"/>
        <w:gridCol w:w="1701"/>
      </w:tblGrid>
      <w:tr w:rsidR="00501638" w:rsidRPr="00FA5128" w:rsidTr="00D755A1">
        <w:trPr>
          <w:trHeight w:val="57"/>
        </w:trPr>
        <w:tc>
          <w:tcPr>
            <w:tcW w:w="2977" w:type="dxa"/>
            <w:vAlign w:val="center"/>
          </w:tcPr>
          <w:p w:rsidR="00501638" w:rsidRPr="009C7251" w:rsidRDefault="00501638" w:rsidP="00AF719A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vAlign w:val="center"/>
          </w:tcPr>
          <w:p w:rsidR="00501638" w:rsidRPr="00FA5128" w:rsidRDefault="00136483" w:rsidP="00136483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I półrocze </w:t>
            </w:r>
            <w:r w:rsidR="009A5580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:rsidR="00501638" w:rsidRPr="00FA5128" w:rsidRDefault="00136483" w:rsidP="00136483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I półrocze </w:t>
            </w:r>
            <w:r w:rsidR="009A5580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:rsidR="00501638" w:rsidRPr="00FA5128" w:rsidRDefault="00136483" w:rsidP="00136483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I półrocze </w:t>
            </w:r>
            <w:r w:rsidR="009A5580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7</w:t>
            </w:r>
            <w:r w:rsidR="009A5580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</w:tr>
      <w:tr w:rsidR="009A5580" w:rsidRPr="00FA5128" w:rsidTr="00D755A1">
        <w:trPr>
          <w:trHeight w:val="57"/>
        </w:trPr>
        <w:tc>
          <w:tcPr>
            <w:tcW w:w="8080" w:type="dxa"/>
            <w:gridSpan w:val="4"/>
            <w:tcBorders>
              <w:top w:val="single" w:sz="12" w:space="0" w:color="212492"/>
            </w:tcBorders>
            <w:vAlign w:val="center"/>
          </w:tcPr>
          <w:p w:rsidR="009A5580" w:rsidRPr="009A5580" w:rsidRDefault="009A5580" w:rsidP="0078532B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9A5580">
              <w:rPr>
                <w:b/>
                <w:sz w:val="16"/>
                <w:szCs w:val="16"/>
              </w:rPr>
              <w:t xml:space="preserve">Dane finansowe </w:t>
            </w:r>
            <w:r w:rsidR="0078532B">
              <w:rPr>
                <w:b/>
                <w:sz w:val="16"/>
                <w:szCs w:val="16"/>
              </w:rPr>
              <w:t xml:space="preserve">funduszy inwestycyjnych </w:t>
            </w:r>
            <w:r w:rsidRPr="009A5580">
              <w:rPr>
                <w:b/>
                <w:sz w:val="16"/>
                <w:szCs w:val="16"/>
              </w:rPr>
              <w:t xml:space="preserve"> (w mln zł)</w:t>
            </w:r>
          </w:p>
        </w:tc>
      </w:tr>
      <w:tr w:rsidR="00501638" w:rsidRPr="00FA5128" w:rsidTr="00D755A1">
        <w:trPr>
          <w:trHeight w:val="57"/>
        </w:trPr>
        <w:tc>
          <w:tcPr>
            <w:tcW w:w="2977" w:type="dxa"/>
          </w:tcPr>
          <w:p w:rsidR="00501638" w:rsidRPr="009A5580" w:rsidRDefault="00501638" w:rsidP="00DE44C0">
            <w:pPr>
              <w:rPr>
                <w:sz w:val="16"/>
                <w:szCs w:val="16"/>
              </w:rPr>
            </w:pPr>
            <w:r w:rsidRPr="009A5580">
              <w:rPr>
                <w:sz w:val="16"/>
                <w:szCs w:val="16"/>
              </w:rPr>
              <w:t>Aktywa</w:t>
            </w:r>
            <w:r w:rsidR="00D755A1">
              <w:rPr>
                <w:sz w:val="16"/>
                <w:szCs w:val="16"/>
              </w:rPr>
              <w:t xml:space="preserve"> ogółem</w:t>
            </w:r>
            <w:r w:rsidRPr="009A5580">
              <w:rPr>
                <w:sz w:val="16"/>
                <w:szCs w:val="16"/>
              </w:rPr>
              <w:t xml:space="preserve">, w tym: </w:t>
            </w:r>
          </w:p>
        </w:tc>
        <w:tc>
          <w:tcPr>
            <w:tcW w:w="1701" w:type="dxa"/>
            <w:tcBorders>
              <w:top w:val="single" w:sz="4" w:space="0" w:color="212492"/>
            </w:tcBorders>
          </w:tcPr>
          <w:p w:rsidR="00501638" w:rsidRPr="009A5580" w:rsidRDefault="00136483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309 444,8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center"/>
          </w:tcPr>
          <w:p w:rsidR="00501638" w:rsidRPr="009A5580" w:rsidRDefault="00136483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334 154,1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center"/>
          </w:tcPr>
          <w:p w:rsidR="00501638" w:rsidRPr="009A5580" w:rsidRDefault="006B34B2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108,0</w:t>
            </w:r>
          </w:p>
        </w:tc>
      </w:tr>
      <w:tr w:rsidR="00501638" w:rsidRPr="00FA5128" w:rsidTr="00D755A1">
        <w:trPr>
          <w:trHeight w:val="57"/>
        </w:trPr>
        <w:tc>
          <w:tcPr>
            <w:tcW w:w="2977" w:type="dxa"/>
          </w:tcPr>
          <w:p w:rsidR="00501638" w:rsidRPr="009A5580" w:rsidRDefault="00CB5CC0" w:rsidP="009A5580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D755A1">
              <w:rPr>
                <w:sz w:val="16"/>
                <w:szCs w:val="16"/>
              </w:rPr>
              <w:t>okaty</w:t>
            </w:r>
          </w:p>
        </w:tc>
        <w:tc>
          <w:tcPr>
            <w:tcW w:w="1701" w:type="dxa"/>
          </w:tcPr>
          <w:p w:rsidR="00501638" w:rsidRPr="009A5580" w:rsidRDefault="00136483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274 309,7</w:t>
            </w:r>
          </w:p>
        </w:tc>
        <w:tc>
          <w:tcPr>
            <w:tcW w:w="1701" w:type="dxa"/>
            <w:vAlign w:val="center"/>
          </w:tcPr>
          <w:p w:rsidR="00501638" w:rsidRPr="009A5580" w:rsidRDefault="006B34B2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290 912,6</w:t>
            </w:r>
          </w:p>
        </w:tc>
        <w:tc>
          <w:tcPr>
            <w:tcW w:w="1701" w:type="dxa"/>
            <w:vAlign w:val="center"/>
          </w:tcPr>
          <w:p w:rsidR="00501638" w:rsidRPr="009A5580" w:rsidRDefault="006B34B2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106,1</w:t>
            </w:r>
          </w:p>
        </w:tc>
      </w:tr>
      <w:tr w:rsidR="00D755A1" w:rsidRPr="00FA5128" w:rsidTr="00D755A1">
        <w:trPr>
          <w:trHeight w:val="57"/>
        </w:trPr>
        <w:tc>
          <w:tcPr>
            <w:tcW w:w="2977" w:type="dxa"/>
          </w:tcPr>
          <w:p w:rsidR="00D755A1" w:rsidRPr="009A5580" w:rsidRDefault="00CB5CC0" w:rsidP="009A5580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D755A1">
              <w:rPr>
                <w:sz w:val="16"/>
                <w:szCs w:val="16"/>
              </w:rPr>
              <w:t>ależności</w:t>
            </w:r>
          </w:p>
        </w:tc>
        <w:tc>
          <w:tcPr>
            <w:tcW w:w="1701" w:type="dxa"/>
          </w:tcPr>
          <w:p w:rsidR="00D755A1" w:rsidRPr="009A5580" w:rsidRDefault="00136483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15 788,1</w:t>
            </w:r>
          </w:p>
        </w:tc>
        <w:tc>
          <w:tcPr>
            <w:tcW w:w="1701" w:type="dxa"/>
            <w:vAlign w:val="center"/>
          </w:tcPr>
          <w:p w:rsidR="00D755A1" w:rsidRPr="009A5580" w:rsidRDefault="00136483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18 687,0</w:t>
            </w:r>
          </w:p>
        </w:tc>
        <w:tc>
          <w:tcPr>
            <w:tcW w:w="1701" w:type="dxa"/>
            <w:vAlign w:val="center"/>
          </w:tcPr>
          <w:p w:rsidR="00D755A1" w:rsidRPr="009A5580" w:rsidRDefault="006B34B2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118,4</w:t>
            </w:r>
          </w:p>
        </w:tc>
      </w:tr>
      <w:tr w:rsidR="00D755A1" w:rsidRPr="00FA5128" w:rsidTr="00D755A1">
        <w:trPr>
          <w:trHeight w:val="57"/>
        </w:trPr>
        <w:tc>
          <w:tcPr>
            <w:tcW w:w="2977" w:type="dxa"/>
          </w:tcPr>
          <w:p w:rsidR="00D755A1" w:rsidRDefault="00CB5CC0" w:rsidP="009A5580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="00D755A1">
              <w:rPr>
                <w:sz w:val="16"/>
                <w:szCs w:val="16"/>
              </w:rPr>
              <w:t>rodki pieniężne i ich ekwiwalenty</w:t>
            </w:r>
          </w:p>
        </w:tc>
        <w:tc>
          <w:tcPr>
            <w:tcW w:w="1701" w:type="dxa"/>
          </w:tcPr>
          <w:p w:rsidR="00D755A1" w:rsidRPr="009A5580" w:rsidRDefault="00136483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13 718,6</w:t>
            </w:r>
          </w:p>
        </w:tc>
        <w:tc>
          <w:tcPr>
            <w:tcW w:w="1701" w:type="dxa"/>
            <w:vAlign w:val="center"/>
          </w:tcPr>
          <w:p w:rsidR="00D755A1" w:rsidRPr="009A5580" w:rsidRDefault="00136483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16 363,8</w:t>
            </w:r>
          </w:p>
        </w:tc>
        <w:tc>
          <w:tcPr>
            <w:tcW w:w="1701" w:type="dxa"/>
            <w:vAlign w:val="center"/>
          </w:tcPr>
          <w:p w:rsidR="00D755A1" w:rsidRPr="009A5580" w:rsidRDefault="006B34B2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119,3</w:t>
            </w:r>
          </w:p>
        </w:tc>
      </w:tr>
      <w:tr w:rsidR="00501638" w:rsidRPr="00FA5128" w:rsidTr="00D755A1">
        <w:trPr>
          <w:trHeight w:val="57"/>
        </w:trPr>
        <w:tc>
          <w:tcPr>
            <w:tcW w:w="2977" w:type="dxa"/>
          </w:tcPr>
          <w:p w:rsidR="00501638" w:rsidRPr="009A5580" w:rsidRDefault="00501638" w:rsidP="00D755A1">
            <w:pPr>
              <w:rPr>
                <w:sz w:val="16"/>
                <w:szCs w:val="16"/>
              </w:rPr>
            </w:pPr>
            <w:r w:rsidRPr="009A5580">
              <w:rPr>
                <w:sz w:val="16"/>
                <w:szCs w:val="16"/>
              </w:rPr>
              <w:t xml:space="preserve">Wynik </w:t>
            </w:r>
            <w:r w:rsidR="00D755A1">
              <w:rPr>
                <w:sz w:val="16"/>
                <w:szCs w:val="16"/>
              </w:rPr>
              <w:t>z operacji</w:t>
            </w:r>
          </w:p>
        </w:tc>
        <w:tc>
          <w:tcPr>
            <w:tcW w:w="1701" w:type="dxa"/>
          </w:tcPr>
          <w:p w:rsidR="00501638" w:rsidRPr="009A5580" w:rsidRDefault="00136483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13 731,9</w:t>
            </w:r>
          </w:p>
        </w:tc>
        <w:tc>
          <w:tcPr>
            <w:tcW w:w="1701" w:type="dxa"/>
            <w:vAlign w:val="center"/>
          </w:tcPr>
          <w:p w:rsidR="00501638" w:rsidRPr="009A5580" w:rsidRDefault="00136483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10 469,7</w:t>
            </w:r>
          </w:p>
        </w:tc>
        <w:tc>
          <w:tcPr>
            <w:tcW w:w="1701" w:type="dxa"/>
            <w:vAlign w:val="center"/>
          </w:tcPr>
          <w:p w:rsidR="00501638" w:rsidRPr="009A5580" w:rsidRDefault="006B34B2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</w:t>
            </w:r>
          </w:p>
        </w:tc>
      </w:tr>
      <w:tr w:rsidR="003938ED" w:rsidRPr="00FA5128" w:rsidTr="00D755A1">
        <w:trPr>
          <w:trHeight w:val="57"/>
        </w:trPr>
        <w:tc>
          <w:tcPr>
            <w:tcW w:w="8080" w:type="dxa"/>
            <w:gridSpan w:val="4"/>
            <w:vAlign w:val="center"/>
          </w:tcPr>
          <w:p w:rsidR="003938ED" w:rsidRPr="003938ED" w:rsidRDefault="003938ED" w:rsidP="00D755A1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3938ED">
              <w:rPr>
                <w:b/>
                <w:color w:val="000000" w:themeColor="text1"/>
                <w:sz w:val="16"/>
                <w:szCs w:val="16"/>
              </w:rPr>
              <w:t xml:space="preserve">Dane </w:t>
            </w:r>
            <w:r w:rsidR="00D755A1">
              <w:rPr>
                <w:b/>
                <w:color w:val="000000" w:themeColor="text1"/>
                <w:sz w:val="16"/>
                <w:szCs w:val="16"/>
              </w:rPr>
              <w:t>finansowe towarzystw funduszy inwestycyjnych (w mln zł)</w:t>
            </w:r>
          </w:p>
        </w:tc>
      </w:tr>
      <w:tr w:rsidR="003938ED" w:rsidRPr="00FA5128" w:rsidTr="00D755A1">
        <w:trPr>
          <w:trHeight w:val="57"/>
        </w:trPr>
        <w:tc>
          <w:tcPr>
            <w:tcW w:w="2977" w:type="dxa"/>
          </w:tcPr>
          <w:p w:rsidR="003938ED" w:rsidRPr="003938ED" w:rsidRDefault="00D755A1" w:rsidP="00DE44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Aktywa ogółem</w:t>
            </w:r>
            <w:r w:rsidR="003938ED" w:rsidRPr="003938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212492"/>
            </w:tcBorders>
          </w:tcPr>
          <w:p w:rsidR="003938ED" w:rsidRPr="003938ED" w:rsidRDefault="00136483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2 230,6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center"/>
          </w:tcPr>
          <w:p w:rsidR="003938ED" w:rsidRPr="009A5580" w:rsidRDefault="006B34B2" w:rsidP="00AF71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2 227,8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center"/>
          </w:tcPr>
          <w:p w:rsidR="003938ED" w:rsidRPr="009A5580" w:rsidRDefault="006B34B2" w:rsidP="00AF71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</w:tr>
      <w:tr w:rsidR="003938ED" w:rsidRPr="00FA5128" w:rsidTr="00D755A1">
        <w:trPr>
          <w:trHeight w:val="57"/>
        </w:trPr>
        <w:tc>
          <w:tcPr>
            <w:tcW w:w="2977" w:type="dxa"/>
          </w:tcPr>
          <w:p w:rsidR="003938ED" w:rsidRPr="003938ED" w:rsidRDefault="00D755A1" w:rsidP="00DE44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Wynik finansowy netto</w:t>
            </w:r>
          </w:p>
        </w:tc>
        <w:tc>
          <w:tcPr>
            <w:tcW w:w="1701" w:type="dxa"/>
          </w:tcPr>
          <w:p w:rsidR="003938ED" w:rsidRPr="003938ED" w:rsidRDefault="00136483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308,0</w:t>
            </w:r>
          </w:p>
        </w:tc>
        <w:tc>
          <w:tcPr>
            <w:tcW w:w="1701" w:type="dxa"/>
            <w:vAlign w:val="center"/>
          </w:tcPr>
          <w:p w:rsidR="003938ED" w:rsidRPr="009A5580" w:rsidRDefault="006B34B2" w:rsidP="00AF71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499,3</w:t>
            </w:r>
          </w:p>
        </w:tc>
        <w:tc>
          <w:tcPr>
            <w:tcW w:w="1701" w:type="dxa"/>
            <w:vAlign w:val="center"/>
          </w:tcPr>
          <w:p w:rsidR="003938ED" w:rsidRPr="009A5580" w:rsidRDefault="006B34B2" w:rsidP="00AF71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162,1</w:t>
            </w:r>
          </w:p>
        </w:tc>
      </w:tr>
    </w:tbl>
    <w:p w:rsidR="00C22105" w:rsidRPr="00873659" w:rsidRDefault="00D755A1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780BBC1" wp14:editId="00AFCF68">
                <wp:simplePos x="0" y="0"/>
                <wp:positionH relativeFrom="column">
                  <wp:posOffset>5219700</wp:posOffset>
                </wp:positionH>
                <wp:positionV relativeFrom="paragraph">
                  <wp:posOffset>3937635</wp:posOffset>
                </wp:positionV>
                <wp:extent cx="1725295" cy="857250"/>
                <wp:effectExtent l="0" t="0" r="0" b="0"/>
                <wp:wrapTight wrapText="bothSides">
                  <wp:wrapPolygon edited="0">
                    <wp:start x="715" y="0"/>
                    <wp:lineTo x="715" y="21120"/>
                    <wp:lineTo x="20749" y="2112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CD2" w:rsidRPr="00074DD8" w:rsidRDefault="00364CD2" w:rsidP="001568E3">
                            <w:pPr>
                              <w:pStyle w:val="tekstzboku"/>
                            </w:pPr>
                            <w:r w:rsidRPr="00AB329A">
                              <w:t xml:space="preserve">W </w:t>
                            </w:r>
                            <w:r>
                              <w:t xml:space="preserve">I półroczu </w:t>
                            </w:r>
                            <w:r w:rsidRPr="00AB329A">
                              <w:t>201</w:t>
                            </w:r>
                            <w:r>
                              <w:t>8 </w:t>
                            </w:r>
                            <w:r w:rsidRPr="00AB329A">
                              <w:t xml:space="preserve">r. </w:t>
                            </w:r>
                            <w:r>
                              <w:t xml:space="preserve">liczba ogółem funduszy inwestycyjnych </w:t>
                            </w:r>
                            <w:r w:rsidRPr="00AB329A">
                              <w:t xml:space="preserve"> wyniosła </w:t>
                            </w:r>
                            <w:r>
                              <w:t>901.</w:t>
                            </w:r>
                          </w:p>
                          <w:p w:rsidR="00364CD2" w:rsidRPr="00D616D2" w:rsidRDefault="00364CD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0BBC1" id="_x0000_s1028" type="#_x0000_t202" style="position:absolute;margin-left:411pt;margin-top:310.05pt;width:135.85pt;height:67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" filled="f" stroked="f">
                <v:textbox>
                  <w:txbxContent>
                    <w:p w:rsidR="00364CD2" w:rsidRPr="00074DD8" w:rsidRDefault="00364CD2" w:rsidP="001568E3">
                      <w:pPr>
                        <w:pStyle w:val="tekstzboku"/>
                      </w:pPr>
                      <w:r w:rsidRPr="00AB329A">
                        <w:t xml:space="preserve">W </w:t>
                      </w:r>
                      <w:r>
                        <w:t xml:space="preserve">I półroczu </w:t>
                      </w:r>
                      <w:r w:rsidRPr="00AB329A">
                        <w:t>201</w:t>
                      </w:r>
                      <w:r>
                        <w:t>8 </w:t>
                      </w:r>
                      <w:r w:rsidRPr="00AB329A">
                        <w:t xml:space="preserve">r. </w:t>
                      </w:r>
                      <w:r>
                        <w:t xml:space="preserve">liczba ogółem funduszy inwestycyjnych </w:t>
                      </w:r>
                      <w:r w:rsidRPr="00AB329A">
                        <w:t xml:space="preserve"> wyniosła </w:t>
                      </w:r>
                      <w:r>
                        <w:t>901.</w:t>
                      </w:r>
                    </w:p>
                    <w:p w:rsidR="00364CD2" w:rsidRPr="00D616D2" w:rsidRDefault="00364CD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8156A" w:rsidRDefault="002D7403" w:rsidP="00F3752A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W końcu </w:t>
      </w:r>
      <w:r w:rsidR="00E72285">
        <w:rPr>
          <w:shd w:val="clear" w:color="auto" w:fill="FFFFFF"/>
        </w:rPr>
        <w:t xml:space="preserve">czerwca </w:t>
      </w:r>
      <w:r>
        <w:rPr>
          <w:shd w:val="clear" w:color="auto" w:fill="FFFFFF"/>
        </w:rPr>
        <w:t>201</w:t>
      </w:r>
      <w:r w:rsidR="00E72285">
        <w:rPr>
          <w:shd w:val="clear" w:color="auto" w:fill="FFFFFF"/>
        </w:rPr>
        <w:t>8</w:t>
      </w:r>
      <w:r w:rsidR="001568E3">
        <w:rPr>
          <w:shd w:val="clear" w:color="auto" w:fill="FFFFFF"/>
        </w:rPr>
        <w:t> </w:t>
      </w:r>
      <w:r>
        <w:rPr>
          <w:shd w:val="clear" w:color="auto" w:fill="FFFFFF"/>
        </w:rPr>
        <w:t>r. na polskim rynku finansowym funkcjonowało ogółem 90</w:t>
      </w:r>
      <w:r w:rsidR="00E72285">
        <w:rPr>
          <w:shd w:val="clear" w:color="auto" w:fill="FFFFFF"/>
        </w:rPr>
        <w:t>1</w:t>
      </w:r>
      <w:r>
        <w:rPr>
          <w:shd w:val="clear" w:color="auto" w:fill="FFFFFF"/>
        </w:rPr>
        <w:t xml:space="preserve"> funduszy inwestycyjnych</w:t>
      </w:r>
      <w:r w:rsidR="005D3F15">
        <w:rPr>
          <w:rStyle w:val="Odwoanieprzypisukocowego"/>
          <w:shd w:val="clear" w:color="auto" w:fill="FFFFFF"/>
        </w:rPr>
        <w:endnoteReference w:id="1"/>
      </w:r>
      <w:r>
        <w:rPr>
          <w:shd w:val="clear" w:color="auto" w:fill="FFFFFF"/>
        </w:rPr>
        <w:t xml:space="preserve"> (o 24 mniej niż przed rokiem). Liczba otwartych funduszy inwestycyjnych wyniosła 4</w:t>
      </w:r>
      <w:r w:rsidR="00E72285">
        <w:rPr>
          <w:shd w:val="clear" w:color="auto" w:fill="FFFFFF"/>
        </w:rPr>
        <w:t>5</w:t>
      </w:r>
      <w:r w:rsidR="00F3752A">
        <w:rPr>
          <w:shd w:val="clear" w:color="auto" w:fill="FFFFFF"/>
        </w:rPr>
        <w:t> </w:t>
      </w:r>
      <w:r>
        <w:rPr>
          <w:shd w:val="clear" w:color="auto" w:fill="FFFFFF"/>
        </w:rPr>
        <w:t>(</w:t>
      </w:r>
      <w:r w:rsidR="00E72285">
        <w:rPr>
          <w:shd w:val="clear" w:color="auto" w:fill="FFFFFF"/>
        </w:rPr>
        <w:t>44</w:t>
      </w:r>
      <w:r>
        <w:rPr>
          <w:shd w:val="clear" w:color="auto" w:fill="FFFFFF"/>
        </w:rPr>
        <w:t xml:space="preserve"> przed rokiem), liczba specjalistycznych funduszy inwestycyjnych otwartych </w:t>
      </w:r>
      <w:r w:rsidR="00E72285">
        <w:rPr>
          <w:shd w:val="clear" w:color="auto" w:fill="FFFFFF"/>
        </w:rPr>
        <w:t>wzrosła z</w:t>
      </w:r>
      <w:r w:rsidR="00F3752A">
        <w:rPr>
          <w:shd w:val="clear" w:color="auto" w:fill="FFFFFF"/>
        </w:rPr>
        <w:t xml:space="preserve"> 5</w:t>
      </w:r>
      <w:r w:rsidR="00E72285">
        <w:rPr>
          <w:shd w:val="clear" w:color="auto" w:fill="FFFFFF"/>
        </w:rPr>
        <w:t>3</w:t>
      </w:r>
      <w:r w:rsidR="00F3752A">
        <w:rPr>
          <w:shd w:val="clear" w:color="auto" w:fill="FFFFFF"/>
        </w:rPr>
        <w:t> </w:t>
      </w:r>
      <w:r w:rsidR="00E72285">
        <w:rPr>
          <w:shd w:val="clear" w:color="auto" w:fill="FFFFFF"/>
        </w:rPr>
        <w:t xml:space="preserve">do </w:t>
      </w:r>
      <w:r w:rsidR="00F3752A">
        <w:rPr>
          <w:shd w:val="clear" w:color="auto" w:fill="FFFFFF"/>
        </w:rPr>
        <w:t>5</w:t>
      </w:r>
      <w:r w:rsidR="00E72285">
        <w:rPr>
          <w:shd w:val="clear" w:color="auto" w:fill="FFFFFF"/>
        </w:rPr>
        <w:t>4</w:t>
      </w:r>
      <w:r w:rsidR="00F3752A">
        <w:rPr>
          <w:shd w:val="clear" w:color="auto" w:fill="FFFFFF"/>
        </w:rPr>
        <w:t>. W grupie funduszy inwestycyjnych zamkniętych liczba funduszy zmniejszyła się z 8</w:t>
      </w:r>
      <w:r w:rsidR="00E72285">
        <w:rPr>
          <w:shd w:val="clear" w:color="auto" w:fill="FFFFFF"/>
        </w:rPr>
        <w:t>28</w:t>
      </w:r>
      <w:r w:rsidR="00F3752A">
        <w:rPr>
          <w:shd w:val="clear" w:color="auto" w:fill="FFFFFF"/>
        </w:rPr>
        <w:t xml:space="preserve"> do 80</w:t>
      </w:r>
      <w:r w:rsidR="00E72285">
        <w:rPr>
          <w:shd w:val="clear" w:color="auto" w:fill="FFFFFF"/>
        </w:rPr>
        <w:t>2</w:t>
      </w:r>
      <w:r w:rsidR="00F3752A">
        <w:rPr>
          <w:shd w:val="clear" w:color="auto" w:fill="FFFFFF"/>
        </w:rPr>
        <w:t xml:space="preserve">. </w:t>
      </w:r>
    </w:p>
    <w:p w:rsidR="00F3752A" w:rsidRDefault="000578A2" w:rsidP="00F3752A">
      <w:pPr>
        <w:jc w:val="both"/>
        <w:rPr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50DE14C1" wp14:editId="72CF0FCB">
                <wp:simplePos x="0" y="0"/>
                <wp:positionH relativeFrom="column">
                  <wp:posOffset>5229225</wp:posOffset>
                </wp:positionH>
                <wp:positionV relativeFrom="paragraph">
                  <wp:posOffset>0</wp:posOffset>
                </wp:positionV>
                <wp:extent cx="1725295" cy="895350"/>
                <wp:effectExtent l="0" t="0" r="0" b="0"/>
                <wp:wrapTight wrapText="bothSides">
                  <wp:wrapPolygon edited="0">
                    <wp:start x="715" y="0"/>
                    <wp:lineTo x="715" y="21140"/>
                    <wp:lineTo x="20749" y="21140"/>
                    <wp:lineTo x="20749" y="0"/>
                    <wp:lineTo x="715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CD2" w:rsidRPr="00074DD8" w:rsidRDefault="00364CD2" w:rsidP="006F7FF7">
                            <w:pPr>
                              <w:pStyle w:val="tekstzboku"/>
                            </w:pPr>
                            <w:r w:rsidRPr="00AB329A">
                              <w:t xml:space="preserve">W </w:t>
                            </w:r>
                            <w:r>
                              <w:t xml:space="preserve">I półroczu </w:t>
                            </w:r>
                            <w:r w:rsidRPr="00AB329A">
                              <w:t>201</w:t>
                            </w:r>
                            <w:r>
                              <w:t>8 </w:t>
                            </w:r>
                            <w:r w:rsidRPr="00AB329A">
                              <w:t xml:space="preserve">r. </w:t>
                            </w:r>
                            <w:r>
                              <w:t>wartość aktywów ogółem funduszy inwestycyjnych wyniosła 334,2 mld zł.</w:t>
                            </w:r>
                          </w:p>
                          <w:p w:rsidR="00364CD2" w:rsidRPr="00D616D2" w:rsidRDefault="00364CD2" w:rsidP="00BF4D8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E14C1" id="Pole tekstowe 15" o:spid="_x0000_s1029" type="#_x0000_t202" style="position:absolute;left:0;text-align:left;margin-left:411.75pt;margin-top:0;width:135.85pt;height:70.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" filled="f" stroked="f">
                <v:textbox>
                  <w:txbxContent>
                    <w:p w:rsidR="00364CD2" w:rsidRPr="00074DD8" w:rsidRDefault="00364CD2" w:rsidP="006F7FF7">
                      <w:pPr>
                        <w:pStyle w:val="tekstzboku"/>
                      </w:pPr>
                      <w:r w:rsidRPr="00AB329A">
                        <w:t xml:space="preserve">W </w:t>
                      </w:r>
                      <w:r>
                        <w:t xml:space="preserve">I półroczu </w:t>
                      </w:r>
                      <w:r w:rsidRPr="00AB329A">
                        <w:t>201</w:t>
                      </w:r>
                      <w:r>
                        <w:t>8 </w:t>
                      </w:r>
                      <w:r w:rsidRPr="00AB329A">
                        <w:t xml:space="preserve">r. </w:t>
                      </w:r>
                      <w:r>
                        <w:t>wartość aktywów ogółem funduszy inwestycyjnych wyniosła 334,2 mld zł.</w:t>
                      </w:r>
                    </w:p>
                    <w:p w:rsidR="00364CD2" w:rsidRPr="00D616D2" w:rsidRDefault="00364CD2" w:rsidP="00BF4D8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A4">
        <w:rPr>
          <w:shd w:val="clear" w:color="auto" w:fill="FFFFFF"/>
        </w:rPr>
        <w:t>Według stanu na 3</w:t>
      </w:r>
      <w:r w:rsidR="00D3787D">
        <w:rPr>
          <w:shd w:val="clear" w:color="auto" w:fill="FFFFFF"/>
        </w:rPr>
        <w:t>0</w:t>
      </w:r>
      <w:r w:rsidR="000A6AA4">
        <w:rPr>
          <w:shd w:val="clear" w:color="auto" w:fill="FFFFFF"/>
        </w:rPr>
        <w:t xml:space="preserve"> </w:t>
      </w:r>
      <w:r w:rsidR="00D3787D">
        <w:rPr>
          <w:shd w:val="clear" w:color="auto" w:fill="FFFFFF"/>
        </w:rPr>
        <w:t xml:space="preserve">czerwca </w:t>
      </w:r>
      <w:r w:rsidR="000A6AA4">
        <w:rPr>
          <w:shd w:val="clear" w:color="auto" w:fill="FFFFFF"/>
        </w:rPr>
        <w:t>201</w:t>
      </w:r>
      <w:r w:rsidR="00D3787D">
        <w:rPr>
          <w:shd w:val="clear" w:color="auto" w:fill="FFFFFF"/>
        </w:rPr>
        <w:t>8</w:t>
      </w:r>
      <w:r w:rsidR="001568E3">
        <w:rPr>
          <w:shd w:val="clear" w:color="auto" w:fill="FFFFFF"/>
        </w:rPr>
        <w:t> </w:t>
      </w:r>
      <w:r w:rsidR="000A6AA4">
        <w:rPr>
          <w:shd w:val="clear" w:color="auto" w:fill="FFFFFF"/>
        </w:rPr>
        <w:t>r. wartość aktywów ogółem zgromadzonych przez fundusze inwestycyjne wyniosła 3</w:t>
      </w:r>
      <w:r w:rsidR="00D3787D">
        <w:rPr>
          <w:shd w:val="clear" w:color="auto" w:fill="FFFFFF"/>
        </w:rPr>
        <w:t>34</w:t>
      </w:r>
      <w:r w:rsidR="000A6AA4">
        <w:rPr>
          <w:shd w:val="clear" w:color="auto" w:fill="FFFFFF"/>
        </w:rPr>
        <w:t> </w:t>
      </w:r>
      <w:r w:rsidR="00D3787D">
        <w:rPr>
          <w:shd w:val="clear" w:color="auto" w:fill="FFFFFF"/>
        </w:rPr>
        <w:t>154</w:t>
      </w:r>
      <w:r w:rsidR="000A6AA4">
        <w:rPr>
          <w:shd w:val="clear" w:color="auto" w:fill="FFFFFF"/>
        </w:rPr>
        <w:t>,</w:t>
      </w:r>
      <w:r w:rsidR="00D3787D">
        <w:rPr>
          <w:shd w:val="clear" w:color="auto" w:fill="FFFFFF"/>
        </w:rPr>
        <w:t>1</w:t>
      </w:r>
      <w:r w:rsidR="000A6AA4">
        <w:rPr>
          <w:shd w:val="clear" w:color="auto" w:fill="FFFFFF"/>
        </w:rPr>
        <w:t xml:space="preserve"> mln zł (wzrost o </w:t>
      </w:r>
      <w:r w:rsidR="00D3787D">
        <w:rPr>
          <w:shd w:val="clear" w:color="auto" w:fill="FFFFFF"/>
        </w:rPr>
        <w:t>8</w:t>
      </w:r>
      <w:r w:rsidR="000A6AA4">
        <w:rPr>
          <w:shd w:val="clear" w:color="auto" w:fill="FFFFFF"/>
        </w:rPr>
        <w:t>,</w:t>
      </w:r>
      <w:r w:rsidR="00D3787D">
        <w:rPr>
          <w:shd w:val="clear" w:color="auto" w:fill="FFFFFF"/>
        </w:rPr>
        <w:t>0</w:t>
      </w:r>
      <w:r w:rsidR="000A6AA4">
        <w:rPr>
          <w:shd w:val="clear" w:color="auto" w:fill="FFFFFF"/>
        </w:rPr>
        <w:t xml:space="preserve">% w stosunku do </w:t>
      </w:r>
      <w:r w:rsidR="00D3787D">
        <w:rPr>
          <w:shd w:val="clear" w:color="auto" w:fill="FFFFFF"/>
        </w:rPr>
        <w:t xml:space="preserve">I półrocza </w:t>
      </w:r>
      <w:r w:rsidR="000A6AA4">
        <w:rPr>
          <w:shd w:val="clear" w:color="auto" w:fill="FFFFFF"/>
        </w:rPr>
        <w:t>201</w:t>
      </w:r>
      <w:r w:rsidR="006C65B2">
        <w:rPr>
          <w:shd w:val="clear" w:color="auto" w:fill="FFFFFF"/>
        </w:rPr>
        <w:t>7</w:t>
      </w:r>
      <w:r w:rsidR="001568E3">
        <w:rPr>
          <w:shd w:val="clear" w:color="auto" w:fill="FFFFFF"/>
        </w:rPr>
        <w:t> </w:t>
      </w:r>
      <w:r w:rsidR="000A6AA4">
        <w:rPr>
          <w:shd w:val="clear" w:color="auto" w:fill="FFFFFF"/>
        </w:rPr>
        <w:t>r.), z tego aktywa:</w:t>
      </w:r>
    </w:p>
    <w:p w:rsidR="000A6AA4" w:rsidRDefault="00AD5D19" w:rsidP="00AD5D19">
      <w:pPr>
        <w:pStyle w:val="Akapitzlist"/>
        <w:numPr>
          <w:ilvl w:val="0"/>
          <w:numId w:val="3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funduszy inwestycyjnych zamkniętych wyniosły 1</w:t>
      </w:r>
      <w:r w:rsidR="009D4111">
        <w:rPr>
          <w:shd w:val="clear" w:color="auto" w:fill="FFFFFF"/>
        </w:rPr>
        <w:t>60</w:t>
      </w:r>
      <w:r>
        <w:rPr>
          <w:shd w:val="clear" w:color="auto" w:fill="FFFFFF"/>
        </w:rPr>
        <w:t> </w:t>
      </w:r>
      <w:r w:rsidR="009D4111">
        <w:rPr>
          <w:shd w:val="clear" w:color="auto" w:fill="FFFFFF"/>
        </w:rPr>
        <w:t>201</w:t>
      </w:r>
      <w:r>
        <w:rPr>
          <w:shd w:val="clear" w:color="auto" w:fill="FFFFFF"/>
        </w:rPr>
        <w:t>,</w:t>
      </w:r>
      <w:r w:rsidR="009D4111">
        <w:rPr>
          <w:shd w:val="clear" w:color="auto" w:fill="FFFFFF"/>
        </w:rPr>
        <w:t>8</w:t>
      </w:r>
      <w:r>
        <w:rPr>
          <w:shd w:val="clear" w:color="auto" w:fill="FFFFFF"/>
        </w:rPr>
        <w:t xml:space="preserve"> mln zł (wzrost o 2,</w:t>
      </w:r>
      <w:r w:rsidR="009D4111">
        <w:rPr>
          <w:shd w:val="clear" w:color="auto" w:fill="FFFFFF"/>
        </w:rPr>
        <w:t>6</w:t>
      </w:r>
      <w:r>
        <w:rPr>
          <w:shd w:val="clear" w:color="auto" w:fill="FFFFFF"/>
        </w:rPr>
        <w:t>%), udział tej grupy funduszy w aktywach ogółem zmniejszył się z 5</w:t>
      </w:r>
      <w:r w:rsidR="009D4111">
        <w:rPr>
          <w:shd w:val="clear" w:color="auto" w:fill="FFFFFF"/>
        </w:rPr>
        <w:t>0</w:t>
      </w:r>
      <w:r>
        <w:rPr>
          <w:shd w:val="clear" w:color="auto" w:fill="FFFFFF"/>
        </w:rPr>
        <w:t>,</w:t>
      </w:r>
      <w:r w:rsidR="009D4111">
        <w:rPr>
          <w:shd w:val="clear" w:color="auto" w:fill="FFFFFF"/>
        </w:rPr>
        <w:t>4</w:t>
      </w:r>
      <w:r>
        <w:rPr>
          <w:shd w:val="clear" w:color="auto" w:fill="FFFFFF"/>
        </w:rPr>
        <w:t>% do 4</w:t>
      </w:r>
      <w:r w:rsidR="009D4111">
        <w:rPr>
          <w:shd w:val="clear" w:color="auto" w:fill="FFFFFF"/>
        </w:rPr>
        <w:t>7</w:t>
      </w:r>
      <w:r>
        <w:rPr>
          <w:shd w:val="clear" w:color="auto" w:fill="FFFFFF"/>
        </w:rPr>
        <w:t>,</w:t>
      </w:r>
      <w:r w:rsidR="009D4111">
        <w:rPr>
          <w:shd w:val="clear" w:color="auto" w:fill="FFFFFF"/>
        </w:rPr>
        <w:t>9</w:t>
      </w:r>
      <w:r>
        <w:rPr>
          <w:shd w:val="clear" w:color="auto" w:fill="FFFFFF"/>
        </w:rPr>
        <w:t>%;</w:t>
      </w:r>
    </w:p>
    <w:p w:rsidR="00AD5D19" w:rsidRDefault="00AD5D19" w:rsidP="00AD5D19">
      <w:pPr>
        <w:pStyle w:val="Akapitzlist"/>
        <w:numPr>
          <w:ilvl w:val="0"/>
          <w:numId w:val="3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otwartych funduszy inwestycyjnych osiągnęły wartość 1</w:t>
      </w:r>
      <w:r w:rsidR="009D4111">
        <w:rPr>
          <w:shd w:val="clear" w:color="auto" w:fill="FFFFFF"/>
        </w:rPr>
        <w:t>14</w:t>
      </w:r>
      <w:r>
        <w:rPr>
          <w:shd w:val="clear" w:color="auto" w:fill="FFFFFF"/>
        </w:rPr>
        <w:t> </w:t>
      </w:r>
      <w:r w:rsidR="009D4111">
        <w:rPr>
          <w:shd w:val="clear" w:color="auto" w:fill="FFFFFF"/>
        </w:rPr>
        <w:t>501</w:t>
      </w:r>
      <w:r>
        <w:rPr>
          <w:shd w:val="clear" w:color="auto" w:fill="FFFFFF"/>
        </w:rPr>
        <w:t>,</w:t>
      </w:r>
      <w:r w:rsidR="009D4111">
        <w:rPr>
          <w:shd w:val="clear" w:color="auto" w:fill="FFFFFF"/>
        </w:rPr>
        <w:t>8</w:t>
      </w:r>
      <w:r w:rsidR="001568E3">
        <w:rPr>
          <w:shd w:val="clear" w:color="auto" w:fill="FFFFFF"/>
        </w:rPr>
        <w:t> </w:t>
      </w:r>
      <w:r>
        <w:rPr>
          <w:shd w:val="clear" w:color="auto" w:fill="FFFFFF"/>
        </w:rPr>
        <w:t>mln</w:t>
      </w:r>
      <w:r w:rsidR="001568E3">
        <w:rPr>
          <w:shd w:val="clear" w:color="auto" w:fill="FFFFFF"/>
        </w:rPr>
        <w:t> </w:t>
      </w:r>
      <w:r>
        <w:rPr>
          <w:shd w:val="clear" w:color="auto" w:fill="FFFFFF"/>
        </w:rPr>
        <w:t>zł (wzrost o</w:t>
      </w:r>
      <w:r w:rsidR="00C83ED1">
        <w:rPr>
          <w:shd w:val="clear" w:color="auto" w:fill="FFFFFF"/>
        </w:rPr>
        <w:t> </w:t>
      </w:r>
      <w:r>
        <w:rPr>
          <w:shd w:val="clear" w:color="auto" w:fill="FFFFFF"/>
        </w:rPr>
        <w:t>1</w:t>
      </w:r>
      <w:r w:rsidR="009D4111">
        <w:rPr>
          <w:shd w:val="clear" w:color="auto" w:fill="FFFFFF"/>
        </w:rPr>
        <w:t>4</w:t>
      </w:r>
      <w:r>
        <w:rPr>
          <w:shd w:val="clear" w:color="auto" w:fill="FFFFFF"/>
        </w:rPr>
        <w:t>,</w:t>
      </w:r>
      <w:r w:rsidR="009D4111">
        <w:rPr>
          <w:shd w:val="clear" w:color="auto" w:fill="FFFFFF"/>
        </w:rPr>
        <w:t>4</w:t>
      </w:r>
      <w:r>
        <w:rPr>
          <w:shd w:val="clear" w:color="auto" w:fill="FFFFFF"/>
        </w:rPr>
        <w:t xml:space="preserve">%), ich udział w aktywach funduszy ogółem </w:t>
      </w:r>
      <w:r w:rsidR="00C83ED1">
        <w:rPr>
          <w:shd w:val="clear" w:color="auto" w:fill="FFFFFF"/>
        </w:rPr>
        <w:t>zwiększył się z 3</w:t>
      </w:r>
      <w:r w:rsidR="009D4111">
        <w:rPr>
          <w:shd w:val="clear" w:color="auto" w:fill="FFFFFF"/>
        </w:rPr>
        <w:t>2</w:t>
      </w:r>
      <w:r w:rsidR="00C83ED1">
        <w:rPr>
          <w:shd w:val="clear" w:color="auto" w:fill="FFFFFF"/>
        </w:rPr>
        <w:t>,</w:t>
      </w:r>
      <w:r w:rsidR="009D4111">
        <w:rPr>
          <w:shd w:val="clear" w:color="auto" w:fill="FFFFFF"/>
        </w:rPr>
        <w:t>4</w:t>
      </w:r>
      <w:r w:rsidR="00C83ED1">
        <w:rPr>
          <w:shd w:val="clear" w:color="auto" w:fill="FFFFFF"/>
        </w:rPr>
        <w:t>% do 3</w:t>
      </w:r>
      <w:r w:rsidR="009D4111">
        <w:rPr>
          <w:shd w:val="clear" w:color="auto" w:fill="FFFFFF"/>
        </w:rPr>
        <w:t>4</w:t>
      </w:r>
      <w:r w:rsidR="00C83ED1">
        <w:rPr>
          <w:shd w:val="clear" w:color="auto" w:fill="FFFFFF"/>
        </w:rPr>
        <w:t>,</w:t>
      </w:r>
      <w:r w:rsidR="009D4111">
        <w:rPr>
          <w:shd w:val="clear" w:color="auto" w:fill="FFFFFF"/>
        </w:rPr>
        <w:t>3</w:t>
      </w:r>
      <w:r w:rsidR="00C83ED1">
        <w:rPr>
          <w:shd w:val="clear" w:color="auto" w:fill="FFFFFF"/>
        </w:rPr>
        <w:t>%;</w:t>
      </w:r>
    </w:p>
    <w:p w:rsidR="00C83ED1" w:rsidRDefault="00C83ED1" w:rsidP="00AD5D19">
      <w:pPr>
        <w:pStyle w:val="Akapitzlist"/>
        <w:numPr>
          <w:ilvl w:val="0"/>
          <w:numId w:val="3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specjalistycznych funduszy inwestycyjnych otwartych ukształtowały się na poziomie 5</w:t>
      </w:r>
      <w:r w:rsidR="009D4111">
        <w:rPr>
          <w:shd w:val="clear" w:color="auto" w:fill="FFFFFF"/>
        </w:rPr>
        <w:t>9</w:t>
      </w:r>
      <w:r>
        <w:rPr>
          <w:shd w:val="clear" w:color="auto" w:fill="FFFFFF"/>
        </w:rPr>
        <w:t> </w:t>
      </w:r>
      <w:r w:rsidR="009D4111">
        <w:rPr>
          <w:shd w:val="clear" w:color="auto" w:fill="FFFFFF"/>
        </w:rPr>
        <w:t>450</w:t>
      </w:r>
      <w:r>
        <w:rPr>
          <w:shd w:val="clear" w:color="auto" w:fill="FFFFFF"/>
        </w:rPr>
        <w:t>,</w:t>
      </w:r>
      <w:r w:rsidR="009D4111">
        <w:rPr>
          <w:shd w:val="clear" w:color="auto" w:fill="FFFFFF"/>
        </w:rPr>
        <w:t>6</w:t>
      </w:r>
      <w:r>
        <w:rPr>
          <w:shd w:val="clear" w:color="auto" w:fill="FFFFFF"/>
        </w:rPr>
        <w:t xml:space="preserve"> mln</w:t>
      </w:r>
      <w:r w:rsidR="001568E3">
        <w:rPr>
          <w:shd w:val="clear" w:color="auto" w:fill="FFFFFF"/>
        </w:rPr>
        <w:t> </w:t>
      </w:r>
      <w:r>
        <w:rPr>
          <w:shd w:val="clear" w:color="auto" w:fill="FFFFFF"/>
        </w:rPr>
        <w:t xml:space="preserve">zł (wzrost o </w:t>
      </w:r>
      <w:r w:rsidR="009D4111">
        <w:rPr>
          <w:shd w:val="clear" w:color="auto" w:fill="FFFFFF"/>
        </w:rPr>
        <w:t>11</w:t>
      </w:r>
      <w:r>
        <w:rPr>
          <w:shd w:val="clear" w:color="auto" w:fill="FFFFFF"/>
        </w:rPr>
        <w:t>,6%), ich udział w aktywach ogółem zwiększył się do 17,</w:t>
      </w:r>
      <w:r w:rsidR="009D4111">
        <w:rPr>
          <w:shd w:val="clear" w:color="auto" w:fill="FFFFFF"/>
        </w:rPr>
        <w:t>8</w:t>
      </w:r>
      <w:r>
        <w:rPr>
          <w:shd w:val="clear" w:color="auto" w:fill="FFFFFF"/>
        </w:rPr>
        <w:t>% wobec 17,</w:t>
      </w:r>
      <w:r w:rsidR="009D4111">
        <w:rPr>
          <w:shd w:val="clear" w:color="auto" w:fill="FFFFFF"/>
        </w:rPr>
        <w:t>2</w:t>
      </w:r>
      <w:r>
        <w:rPr>
          <w:shd w:val="clear" w:color="auto" w:fill="FFFFFF"/>
        </w:rPr>
        <w:t>% przed rokiem.</w:t>
      </w:r>
    </w:p>
    <w:p w:rsidR="00C83ED1" w:rsidRPr="00C83ED1" w:rsidRDefault="00C83ED1" w:rsidP="00C83ED1">
      <w:pPr>
        <w:jc w:val="both"/>
        <w:rPr>
          <w:shd w:val="clear" w:color="auto" w:fill="FFFFFF"/>
        </w:rPr>
      </w:pPr>
      <w:r w:rsidRPr="00C83ED1">
        <w:rPr>
          <w:shd w:val="clear" w:color="auto" w:fill="FFFFFF"/>
        </w:rPr>
        <w:t xml:space="preserve"> </w:t>
      </w:r>
    </w:p>
    <w:p w:rsidR="00116087" w:rsidRPr="00C01503" w:rsidRDefault="00FB5906" w:rsidP="00074DD8">
      <w:pPr>
        <w:pStyle w:val="tytuwykresu"/>
      </w:pPr>
      <w:r w:rsidRPr="0019592F">
        <w:t xml:space="preserve">Wykres </w:t>
      </w:r>
      <w:r w:rsidR="00074DD8" w:rsidRPr="0019592F">
        <w:t>1</w:t>
      </w:r>
      <w:r w:rsidR="008F4441" w:rsidRPr="0019592F">
        <w:t>.</w:t>
      </w:r>
      <w:r w:rsidR="00074DD8" w:rsidRPr="0019592F">
        <w:rPr>
          <w:shd w:val="clear" w:color="auto" w:fill="FFFFFF"/>
        </w:rPr>
        <w:t xml:space="preserve"> </w:t>
      </w:r>
      <w:r w:rsidR="000578A2">
        <w:rPr>
          <w:shd w:val="clear" w:color="auto" w:fill="FFFFFF"/>
        </w:rPr>
        <w:t>Aktywa funduszy inwestycyjnych (w mld zł)</w:t>
      </w:r>
    </w:p>
    <w:p w:rsidR="00F802BE" w:rsidRDefault="00F870C3" w:rsidP="00F802BE">
      <w:pPr>
        <w:pStyle w:val="Nagwe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1397000</wp:posOffset>
                </wp:positionV>
                <wp:extent cx="495300" cy="333375"/>
                <wp:effectExtent l="0" t="0" r="0" b="0"/>
                <wp:wrapNone/>
                <wp:docPr id="17" name="Pole tekstow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CD2" w:rsidRPr="000F14E6" w:rsidRDefault="00364CD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F14E6">
                              <w:rPr>
                                <w:b/>
                                <w:sz w:val="18"/>
                                <w:szCs w:val="18"/>
                              </w:rPr>
                              <w:t>0,1%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7" o:spid="_x0000_s1030" type="#_x0000_t202" style="position:absolute;margin-left:264.75pt;margin-top:110pt;width:39pt;height:26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" filled="f" stroked="f" strokeweight=".5pt">
                <v:textbox>
                  <w:txbxContent>
                    <w:p w:rsidR="00364CD2" w:rsidRPr="000F14E6" w:rsidRDefault="00364CD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F14E6">
                        <w:rPr>
                          <w:b/>
                          <w:sz w:val="18"/>
                          <w:szCs w:val="18"/>
                        </w:rPr>
                        <w:t>0,1%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2006600</wp:posOffset>
                </wp:positionV>
                <wp:extent cx="457200" cy="323850"/>
                <wp:effectExtent l="0" t="0" r="0" b="0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CD2" w:rsidRPr="000F14E6" w:rsidRDefault="00364CD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155,9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4" o:spid="_x0000_s1031" type="#_x0000_t202" style="position:absolute;margin-left:262.5pt;margin-top:158pt;width:36pt;height:25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" filled="f" stroked="f" strokeweight=".5pt">
                <v:textbox>
                  <w:txbxContent>
                    <w:p w:rsidR="00364CD2" w:rsidRPr="000F14E6" w:rsidRDefault="00364CD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155,9</w:t>
                      </w:r>
                    </w:p>
                  </w:txbxContent>
                </v:textbox>
              </v:shape>
            </w:pict>
          </mc:Fallback>
        </mc:AlternateContent>
      </w:r>
      <w:r w:rsidR="00EB3505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3114676</wp:posOffset>
                </wp:positionH>
                <wp:positionV relativeFrom="paragraph">
                  <wp:posOffset>2759075</wp:posOffset>
                </wp:positionV>
                <wp:extent cx="400050" cy="361950"/>
                <wp:effectExtent l="0" t="0" r="0" b="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CD2" w:rsidRPr="00775B09" w:rsidRDefault="00364CD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54,2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3" o:spid="_x0000_s1032" type="#_x0000_t202" style="position:absolute;margin-left:245.25pt;margin-top:217.25pt;width:31.5pt;height:28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" filled="f" stroked="f" strokeweight=".5pt">
                <v:textbox>
                  <w:txbxContent>
                    <w:p w:rsidR="00364CD2" w:rsidRPr="00775B09" w:rsidRDefault="00364CD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54,2</w:t>
                      </w:r>
                    </w:p>
                  </w:txbxContent>
                </v:textbox>
              </v:shape>
            </w:pict>
          </mc:Fallback>
        </mc:AlternateContent>
      </w:r>
      <w:r w:rsidR="00EB3505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1730375</wp:posOffset>
                </wp:positionV>
                <wp:extent cx="485775" cy="400050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CD2" w:rsidRPr="00775B09" w:rsidRDefault="00364CD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75B09">
                              <w:rPr>
                                <w:b/>
                                <w:sz w:val="18"/>
                                <w:szCs w:val="18"/>
                              </w:rPr>
                              <w:t>4,0%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2" o:spid="_x0000_s1033" type="#_x0000_t202" style="position:absolute;margin-left:228.75pt;margin-top:136.25pt;width:38.25pt;height:31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" filled="f" stroked="f" strokeweight=".5pt">
                <v:textbox>
                  <w:txbxContent>
                    <w:p w:rsidR="00364CD2" w:rsidRPr="00775B09" w:rsidRDefault="00364CD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775B09">
                        <w:rPr>
                          <w:b/>
                          <w:sz w:val="18"/>
                          <w:szCs w:val="18"/>
                        </w:rPr>
                        <w:t>4,0%</w:t>
                      </w:r>
                    </w:p>
                  </w:txbxContent>
                </v:textbox>
              </v:shape>
            </w:pict>
          </mc:Fallback>
        </mc:AlternateContent>
      </w:r>
      <w:r w:rsidR="00EB3505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2378075</wp:posOffset>
                </wp:positionV>
                <wp:extent cx="485775" cy="323850"/>
                <wp:effectExtent l="0" t="0" r="0" b="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CD2" w:rsidRPr="00775B09" w:rsidRDefault="00364CD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104,1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7" o:spid="_x0000_s1034" type="#_x0000_t202" style="position:absolute;margin-left:228.75pt;margin-top:187.25pt;width:38.25pt;height:25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" filled="f" stroked="f" strokeweight=".5pt">
                <v:textbox>
                  <w:txbxContent>
                    <w:p w:rsidR="00364CD2" w:rsidRPr="00775B09" w:rsidRDefault="00364CD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104,1</w:t>
                      </w:r>
                    </w:p>
                  </w:txbxContent>
                </v:textbox>
              </v:shape>
            </w:pict>
          </mc:Fallback>
        </mc:AlternateContent>
      </w:r>
      <w:r w:rsidR="004E4E16">
        <w:rPr>
          <w:noProof/>
        </w:rPr>
        <w:drawing>
          <wp:inline distT="0" distB="0" distL="0" distR="0" wp14:anchorId="63EA91D2" wp14:editId="37C905BC">
            <wp:extent cx="5123180" cy="4443095"/>
            <wp:effectExtent l="0" t="0" r="1270" b="1460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F17C4" w:rsidRDefault="00DF17C4" w:rsidP="001E0053">
      <w:pPr>
        <w:jc w:val="both"/>
        <w:rPr>
          <w:shd w:val="clear" w:color="auto" w:fill="FFFFFF"/>
        </w:rPr>
      </w:pPr>
    </w:p>
    <w:p w:rsidR="00E74157" w:rsidRDefault="00332EAC" w:rsidP="001E0053">
      <w:pPr>
        <w:jc w:val="both"/>
        <w:rPr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740311FD" wp14:editId="34D6062E">
                <wp:simplePos x="0" y="0"/>
                <wp:positionH relativeFrom="column">
                  <wp:posOffset>5229225</wp:posOffset>
                </wp:positionH>
                <wp:positionV relativeFrom="paragraph">
                  <wp:posOffset>204470</wp:posOffset>
                </wp:positionV>
                <wp:extent cx="1725295" cy="933450"/>
                <wp:effectExtent l="0" t="0" r="0" b="0"/>
                <wp:wrapTight wrapText="bothSides">
                  <wp:wrapPolygon edited="0">
                    <wp:start x="715" y="0"/>
                    <wp:lineTo x="715" y="21159"/>
                    <wp:lineTo x="20749" y="21159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CD2" w:rsidRPr="00074DD8" w:rsidRDefault="00364CD2" w:rsidP="00ED1DC2">
                            <w:pPr>
                              <w:pStyle w:val="tekstzboku"/>
                              <w:jc w:val="both"/>
                            </w:pPr>
                            <w:r w:rsidRPr="0053170A">
                              <w:t xml:space="preserve">Główną pozycją </w:t>
                            </w:r>
                            <w:r>
                              <w:t>aktywów ogółem funduszy inwestycyjnych były składniki lokat nienotowane na aktywnym rynku.</w:t>
                            </w:r>
                          </w:p>
                          <w:p w:rsidR="00364CD2" w:rsidRPr="00D616D2" w:rsidRDefault="00364CD2" w:rsidP="0053170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311FD" id="Pole tekstowe 16" o:spid="_x0000_s1035" type="#_x0000_t202" style="position:absolute;left:0;text-align:left;margin-left:411.75pt;margin-top:16.1pt;width:135.85pt;height:73.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" filled="f" stroked="f">
                <v:textbox>
                  <w:txbxContent>
                    <w:p w:rsidR="00364CD2" w:rsidRPr="00074DD8" w:rsidRDefault="00364CD2" w:rsidP="00ED1DC2">
                      <w:pPr>
                        <w:pStyle w:val="tekstzboku"/>
                        <w:jc w:val="both"/>
                      </w:pPr>
                      <w:r w:rsidRPr="0053170A">
                        <w:t xml:space="preserve">Główną pozycją </w:t>
                      </w:r>
                      <w:r>
                        <w:t>aktywów ogółem funduszy inwestycyjnych były składniki lokat nienotowane na aktywnym rynku.</w:t>
                      </w:r>
                    </w:p>
                    <w:p w:rsidR="00364CD2" w:rsidRPr="00D616D2" w:rsidRDefault="00364CD2" w:rsidP="0053170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E0053">
        <w:rPr>
          <w:shd w:val="clear" w:color="auto" w:fill="FFFFFF"/>
        </w:rPr>
        <w:t>Główną pozycję aktywów ogółem funduszy inwestycyjnych stanowiły składniki lokat nienotowane na aktywnym rynku</w:t>
      </w:r>
      <w:r w:rsidR="005D3F15">
        <w:rPr>
          <w:rStyle w:val="Odwoanieprzypisukocowego"/>
          <w:shd w:val="clear" w:color="auto" w:fill="FFFFFF"/>
        </w:rPr>
        <w:endnoteReference w:id="2"/>
      </w:r>
      <w:r w:rsidR="001E0053">
        <w:rPr>
          <w:shd w:val="clear" w:color="auto" w:fill="FFFFFF"/>
        </w:rPr>
        <w:t xml:space="preserve">, ich wartość </w:t>
      </w:r>
      <w:r w:rsidR="003E6991">
        <w:rPr>
          <w:shd w:val="clear" w:color="auto" w:fill="FFFFFF"/>
        </w:rPr>
        <w:t>w końcu</w:t>
      </w:r>
      <w:r w:rsidR="001E0053">
        <w:rPr>
          <w:shd w:val="clear" w:color="auto" w:fill="FFFFFF"/>
        </w:rPr>
        <w:t xml:space="preserve"> </w:t>
      </w:r>
      <w:r w:rsidR="003E6991">
        <w:rPr>
          <w:shd w:val="clear" w:color="auto" w:fill="FFFFFF"/>
        </w:rPr>
        <w:t xml:space="preserve">czerwca </w:t>
      </w:r>
      <w:r w:rsidR="001E0053">
        <w:rPr>
          <w:shd w:val="clear" w:color="auto" w:fill="FFFFFF"/>
        </w:rPr>
        <w:t>201</w:t>
      </w:r>
      <w:r w:rsidR="003E6991">
        <w:rPr>
          <w:shd w:val="clear" w:color="auto" w:fill="FFFFFF"/>
        </w:rPr>
        <w:t>8</w:t>
      </w:r>
      <w:r w:rsidR="001568E3">
        <w:rPr>
          <w:shd w:val="clear" w:color="auto" w:fill="FFFFFF"/>
        </w:rPr>
        <w:t> </w:t>
      </w:r>
      <w:r w:rsidR="001E0053">
        <w:rPr>
          <w:shd w:val="clear" w:color="auto" w:fill="FFFFFF"/>
        </w:rPr>
        <w:t>r. wyniosła 15</w:t>
      </w:r>
      <w:r w:rsidR="003E6991">
        <w:rPr>
          <w:shd w:val="clear" w:color="auto" w:fill="FFFFFF"/>
        </w:rPr>
        <w:t>7</w:t>
      </w:r>
      <w:r w:rsidR="001E0053">
        <w:rPr>
          <w:shd w:val="clear" w:color="auto" w:fill="FFFFFF"/>
        </w:rPr>
        <w:t> </w:t>
      </w:r>
      <w:r w:rsidR="003E6991">
        <w:rPr>
          <w:shd w:val="clear" w:color="auto" w:fill="FFFFFF"/>
        </w:rPr>
        <w:t>335</w:t>
      </w:r>
      <w:r w:rsidR="001E0053">
        <w:rPr>
          <w:shd w:val="clear" w:color="auto" w:fill="FFFFFF"/>
        </w:rPr>
        <w:t>,</w:t>
      </w:r>
      <w:r w:rsidR="003E6991">
        <w:rPr>
          <w:shd w:val="clear" w:color="auto" w:fill="FFFFFF"/>
        </w:rPr>
        <w:t>0</w:t>
      </w:r>
      <w:r w:rsidR="001E0053">
        <w:rPr>
          <w:shd w:val="clear" w:color="auto" w:fill="FFFFFF"/>
        </w:rPr>
        <w:t xml:space="preserve"> mln</w:t>
      </w:r>
      <w:r w:rsidR="001568E3">
        <w:rPr>
          <w:shd w:val="clear" w:color="auto" w:fill="FFFFFF"/>
        </w:rPr>
        <w:t> </w:t>
      </w:r>
      <w:r w:rsidR="001E0053">
        <w:rPr>
          <w:shd w:val="clear" w:color="auto" w:fill="FFFFFF"/>
        </w:rPr>
        <w:t xml:space="preserve">zł i była wyższa o </w:t>
      </w:r>
      <w:r w:rsidR="003E6991">
        <w:rPr>
          <w:shd w:val="clear" w:color="auto" w:fill="FFFFFF"/>
        </w:rPr>
        <w:t>3</w:t>
      </w:r>
      <w:r w:rsidR="001E0053">
        <w:rPr>
          <w:shd w:val="clear" w:color="auto" w:fill="FFFFFF"/>
        </w:rPr>
        <w:t>,</w:t>
      </w:r>
      <w:r w:rsidR="003E6991">
        <w:rPr>
          <w:shd w:val="clear" w:color="auto" w:fill="FFFFFF"/>
        </w:rPr>
        <w:t>4</w:t>
      </w:r>
      <w:r w:rsidR="001E0053">
        <w:rPr>
          <w:shd w:val="clear" w:color="auto" w:fill="FFFFFF"/>
        </w:rPr>
        <w:t xml:space="preserve">% w stosunku do </w:t>
      </w:r>
      <w:r w:rsidR="003E6991">
        <w:rPr>
          <w:shd w:val="clear" w:color="auto" w:fill="FFFFFF"/>
        </w:rPr>
        <w:t>czerwca</w:t>
      </w:r>
      <w:r w:rsidR="001E0053">
        <w:rPr>
          <w:shd w:val="clear" w:color="auto" w:fill="FFFFFF"/>
        </w:rPr>
        <w:t xml:space="preserve"> 201</w:t>
      </w:r>
      <w:r w:rsidR="003E6991">
        <w:rPr>
          <w:shd w:val="clear" w:color="auto" w:fill="FFFFFF"/>
        </w:rPr>
        <w:t>7</w:t>
      </w:r>
      <w:r w:rsidR="001568E3">
        <w:rPr>
          <w:shd w:val="clear" w:color="auto" w:fill="FFFFFF"/>
        </w:rPr>
        <w:t> </w:t>
      </w:r>
      <w:r w:rsidR="001E0053">
        <w:rPr>
          <w:shd w:val="clear" w:color="auto" w:fill="FFFFFF"/>
        </w:rPr>
        <w:t xml:space="preserve">r. Udział tej pozycji w aktywach ogółem </w:t>
      </w:r>
      <w:r w:rsidR="003E6991">
        <w:rPr>
          <w:shd w:val="clear" w:color="auto" w:fill="FFFFFF"/>
        </w:rPr>
        <w:t>zmniejszył</w:t>
      </w:r>
      <w:r w:rsidR="001E0053">
        <w:rPr>
          <w:shd w:val="clear" w:color="auto" w:fill="FFFFFF"/>
        </w:rPr>
        <w:t xml:space="preserve"> się do 4</w:t>
      </w:r>
      <w:r w:rsidR="003E6991">
        <w:rPr>
          <w:shd w:val="clear" w:color="auto" w:fill="FFFFFF"/>
        </w:rPr>
        <w:t>7</w:t>
      </w:r>
      <w:r w:rsidR="001E0053">
        <w:rPr>
          <w:shd w:val="clear" w:color="auto" w:fill="FFFFFF"/>
        </w:rPr>
        <w:t>,</w:t>
      </w:r>
      <w:r w:rsidR="003E6991">
        <w:rPr>
          <w:shd w:val="clear" w:color="auto" w:fill="FFFFFF"/>
        </w:rPr>
        <w:t>1</w:t>
      </w:r>
      <w:r w:rsidR="001E0053">
        <w:rPr>
          <w:shd w:val="clear" w:color="auto" w:fill="FFFFFF"/>
        </w:rPr>
        <w:t>% (wobec 4</w:t>
      </w:r>
      <w:r w:rsidR="003E6991">
        <w:rPr>
          <w:shd w:val="clear" w:color="auto" w:fill="FFFFFF"/>
        </w:rPr>
        <w:t>9</w:t>
      </w:r>
      <w:r w:rsidR="001E0053">
        <w:rPr>
          <w:shd w:val="clear" w:color="auto" w:fill="FFFFFF"/>
        </w:rPr>
        <w:t>,</w:t>
      </w:r>
      <w:r w:rsidR="003E6991">
        <w:rPr>
          <w:shd w:val="clear" w:color="auto" w:fill="FFFFFF"/>
        </w:rPr>
        <w:t>2</w:t>
      </w:r>
      <w:r w:rsidR="001E0053">
        <w:rPr>
          <w:shd w:val="clear" w:color="auto" w:fill="FFFFFF"/>
        </w:rPr>
        <w:t xml:space="preserve">% przed rokiem). </w:t>
      </w:r>
    </w:p>
    <w:p w:rsidR="00E74157" w:rsidRDefault="001E0053" w:rsidP="001E0053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W </w:t>
      </w:r>
      <w:r w:rsidR="00916CE9">
        <w:rPr>
          <w:shd w:val="clear" w:color="auto" w:fill="FFFFFF"/>
        </w:rPr>
        <w:t xml:space="preserve">I półroczu </w:t>
      </w:r>
      <w:r>
        <w:rPr>
          <w:shd w:val="clear" w:color="auto" w:fill="FFFFFF"/>
        </w:rPr>
        <w:t>201</w:t>
      </w:r>
      <w:r w:rsidR="00916CE9">
        <w:rPr>
          <w:shd w:val="clear" w:color="auto" w:fill="FFFFFF"/>
        </w:rPr>
        <w:t>8</w:t>
      </w:r>
      <w:r w:rsidR="001568E3">
        <w:rPr>
          <w:shd w:val="clear" w:color="auto" w:fill="FFFFFF"/>
        </w:rPr>
        <w:t> </w:t>
      </w:r>
      <w:r>
        <w:rPr>
          <w:shd w:val="clear" w:color="auto" w:fill="FFFFFF"/>
        </w:rPr>
        <w:t>r. należności funduszy inwestycyjnych wyniosły 1</w:t>
      </w:r>
      <w:r w:rsidR="00916CE9">
        <w:rPr>
          <w:shd w:val="clear" w:color="auto" w:fill="FFFFFF"/>
        </w:rPr>
        <w:t>8</w:t>
      </w:r>
      <w:r>
        <w:rPr>
          <w:shd w:val="clear" w:color="auto" w:fill="FFFFFF"/>
        </w:rPr>
        <w:t> </w:t>
      </w:r>
      <w:r w:rsidR="00916CE9">
        <w:rPr>
          <w:shd w:val="clear" w:color="auto" w:fill="FFFFFF"/>
        </w:rPr>
        <w:t>687</w:t>
      </w:r>
      <w:r>
        <w:rPr>
          <w:shd w:val="clear" w:color="auto" w:fill="FFFFFF"/>
        </w:rPr>
        <w:t>,</w:t>
      </w:r>
      <w:r w:rsidR="00916CE9">
        <w:rPr>
          <w:shd w:val="clear" w:color="auto" w:fill="FFFFFF"/>
        </w:rPr>
        <w:t>0</w:t>
      </w:r>
      <w:r>
        <w:rPr>
          <w:shd w:val="clear" w:color="auto" w:fill="FFFFFF"/>
        </w:rPr>
        <w:t xml:space="preserve"> mln</w:t>
      </w:r>
      <w:r w:rsidR="001568E3">
        <w:rPr>
          <w:shd w:val="clear" w:color="auto" w:fill="FFFFFF"/>
        </w:rPr>
        <w:t> </w:t>
      </w:r>
      <w:r>
        <w:rPr>
          <w:shd w:val="clear" w:color="auto" w:fill="FFFFFF"/>
        </w:rPr>
        <w:t xml:space="preserve">zł i były </w:t>
      </w:r>
      <w:r w:rsidR="00916CE9">
        <w:rPr>
          <w:shd w:val="clear" w:color="auto" w:fill="FFFFFF"/>
        </w:rPr>
        <w:t>wyższe</w:t>
      </w:r>
      <w:r>
        <w:rPr>
          <w:shd w:val="clear" w:color="auto" w:fill="FFFFFF"/>
        </w:rPr>
        <w:t xml:space="preserve"> o 1</w:t>
      </w:r>
      <w:r w:rsidR="00916CE9">
        <w:rPr>
          <w:shd w:val="clear" w:color="auto" w:fill="FFFFFF"/>
        </w:rPr>
        <w:t>8</w:t>
      </w:r>
      <w:r>
        <w:rPr>
          <w:shd w:val="clear" w:color="auto" w:fill="FFFFFF"/>
        </w:rPr>
        <w:t>,</w:t>
      </w:r>
      <w:r w:rsidR="00916CE9">
        <w:rPr>
          <w:shd w:val="clear" w:color="auto" w:fill="FFFFFF"/>
        </w:rPr>
        <w:t>4</w:t>
      </w:r>
      <w:r>
        <w:rPr>
          <w:shd w:val="clear" w:color="auto" w:fill="FFFFFF"/>
        </w:rPr>
        <w:t>% w</w:t>
      </w:r>
      <w:r w:rsidR="001568E3">
        <w:rPr>
          <w:shd w:val="clear" w:color="auto" w:fill="FFFFFF"/>
        </w:rPr>
        <w:t> </w:t>
      </w:r>
      <w:r>
        <w:rPr>
          <w:shd w:val="clear" w:color="auto" w:fill="FFFFFF"/>
        </w:rPr>
        <w:t xml:space="preserve">porównaniu z końcem </w:t>
      </w:r>
      <w:r w:rsidR="00916CE9">
        <w:rPr>
          <w:shd w:val="clear" w:color="auto" w:fill="FFFFFF"/>
        </w:rPr>
        <w:t xml:space="preserve">czerwca </w:t>
      </w:r>
      <w:r>
        <w:rPr>
          <w:shd w:val="clear" w:color="auto" w:fill="FFFFFF"/>
        </w:rPr>
        <w:t>201</w:t>
      </w:r>
      <w:r w:rsidR="00916CE9">
        <w:rPr>
          <w:shd w:val="clear" w:color="auto" w:fill="FFFFFF"/>
        </w:rPr>
        <w:t>7</w:t>
      </w:r>
      <w:r w:rsidR="001568E3">
        <w:rPr>
          <w:shd w:val="clear" w:color="auto" w:fill="FFFFFF"/>
        </w:rPr>
        <w:t> </w:t>
      </w:r>
      <w:r>
        <w:rPr>
          <w:shd w:val="clear" w:color="auto" w:fill="FFFFFF"/>
        </w:rPr>
        <w:t>r.</w:t>
      </w:r>
      <w:r w:rsidR="00ED1DC2">
        <w:rPr>
          <w:shd w:val="clear" w:color="auto" w:fill="FFFFFF"/>
        </w:rPr>
        <w:t xml:space="preserve"> Należności z tytułu zbytych lokat </w:t>
      </w:r>
      <w:r w:rsidR="00916CE9">
        <w:rPr>
          <w:shd w:val="clear" w:color="auto" w:fill="FFFFFF"/>
        </w:rPr>
        <w:t>zwiększyły</w:t>
      </w:r>
      <w:r w:rsidR="00ED1DC2">
        <w:rPr>
          <w:shd w:val="clear" w:color="auto" w:fill="FFFFFF"/>
        </w:rPr>
        <w:t xml:space="preserve"> się do </w:t>
      </w:r>
      <w:r w:rsidR="00916CE9">
        <w:rPr>
          <w:shd w:val="clear" w:color="auto" w:fill="FFFFFF"/>
        </w:rPr>
        <w:t>8</w:t>
      </w:r>
      <w:r w:rsidR="00ED1DC2">
        <w:rPr>
          <w:shd w:val="clear" w:color="auto" w:fill="FFFFFF"/>
        </w:rPr>
        <w:t> </w:t>
      </w:r>
      <w:r w:rsidR="00916CE9">
        <w:rPr>
          <w:shd w:val="clear" w:color="auto" w:fill="FFFFFF"/>
        </w:rPr>
        <w:t>853</w:t>
      </w:r>
      <w:r w:rsidR="00ED1DC2">
        <w:rPr>
          <w:shd w:val="clear" w:color="auto" w:fill="FFFFFF"/>
        </w:rPr>
        <w:t>,</w:t>
      </w:r>
      <w:r w:rsidR="00916CE9">
        <w:rPr>
          <w:shd w:val="clear" w:color="auto" w:fill="FFFFFF"/>
        </w:rPr>
        <w:t>4</w:t>
      </w:r>
      <w:r w:rsidR="00EC5F4C">
        <w:rPr>
          <w:shd w:val="clear" w:color="auto" w:fill="FFFFFF"/>
        </w:rPr>
        <w:t> </w:t>
      </w:r>
      <w:r w:rsidR="00ED1DC2">
        <w:rPr>
          <w:shd w:val="clear" w:color="auto" w:fill="FFFFFF"/>
        </w:rPr>
        <w:t>mln</w:t>
      </w:r>
      <w:r w:rsidR="001568E3">
        <w:rPr>
          <w:shd w:val="clear" w:color="auto" w:fill="FFFFFF"/>
        </w:rPr>
        <w:t> </w:t>
      </w:r>
      <w:r w:rsidR="00ED1DC2">
        <w:rPr>
          <w:shd w:val="clear" w:color="auto" w:fill="FFFFFF"/>
        </w:rPr>
        <w:t>zł (</w:t>
      </w:r>
      <w:r w:rsidR="001568E3">
        <w:rPr>
          <w:shd w:val="clear" w:color="auto" w:fill="FFFFFF"/>
        </w:rPr>
        <w:t>o</w:t>
      </w:r>
      <w:r w:rsidR="00ED1DC2">
        <w:rPr>
          <w:shd w:val="clear" w:color="auto" w:fill="FFFFFF"/>
        </w:rPr>
        <w:t xml:space="preserve"> </w:t>
      </w:r>
      <w:r w:rsidR="00916CE9">
        <w:rPr>
          <w:shd w:val="clear" w:color="auto" w:fill="FFFFFF"/>
        </w:rPr>
        <w:t>9</w:t>
      </w:r>
      <w:r w:rsidR="00ED1DC2">
        <w:rPr>
          <w:shd w:val="clear" w:color="auto" w:fill="FFFFFF"/>
        </w:rPr>
        <w:t>,</w:t>
      </w:r>
      <w:r w:rsidR="00916CE9">
        <w:rPr>
          <w:shd w:val="clear" w:color="auto" w:fill="FFFFFF"/>
        </w:rPr>
        <w:t>4</w:t>
      </w:r>
      <w:r w:rsidR="00ED1DC2">
        <w:rPr>
          <w:shd w:val="clear" w:color="auto" w:fill="FFFFFF"/>
        </w:rPr>
        <w:t xml:space="preserve">%). Należności z tytułu zbytych jednostek uczestnictwa i wydanych certyfikatów inwestycyjnych zwiększyły się do </w:t>
      </w:r>
      <w:r w:rsidR="00916CE9">
        <w:rPr>
          <w:shd w:val="clear" w:color="auto" w:fill="FFFFFF"/>
        </w:rPr>
        <w:t>7</w:t>
      </w:r>
      <w:r w:rsidR="00ED1DC2">
        <w:rPr>
          <w:shd w:val="clear" w:color="auto" w:fill="FFFFFF"/>
        </w:rPr>
        <w:t> </w:t>
      </w:r>
      <w:r w:rsidR="00916CE9">
        <w:rPr>
          <w:shd w:val="clear" w:color="auto" w:fill="FFFFFF"/>
        </w:rPr>
        <w:t>528</w:t>
      </w:r>
      <w:r w:rsidR="00ED1DC2">
        <w:rPr>
          <w:shd w:val="clear" w:color="auto" w:fill="FFFFFF"/>
        </w:rPr>
        <w:t>,</w:t>
      </w:r>
      <w:r w:rsidR="00916CE9">
        <w:rPr>
          <w:shd w:val="clear" w:color="auto" w:fill="FFFFFF"/>
        </w:rPr>
        <w:t>7</w:t>
      </w:r>
      <w:r w:rsidR="00ED1DC2">
        <w:rPr>
          <w:shd w:val="clear" w:color="auto" w:fill="FFFFFF"/>
        </w:rPr>
        <w:t xml:space="preserve"> mln</w:t>
      </w:r>
      <w:r w:rsidR="001568E3">
        <w:rPr>
          <w:shd w:val="clear" w:color="auto" w:fill="FFFFFF"/>
        </w:rPr>
        <w:t> </w:t>
      </w:r>
      <w:r w:rsidR="00ED1DC2">
        <w:rPr>
          <w:shd w:val="clear" w:color="auto" w:fill="FFFFFF"/>
        </w:rPr>
        <w:t xml:space="preserve">zł (o </w:t>
      </w:r>
      <w:r w:rsidR="00916CE9">
        <w:rPr>
          <w:shd w:val="clear" w:color="auto" w:fill="FFFFFF"/>
        </w:rPr>
        <w:t>49</w:t>
      </w:r>
      <w:r w:rsidR="00ED1DC2">
        <w:rPr>
          <w:shd w:val="clear" w:color="auto" w:fill="FFFFFF"/>
        </w:rPr>
        <w:t>,</w:t>
      </w:r>
      <w:r w:rsidR="00916CE9">
        <w:rPr>
          <w:shd w:val="clear" w:color="auto" w:fill="FFFFFF"/>
        </w:rPr>
        <w:t>1</w:t>
      </w:r>
      <w:r w:rsidR="00ED1DC2">
        <w:rPr>
          <w:shd w:val="clear" w:color="auto" w:fill="FFFFFF"/>
        </w:rPr>
        <w:t xml:space="preserve">%). Kwota należności z tytułu udzielonych pożyczek wyniosła </w:t>
      </w:r>
      <w:r w:rsidR="00916CE9">
        <w:rPr>
          <w:shd w:val="clear" w:color="auto" w:fill="FFFFFF"/>
        </w:rPr>
        <w:t>804</w:t>
      </w:r>
      <w:r w:rsidR="00ED1DC2">
        <w:rPr>
          <w:shd w:val="clear" w:color="auto" w:fill="FFFFFF"/>
        </w:rPr>
        <w:t>,</w:t>
      </w:r>
      <w:r w:rsidR="00916CE9">
        <w:rPr>
          <w:shd w:val="clear" w:color="auto" w:fill="FFFFFF"/>
        </w:rPr>
        <w:t>4</w:t>
      </w:r>
      <w:r w:rsidR="00ED1DC2">
        <w:rPr>
          <w:shd w:val="clear" w:color="auto" w:fill="FFFFFF"/>
        </w:rPr>
        <w:t xml:space="preserve"> mln zł (spadek o </w:t>
      </w:r>
      <w:r w:rsidR="00916CE9">
        <w:rPr>
          <w:shd w:val="clear" w:color="auto" w:fill="FFFFFF"/>
        </w:rPr>
        <w:t>11</w:t>
      </w:r>
      <w:r w:rsidR="00ED1DC2">
        <w:rPr>
          <w:shd w:val="clear" w:color="auto" w:fill="FFFFFF"/>
        </w:rPr>
        <w:t>,</w:t>
      </w:r>
      <w:r w:rsidR="00916CE9">
        <w:rPr>
          <w:shd w:val="clear" w:color="auto" w:fill="FFFFFF"/>
        </w:rPr>
        <w:t>4</w:t>
      </w:r>
      <w:r w:rsidR="00ED1DC2">
        <w:rPr>
          <w:shd w:val="clear" w:color="auto" w:fill="FFFFFF"/>
        </w:rPr>
        <w:t>%).</w:t>
      </w:r>
      <w:r w:rsidR="00B95CEF">
        <w:rPr>
          <w:shd w:val="clear" w:color="auto" w:fill="FFFFFF"/>
        </w:rPr>
        <w:t xml:space="preserve"> </w:t>
      </w:r>
    </w:p>
    <w:p w:rsidR="00E74157" w:rsidRDefault="00B95CEF" w:rsidP="001E0053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Zobowiązania funduszy inwestycyjnych osiągnęły wartość </w:t>
      </w:r>
      <w:r w:rsidR="009B24A0">
        <w:rPr>
          <w:shd w:val="clear" w:color="auto" w:fill="FFFFFF"/>
        </w:rPr>
        <w:t>26</w:t>
      </w:r>
      <w:r>
        <w:rPr>
          <w:shd w:val="clear" w:color="auto" w:fill="FFFFFF"/>
        </w:rPr>
        <w:t> </w:t>
      </w:r>
      <w:r w:rsidR="009B24A0">
        <w:rPr>
          <w:shd w:val="clear" w:color="auto" w:fill="FFFFFF"/>
        </w:rPr>
        <w:t>502</w:t>
      </w:r>
      <w:r>
        <w:rPr>
          <w:shd w:val="clear" w:color="auto" w:fill="FFFFFF"/>
        </w:rPr>
        <w:t>,</w:t>
      </w:r>
      <w:r w:rsidR="009B24A0">
        <w:rPr>
          <w:shd w:val="clear" w:color="auto" w:fill="FFFFFF"/>
        </w:rPr>
        <w:t>6</w:t>
      </w:r>
      <w:r>
        <w:rPr>
          <w:shd w:val="clear" w:color="auto" w:fill="FFFFFF"/>
        </w:rPr>
        <w:t xml:space="preserve"> mln</w:t>
      </w:r>
      <w:r w:rsidR="00EC5F4C">
        <w:rPr>
          <w:shd w:val="clear" w:color="auto" w:fill="FFFFFF"/>
        </w:rPr>
        <w:t> </w:t>
      </w:r>
      <w:r>
        <w:rPr>
          <w:shd w:val="clear" w:color="auto" w:fill="FFFFFF"/>
        </w:rPr>
        <w:t>zł (wzrost o 2</w:t>
      </w:r>
      <w:r w:rsidR="009B24A0">
        <w:rPr>
          <w:shd w:val="clear" w:color="auto" w:fill="FFFFFF"/>
        </w:rPr>
        <w:t>0</w:t>
      </w:r>
      <w:r>
        <w:rPr>
          <w:shd w:val="clear" w:color="auto" w:fill="FFFFFF"/>
        </w:rPr>
        <w:t>,</w:t>
      </w:r>
      <w:r w:rsidR="009B24A0">
        <w:rPr>
          <w:shd w:val="clear" w:color="auto" w:fill="FFFFFF"/>
        </w:rPr>
        <w:t>8</w:t>
      </w:r>
      <w:r>
        <w:rPr>
          <w:shd w:val="clear" w:color="auto" w:fill="FFFFFF"/>
        </w:rPr>
        <w:t>%), w</w:t>
      </w:r>
      <w:r w:rsidR="009B24A0">
        <w:rPr>
          <w:shd w:val="clear" w:color="auto" w:fill="FFFFFF"/>
        </w:rPr>
        <w:t> </w:t>
      </w:r>
      <w:r>
        <w:rPr>
          <w:shd w:val="clear" w:color="auto" w:fill="FFFFFF"/>
        </w:rPr>
        <w:t xml:space="preserve">tym z tytułu transakcji przy zobowiązaniu się funduszu do odkupu wyniosły </w:t>
      </w:r>
      <w:r w:rsidR="009B24A0">
        <w:rPr>
          <w:shd w:val="clear" w:color="auto" w:fill="FFFFFF"/>
        </w:rPr>
        <w:t>9</w:t>
      </w:r>
      <w:r>
        <w:rPr>
          <w:shd w:val="clear" w:color="auto" w:fill="FFFFFF"/>
        </w:rPr>
        <w:t> </w:t>
      </w:r>
      <w:r w:rsidR="009B24A0">
        <w:rPr>
          <w:shd w:val="clear" w:color="auto" w:fill="FFFFFF"/>
        </w:rPr>
        <w:t>758</w:t>
      </w:r>
      <w:r>
        <w:rPr>
          <w:shd w:val="clear" w:color="auto" w:fill="FFFFFF"/>
        </w:rPr>
        <w:t>,</w:t>
      </w:r>
      <w:r w:rsidR="009B24A0">
        <w:rPr>
          <w:shd w:val="clear" w:color="auto" w:fill="FFFFFF"/>
        </w:rPr>
        <w:t>2</w:t>
      </w:r>
      <w:r>
        <w:rPr>
          <w:shd w:val="clear" w:color="auto" w:fill="FFFFFF"/>
        </w:rPr>
        <w:t xml:space="preserve"> mln</w:t>
      </w:r>
      <w:r w:rsidR="00EC5F4C">
        <w:rPr>
          <w:shd w:val="clear" w:color="auto" w:fill="FFFFFF"/>
        </w:rPr>
        <w:t> </w:t>
      </w:r>
      <w:r>
        <w:rPr>
          <w:shd w:val="clear" w:color="auto" w:fill="FFFFFF"/>
        </w:rPr>
        <w:t xml:space="preserve">zł. Wartość zobowiązań z tytułu nabytych aktywów wyniosła </w:t>
      </w:r>
      <w:r w:rsidR="009B24A0">
        <w:rPr>
          <w:shd w:val="clear" w:color="auto" w:fill="FFFFFF"/>
        </w:rPr>
        <w:t>9</w:t>
      </w:r>
      <w:r>
        <w:rPr>
          <w:shd w:val="clear" w:color="auto" w:fill="FFFFFF"/>
        </w:rPr>
        <w:t> </w:t>
      </w:r>
      <w:r w:rsidR="009B24A0">
        <w:rPr>
          <w:shd w:val="clear" w:color="auto" w:fill="FFFFFF"/>
        </w:rPr>
        <w:t>363</w:t>
      </w:r>
      <w:r>
        <w:rPr>
          <w:shd w:val="clear" w:color="auto" w:fill="FFFFFF"/>
        </w:rPr>
        <w:t>,</w:t>
      </w:r>
      <w:r w:rsidR="009B24A0">
        <w:rPr>
          <w:shd w:val="clear" w:color="auto" w:fill="FFFFFF"/>
        </w:rPr>
        <w:t>5</w:t>
      </w:r>
      <w:r>
        <w:rPr>
          <w:shd w:val="clear" w:color="auto" w:fill="FFFFFF"/>
        </w:rPr>
        <w:t xml:space="preserve"> mln</w:t>
      </w:r>
      <w:r w:rsidR="00EC5F4C">
        <w:rPr>
          <w:shd w:val="clear" w:color="auto" w:fill="FFFFFF"/>
        </w:rPr>
        <w:t> </w:t>
      </w:r>
      <w:r>
        <w:rPr>
          <w:shd w:val="clear" w:color="auto" w:fill="FFFFFF"/>
        </w:rPr>
        <w:t xml:space="preserve">zł (spadek o </w:t>
      </w:r>
      <w:r w:rsidR="009B24A0">
        <w:rPr>
          <w:shd w:val="clear" w:color="auto" w:fill="FFFFFF"/>
        </w:rPr>
        <w:t>3</w:t>
      </w:r>
      <w:r>
        <w:rPr>
          <w:shd w:val="clear" w:color="auto" w:fill="FFFFFF"/>
        </w:rPr>
        <w:t>,</w:t>
      </w:r>
      <w:r w:rsidR="009B24A0">
        <w:rPr>
          <w:shd w:val="clear" w:color="auto" w:fill="FFFFFF"/>
        </w:rPr>
        <w:t>0</w:t>
      </w:r>
      <w:r>
        <w:rPr>
          <w:shd w:val="clear" w:color="auto" w:fill="FFFFFF"/>
        </w:rPr>
        <w:t xml:space="preserve">%), a odkupionych jednostek uczestnictwa i wykupionych certyfikatów inwestycyjnych osiągnęła poziom </w:t>
      </w:r>
      <w:r w:rsidR="009B24A0">
        <w:rPr>
          <w:shd w:val="clear" w:color="auto" w:fill="FFFFFF"/>
        </w:rPr>
        <w:t>2</w:t>
      </w:r>
      <w:r>
        <w:rPr>
          <w:shd w:val="clear" w:color="auto" w:fill="FFFFFF"/>
        </w:rPr>
        <w:t> </w:t>
      </w:r>
      <w:r w:rsidR="009B24A0">
        <w:rPr>
          <w:shd w:val="clear" w:color="auto" w:fill="FFFFFF"/>
        </w:rPr>
        <w:t>020</w:t>
      </w:r>
      <w:r>
        <w:rPr>
          <w:shd w:val="clear" w:color="auto" w:fill="FFFFFF"/>
        </w:rPr>
        <w:t>,</w:t>
      </w:r>
      <w:r w:rsidR="009B24A0">
        <w:rPr>
          <w:shd w:val="clear" w:color="auto" w:fill="FFFFFF"/>
        </w:rPr>
        <w:t>4</w:t>
      </w:r>
      <w:r w:rsidR="00EC5F4C">
        <w:rPr>
          <w:shd w:val="clear" w:color="auto" w:fill="FFFFFF"/>
        </w:rPr>
        <w:t> </w:t>
      </w:r>
      <w:r>
        <w:rPr>
          <w:shd w:val="clear" w:color="auto" w:fill="FFFFFF"/>
        </w:rPr>
        <w:t xml:space="preserve">mln zł (wzrost o </w:t>
      </w:r>
      <w:r w:rsidR="009B24A0">
        <w:rPr>
          <w:shd w:val="clear" w:color="auto" w:fill="FFFFFF"/>
        </w:rPr>
        <w:t>45</w:t>
      </w:r>
      <w:r>
        <w:rPr>
          <w:shd w:val="clear" w:color="auto" w:fill="FFFFFF"/>
        </w:rPr>
        <w:t>,</w:t>
      </w:r>
      <w:r w:rsidR="009B24A0">
        <w:rPr>
          <w:shd w:val="clear" w:color="auto" w:fill="FFFFFF"/>
        </w:rPr>
        <w:t>4</w:t>
      </w:r>
      <w:r>
        <w:rPr>
          <w:shd w:val="clear" w:color="auto" w:fill="FFFFFF"/>
        </w:rPr>
        <w:t>%)</w:t>
      </w:r>
      <w:r w:rsidR="00332EAC">
        <w:rPr>
          <w:shd w:val="clear" w:color="auto" w:fill="FFFFFF"/>
        </w:rPr>
        <w:t>.</w:t>
      </w:r>
      <w:r w:rsidR="00E74157">
        <w:rPr>
          <w:shd w:val="clear" w:color="auto" w:fill="FFFFFF"/>
        </w:rPr>
        <w:t xml:space="preserve"> Największe zobowiązania w kwocie </w:t>
      </w:r>
      <w:r w:rsidR="009B24A0">
        <w:rPr>
          <w:shd w:val="clear" w:color="auto" w:fill="FFFFFF"/>
        </w:rPr>
        <w:t>13</w:t>
      </w:r>
      <w:r w:rsidR="00E74157">
        <w:rPr>
          <w:shd w:val="clear" w:color="auto" w:fill="FFFFFF"/>
        </w:rPr>
        <w:t> </w:t>
      </w:r>
      <w:r w:rsidR="009B24A0">
        <w:rPr>
          <w:shd w:val="clear" w:color="auto" w:fill="FFFFFF"/>
        </w:rPr>
        <w:t>320</w:t>
      </w:r>
      <w:r w:rsidR="00E74157">
        <w:rPr>
          <w:shd w:val="clear" w:color="auto" w:fill="FFFFFF"/>
        </w:rPr>
        <w:t>,</w:t>
      </w:r>
      <w:r w:rsidR="009B24A0">
        <w:rPr>
          <w:shd w:val="clear" w:color="auto" w:fill="FFFFFF"/>
        </w:rPr>
        <w:t>8</w:t>
      </w:r>
      <w:r w:rsidR="00E74157">
        <w:rPr>
          <w:shd w:val="clear" w:color="auto" w:fill="FFFFFF"/>
        </w:rPr>
        <w:t xml:space="preserve"> mln</w:t>
      </w:r>
      <w:r w:rsidR="00EC5F4C">
        <w:rPr>
          <w:shd w:val="clear" w:color="auto" w:fill="FFFFFF"/>
        </w:rPr>
        <w:t> </w:t>
      </w:r>
      <w:r w:rsidR="00E74157">
        <w:rPr>
          <w:shd w:val="clear" w:color="auto" w:fill="FFFFFF"/>
        </w:rPr>
        <w:t xml:space="preserve">zł wykazały </w:t>
      </w:r>
      <w:r w:rsidR="009B24A0">
        <w:rPr>
          <w:shd w:val="clear" w:color="auto" w:fill="FFFFFF"/>
        </w:rPr>
        <w:t xml:space="preserve">otwarte </w:t>
      </w:r>
      <w:r w:rsidR="00E74157">
        <w:rPr>
          <w:shd w:val="clear" w:color="auto" w:fill="FFFFFF"/>
        </w:rPr>
        <w:t>fundusze inwestycyjne, co stanowiło 50,</w:t>
      </w:r>
      <w:r w:rsidR="009B24A0">
        <w:rPr>
          <w:shd w:val="clear" w:color="auto" w:fill="FFFFFF"/>
        </w:rPr>
        <w:t>3</w:t>
      </w:r>
      <w:r w:rsidR="00E74157">
        <w:rPr>
          <w:shd w:val="clear" w:color="auto" w:fill="FFFFFF"/>
        </w:rPr>
        <w:t>% wartości zobowiązań wszystkich funduszy inwestycyjnych.</w:t>
      </w:r>
    </w:p>
    <w:p w:rsidR="00A13AFF" w:rsidRDefault="00E74157" w:rsidP="001E0053">
      <w:pPr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W dniu 3</w:t>
      </w:r>
      <w:r w:rsidR="00F25027">
        <w:rPr>
          <w:shd w:val="clear" w:color="auto" w:fill="FFFFFF"/>
        </w:rPr>
        <w:t>0</w:t>
      </w:r>
      <w:r>
        <w:rPr>
          <w:shd w:val="clear" w:color="auto" w:fill="FFFFFF"/>
        </w:rPr>
        <w:t xml:space="preserve"> </w:t>
      </w:r>
      <w:r w:rsidR="00F25027">
        <w:rPr>
          <w:shd w:val="clear" w:color="auto" w:fill="FFFFFF"/>
        </w:rPr>
        <w:t xml:space="preserve">czerwca </w:t>
      </w:r>
      <w:r>
        <w:rPr>
          <w:shd w:val="clear" w:color="auto" w:fill="FFFFFF"/>
        </w:rPr>
        <w:t>201</w:t>
      </w:r>
      <w:r w:rsidR="00F25027">
        <w:rPr>
          <w:shd w:val="clear" w:color="auto" w:fill="FFFFFF"/>
        </w:rPr>
        <w:t>8</w:t>
      </w:r>
      <w:r w:rsidR="00EC5F4C">
        <w:rPr>
          <w:shd w:val="clear" w:color="auto" w:fill="FFFFFF"/>
        </w:rPr>
        <w:t> </w:t>
      </w:r>
      <w:r>
        <w:rPr>
          <w:shd w:val="clear" w:color="auto" w:fill="FFFFFF"/>
        </w:rPr>
        <w:t xml:space="preserve">r. aktywa netto funduszy </w:t>
      </w:r>
      <w:r w:rsidR="0047313F">
        <w:rPr>
          <w:shd w:val="clear" w:color="auto" w:fill="FFFFFF"/>
        </w:rPr>
        <w:t xml:space="preserve">inwestycyjnych </w:t>
      </w:r>
      <w:r w:rsidR="00416E70">
        <w:rPr>
          <w:shd w:val="clear" w:color="auto" w:fill="FFFFFF"/>
        </w:rPr>
        <w:t>wynosiły</w:t>
      </w:r>
      <w:r>
        <w:rPr>
          <w:shd w:val="clear" w:color="auto" w:fill="FFFFFF"/>
        </w:rPr>
        <w:t xml:space="preserve"> </w:t>
      </w:r>
      <w:r w:rsidR="00F25027">
        <w:rPr>
          <w:shd w:val="clear" w:color="auto" w:fill="FFFFFF"/>
        </w:rPr>
        <w:t>307</w:t>
      </w:r>
      <w:r>
        <w:rPr>
          <w:shd w:val="clear" w:color="auto" w:fill="FFFFFF"/>
        </w:rPr>
        <w:t> </w:t>
      </w:r>
      <w:r w:rsidR="00F25027">
        <w:rPr>
          <w:shd w:val="clear" w:color="auto" w:fill="FFFFFF"/>
        </w:rPr>
        <w:t>651</w:t>
      </w:r>
      <w:r>
        <w:rPr>
          <w:shd w:val="clear" w:color="auto" w:fill="FFFFFF"/>
        </w:rPr>
        <w:t>,</w:t>
      </w:r>
      <w:r w:rsidR="00F25027">
        <w:rPr>
          <w:shd w:val="clear" w:color="auto" w:fill="FFFFFF"/>
        </w:rPr>
        <w:t>5</w:t>
      </w:r>
      <w:r>
        <w:rPr>
          <w:shd w:val="clear" w:color="auto" w:fill="FFFFFF"/>
        </w:rPr>
        <w:t xml:space="preserve"> mln zł, tj. </w:t>
      </w:r>
      <w:r w:rsidR="00416E70">
        <w:rPr>
          <w:shd w:val="clear" w:color="auto" w:fill="FFFFFF"/>
        </w:rPr>
        <w:t xml:space="preserve">na poziomie </w:t>
      </w:r>
      <w:r>
        <w:rPr>
          <w:shd w:val="clear" w:color="auto" w:fill="FFFFFF"/>
        </w:rPr>
        <w:t>o</w:t>
      </w:r>
      <w:r w:rsidR="00416E70">
        <w:rPr>
          <w:shd w:val="clear" w:color="auto" w:fill="FFFFFF"/>
        </w:rPr>
        <w:t> </w:t>
      </w:r>
      <w:r>
        <w:rPr>
          <w:shd w:val="clear" w:color="auto" w:fill="FFFFFF"/>
        </w:rPr>
        <w:t>7,</w:t>
      </w:r>
      <w:r w:rsidR="00F25027">
        <w:rPr>
          <w:shd w:val="clear" w:color="auto" w:fill="FFFFFF"/>
        </w:rPr>
        <w:t>0</w:t>
      </w:r>
      <w:r>
        <w:rPr>
          <w:shd w:val="clear" w:color="auto" w:fill="FFFFFF"/>
        </w:rPr>
        <w:t xml:space="preserve">% wyższym niż na koniec </w:t>
      </w:r>
      <w:r w:rsidR="00F25027">
        <w:rPr>
          <w:shd w:val="clear" w:color="auto" w:fill="FFFFFF"/>
        </w:rPr>
        <w:t xml:space="preserve">czerwca </w:t>
      </w:r>
      <w:r>
        <w:rPr>
          <w:shd w:val="clear" w:color="auto" w:fill="FFFFFF"/>
        </w:rPr>
        <w:t>201</w:t>
      </w:r>
      <w:r w:rsidR="00F25027">
        <w:rPr>
          <w:shd w:val="clear" w:color="auto" w:fill="FFFFFF"/>
        </w:rPr>
        <w:t>7</w:t>
      </w:r>
      <w:r w:rsidR="00EC5F4C">
        <w:rPr>
          <w:shd w:val="clear" w:color="auto" w:fill="FFFFFF"/>
        </w:rPr>
        <w:t> </w:t>
      </w:r>
      <w:r>
        <w:rPr>
          <w:shd w:val="clear" w:color="auto" w:fill="FFFFFF"/>
        </w:rPr>
        <w:t>r.</w:t>
      </w:r>
      <w:r w:rsidR="00E44AD2">
        <w:rPr>
          <w:shd w:val="clear" w:color="auto" w:fill="FFFFFF"/>
        </w:rPr>
        <w:t xml:space="preserve"> </w:t>
      </w:r>
      <w:r w:rsidR="00CB5CC0">
        <w:rPr>
          <w:shd w:val="clear" w:color="auto" w:fill="FFFFFF"/>
        </w:rPr>
        <w:t>Aktywa netto funduszy inwestycyjnych zamkniętych osiągnęły wartość 1</w:t>
      </w:r>
      <w:r w:rsidR="00F25027">
        <w:rPr>
          <w:shd w:val="clear" w:color="auto" w:fill="FFFFFF"/>
        </w:rPr>
        <w:t>51</w:t>
      </w:r>
      <w:r w:rsidR="00CB5CC0">
        <w:rPr>
          <w:shd w:val="clear" w:color="auto" w:fill="FFFFFF"/>
        </w:rPr>
        <w:t> </w:t>
      </w:r>
      <w:r w:rsidR="00F25027">
        <w:rPr>
          <w:shd w:val="clear" w:color="auto" w:fill="FFFFFF"/>
        </w:rPr>
        <w:t>166</w:t>
      </w:r>
      <w:r w:rsidR="00CB5CC0">
        <w:rPr>
          <w:shd w:val="clear" w:color="auto" w:fill="FFFFFF"/>
        </w:rPr>
        <w:t>,</w:t>
      </w:r>
      <w:r w:rsidR="00F25027">
        <w:rPr>
          <w:shd w:val="clear" w:color="auto" w:fill="FFFFFF"/>
        </w:rPr>
        <w:t>9</w:t>
      </w:r>
      <w:r w:rsidR="00CB5CC0">
        <w:rPr>
          <w:shd w:val="clear" w:color="auto" w:fill="FFFFFF"/>
        </w:rPr>
        <w:t xml:space="preserve"> mln</w:t>
      </w:r>
      <w:r w:rsidR="00EC5F4C">
        <w:rPr>
          <w:shd w:val="clear" w:color="auto" w:fill="FFFFFF"/>
        </w:rPr>
        <w:t> </w:t>
      </w:r>
      <w:r w:rsidR="00CB5CC0">
        <w:rPr>
          <w:shd w:val="clear" w:color="auto" w:fill="FFFFFF"/>
        </w:rPr>
        <w:t>zł (</w:t>
      </w:r>
      <w:r w:rsidR="00F25027">
        <w:rPr>
          <w:shd w:val="clear" w:color="auto" w:fill="FFFFFF"/>
        </w:rPr>
        <w:t xml:space="preserve">o 2,4% więcej niż </w:t>
      </w:r>
      <w:r w:rsidR="00CB5CC0">
        <w:rPr>
          <w:shd w:val="clear" w:color="auto" w:fill="FFFFFF"/>
        </w:rPr>
        <w:t xml:space="preserve">przed rokiem), funduszy inwestycyjnych otwartych </w:t>
      </w:r>
      <w:r w:rsidR="00F25027">
        <w:rPr>
          <w:shd w:val="clear" w:color="auto" w:fill="FFFFFF"/>
        </w:rPr>
        <w:t>101</w:t>
      </w:r>
      <w:r w:rsidR="00CB5CC0">
        <w:rPr>
          <w:shd w:val="clear" w:color="auto" w:fill="FFFFFF"/>
        </w:rPr>
        <w:t> </w:t>
      </w:r>
      <w:r w:rsidR="00F25027">
        <w:rPr>
          <w:shd w:val="clear" w:color="auto" w:fill="FFFFFF"/>
        </w:rPr>
        <w:t>181</w:t>
      </w:r>
      <w:r w:rsidR="00CB5CC0">
        <w:rPr>
          <w:shd w:val="clear" w:color="auto" w:fill="FFFFFF"/>
        </w:rPr>
        <w:t>,</w:t>
      </w:r>
      <w:r w:rsidR="00F25027">
        <w:rPr>
          <w:shd w:val="clear" w:color="auto" w:fill="FFFFFF"/>
        </w:rPr>
        <w:t>0</w:t>
      </w:r>
      <w:r w:rsidR="00CB5CC0">
        <w:rPr>
          <w:shd w:val="clear" w:color="auto" w:fill="FFFFFF"/>
        </w:rPr>
        <w:t xml:space="preserve"> mln</w:t>
      </w:r>
      <w:r w:rsidR="00EC5F4C">
        <w:rPr>
          <w:shd w:val="clear" w:color="auto" w:fill="FFFFFF"/>
        </w:rPr>
        <w:t> </w:t>
      </w:r>
      <w:r w:rsidR="00CB5CC0">
        <w:rPr>
          <w:shd w:val="clear" w:color="auto" w:fill="FFFFFF"/>
        </w:rPr>
        <w:t>zł (wyższą o 1</w:t>
      </w:r>
      <w:r w:rsidR="00F25027">
        <w:rPr>
          <w:shd w:val="clear" w:color="auto" w:fill="FFFFFF"/>
        </w:rPr>
        <w:t>3</w:t>
      </w:r>
      <w:r w:rsidR="00CB5CC0">
        <w:rPr>
          <w:shd w:val="clear" w:color="auto" w:fill="FFFFFF"/>
        </w:rPr>
        <w:t>,</w:t>
      </w:r>
      <w:r w:rsidR="00F25027">
        <w:rPr>
          <w:shd w:val="clear" w:color="auto" w:fill="FFFFFF"/>
        </w:rPr>
        <w:t>8</w:t>
      </w:r>
      <w:r w:rsidR="00CB5CC0">
        <w:rPr>
          <w:shd w:val="clear" w:color="auto" w:fill="FFFFFF"/>
        </w:rPr>
        <w:t>%), a specjalistycznych funduszy otwartych 5</w:t>
      </w:r>
      <w:r w:rsidR="00F25027">
        <w:rPr>
          <w:shd w:val="clear" w:color="auto" w:fill="FFFFFF"/>
        </w:rPr>
        <w:t>5</w:t>
      </w:r>
      <w:r w:rsidR="00CB5CC0">
        <w:rPr>
          <w:shd w:val="clear" w:color="auto" w:fill="FFFFFF"/>
        </w:rPr>
        <w:t> </w:t>
      </w:r>
      <w:r w:rsidR="00F25027">
        <w:rPr>
          <w:shd w:val="clear" w:color="auto" w:fill="FFFFFF"/>
        </w:rPr>
        <w:t>303</w:t>
      </w:r>
      <w:r w:rsidR="00CB5CC0">
        <w:rPr>
          <w:shd w:val="clear" w:color="auto" w:fill="FFFFFF"/>
        </w:rPr>
        <w:t>,</w:t>
      </w:r>
      <w:r w:rsidR="00F25027">
        <w:rPr>
          <w:shd w:val="clear" w:color="auto" w:fill="FFFFFF"/>
        </w:rPr>
        <w:t>6</w:t>
      </w:r>
      <w:r w:rsidR="00CB5CC0">
        <w:rPr>
          <w:shd w:val="clear" w:color="auto" w:fill="FFFFFF"/>
        </w:rPr>
        <w:t xml:space="preserve"> mln zł (wzrost o </w:t>
      </w:r>
      <w:r w:rsidR="00F25027">
        <w:rPr>
          <w:shd w:val="clear" w:color="auto" w:fill="FFFFFF"/>
        </w:rPr>
        <w:t>8</w:t>
      </w:r>
      <w:r w:rsidR="00CB5CC0">
        <w:rPr>
          <w:shd w:val="clear" w:color="auto" w:fill="FFFFFF"/>
        </w:rPr>
        <w:t>,</w:t>
      </w:r>
      <w:r w:rsidR="00F25027">
        <w:rPr>
          <w:shd w:val="clear" w:color="auto" w:fill="FFFFFF"/>
        </w:rPr>
        <w:t>5</w:t>
      </w:r>
      <w:r w:rsidR="00CB5CC0">
        <w:rPr>
          <w:shd w:val="clear" w:color="auto" w:fill="FFFFFF"/>
        </w:rPr>
        <w:t xml:space="preserve">%). </w:t>
      </w:r>
    </w:p>
    <w:p w:rsidR="00DE44C0" w:rsidRPr="00696765" w:rsidRDefault="00DE44C0" w:rsidP="00DE44C0">
      <w:pPr>
        <w:rPr>
          <w:b/>
          <w:spacing w:val="-2"/>
          <w:sz w:val="18"/>
          <w:shd w:val="clear" w:color="auto" w:fill="FFFFFF"/>
        </w:rPr>
      </w:pPr>
      <w:r w:rsidRPr="004B3C88">
        <w:rPr>
          <w:b/>
          <w:spacing w:val="-2"/>
          <w:sz w:val="18"/>
          <w:shd w:val="clear" w:color="auto" w:fill="FFFFFF"/>
        </w:rPr>
        <w:t xml:space="preserve">Tablica </w:t>
      </w:r>
      <w:r>
        <w:rPr>
          <w:b/>
          <w:spacing w:val="-2"/>
          <w:sz w:val="18"/>
          <w:shd w:val="clear" w:color="auto" w:fill="FFFFFF"/>
        </w:rPr>
        <w:t>2</w:t>
      </w:r>
      <w:r w:rsidRPr="004B3C88">
        <w:rPr>
          <w:b/>
          <w:spacing w:val="-2"/>
          <w:sz w:val="18"/>
          <w:shd w:val="clear" w:color="auto" w:fill="FFFFFF"/>
        </w:rPr>
        <w:t xml:space="preserve">. </w:t>
      </w:r>
      <w:r w:rsidR="00CB5CC0">
        <w:rPr>
          <w:b/>
          <w:spacing w:val="-2"/>
          <w:sz w:val="18"/>
          <w:shd w:val="clear" w:color="auto" w:fill="FFFFFF"/>
        </w:rPr>
        <w:t>Wybrane pozycje z bilansu funduszy inwestycyjnych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3"/>
        <w:gridCol w:w="1701"/>
        <w:gridCol w:w="1701"/>
        <w:gridCol w:w="1701"/>
      </w:tblGrid>
      <w:tr w:rsidR="007454CB" w:rsidRPr="00FA5128" w:rsidTr="0026295B">
        <w:trPr>
          <w:trHeight w:val="57"/>
        </w:trPr>
        <w:tc>
          <w:tcPr>
            <w:tcW w:w="2823" w:type="dxa"/>
            <w:vMerge w:val="restart"/>
            <w:vAlign w:val="center"/>
          </w:tcPr>
          <w:p w:rsidR="007454CB" w:rsidRPr="009C7251" w:rsidRDefault="007454CB" w:rsidP="007454CB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vAlign w:val="center"/>
          </w:tcPr>
          <w:p w:rsidR="007454CB" w:rsidRPr="00FA5128" w:rsidRDefault="007454CB" w:rsidP="007454C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 półrocze 2017</w:t>
            </w:r>
          </w:p>
        </w:tc>
        <w:tc>
          <w:tcPr>
            <w:tcW w:w="1701" w:type="dxa"/>
            <w:vAlign w:val="center"/>
          </w:tcPr>
          <w:p w:rsidR="007454CB" w:rsidRPr="00FA5128" w:rsidRDefault="007454CB" w:rsidP="007454C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 półrocze 2018</w:t>
            </w:r>
          </w:p>
        </w:tc>
        <w:tc>
          <w:tcPr>
            <w:tcW w:w="1701" w:type="dxa"/>
            <w:vMerge w:val="restart"/>
            <w:vAlign w:val="center"/>
          </w:tcPr>
          <w:p w:rsidR="007454CB" w:rsidRPr="00FA5128" w:rsidRDefault="007454CB" w:rsidP="007454C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 półrocze 2017=100</w:t>
            </w:r>
          </w:p>
        </w:tc>
      </w:tr>
      <w:tr w:rsidR="00DE44C0" w:rsidRPr="00FA5128" w:rsidTr="0026295B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:rsidR="00DE44C0" w:rsidRPr="009C7251" w:rsidRDefault="00DE44C0" w:rsidP="00DE44C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:rsidR="00DE44C0" w:rsidRDefault="00DE44C0" w:rsidP="00DE44C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mln zł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:rsidR="00DE44C0" w:rsidRDefault="00DE44C0" w:rsidP="00DE44C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4F5B1B" w:rsidRPr="00FA5128" w:rsidTr="006F7FF7">
        <w:trPr>
          <w:trHeight w:hRule="exact" w:val="454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4F5B1B" w:rsidRPr="00FF7F27" w:rsidRDefault="00CB5CC0" w:rsidP="00996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Aktywa ogółem, w tym: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4F5B1B" w:rsidRPr="00FF7F27" w:rsidRDefault="007454CB" w:rsidP="00FF7F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309 444,8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F5B1B" w:rsidRDefault="007454C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334 154,1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F5B1B" w:rsidRDefault="007454C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108,0</w:t>
            </w:r>
          </w:p>
        </w:tc>
      </w:tr>
      <w:tr w:rsidR="004F5B1B" w:rsidRPr="00FA5128" w:rsidTr="006F7FF7">
        <w:trPr>
          <w:trHeight w:hRule="exact" w:val="454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:rsidR="004F5B1B" w:rsidRPr="00FF7F27" w:rsidRDefault="00CB5CC0" w:rsidP="00CB5CC0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Należności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center"/>
          </w:tcPr>
          <w:p w:rsidR="004F5B1B" w:rsidRPr="00FF7F27" w:rsidRDefault="007454CB" w:rsidP="00FF7F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15 788,1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4F5B1B" w:rsidRDefault="007454C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18 687,0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4F5B1B" w:rsidRDefault="007454C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118,4</w:t>
            </w:r>
          </w:p>
        </w:tc>
      </w:tr>
      <w:tr w:rsidR="004F5B1B" w:rsidRPr="00FA5128" w:rsidTr="006F7FF7">
        <w:trPr>
          <w:trHeight w:hRule="exact" w:val="680"/>
        </w:trPr>
        <w:tc>
          <w:tcPr>
            <w:tcW w:w="2823" w:type="dxa"/>
            <w:vAlign w:val="center"/>
          </w:tcPr>
          <w:p w:rsidR="004F5B1B" w:rsidRPr="00FF7F27" w:rsidRDefault="00CB5CC0" w:rsidP="00CB5CC0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Składniki lokat nienotowane na aktywnym rynku</w:t>
            </w:r>
          </w:p>
        </w:tc>
        <w:tc>
          <w:tcPr>
            <w:tcW w:w="1701" w:type="dxa"/>
            <w:vAlign w:val="center"/>
          </w:tcPr>
          <w:p w:rsidR="004F5B1B" w:rsidRPr="00FF7F27" w:rsidRDefault="007454CB" w:rsidP="00FF7F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152 122,8</w:t>
            </w:r>
          </w:p>
        </w:tc>
        <w:tc>
          <w:tcPr>
            <w:tcW w:w="1701" w:type="dxa"/>
            <w:vAlign w:val="center"/>
          </w:tcPr>
          <w:p w:rsidR="004F5B1B" w:rsidRDefault="007454C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157 335,0</w:t>
            </w:r>
          </w:p>
        </w:tc>
        <w:tc>
          <w:tcPr>
            <w:tcW w:w="1701" w:type="dxa"/>
            <w:vAlign w:val="center"/>
          </w:tcPr>
          <w:p w:rsidR="004F5B1B" w:rsidRDefault="007454C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103,4</w:t>
            </w:r>
          </w:p>
        </w:tc>
      </w:tr>
      <w:tr w:rsidR="004F5B1B" w:rsidRPr="00FA5128" w:rsidTr="006F7FF7">
        <w:trPr>
          <w:trHeight w:hRule="exact" w:val="680"/>
        </w:trPr>
        <w:tc>
          <w:tcPr>
            <w:tcW w:w="2823" w:type="dxa"/>
            <w:vAlign w:val="center"/>
          </w:tcPr>
          <w:p w:rsidR="004F5B1B" w:rsidRPr="00FF7F27" w:rsidRDefault="00CB5CC0" w:rsidP="00CB5CC0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Składniki lokat notowane na aktywnym rynku </w:t>
            </w:r>
          </w:p>
        </w:tc>
        <w:tc>
          <w:tcPr>
            <w:tcW w:w="1701" w:type="dxa"/>
            <w:vAlign w:val="center"/>
          </w:tcPr>
          <w:p w:rsidR="004F5B1B" w:rsidRPr="00FF7F27" w:rsidRDefault="007454CB" w:rsidP="00FF7F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118 816,7</w:t>
            </w:r>
          </w:p>
        </w:tc>
        <w:tc>
          <w:tcPr>
            <w:tcW w:w="1701" w:type="dxa"/>
            <w:vAlign w:val="center"/>
          </w:tcPr>
          <w:p w:rsidR="004F5B1B" w:rsidRDefault="007454C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128 504,5</w:t>
            </w:r>
          </w:p>
        </w:tc>
        <w:tc>
          <w:tcPr>
            <w:tcW w:w="1701" w:type="dxa"/>
            <w:vAlign w:val="center"/>
          </w:tcPr>
          <w:p w:rsidR="004F5B1B" w:rsidRDefault="007454C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108,2</w:t>
            </w:r>
          </w:p>
        </w:tc>
      </w:tr>
      <w:tr w:rsidR="00CB5CC0" w:rsidRPr="00FA5128" w:rsidTr="006F7FF7">
        <w:trPr>
          <w:trHeight w:hRule="exact" w:val="454"/>
        </w:trPr>
        <w:tc>
          <w:tcPr>
            <w:tcW w:w="2823" w:type="dxa"/>
            <w:vAlign w:val="center"/>
          </w:tcPr>
          <w:p w:rsidR="00CB5CC0" w:rsidRDefault="00CB5CC0" w:rsidP="00CB5C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Zobowiązania</w:t>
            </w:r>
          </w:p>
        </w:tc>
        <w:tc>
          <w:tcPr>
            <w:tcW w:w="1701" w:type="dxa"/>
            <w:vAlign w:val="center"/>
          </w:tcPr>
          <w:p w:rsidR="00CB5CC0" w:rsidRPr="00FF7F27" w:rsidRDefault="007454CB" w:rsidP="00FF7F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21 933,0</w:t>
            </w:r>
          </w:p>
        </w:tc>
        <w:tc>
          <w:tcPr>
            <w:tcW w:w="1701" w:type="dxa"/>
            <w:vAlign w:val="center"/>
          </w:tcPr>
          <w:p w:rsidR="00CB5CC0" w:rsidRDefault="007454C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26 502,6</w:t>
            </w:r>
          </w:p>
        </w:tc>
        <w:tc>
          <w:tcPr>
            <w:tcW w:w="1701" w:type="dxa"/>
            <w:vAlign w:val="center"/>
          </w:tcPr>
          <w:p w:rsidR="00CB5CC0" w:rsidRDefault="007454C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120,8</w:t>
            </w:r>
          </w:p>
        </w:tc>
      </w:tr>
      <w:tr w:rsidR="00EE313A" w:rsidRPr="00FA5128" w:rsidTr="006F7FF7">
        <w:trPr>
          <w:trHeight w:hRule="exact" w:val="454"/>
        </w:trPr>
        <w:tc>
          <w:tcPr>
            <w:tcW w:w="2823" w:type="dxa"/>
            <w:vAlign w:val="center"/>
          </w:tcPr>
          <w:p w:rsidR="00EE313A" w:rsidRDefault="00EE313A" w:rsidP="00CB5C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Aktywa netto</w:t>
            </w:r>
          </w:p>
        </w:tc>
        <w:tc>
          <w:tcPr>
            <w:tcW w:w="1701" w:type="dxa"/>
            <w:vAlign w:val="center"/>
          </w:tcPr>
          <w:p w:rsidR="00EE313A" w:rsidRPr="00FF7F27" w:rsidRDefault="007454CB" w:rsidP="00FF7F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287 511,8</w:t>
            </w:r>
          </w:p>
        </w:tc>
        <w:tc>
          <w:tcPr>
            <w:tcW w:w="1701" w:type="dxa"/>
            <w:vAlign w:val="center"/>
          </w:tcPr>
          <w:p w:rsidR="00EE313A" w:rsidRDefault="007454C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307 651,5</w:t>
            </w:r>
          </w:p>
        </w:tc>
        <w:tc>
          <w:tcPr>
            <w:tcW w:w="1701" w:type="dxa"/>
            <w:vAlign w:val="center"/>
          </w:tcPr>
          <w:p w:rsidR="00EE313A" w:rsidRDefault="007454C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107,0</w:t>
            </w:r>
          </w:p>
        </w:tc>
      </w:tr>
      <w:tr w:rsidR="004F5B1B" w:rsidRPr="00FA5128" w:rsidTr="006F7FF7">
        <w:trPr>
          <w:trHeight w:hRule="exact" w:val="454"/>
        </w:trPr>
        <w:tc>
          <w:tcPr>
            <w:tcW w:w="2823" w:type="dxa"/>
            <w:vAlign w:val="center"/>
          </w:tcPr>
          <w:p w:rsidR="004F5B1B" w:rsidRPr="00FF7F27" w:rsidRDefault="00EE313A" w:rsidP="00996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Kapitał</w:t>
            </w:r>
          </w:p>
        </w:tc>
        <w:tc>
          <w:tcPr>
            <w:tcW w:w="1701" w:type="dxa"/>
            <w:vAlign w:val="center"/>
          </w:tcPr>
          <w:p w:rsidR="004F5B1B" w:rsidRPr="00FF7F27" w:rsidRDefault="007454CB" w:rsidP="00FF7F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195 000,4</w:t>
            </w:r>
          </w:p>
        </w:tc>
        <w:tc>
          <w:tcPr>
            <w:tcW w:w="1701" w:type="dxa"/>
            <w:vAlign w:val="bottom"/>
          </w:tcPr>
          <w:p w:rsidR="004F5B1B" w:rsidRDefault="007454C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209 544,3</w:t>
            </w:r>
          </w:p>
        </w:tc>
        <w:tc>
          <w:tcPr>
            <w:tcW w:w="1701" w:type="dxa"/>
            <w:vAlign w:val="bottom"/>
          </w:tcPr>
          <w:p w:rsidR="004F5B1B" w:rsidRDefault="007454C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107,5</w:t>
            </w:r>
          </w:p>
        </w:tc>
      </w:tr>
    </w:tbl>
    <w:p w:rsidR="006F7FF7" w:rsidRDefault="006F7FF7" w:rsidP="00E13DA0">
      <w:pPr>
        <w:jc w:val="both"/>
        <w:rPr>
          <w:lang w:eastAsia="pl-PL"/>
        </w:rPr>
      </w:pPr>
    </w:p>
    <w:p w:rsidR="001257D5" w:rsidRPr="00130B04" w:rsidRDefault="000F14E6" w:rsidP="0097287E">
      <w:pPr>
        <w:jc w:val="both"/>
        <w:rPr>
          <w:lang w:eastAsia="pl-PL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9376" behindDoc="1" locked="0" layoutInCell="1" allowOverlap="1" wp14:anchorId="53103BD5" wp14:editId="30D4386A">
                <wp:simplePos x="0" y="0"/>
                <wp:positionH relativeFrom="column">
                  <wp:posOffset>5229225</wp:posOffset>
                </wp:positionH>
                <wp:positionV relativeFrom="paragraph">
                  <wp:posOffset>64770</wp:posOffset>
                </wp:positionV>
                <wp:extent cx="1725295" cy="1362075"/>
                <wp:effectExtent l="0" t="0" r="0" b="0"/>
                <wp:wrapTight wrapText="bothSides">
                  <wp:wrapPolygon edited="0">
                    <wp:start x="715" y="0"/>
                    <wp:lineTo x="715" y="21147"/>
                    <wp:lineTo x="20749" y="21147"/>
                    <wp:lineTo x="20749" y="0"/>
                    <wp:lineTo x="715" y="0"/>
                  </wp:wrapPolygon>
                </wp:wrapTight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CD2" w:rsidRPr="00074DD8" w:rsidRDefault="00364CD2" w:rsidP="006F7FF7">
                            <w:pPr>
                              <w:pStyle w:val="tekstzboku"/>
                              <w:jc w:val="both"/>
                            </w:pPr>
                            <w:r>
                              <w:t xml:space="preserve">Na koniec </w:t>
                            </w:r>
                            <w:r w:rsidR="002844E7">
                              <w:t>czerwca</w:t>
                            </w:r>
                            <w:r>
                              <w:t xml:space="preserve"> 201</w:t>
                            </w:r>
                            <w:r w:rsidR="002844E7">
                              <w:t>8</w:t>
                            </w:r>
                            <w:r>
                              <w:t> r. lokaty funduszy inwestycyjnych wyniosły 2</w:t>
                            </w:r>
                            <w:r w:rsidR="002844E7">
                              <w:t>90</w:t>
                            </w:r>
                            <w:r>
                              <w:t>,</w:t>
                            </w:r>
                            <w:r w:rsidR="002844E7">
                              <w:t>9</w:t>
                            </w:r>
                            <w:r>
                              <w:t xml:space="preserve"> mld zł.</w:t>
                            </w:r>
                          </w:p>
                          <w:p w:rsidR="00364CD2" w:rsidRDefault="00364CD2" w:rsidP="006F7FF7">
                            <w:pPr>
                              <w:spacing w:after="0"/>
                              <w:jc w:val="both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:rsidR="00364CD2" w:rsidRDefault="00364CD2" w:rsidP="00130B04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:rsidR="00364CD2" w:rsidRPr="00D616D2" w:rsidRDefault="00364CD2" w:rsidP="00130B04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03BD5" id="Pole tekstowe 18" o:spid="_x0000_s1036" type="#_x0000_t202" style="position:absolute;left:0;text-align:left;margin-left:411.75pt;margin-top:5.1pt;width:135.85pt;height:107.25pt;z-index:-25156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" filled="f" stroked="f">
                <v:textbox>
                  <w:txbxContent>
                    <w:p w:rsidR="00364CD2" w:rsidRPr="00074DD8" w:rsidRDefault="00364CD2" w:rsidP="006F7FF7">
                      <w:pPr>
                        <w:pStyle w:val="tekstzboku"/>
                        <w:jc w:val="both"/>
                      </w:pPr>
                      <w:r>
                        <w:t xml:space="preserve">Na koniec </w:t>
                      </w:r>
                      <w:r w:rsidR="002844E7">
                        <w:t>czerwca</w:t>
                      </w:r>
                      <w:r>
                        <w:t xml:space="preserve"> 201</w:t>
                      </w:r>
                      <w:r w:rsidR="002844E7">
                        <w:t>8</w:t>
                      </w:r>
                      <w:r>
                        <w:t> r. lokaty funduszy inwestycyjnych wyniosły 2</w:t>
                      </w:r>
                      <w:r w:rsidR="002844E7">
                        <w:t>90</w:t>
                      </w:r>
                      <w:r>
                        <w:t>,</w:t>
                      </w:r>
                      <w:r w:rsidR="002844E7">
                        <w:t>9</w:t>
                      </w:r>
                      <w:r>
                        <w:t xml:space="preserve"> mld zł.</w:t>
                      </w:r>
                    </w:p>
                    <w:p w:rsidR="00364CD2" w:rsidRDefault="00364CD2" w:rsidP="006F7FF7">
                      <w:pPr>
                        <w:spacing w:after="0"/>
                        <w:jc w:val="both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:rsidR="00364CD2" w:rsidRDefault="00364CD2" w:rsidP="00130B04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:rsidR="00364CD2" w:rsidRPr="00D616D2" w:rsidRDefault="00364CD2" w:rsidP="00130B04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773FB"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66878462" wp14:editId="77EE933E">
                <wp:simplePos x="0" y="0"/>
                <wp:positionH relativeFrom="column">
                  <wp:posOffset>5229225</wp:posOffset>
                </wp:positionH>
                <wp:positionV relativeFrom="paragraph">
                  <wp:posOffset>804545</wp:posOffset>
                </wp:positionV>
                <wp:extent cx="1725295" cy="819150"/>
                <wp:effectExtent l="0" t="0" r="0" b="0"/>
                <wp:wrapTight wrapText="bothSides">
                  <wp:wrapPolygon edited="0">
                    <wp:start x="715" y="0"/>
                    <wp:lineTo x="715" y="21098"/>
                    <wp:lineTo x="20749" y="21098"/>
                    <wp:lineTo x="20749" y="0"/>
                    <wp:lineTo x="715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CD2" w:rsidRPr="00D616D2" w:rsidRDefault="00364CD2" w:rsidP="001257D5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78462" id="Pole tekstowe 19" o:spid="_x0000_s1037" type="#_x0000_t202" style="position:absolute;left:0;text-align:left;margin-left:411.75pt;margin-top:63.35pt;width:135.85pt;height:64.5pt;z-index:-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" filled="f" stroked="f">
                <v:textbox>
                  <w:txbxContent>
                    <w:p w:rsidR="00364CD2" w:rsidRPr="00D616D2" w:rsidRDefault="00364CD2" w:rsidP="001257D5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35E85">
        <w:rPr>
          <w:lang w:eastAsia="pl-PL"/>
        </w:rPr>
        <w:t xml:space="preserve">Wartość </w:t>
      </w:r>
      <w:r w:rsidR="00C4383D">
        <w:rPr>
          <w:lang w:eastAsia="pl-PL"/>
        </w:rPr>
        <w:t xml:space="preserve">lokat </w:t>
      </w:r>
      <w:r w:rsidR="00FD3C08">
        <w:rPr>
          <w:lang w:eastAsia="pl-PL"/>
        </w:rPr>
        <w:t xml:space="preserve">funduszy inwestycyjnych na koniec </w:t>
      </w:r>
      <w:r w:rsidR="00364CD2">
        <w:rPr>
          <w:lang w:eastAsia="pl-PL"/>
        </w:rPr>
        <w:t>czerwca</w:t>
      </w:r>
      <w:r w:rsidR="00FD3C08">
        <w:rPr>
          <w:lang w:eastAsia="pl-PL"/>
        </w:rPr>
        <w:t xml:space="preserve"> 201</w:t>
      </w:r>
      <w:r w:rsidR="00364CD2">
        <w:rPr>
          <w:lang w:eastAsia="pl-PL"/>
        </w:rPr>
        <w:t>8</w:t>
      </w:r>
      <w:r w:rsidR="00EC5F4C">
        <w:rPr>
          <w:lang w:eastAsia="pl-PL"/>
        </w:rPr>
        <w:t> </w:t>
      </w:r>
      <w:r w:rsidR="00FD3C08">
        <w:rPr>
          <w:lang w:eastAsia="pl-PL"/>
        </w:rPr>
        <w:t>r. zwiększyła się do 2</w:t>
      </w:r>
      <w:r w:rsidR="00364CD2">
        <w:rPr>
          <w:lang w:eastAsia="pl-PL"/>
        </w:rPr>
        <w:t>90</w:t>
      </w:r>
      <w:r w:rsidR="00FD3C08">
        <w:rPr>
          <w:lang w:eastAsia="pl-PL"/>
        </w:rPr>
        <w:t> </w:t>
      </w:r>
      <w:r w:rsidR="00364CD2">
        <w:rPr>
          <w:lang w:eastAsia="pl-PL"/>
        </w:rPr>
        <w:t>912</w:t>
      </w:r>
      <w:r w:rsidR="00FD3C08">
        <w:rPr>
          <w:lang w:eastAsia="pl-PL"/>
        </w:rPr>
        <w:t>,</w:t>
      </w:r>
      <w:r w:rsidR="00364CD2">
        <w:rPr>
          <w:lang w:eastAsia="pl-PL"/>
        </w:rPr>
        <w:t>6</w:t>
      </w:r>
      <w:r w:rsidR="0097287E">
        <w:rPr>
          <w:lang w:eastAsia="pl-PL"/>
        </w:rPr>
        <w:t> </w:t>
      </w:r>
      <w:r w:rsidR="00FD3C08">
        <w:rPr>
          <w:lang w:eastAsia="pl-PL"/>
        </w:rPr>
        <w:t>mln zł (o</w:t>
      </w:r>
      <w:r w:rsidR="0097287E">
        <w:rPr>
          <w:lang w:eastAsia="pl-PL"/>
        </w:rPr>
        <w:t> </w:t>
      </w:r>
      <w:r w:rsidR="00364CD2">
        <w:rPr>
          <w:lang w:eastAsia="pl-PL"/>
        </w:rPr>
        <w:t>6</w:t>
      </w:r>
      <w:r w:rsidR="00FD3C08">
        <w:rPr>
          <w:lang w:eastAsia="pl-PL"/>
        </w:rPr>
        <w:t>,1%). Dłużne papiery wartościowe miały najwyższą wartość tj. 13</w:t>
      </w:r>
      <w:r w:rsidR="00364CD2">
        <w:rPr>
          <w:lang w:eastAsia="pl-PL"/>
        </w:rPr>
        <w:t>7</w:t>
      </w:r>
      <w:r w:rsidR="00FD3C08">
        <w:rPr>
          <w:lang w:eastAsia="pl-PL"/>
        </w:rPr>
        <w:t> </w:t>
      </w:r>
      <w:r w:rsidR="00364CD2">
        <w:rPr>
          <w:lang w:eastAsia="pl-PL"/>
        </w:rPr>
        <w:t>565</w:t>
      </w:r>
      <w:r w:rsidR="00FD3C08">
        <w:rPr>
          <w:lang w:eastAsia="pl-PL"/>
        </w:rPr>
        <w:t>,</w:t>
      </w:r>
      <w:r w:rsidR="00364CD2">
        <w:rPr>
          <w:lang w:eastAsia="pl-PL"/>
        </w:rPr>
        <w:t>3</w:t>
      </w:r>
      <w:r w:rsidR="0097287E">
        <w:rPr>
          <w:lang w:eastAsia="pl-PL"/>
        </w:rPr>
        <w:t> </w:t>
      </w:r>
      <w:r w:rsidR="00FD3C08">
        <w:rPr>
          <w:lang w:eastAsia="pl-PL"/>
        </w:rPr>
        <w:t>mln</w:t>
      </w:r>
      <w:r w:rsidR="0097287E">
        <w:rPr>
          <w:lang w:eastAsia="pl-PL"/>
        </w:rPr>
        <w:t> </w:t>
      </w:r>
      <w:r w:rsidR="00FD3C08">
        <w:rPr>
          <w:lang w:eastAsia="pl-PL"/>
        </w:rPr>
        <w:t xml:space="preserve">zł (wzrost o </w:t>
      </w:r>
      <w:r w:rsidR="00364CD2">
        <w:rPr>
          <w:lang w:eastAsia="pl-PL"/>
        </w:rPr>
        <w:t>4</w:t>
      </w:r>
      <w:r w:rsidR="00FD3C08">
        <w:rPr>
          <w:lang w:eastAsia="pl-PL"/>
        </w:rPr>
        <w:t>,</w:t>
      </w:r>
      <w:r w:rsidR="00364CD2">
        <w:rPr>
          <w:lang w:eastAsia="pl-PL"/>
        </w:rPr>
        <w:t>3</w:t>
      </w:r>
      <w:r w:rsidR="00FD3C08">
        <w:rPr>
          <w:lang w:eastAsia="pl-PL"/>
        </w:rPr>
        <w:t>%), w tym lokaty w obligacjach wyniosły 1</w:t>
      </w:r>
      <w:r w:rsidR="00364CD2">
        <w:rPr>
          <w:lang w:eastAsia="pl-PL"/>
        </w:rPr>
        <w:t>30</w:t>
      </w:r>
      <w:r w:rsidR="00FD3C08">
        <w:rPr>
          <w:lang w:eastAsia="pl-PL"/>
        </w:rPr>
        <w:t> </w:t>
      </w:r>
      <w:r w:rsidR="00364CD2">
        <w:rPr>
          <w:lang w:eastAsia="pl-PL"/>
        </w:rPr>
        <w:t>438</w:t>
      </w:r>
      <w:r w:rsidR="00FD3C08">
        <w:rPr>
          <w:lang w:eastAsia="pl-PL"/>
        </w:rPr>
        <w:t>,</w:t>
      </w:r>
      <w:r w:rsidR="00364CD2">
        <w:rPr>
          <w:lang w:eastAsia="pl-PL"/>
        </w:rPr>
        <w:t>9</w:t>
      </w:r>
      <w:r w:rsidR="00FD3C08">
        <w:rPr>
          <w:lang w:eastAsia="pl-PL"/>
        </w:rPr>
        <w:t xml:space="preserve"> mln</w:t>
      </w:r>
      <w:r w:rsidR="00EC5F4C">
        <w:rPr>
          <w:lang w:eastAsia="pl-PL"/>
        </w:rPr>
        <w:t> </w:t>
      </w:r>
      <w:r w:rsidR="00FD3C08">
        <w:rPr>
          <w:lang w:eastAsia="pl-PL"/>
        </w:rPr>
        <w:t>zł (wzrost o</w:t>
      </w:r>
      <w:r w:rsidR="0097287E">
        <w:rPr>
          <w:lang w:eastAsia="pl-PL"/>
        </w:rPr>
        <w:t> </w:t>
      </w:r>
      <w:r w:rsidR="00364CD2">
        <w:rPr>
          <w:lang w:eastAsia="pl-PL"/>
        </w:rPr>
        <w:t>5</w:t>
      </w:r>
      <w:r w:rsidR="00FD3C08">
        <w:rPr>
          <w:lang w:eastAsia="pl-PL"/>
        </w:rPr>
        <w:t>,</w:t>
      </w:r>
      <w:r w:rsidR="00364CD2">
        <w:rPr>
          <w:lang w:eastAsia="pl-PL"/>
        </w:rPr>
        <w:t>8</w:t>
      </w:r>
      <w:r w:rsidR="00FD3C08">
        <w:rPr>
          <w:lang w:eastAsia="pl-PL"/>
        </w:rPr>
        <w:t>%). Wartość akcji zwiększyła się do kwoty 8</w:t>
      </w:r>
      <w:r w:rsidR="00364CD2">
        <w:rPr>
          <w:lang w:eastAsia="pl-PL"/>
        </w:rPr>
        <w:t>7</w:t>
      </w:r>
      <w:r w:rsidR="00FD3C08">
        <w:rPr>
          <w:lang w:eastAsia="pl-PL"/>
        </w:rPr>
        <w:t> </w:t>
      </w:r>
      <w:r w:rsidR="00364CD2">
        <w:rPr>
          <w:lang w:eastAsia="pl-PL"/>
        </w:rPr>
        <w:t>402</w:t>
      </w:r>
      <w:r w:rsidR="00FD3C08">
        <w:rPr>
          <w:lang w:eastAsia="pl-PL"/>
        </w:rPr>
        <w:t>,</w:t>
      </w:r>
      <w:r w:rsidR="00364CD2">
        <w:rPr>
          <w:lang w:eastAsia="pl-PL"/>
        </w:rPr>
        <w:t>0</w:t>
      </w:r>
      <w:r w:rsidR="00FD3C08">
        <w:rPr>
          <w:lang w:eastAsia="pl-PL"/>
        </w:rPr>
        <w:t xml:space="preserve"> mln</w:t>
      </w:r>
      <w:r w:rsidR="00EC5F4C">
        <w:rPr>
          <w:lang w:eastAsia="pl-PL"/>
        </w:rPr>
        <w:t> </w:t>
      </w:r>
      <w:r w:rsidR="00FD3C08">
        <w:rPr>
          <w:lang w:eastAsia="pl-PL"/>
        </w:rPr>
        <w:t xml:space="preserve">zł (o </w:t>
      </w:r>
      <w:r w:rsidR="002844E7">
        <w:rPr>
          <w:lang w:eastAsia="pl-PL"/>
        </w:rPr>
        <w:t>3</w:t>
      </w:r>
      <w:r w:rsidR="00FD3C08">
        <w:rPr>
          <w:lang w:eastAsia="pl-PL"/>
        </w:rPr>
        <w:t>,</w:t>
      </w:r>
      <w:r w:rsidR="002844E7">
        <w:rPr>
          <w:lang w:eastAsia="pl-PL"/>
        </w:rPr>
        <w:t>8</w:t>
      </w:r>
      <w:r w:rsidR="00FD3C08">
        <w:rPr>
          <w:lang w:eastAsia="pl-PL"/>
        </w:rPr>
        <w:t>%). Wierzytelności ukształtowały się na poziomie 1</w:t>
      </w:r>
      <w:r w:rsidR="002844E7">
        <w:rPr>
          <w:lang w:eastAsia="pl-PL"/>
        </w:rPr>
        <w:t>6</w:t>
      </w:r>
      <w:r w:rsidR="00FD3C08">
        <w:rPr>
          <w:lang w:eastAsia="pl-PL"/>
        </w:rPr>
        <w:t> </w:t>
      </w:r>
      <w:r w:rsidR="002844E7">
        <w:rPr>
          <w:lang w:eastAsia="pl-PL"/>
        </w:rPr>
        <w:t>782</w:t>
      </w:r>
      <w:r w:rsidR="00FD3C08">
        <w:rPr>
          <w:lang w:eastAsia="pl-PL"/>
        </w:rPr>
        <w:t>,</w:t>
      </w:r>
      <w:r w:rsidR="002844E7">
        <w:rPr>
          <w:lang w:eastAsia="pl-PL"/>
        </w:rPr>
        <w:t>7</w:t>
      </w:r>
      <w:r w:rsidR="00FD3C08">
        <w:rPr>
          <w:lang w:eastAsia="pl-PL"/>
        </w:rPr>
        <w:t xml:space="preserve"> mln</w:t>
      </w:r>
      <w:r w:rsidR="00EC5F4C">
        <w:rPr>
          <w:lang w:eastAsia="pl-PL"/>
        </w:rPr>
        <w:t> </w:t>
      </w:r>
      <w:r w:rsidR="00FD3C08">
        <w:rPr>
          <w:lang w:eastAsia="pl-PL"/>
        </w:rPr>
        <w:t>zł (</w:t>
      </w:r>
      <w:r w:rsidR="002844E7">
        <w:rPr>
          <w:lang w:eastAsia="pl-PL"/>
        </w:rPr>
        <w:t>wzrost</w:t>
      </w:r>
      <w:r w:rsidR="00FD3C08">
        <w:rPr>
          <w:lang w:eastAsia="pl-PL"/>
        </w:rPr>
        <w:t xml:space="preserve"> o </w:t>
      </w:r>
      <w:r w:rsidR="002844E7">
        <w:rPr>
          <w:lang w:eastAsia="pl-PL"/>
        </w:rPr>
        <w:t>2</w:t>
      </w:r>
      <w:r w:rsidR="00FD3C08">
        <w:rPr>
          <w:lang w:eastAsia="pl-PL"/>
        </w:rPr>
        <w:t>9,</w:t>
      </w:r>
      <w:r w:rsidR="002844E7">
        <w:rPr>
          <w:lang w:eastAsia="pl-PL"/>
        </w:rPr>
        <w:t>8</w:t>
      </w:r>
      <w:r w:rsidR="00FD3C08">
        <w:rPr>
          <w:lang w:eastAsia="pl-PL"/>
        </w:rPr>
        <w:t>%)</w:t>
      </w:r>
      <w:r w:rsidR="003B7811">
        <w:rPr>
          <w:lang w:eastAsia="pl-PL"/>
        </w:rPr>
        <w:t>. Lokaty w tytułach uczestnictwa emitowanych przez instytucje wspólnego inwestowania o statusie nierezydenta wyniosły 1</w:t>
      </w:r>
      <w:r w:rsidR="002844E7">
        <w:rPr>
          <w:lang w:eastAsia="pl-PL"/>
        </w:rPr>
        <w:t>4</w:t>
      </w:r>
      <w:r w:rsidR="003B7811">
        <w:rPr>
          <w:lang w:eastAsia="pl-PL"/>
        </w:rPr>
        <w:t> </w:t>
      </w:r>
      <w:r w:rsidR="002844E7">
        <w:rPr>
          <w:lang w:eastAsia="pl-PL"/>
        </w:rPr>
        <w:t>095</w:t>
      </w:r>
      <w:r w:rsidR="003B7811">
        <w:rPr>
          <w:lang w:eastAsia="pl-PL"/>
        </w:rPr>
        <w:t>,</w:t>
      </w:r>
      <w:r w:rsidR="002844E7">
        <w:rPr>
          <w:lang w:eastAsia="pl-PL"/>
        </w:rPr>
        <w:t>0</w:t>
      </w:r>
      <w:r w:rsidR="0097287E">
        <w:rPr>
          <w:lang w:eastAsia="pl-PL"/>
        </w:rPr>
        <w:t> </w:t>
      </w:r>
      <w:r w:rsidR="003B7811">
        <w:rPr>
          <w:lang w:eastAsia="pl-PL"/>
        </w:rPr>
        <w:t>mln</w:t>
      </w:r>
      <w:r w:rsidR="00EC5F4C">
        <w:rPr>
          <w:lang w:eastAsia="pl-PL"/>
        </w:rPr>
        <w:t> </w:t>
      </w:r>
      <w:r w:rsidR="003B7811">
        <w:rPr>
          <w:lang w:eastAsia="pl-PL"/>
        </w:rPr>
        <w:t>zł. Udziały w spółkach zwiększyły się do kwoty 1</w:t>
      </w:r>
      <w:r w:rsidR="002844E7">
        <w:rPr>
          <w:lang w:eastAsia="pl-PL"/>
        </w:rPr>
        <w:t>3</w:t>
      </w:r>
      <w:r w:rsidR="003B7811">
        <w:rPr>
          <w:lang w:eastAsia="pl-PL"/>
        </w:rPr>
        <w:t> </w:t>
      </w:r>
      <w:r w:rsidR="002844E7">
        <w:rPr>
          <w:lang w:eastAsia="pl-PL"/>
        </w:rPr>
        <w:t>368</w:t>
      </w:r>
      <w:r w:rsidR="003B7811">
        <w:rPr>
          <w:lang w:eastAsia="pl-PL"/>
        </w:rPr>
        <w:t>,</w:t>
      </w:r>
      <w:r w:rsidR="002844E7">
        <w:rPr>
          <w:lang w:eastAsia="pl-PL"/>
        </w:rPr>
        <w:t>9</w:t>
      </w:r>
      <w:r w:rsidR="003B7811">
        <w:rPr>
          <w:lang w:eastAsia="pl-PL"/>
        </w:rPr>
        <w:t xml:space="preserve"> mln</w:t>
      </w:r>
      <w:r w:rsidR="00EC5F4C">
        <w:rPr>
          <w:lang w:eastAsia="pl-PL"/>
        </w:rPr>
        <w:t> </w:t>
      </w:r>
      <w:r w:rsidR="003B7811">
        <w:rPr>
          <w:lang w:eastAsia="pl-PL"/>
        </w:rPr>
        <w:t xml:space="preserve">zł (o </w:t>
      </w:r>
      <w:r w:rsidR="002844E7">
        <w:rPr>
          <w:lang w:eastAsia="pl-PL"/>
        </w:rPr>
        <w:t>23</w:t>
      </w:r>
      <w:r w:rsidR="003B7811">
        <w:rPr>
          <w:lang w:eastAsia="pl-PL"/>
        </w:rPr>
        <w:t>,</w:t>
      </w:r>
      <w:r w:rsidR="002844E7">
        <w:rPr>
          <w:lang w:eastAsia="pl-PL"/>
        </w:rPr>
        <w:t>1</w:t>
      </w:r>
      <w:r w:rsidR="003B7811">
        <w:rPr>
          <w:lang w:eastAsia="pl-PL"/>
        </w:rPr>
        <w:t xml:space="preserve">%). Depozyty </w:t>
      </w:r>
      <w:r w:rsidR="002844E7">
        <w:rPr>
          <w:lang w:eastAsia="pl-PL"/>
        </w:rPr>
        <w:t>zwiększyły</w:t>
      </w:r>
      <w:r w:rsidR="003B7811">
        <w:rPr>
          <w:lang w:eastAsia="pl-PL"/>
        </w:rPr>
        <w:t xml:space="preserve"> się do </w:t>
      </w:r>
      <w:r w:rsidR="002844E7">
        <w:rPr>
          <w:lang w:eastAsia="pl-PL"/>
        </w:rPr>
        <w:t>4</w:t>
      </w:r>
      <w:r w:rsidR="003B7811">
        <w:rPr>
          <w:lang w:eastAsia="pl-PL"/>
        </w:rPr>
        <w:t> </w:t>
      </w:r>
      <w:r w:rsidR="002844E7">
        <w:rPr>
          <w:lang w:eastAsia="pl-PL"/>
        </w:rPr>
        <w:t>818</w:t>
      </w:r>
      <w:r w:rsidR="003B7811">
        <w:rPr>
          <w:lang w:eastAsia="pl-PL"/>
        </w:rPr>
        <w:t>,</w:t>
      </w:r>
      <w:r w:rsidR="002844E7">
        <w:rPr>
          <w:lang w:eastAsia="pl-PL"/>
        </w:rPr>
        <w:t>3</w:t>
      </w:r>
      <w:r w:rsidR="004A07C6">
        <w:rPr>
          <w:lang w:eastAsia="pl-PL"/>
        </w:rPr>
        <w:t> </w:t>
      </w:r>
      <w:r w:rsidR="003B7811">
        <w:rPr>
          <w:lang w:eastAsia="pl-PL"/>
        </w:rPr>
        <w:t>mln</w:t>
      </w:r>
      <w:r w:rsidR="00EC5F4C">
        <w:rPr>
          <w:lang w:eastAsia="pl-PL"/>
        </w:rPr>
        <w:t> </w:t>
      </w:r>
      <w:r w:rsidR="003B7811">
        <w:rPr>
          <w:lang w:eastAsia="pl-PL"/>
        </w:rPr>
        <w:t>zł (o</w:t>
      </w:r>
      <w:r w:rsidR="00E13DA0">
        <w:rPr>
          <w:lang w:eastAsia="pl-PL"/>
        </w:rPr>
        <w:t> </w:t>
      </w:r>
      <w:r w:rsidR="002844E7">
        <w:rPr>
          <w:lang w:eastAsia="pl-PL"/>
        </w:rPr>
        <w:t>65</w:t>
      </w:r>
      <w:r w:rsidR="003B7811">
        <w:rPr>
          <w:lang w:eastAsia="pl-PL"/>
        </w:rPr>
        <w:t>,</w:t>
      </w:r>
      <w:r w:rsidR="002844E7">
        <w:rPr>
          <w:lang w:eastAsia="pl-PL"/>
        </w:rPr>
        <w:t>7</w:t>
      </w:r>
      <w:r w:rsidR="003B7811">
        <w:rPr>
          <w:lang w:eastAsia="pl-PL"/>
        </w:rPr>
        <w:t xml:space="preserve">%). </w:t>
      </w:r>
      <w:r w:rsidR="00E13DA0">
        <w:rPr>
          <w:lang w:eastAsia="pl-PL"/>
        </w:rPr>
        <w:t>Udział dłużnych papierów wartościowych i akcji w</w:t>
      </w:r>
      <w:r w:rsidR="0097287E">
        <w:rPr>
          <w:lang w:eastAsia="pl-PL"/>
        </w:rPr>
        <w:t> </w:t>
      </w:r>
      <w:r w:rsidR="00E13DA0">
        <w:rPr>
          <w:lang w:eastAsia="pl-PL"/>
        </w:rPr>
        <w:t>lokatach ogółem wyniósł odpowiednio 47,</w:t>
      </w:r>
      <w:r w:rsidR="002844E7">
        <w:rPr>
          <w:lang w:eastAsia="pl-PL"/>
        </w:rPr>
        <w:t>3</w:t>
      </w:r>
      <w:r w:rsidR="00E13DA0">
        <w:rPr>
          <w:lang w:eastAsia="pl-PL"/>
        </w:rPr>
        <w:t>% i 30,</w:t>
      </w:r>
      <w:r w:rsidR="002844E7">
        <w:rPr>
          <w:lang w:eastAsia="pl-PL"/>
        </w:rPr>
        <w:t>0</w:t>
      </w:r>
      <w:r w:rsidR="00E13DA0">
        <w:rPr>
          <w:lang w:eastAsia="pl-PL"/>
        </w:rPr>
        <w:t xml:space="preserve">%. </w:t>
      </w:r>
    </w:p>
    <w:p w:rsidR="00374412" w:rsidRPr="00696765" w:rsidRDefault="00374412" w:rsidP="00374412">
      <w:pPr>
        <w:rPr>
          <w:b/>
          <w:spacing w:val="-2"/>
          <w:sz w:val="18"/>
          <w:shd w:val="clear" w:color="auto" w:fill="FFFFFF"/>
        </w:rPr>
      </w:pPr>
      <w:r w:rsidRPr="004B3C88">
        <w:rPr>
          <w:b/>
          <w:spacing w:val="-2"/>
          <w:sz w:val="18"/>
          <w:shd w:val="clear" w:color="auto" w:fill="FFFFFF"/>
        </w:rPr>
        <w:t xml:space="preserve">Tablica </w:t>
      </w:r>
      <w:r>
        <w:rPr>
          <w:b/>
          <w:spacing w:val="-2"/>
          <w:sz w:val="18"/>
          <w:shd w:val="clear" w:color="auto" w:fill="FFFFFF"/>
        </w:rPr>
        <w:t>3</w:t>
      </w:r>
      <w:r w:rsidRPr="004B3C88">
        <w:rPr>
          <w:b/>
          <w:spacing w:val="-2"/>
          <w:sz w:val="18"/>
          <w:shd w:val="clear" w:color="auto" w:fill="FFFFFF"/>
        </w:rPr>
        <w:t xml:space="preserve">. </w:t>
      </w:r>
      <w:r w:rsidR="00E13DA0">
        <w:rPr>
          <w:b/>
          <w:spacing w:val="-2"/>
          <w:sz w:val="18"/>
          <w:shd w:val="clear" w:color="auto" w:fill="FFFFFF"/>
        </w:rPr>
        <w:t>Wartość lokat funduszy inwestycyjnych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3"/>
        <w:gridCol w:w="1701"/>
        <w:gridCol w:w="1701"/>
        <w:gridCol w:w="1701"/>
      </w:tblGrid>
      <w:tr w:rsidR="00364CD2" w:rsidRPr="00FA5128" w:rsidTr="0026295B">
        <w:trPr>
          <w:trHeight w:val="57"/>
        </w:trPr>
        <w:tc>
          <w:tcPr>
            <w:tcW w:w="2823" w:type="dxa"/>
            <w:vMerge w:val="restart"/>
            <w:vAlign w:val="center"/>
          </w:tcPr>
          <w:p w:rsidR="00364CD2" w:rsidRPr="009C7251" w:rsidRDefault="00364CD2" w:rsidP="00364CD2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vAlign w:val="center"/>
          </w:tcPr>
          <w:p w:rsidR="00364CD2" w:rsidRPr="00FA5128" w:rsidRDefault="00364CD2" w:rsidP="00364CD2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 półrocze 2017</w:t>
            </w:r>
          </w:p>
        </w:tc>
        <w:tc>
          <w:tcPr>
            <w:tcW w:w="1701" w:type="dxa"/>
            <w:vAlign w:val="center"/>
          </w:tcPr>
          <w:p w:rsidR="00364CD2" w:rsidRPr="00FA5128" w:rsidRDefault="00364CD2" w:rsidP="00364CD2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 półrocze 2018</w:t>
            </w:r>
          </w:p>
        </w:tc>
        <w:tc>
          <w:tcPr>
            <w:tcW w:w="1701" w:type="dxa"/>
            <w:vMerge w:val="restart"/>
            <w:vAlign w:val="center"/>
          </w:tcPr>
          <w:p w:rsidR="00364CD2" w:rsidRPr="00FA5128" w:rsidRDefault="00364CD2" w:rsidP="00364CD2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 półrocze 2017=100</w:t>
            </w:r>
          </w:p>
        </w:tc>
      </w:tr>
      <w:tr w:rsidR="00374412" w:rsidRPr="00FA5128" w:rsidTr="0026295B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:rsidR="00374412" w:rsidRPr="009C7251" w:rsidRDefault="00374412" w:rsidP="00996239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:rsidR="00374412" w:rsidRDefault="00374412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mln zł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:rsidR="00374412" w:rsidRDefault="00374412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5F6E56" w:rsidRPr="00FA5128" w:rsidTr="007A0155">
        <w:trPr>
          <w:trHeight w:hRule="exact" w:val="454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</w:tcPr>
          <w:p w:rsidR="005F6E56" w:rsidRPr="00FF7F27" w:rsidRDefault="00E13DA0" w:rsidP="00996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Lokaty, w tym: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5F6E56" w:rsidRPr="00FF7F27" w:rsidRDefault="00E50A22" w:rsidP="009962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274 309,7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F6E56" w:rsidRDefault="00E50A2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290 912,6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F6E56" w:rsidRDefault="00E50A2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106,1</w:t>
            </w:r>
          </w:p>
        </w:tc>
      </w:tr>
      <w:tr w:rsidR="005F6E56" w:rsidRPr="00FA5128" w:rsidTr="007A0155">
        <w:trPr>
          <w:trHeight w:hRule="exact" w:val="454"/>
        </w:trPr>
        <w:tc>
          <w:tcPr>
            <w:tcW w:w="2823" w:type="dxa"/>
            <w:tcBorders>
              <w:top w:val="single" w:sz="4" w:space="0" w:color="212492"/>
            </w:tcBorders>
          </w:tcPr>
          <w:p w:rsidR="005F6E56" w:rsidRPr="00FF7F27" w:rsidRDefault="007773FB" w:rsidP="007773FB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Akcje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center"/>
          </w:tcPr>
          <w:p w:rsidR="005F6E56" w:rsidRPr="00FF7F27" w:rsidRDefault="00E50A22" w:rsidP="009962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84 186,9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5F6E56" w:rsidRDefault="00E50A2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87 402,0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5F6E56" w:rsidRDefault="00E50A2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103,8</w:t>
            </w:r>
          </w:p>
        </w:tc>
      </w:tr>
      <w:tr w:rsidR="005F6E56" w:rsidRPr="00FA5128" w:rsidTr="007A0155">
        <w:trPr>
          <w:trHeight w:hRule="exact" w:val="454"/>
        </w:trPr>
        <w:tc>
          <w:tcPr>
            <w:tcW w:w="2823" w:type="dxa"/>
          </w:tcPr>
          <w:p w:rsidR="005F6E56" w:rsidRPr="00FF7F27" w:rsidRDefault="007773FB" w:rsidP="007773FB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Obligacje</w:t>
            </w:r>
          </w:p>
        </w:tc>
        <w:tc>
          <w:tcPr>
            <w:tcW w:w="1701" w:type="dxa"/>
            <w:vAlign w:val="center"/>
          </w:tcPr>
          <w:p w:rsidR="005F6E56" w:rsidRPr="00FF7F27" w:rsidRDefault="00E50A22" w:rsidP="009962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131 920,3</w:t>
            </w:r>
          </w:p>
        </w:tc>
        <w:tc>
          <w:tcPr>
            <w:tcW w:w="1701" w:type="dxa"/>
            <w:vAlign w:val="bottom"/>
          </w:tcPr>
          <w:p w:rsidR="005F6E56" w:rsidRDefault="00E50A2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130 438,9</w:t>
            </w:r>
          </w:p>
        </w:tc>
        <w:tc>
          <w:tcPr>
            <w:tcW w:w="1701" w:type="dxa"/>
            <w:vAlign w:val="bottom"/>
          </w:tcPr>
          <w:p w:rsidR="005F6E56" w:rsidRDefault="00E50A2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105,8</w:t>
            </w:r>
          </w:p>
        </w:tc>
      </w:tr>
      <w:tr w:rsidR="005F6E56" w:rsidRPr="00FA5128" w:rsidTr="007A0155">
        <w:trPr>
          <w:trHeight w:hRule="exact" w:val="454"/>
        </w:trPr>
        <w:tc>
          <w:tcPr>
            <w:tcW w:w="2823" w:type="dxa"/>
          </w:tcPr>
          <w:p w:rsidR="005F6E56" w:rsidRPr="00FF7F27" w:rsidRDefault="007773FB" w:rsidP="007773FB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Wierzytelności</w:t>
            </w:r>
          </w:p>
        </w:tc>
        <w:tc>
          <w:tcPr>
            <w:tcW w:w="1701" w:type="dxa"/>
            <w:vAlign w:val="center"/>
          </w:tcPr>
          <w:p w:rsidR="005F6E56" w:rsidRPr="00FF7F27" w:rsidRDefault="00E50A22" w:rsidP="009962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12 925,3</w:t>
            </w:r>
          </w:p>
        </w:tc>
        <w:tc>
          <w:tcPr>
            <w:tcW w:w="1701" w:type="dxa"/>
            <w:vAlign w:val="center"/>
          </w:tcPr>
          <w:p w:rsidR="005F6E56" w:rsidRDefault="00E50A2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16 782,7</w:t>
            </w:r>
          </w:p>
        </w:tc>
        <w:tc>
          <w:tcPr>
            <w:tcW w:w="1701" w:type="dxa"/>
            <w:vAlign w:val="center"/>
          </w:tcPr>
          <w:p w:rsidR="005F6E56" w:rsidRDefault="00E50A2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129,8</w:t>
            </w:r>
          </w:p>
        </w:tc>
      </w:tr>
      <w:tr w:rsidR="007773FB" w:rsidRPr="00FA5128" w:rsidTr="0097287E">
        <w:trPr>
          <w:trHeight w:hRule="exact" w:val="1134"/>
        </w:trPr>
        <w:tc>
          <w:tcPr>
            <w:tcW w:w="2823" w:type="dxa"/>
          </w:tcPr>
          <w:p w:rsidR="007773FB" w:rsidRDefault="007773FB" w:rsidP="007773FB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Tytuły uczestnictwa emitowane przez instytucje wspólnego inwestowania mające siedzibę za granicą </w:t>
            </w:r>
          </w:p>
        </w:tc>
        <w:tc>
          <w:tcPr>
            <w:tcW w:w="1701" w:type="dxa"/>
            <w:vAlign w:val="center"/>
          </w:tcPr>
          <w:p w:rsidR="007773FB" w:rsidRPr="00FF7F27" w:rsidRDefault="00E50A22" w:rsidP="009962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13 527,3</w:t>
            </w:r>
          </w:p>
        </w:tc>
        <w:tc>
          <w:tcPr>
            <w:tcW w:w="1701" w:type="dxa"/>
            <w:vAlign w:val="center"/>
          </w:tcPr>
          <w:p w:rsidR="007773FB" w:rsidRDefault="00E50A2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14 095,0</w:t>
            </w:r>
          </w:p>
        </w:tc>
        <w:tc>
          <w:tcPr>
            <w:tcW w:w="1701" w:type="dxa"/>
            <w:vAlign w:val="center"/>
          </w:tcPr>
          <w:p w:rsidR="007773FB" w:rsidRDefault="00E50A2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104,2</w:t>
            </w:r>
          </w:p>
        </w:tc>
      </w:tr>
      <w:tr w:rsidR="005F6E56" w:rsidRPr="00FA5128" w:rsidTr="005E307F">
        <w:trPr>
          <w:trHeight w:hRule="exact" w:val="454"/>
        </w:trPr>
        <w:tc>
          <w:tcPr>
            <w:tcW w:w="2823" w:type="dxa"/>
          </w:tcPr>
          <w:p w:rsidR="005F6E56" w:rsidRPr="00FF7F27" w:rsidRDefault="007773FB" w:rsidP="007773FB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Depozyty</w:t>
            </w:r>
          </w:p>
        </w:tc>
        <w:tc>
          <w:tcPr>
            <w:tcW w:w="1701" w:type="dxa"/>
            <w:vAlign w:val="center"/>
          </w:tcPr>
          <w:p w:rsidR="005F6E56" w:rsidRPr="00FF7F27" w:rsidRDefault="00E50A22" w:rsidP="009962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2 908,7</w:t>
            </w:r>
          </w:p>
        </w:tc>
        <w:tc>
          <w:tcPr>
            <w:tcW w:w="1701" w:type="dxa"/>
            <w:vAlign w:val="center"/>
          </w:tcPr>
          <w:p w:rsidR="005F6E56" w:rsidRDefault="00E50A2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4 818,3</w:t>
            </w:r>
          </w:p>
        </w:tc>
        <w:tc>
          <w:tcPr>
            <w:tcW w:w="1701" w:type="dxa"/>
            <w:vAlign w:val="center"/>
          </w:tcPr>
          <w:p w:rsidR="005F6E56" w:rsidRDefault="00E50A2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165,7</w:t>
            </w:r>
          </w:p>
        </w:tc>
      </w:tr>
    </w:tbl>
    <w:p w:rsidR="004E5469" w:rsidRPr="00130B04" w:rsidRDefault="004E5469" w:rsidP="004E5469">
      <w:pPr>
        <w:pStyle w:val="Nagwek1"/>
      </w:pPr>
    </w:p>
    <w:p w:rsidR="004E5469" w:rsidRDefault="007773FB" w:rsidP="004F111D">
      <w:pPr>
        <w:jc w:val="both"/>
        <w:rPr>
          <w:lang w:eastAsia="pl-PL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3472" behindDoc="1" locked="0" layoutInCell="1" allowOverlap="1" wp14:anchorId="5ACEDF31" wp14:editId="4D552FFE">
                <wp:simplePos x="0" y="0"/>
                <wp:positionH relativeFrom="column">
                  <wp:posOffset>5229225</wp:posOffset>
                </wp:positionH>
                <wp:positionV relativeFrom="paragraph">
                  <wp:posOffset>84455</wp:posOffset>
                </wp:positionV>
                <wp:extent cx="1725295" cy="1352550"/>
                <wp:effectExtent l="0" t="0" r="0" b="0"/>
                <wp:wrapTight wrapText="bothSides">
                  <wp:wrapPolygon edited="0">
                    <wp:start x="715" y="0"/>
                    <wp:lineTo x="715" y="21296"/>
                    <wp:lineTo x="20749" y="21296"/>
                    <wp:lineTo x="20749" y="0"/>
                    <wp:lineTo x="715" y="0"/>
                  </wp:wrapPolygon>
                </wp:wrapTight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CD2" w:rsidRPr="00074DD8" w:rsidRDefault="00364CD2" w:rsidP="004A07C6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250BD9">
                              <w:t xml:space="preserve">I półroczu </w:t>
                            </w:r>
                            <w:r>
                              <w:t>201</w:t>
                            </w:r>
                            <w:r w:rsidR="00250BD9">
                              <w:t>8</w:t>
                            </w:r>
                            <w:r>
                              <w:t xml:space="preserve"> r. przychody z lokat funduszy inwestycyjnych wyniosły </w:t>
                            </w:r>
                            <w:r w:rsidR="00250BD9">
                              <w:t>5</w:t>
                            </w:r>
                            <w:r>
                              <w:t>,</w:t>
                            </w:r>
                            <w:r w:rsidR="00250BD9">
                              <w:t>0</w:t>
                            </w:r>
                            <w:r w:rsidR="004A07C6">
                              <w:t> </w:t>
                            </w:r>
                            <w:r>
                              <w:t>mld</w:t>
                            </w:r>
                            <w:r w:rsidR="004A07C6">
                              <w:t> </w:t>
                            </w:r>
                            <w:r>
                              <w:t>zł.</w:t>
                            </w:r>
                          </w:p>
                          <w:p w:rsidR="00364CD2" w:rsidRPr="00D616D2" w:rsidRDefault="00364CD2" w:rsidP="004E546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EDF31" id="Pole tekstowe 20" o:spid="_x0000_s1038" type="#_x0000_t202" style="position:absolute;left:0;text-align:left;margin-left:411.75pt;margin-top:6.65pt;width:135.85pt;height:106.5pt;z-index:-251563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" filled="f" stroked="f">
                <v:textbox>
                  <w:txbxContent>
                    <w:p w:rsidR="00364CD2" w:rsidRPr="00074DD8" w:rsidRDefault="00364CD2" w:rsidP="004A07C6">
                      <w:pPr>
                        <w:pStyle w:val="tekstzboku"/>
                      </w:pPr>
                      <w:r>
                        <w:t xml:space="preserve">W </w:t>
                      </w:r>
                      <w:r w:rsidR="00250BD9">
                        <w:t xml:space="preserve">I półroczu </w:t>
                      </w:r>
                      <w:r>
                        <w:t>201</w:t>
                      </w:r>
                      <w:r w:rsidR="00250BD9">
                        <w:t>8</w:t>
                      </w:r>
                      <w:r>
                        <w:t xml:space="preserve"> r. przychody z lokat funduszy inwestycyjnych wyniosły </w:t>
                      </w:r>
                      <w:r w:rsidR="00250BD9">
                        <w:t>5</w:t>
                      </w:r>
                      <w:r>
                        <w:t>,</w:t>
                      </w:r>
                      <w:r w:rsidR="00250BD9">
                        <w:t>0</w:t>
                      </w:r>
                      <w:r w:rsidR="004A07C6">
                        <w:t> </w:t>
                      </w:r>
                      <w:r>
                        <w:t>mld</w:t>
                      </w:r>
                      <w:r w:rsidR="004A07C6">
                        <w:t> </w:t>
                      </w:r>
                      <w:r>
                        <w:t>zł.</w:t>
                      </w:r>
                    </w:p>
                    <w:p w:rsidR="00364CD2" w:rsidRPr="00D616D2" w:rsidRDefault="00364CD2" w:rsidP="004E546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F111D">
        <w:rPr>
          <w:lang w:eastAsia="pl-PL"/>
        </w:rPr>
        <w:t xml:space="preserve">Przychody z lokat funduszy inwestycyjnych w </w:t>
      </w:r>
      <w:r w:rsidR="00103928">
        <w:rPr>
          <w:lang w:eastAsia="pl-PL"/>
        </w:rPr>
        <w:t xml:space="preserve">I półroczu </w:t>
      </w:r>
      <w:r w:rsidR="004F111D">
        <w:rPr>
          <w:lang w:eastAsia="pl-PL"/>
        </w:rPr>
        <w:t>201</w:t>
      </w:r>
      <w:r w:rsidR="00103928">
        <w:rPr>
          <w:lang w:eastAsia="pl-PL"/>
        </w:rPr>
        <w:t>8</w:t>
      </w:r>
      <w:r w:rsidR="00EC5F4C">
        <w:rPr>
          <w:lang w:eastAsia="pl-PL"/>
        </w:rPr>
        <w:t> </w:t>
      </w:r>
      <w:r w:rsidR="004F111D">
        <w:rPr>
          <w:lang w:eastAsia="pl-PL"/>
        </w:rPr>
        <w:t xml:space="preserve">r. wyniosły </w:t>
      </w:r>
      <w:r w:rsidR="00103928">
        <w:rPr>
          <w:lang w:eastAsia="pl-PL"/>
        </w:rPr>
        <w:t>4</w:t>
      </w:r>
      <w:r w:rsidR="004F111D">
        <w:rPr>
          <w:lang w:eastAsia="pl-PL"/>
        </w:rPr>
        <w:t> </w:t>
      </w:r>
      <w:r w:rsidR="00103928">
        <w:rPr>
          <w:lang w:eastAsia="pl-PL"/>
        </w:rPr>
        <w:t>985</w:t>
      </w:r>
      <w:r w:rsidR="004F111D">
        <w:rPr>
          <w:lang w:eastAsia="pl-PL"/>
        </w:rPr>
        <w:t>,</w:t>
      </w:r>
      <w:r w:rsidR="00103928">
        <w:rPr>
          <w:lang w:eastAsia="pl-PL"/>
        </w:rPr>
        <w:t>2</w:t>
      </w:r>
      <w:r w:rsidR="004F111D">
        <w:rPr>
          <w:lang w:eastAsia="pl-PL"/>
        </w:rPr>
        <w:t xml:space="preserve"> mln</w:t>
      </w:r>
      <w:r w:rsidR="00EC5F4C">
        <w:rPr>
          <w:lang w:eastAsia="pl-PL"/>
        </w:rPr>
        <w:t> </w:t>
      </w:r>
      <w:r w:rsidR="004F111D">
        <w:rPr>
          <w:lang w:eastAsia="pl-PL"/>
        </w:rPr>
        <w:t xml:space="preserve">zł (o </w:t>
      </w:r>
      <w:r w:rsidR="00103928">
        <w:rPr>
          <w:lang w:eastAsia="pl-PL"/>
        </w:rPr>
        <w:t>2</w:t>
      </w:r>
      <w:r w:rsidR="004F111D">
        <w:rPr>
          <w:lang w:eastAsia="pl-PL"/>
        </w:rPr>
        <w:t>,</w:t>
      </w:r>
      <w:r w:rsidR="00103928">
        <w:rPr>
          <w:lang w:eastAsia="pl-PL"/>
        </w:rPr>
        <w:t>8</w:t>
      </w:r>
      <w:r w:rsidR="004F111D">
        <w:rPr>
          <w:lang w:eastAsia="pl-PL"/>
        </w:rPr>
        <w:t xml:space="preserve">% mniej niż przed rokiem). Główną ich pozycją były przychody odsetkowe, które osiągnęły wartość </w:t>
      </w:r>
      <w:r w:rsidR="00103928">
        <w:rPr>
          <w:lang w:eastAsia="pl-PL"/>
        </w:rPr>
        <w:t>2</w:t>
      </w:r>
      <w:r w:rsidR="004F111D">
        <w:rPr>
          <w:lang w:eastAsia="pl-PL"/>
        </w:rPr>
        <w:t> </w:t>
      </w:r>
      <w:r w:rsidR="00103928">
        <w:rPr>
          <w:lang w:eastAsia="pl-PL"/>
        </w:rPr>
        <w:t>726</w:t>
      </w:r>
      <w:r w:rsidR="004F111D">
        <w:rPr>
          <w:lang w:eastAsia="pl-PL"/>
        </w:rPr>
        <w:t>,</w:t>
      </w:r>
      <w:r w:rsidR="00103928">
        <w:rPr>
          <w:lang w:eastAsia="pl-PL"/>
        </w:rPr>
        <w:t>2</w:t>
      </w:r>
      <w:r w:rsidR="004F111D">
        <w:rPr>
          <w:lang w:eastAsia="pl-PL"/>
        </w:rPr>
        <w:t xml:space="preserve"> mln</w:t>
      </w:r>
      <w:r w:rsidR="00EC5F4C">
        <w:rPr>
          <w:lang w:eastAsia="pl-PL"/>
        </w:rPr>
        <w:t> </w:t>
      </w:r>
      <w:r w:rsidR="004F111D">
        <w:rPr>
          <w:lang w:eastAsia="pl-PL"/>
        </w:rPr>
        <w:t xml:space="preserve">zł i stanowiły </w:t>
      </w:r>
      <w:r w:rsidR="00103928">
        <w:rPr>
          <w:lang w:eastAsia="pl-PL"/>
        </w:rPr>
        <w:t>54</w:t>
      </w:r>
      <w:r w:rsidR="004F111D">
        <w:rPr>
          <w:lang w:eastAsia="pl-PL"/>
        </w:rPr>
        <w:t>,</w:t>
      </w:r>
      <w:r w:rsidR="00103928">
        <w:rPr>
          <w:lang w:eastAsia="pl-PL"/>
        </w:rPr>
        <w:t>7</w:t>
      </w:r>
      <w:r w:rsidR="004F111D">
        <w:rPr>
          <w:lang w:eastAsia="pl-PL"/>
        </w:rPr>
        <w:t xml:space="preserve">% przychodów z lokat. Dywidendy i inne udziały w zyskach wyniosły </w:t>
      </w:r>
      <w:r w:rsidR="00103928">
        <w:rPr>
          <w:lang w:eastAsia="pl-PL"/>
        </w:rPr>
        <w:t>934</w:t>
      </w:r>
      <w:r w:rsidR="004F111D">
        <w:rPr>
          <w:lang w:eastAsia="pl-PL"/>
        </w:rPr>
        <w:t>,</w:t>
      </w:r>
      <w:r w:rsidR="00103928">
        <w:rPr>
          <w:lang w:eastAsia="pl-PL"/>
        </w:rPr>
        <w:t>6</w:t>
      </w:r>
      <w:r w:rsidR="004F111D">
        <w:rPr>
          <w:lang w:eastAsia="pl-PL"/>
        </w:rPr>
        <w:t xml:space="preserve"> mln</w:t>
      </w:r>
      <w:r w:rsidR="00EC5F4C">
        <w:rPr>
          <w:lang w:eastAsia="pl-PL"/>
        </w:rPr>
        <w:t> </w:t>
      </w:r>
      <w:r w:rsidR="004F111D">
        <w:rPr>
          <w:lang w:eastAsia="pl-PL"/>
        </w:rPr>
        <w:t>zł (1 </w:t>
      </w:r>
      <w:r w:rsidR="00103928">
        <w:rPr>
          <w:lang w:eastAsia="pl-PL"/>
        </w:rPr>
        <w:t>173</w:t>
      </w:r>
      <w:r w:rsidR="004F111D">
        <w:rPr>
          <w:lang w:eastAsia="pl-PL"/>
        </w:rPr>
        <w:t>,</w:t>
      </w:r>
      <w:r w:rsidR="00103928">
        <w:rPr>
          <w:lang w:eastAsia="pl-PL"/>
        </w:rPr>
        <w:t>9</w:t>
      </w:r>
      <w:r w:rsidR="004F111D">
        <w:rPr>
          <w:lang w:eastAsia="pl-PL"/>
        </w:rPr>
        <w:t xml:space="preserve"> mln</w:t>
      </w:r>
      <w:r w:rsidR="00EC5F4C">
        <w:rPr>
          <w:lang w:eastAsia="pl-PL"/>
        </w:rPr>
        <w:t> </w:t>
      </w:r>
      <w:r w:rsidR="004F111D">
        <w:rPr>
          <w:lang w:eastAsia="pl-PL"/>
        </w:rPr>
        <w:t xml:space="preserve">zł przed rokiem). Wynagrodzenia dla towarzystw zarządzających funduszami wyniosły </w:t>
      </w:r>
      <w:r w:rsidR="00103928">
        <w:rPr>
          <w:lang w:eastAsia="pl-PL"/>
        </w:rPr>
        <w:t>1</w:t>
      </w:r>
      <w:r w:rsidR="004F111D">
        <w:rPr>
          <w:lang w:eastAsia="pl-PL"/>
        </w:rPr>
        <w:t> </w:t>
      </w:r>
      <w:r w:rsidR="00103928">
        <w:rPr>
          <w:lang w:eastAsia="pl-PL"/>
        </w:rPr>
        <w:t>902</w:t>
      </w:r>
      <w:r w:rsidR="004F111D">
        <w:rPr>
          <w:lang w:eastAsia="pl-PL"/>
        </w:rPr>
        <w:t>,</w:t>
      </w:r>
      <w:r w:rsidR="00103928">
        <w:rPr>
          <w:lang w:eastAsia="pl-PL"/>
        </w:rPr>
        <w:t>0</w:t>
      </w:r>
      <w:r w:rsidR="004F111D">
        <w:rPr>
          <w:lang w:eastAsia="pl-PL"/>
        </w:rPr>
        <w:t xml:space="preserve"> mln</w:t>
      </w:r>
      <w:r w:rsidR="00EC5F4C">
        <w:rPr>
          <w:lang w:eastAsia="pl-PL"/>
        </w:rPr>
        <w:t> </w:t>
      </w:r>
      <w:r w:rsidR="004F111D">
        <w:rPr>
          <w:lang w:eastAsia="pl-PL"/>
        </w:rPr>
        <w:t xml:space="preserve">zł (wzrost o </w:t>
      </w:r>
      <w:r w:rsidR="00103928">
        <w:rPr>
          <w:lang w:eastAsia="pl-PL"/>
        </w:rPr>
        <w:t>3</w:t>
      </w:r>
      <w:r w:rsidR="004F111D">
        <w:rPr>
          <w:lang w:eastAsia="pl-PL"/>
        </w:rPr>
        <w:t>,</w:t>
      </w:r>
      <w:r w:rsidR="00103928">
        <w:rPr>
          <w:lang w:eastAsia="pl-PL"/>
        </w:rPr>
        <w:t>2</w:t>
      </w:r>
      <w:r w:rsidR="004F111D">
        <w:rPr>
          <w:lang w:eastAsia="pl-PL"/>
        </w:rPr>
        <w:t xml:space="preserve">%). Koszty netto funduszy inwestycyjnych, po uwzględnieniu kosztów pokrywanych przez towarzystwo, wyniosły </w:t>
      </w:r>
      <w:r w:rsidR="00103928">
        <w:rPr>
          <w:lang w:eastAsia="pl-PL"/>
        </w:rPr>
        <w:t>3</w:t>
      </w:r>
      <w:r w:rsidR="004F111D">
        <w:rPr>
          <w:lang w:eastAsia="pl-PL"/>
        </w:rPr>
        <w:t> </w:t>
      </w:r>
      <w:r w:rsidR="00103928">
        <w:rPr>
          <w:lang w:eastAsia="pl-PL"/>
        </w:rPr>
        <w:t>200</w:t>
      </w:r>
      <w:r w:rsidR="004F111D">
        <w:rPr>
          <w:lang w:eastAsia="pl-PL"/>
        </w:rPr>
        <w:t>,</w:t>
      </w:r>
      <w:r w:rsidR="00103928">
        <w:rPr>
          <w:lang w:eastAsia="pl-PL"/>
        </w:rPr>
        <w:t>4</w:t>
      </w:r>
      <w:r w:rsidR="004F111D">
        <w:rPr>
          <w:lang w:eastAsia="pl-PL"/>
        </w:rPr>
        <w:t xml:space="preserve"> mln</w:t>
      </w:r>
      <w:r w:rsidR="00EC5F4C">
        <w:rPr>
          <w:lang w:eastAsia="pl-PL"/>
        </w:rPr>
        <w:t> </w:t>
      </w:r>
      <w:r w:rsidR="004F111D">
        <w:rPr>
          <w:lang w:eastAsia="pl-PL"/>
        </w:rPr>
        <w:t>zł</w:t>
      </w:r>
      <w:r w:rsidR="000B24D5">
        <w:rPr>
          <w:lang w:eastAsia="pl-PL"/>
        </w:rPr>
        <w:t xml:space="preserve"> i były </w:t>
      </w:r>
      <w:r w:rsidR="00103928">
        <w:rPr>
          <w:lang w:eastAsia="pl-PL"/>
        </w:rPr>
        <w:t>niższe</w:t>
      </w:r>
      <w:r w:rsidR="000B24D5">
        <w:rPr>
          <w:lang w:eastAsia="pl-PL"/>
        </w:rPr>
        <w:t xml:space="preserve"> o </w:t>
      </w:r>
      <w:r w:rsidR="00103928">
        <w:rPr>
          <w:lang w:eastAsia="pl-PL"/>
        </w:rPr>
        <w:t>2</w:t>
      </w:r>
      <w:r w:rsidR="000B24D5">
        <w:rPr>
          <w:lang w:eastAsia="pl-PL"/>
        </w:rPr>
        <w:t>,</w:t>
      </w:r>
      <w:r w:rsidR="00103928">
        <w:rPr>
          <w:lang w:eastAsia="pl-PL"/>
        </w:rPr>
        <w:t>7</w:t>
      </w:r>
      <w:r w:rsidR="000B24D5">
        <w:rPr>
          <w:lang w:eastAsia="pl-PL"/>
        </w:rPr>
        <w:t xml:space="preserve">% niż rok wcześniej. Fundusze inwestycyjne w </w:t>
      </w:r>
      <w:r w:rsidR="00103928">
        <w:rPr>
          <w:lang w:eastAsia="pl-PL"/>
        </w:rPr>
        <w:t xml:space="preserve">I połowie </w:t>
      </w:r>
      <w:r w:rsidR="000B24D5">
        <w:rPr>
          <w:lang w:eastAsia="pl-PL"/>
        </w:rPr>
        <w:t>201</w:t>
      </w:r>
      <w:r w:rsidR="00103928">
        <w:rPr>
          <w:lang w:eastAsia="pl-PL"/>
        </w:rPr>
        <w:t>8</w:t>
      </w:r>
      <w:r w:rsidR="00EC5F4C">
        <w:rPr>
          <w:lang w:eastAsia="pl-PL"/>
        </w:rPr>
        <w:t> </w:t>
      </w:r>
      <w:r w:rsidR="000B24D5">
        <w:rPr>
          <w:lang w:eastAsia="pl-PL"/>
        </w:rPr>
        <w:t>r. wykazały dodatni wynik z operacji w kwocie 1</w:t>
      </w:r>
      <w:r w:rsidR="00103928">
        <w:rPr>
          <w:lang w:eastAsia="pl-PL"/>
        </w:rPr>
        <w:t>0</w:t>
      </w:r>
      <w:r w:rsidR="000B24D5">
        <w:rPr>
          <w:lang w:eastAsia="pl-PL"/>
        </w:rPr>
        <w:t> </w:t>
      </w:r>
      <w:r w:rsidR="00103928">
        <w:rPr>
          <w:lang w:eastAsia="pl-PL"/>
        </w:rPr>
        <w:t>469</w:t>
      </w:r>
      <w:r w:rsidR="000B24D5">
        <w:rPr>
          <w:lang w:eastAsia="pl-PL"/>
        </w:rPr>
        <w:t>,</w:t>
      </w:r>
      <w:r w:rsidR="00103928">
        <w:rPr>
          <w:lang w:eastAsia="pl-PL"/>
        </w:rPr>
        <w:t>7</w:t>
      </w:r>
      <w:r w:rsidR="000B24D5">
        <w:rPr>
          <w:lang w:eastAsia="pl-PL"/>
        </w:rPr>
        <w:t xml:space="preserve"> mln</w:t>
      </w:r>
      <w:r w:rsidR="00EC5F4C">
        <w:rPr>
          <w:lang w:eastAsia="pl-PL"/>
        </w:rPr>
        <w:t> </w:t>
      </w:r>
      <w:r w:rsidR="000B24D5">
        <w:rPr>
          <w:lang w:eastAsia="pl-PL"/>
        </w:rPr>
        <w:t xml:space="preserve">zł, jego spadek o </w:t>
      </w:r>
      <w:r w:rsidR="00103928">
        <w:rPr>
          <w:lang w:eastAsia="pl-PL"/>
        </w:rPr>
        <w:t>23</w:t>
      </w:r>
      <w:r w:rsidR="000B24D5">
        <w:rPr>
          <w:lang w:eastAsia="pl-PL"/>
        </w:rPr>
        <w:t>,</w:t>
      </w:r>
      <w:r w:rsidR="00103928">
        <w:rPr>
          <w:lang w:eastAsia="pl-PL"/>
        </w:rPr>
        <w:t>8</w:t>
      </w:r>
      <w:r w:rsidR="000B24D5">
        <w:rPr>
          <w:lang w:eastAsia="pl-PL"/>
        </w:rPr>
        <w:t xml:space="preserve">% był spowodowany </w:t>
      </w:r>
      <w:r w:rsidR="00E5390F">
        <w:rPr>
          <w:lang w:eastAsia="pl-PL"/>
        </w:rPr>
        <w:t>niższymi</w:t>
      </w:r>
      <w:r w:rsidR="000B24D5">
        <w:rPr>
          <w:lang w:eastAsia="pl-PL"/>
        </w:rPr>
        <w:t xml:space="preserve"> przychod</w:t>
      </w:r>
      <w:r w:rsidR="00E5390F">
        <w:rPr>
          <w:lang w:eastAsia="pl-PL"/>
        </w:rPr>
        <w:t>ami</w:t>
      </w:r>
      <w:r w:rsidR="000B24D5">
        <w:rPr>
          <w:lang w:eastAsia="pl-PL"/>
        </w:rPr>
        <w:t xml:space="preserve"> z </w:t>
      </w:r>
      <w:r w:rsidR="00E5390F">
        <w:rPr>
          <w:lang w:eastAsia="pl-PL"/>
        </w:rPr>
        <w:t xml:space="preserve">tytułu </w:t>
      </w:r>
      <w:r w:rsidR="00103928">
        <w:rPr>
          <w:lang w:eastAsia="pl-PL"/>
        </w:rPr>
        <w:t>zby</w:t>
      </w:r>
      <w:r w:rsidR="00E5390F">
        <w:rPr>
          <w:lang w:eastAsia="pl-PL"/>
        </w:rPr>
        <w:t>tych</w:t>
      </w:r>
      <w:r w:rsidR="00103928">
        <w:rPr>
          <w:lang w:eastAsia="pl-PL"/>
        </w:rPr>
        <w:t xml:space="preserve"> </w:t>
      </w:r>
      <w:r w:rsidR="000B24D5">
        <w:rPr>
          <w:lang w:eastAsia="pl-PL"/>
        </w:rPr>
        <w:t>lokat</w:t>
      </w:r>
      <w:r w:rsidR="00E5390F">
        <w:rPr>
          <w:lang w:eastAsia="pl-PL"/>
        </w:rPr>
        <w:t>, które wyniosły 1 392,9 mln zł</w:t>
      </w:r>
      <w:r w:rsidR="000B24D5">
        <w:rPr>
          <w:lang w:eastAsia="pl-PL"/>
        </w:rPr>
        <w:t xml:space="preserve"> (w</w:t>
      </w:r>
      <w:r w:rsidR="00216C45">
        <w:rPr>
          <w:lang w:eastAsia="pl-PL"/>
        </w:rPr>
        <w:t> </w:t>
      </w:r>
      <w:r w:rsidR="000B24D5">
        <w:rPr>
          <w:lang w:eastAsia="pl-PL"/>
        </w:rPr>
        <w:t>roku poprzedzającym</w:t>
      </w:r>
      <w:r w:rsidR="00216C45">
        <w:rPr>
          <w:lang w:eastAsia="pl-PL"/>
        </w:rPr>
        <w:t xml:space="preserve"> był to zysk w kwocie </w:t>
      </w:r>
      <w:r w:rsidR="00E5390F">
        <w:rPr>
          <w:lang w:eastAsia="pl-PL"/>
        </w:rPr>
        <w:t>4</w:t>
      </w:r>
      <w:r w:rsidR="00216C45">
        <w:rPr>
          <w:lang w:eastAsia="pl-PL"/>
        </w:rPr>
        <w:t> </w:t>
      </w:r>
      <w:r w:rsidR="00E5390F">
        <w:rPr>
          <w:lang w:eastAsia="pl-PL"/>
        </w:rPr>
        <w:t>954</w:t>
      </w:r>
      <w:r w:rsidR="00216C45">
        <w:rPr>
          <w:lang w:eastAsia="pl-PL"/>
        </w:rPr>
        <w:t>,</w:t>
      </w:r>
      <w:r w:rsidR="00E5390F">
        <w:rPr>
          <w:lang w:eastAsia="pl-PL"/>
        </w:rPr>
        <w:t>8</w:t>
      </w:r>
      <w:r w:rsidR="00EC5F4C">
        <w:rPr>
          <w:lang w:eastAsia="pl-PL"/>
        </w:rPr>
        <w:t> </w:t>
      </w:r>
      <w:r w:rsidR="00216C45">
        <w:rPr>
          <w:lang w:eastAsia="pl-PL"/>
        </w:rPr>
        <w:t>mln</w:t>
      </w:r>
      <w:r w:rsidR="00EC5F4C">
        <w:rPr>
          <w:lang w:eastAsia="pl-PL"/>
        </w:rPr>
        <w:t> </w:t>
      </w:r>
      <w:r w:rsidR="00216C45">
        <w:rPr>
          <w:lang w:eastAsia="pl-PL"/>
        </w:rPr>
        <w:t>zł)</w:t>
      </w:r>
      <w:r w:rsidR="004E5469" w:rsidRPr="004E5469">
        <w:rPr>
          <w:lang w:eastAsia="pl-PL"/>
        </w:rPr>
        <w:t>.</w:t>
      </w:r>
    </w:p>
    <w:p w:rsidR="002F468D" w:rsidRPr="00696765" w:rsidRDefault="002F468D" w:rsidP="002F468D">
      <w:pPr>
        <w:rPr>
          <w:b/>
          <w:spacing w:val="-2"/>
          <w:sz w:val="18"/>
          <w:shd w:val="clear" w:color="auto" w:fill="FFFFFF"/>
        </w:rPr>
      </w:pPr>
      <w:r w:rsidRPr="004B3C88">
        <w:rPr>
          <w:b/>
          <w:spacing w:val="-2"/>
          <w:sz w:val="18"/>
          <w:shd w:val="clear" w:color="auto" w:fill="FFFFFF"/>
        </w:rPr>
        <w:t xml:space="preserve">Tablica </w:t>
      </w:r>
      <w:r>
        <w:rPr>
          <w:b/>
          <w:spacing w:val="-2"/>
          <w:sz w:val="18"/>
          <w:shd w:val="clear" w:color="auto" w:fill="FFFFFF"/>
        </w:rPr>
        <w:t>4</w:t>
      </w:r>
      <w:r w:rsidRPr="004B3C88">
        <w:rPr>
          <w:b/>
          <w:spacing w:val="-2"/>
          <w:sz w:val="18"/>
          <w:shd w:val="clear" w:color="auto" w:fill="FFFFFF"/>
        </w:rPr>
        <w:t xml:space="preserve">. </w:t>
      </w:r>
      <w:r w:rsidR="00216C45">
        <w:rPr>
          <w:b/>
          <w:spacing w:val="-2"/>
          <w:sz w:val="18"/>
          <w:shd w:val="clear" w:color="auto" w:fill="FFFFFF"/>
        </w:rPr>
        <w:t>Wybrane pozycje z rachunku wyniku z operacji funduszy inwestycyjnych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3"/>
        <w:gridCol w:w="1701"/>
        <w:gridCol w:w="1701"/>
        <w:gridCol w:w="1701"/>
      </w:tblGrid>
      <w:tr w:rsidR="00E50A22" w:rsidRPr="00FA5128" w:rsidTr="0026295B">
        <w:trPr>
          <w:trHeight w:val="57"/>
        </w:trPr>
        <w:tc>
          <w:tcPr>
            <w:tcW w:w="2823" w:type="dxa"/>
            <w:vMerge w:val="restart"/>
            <w:vAlign w:val="center"/>
          </w:tcPr>
          <w:p w:rsidR="00E50A22" w:rsidRPr="009C7251" w:rsidRDefault="00E50A22" w:rsidP="00E50A22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vAlign w:val="center"/>
          </w:tcPr>
          <w:p w:rsidR="00E50A22" w:rsidRPr="00FA5128" w:rsidRDefault="00E50A22" w:rsidP="00E50A22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 półrocze 2017</w:t>
            </w:r>
          </w:p>
        </w:tc>
        <w:tc>
          <w:tcPr>
            <w:tcW w:w="1701" w:type="dxa"/>
            <w:vAlign w:val="center"/>
          </w:tcPr>
          <w:p w:rsidR="00E50A22" w:rsidRPr="00FA5128" w:rsidRDefault="00E50A22" w:rsidP="00E50A22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 półrocze 2018</w:t>
            </w:r>
          </w:p>
        </w:tc>
        <w:tc>
          <w:tcPr>
            <w:tcW w:w="1701" w:type="dxa"/>
            <w:vMerge w:val="restart"/>
            <w:vAlign w:val="center"/>
          </w:tcPr>
          <w:p w:rsidR="00E50A22" w:rsidRPr="00FA5128" w:rsidRDefault="00E50A22" w:rsidP="00E50A22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 półrocze 2017=100</w:t>
            </w:r>
          </w:p>
        </w:tc>
      </w:tr>
      <w:tr w:rsidR="002F468D" w:rsidRPr="00FA5128" w:rsidTr="0026295B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:rsidR="002F468D" w:rsidRPr="009C7251" w:rsidRDefault="002F468D" w:rsidP="00996239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:rsidR="002F468D" w:rsidRDefault="002F468D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mln zł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:rsidR="002F468D" w:rsidRDefault="002F468D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1D6005" w:rsidRPr="00FA5128" w:rsidTr="00636F96">
        <w:trPr>
          <w:trHeight w:val="57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</w:tcPr>
          <w:p w:rsidR="001D6005" w:rsidRPr="00216C45" w:rsidRDefault="00216C45" w:rsidP="00996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Przychody z lokat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</w:tcPr>
          <w:p w:rsidR="001D6005" w:rsidRPr="00216C45" w:rsidRDefault="00250BD9" w:rsidP="009962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5 130,8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1D6005" w:rsidRPr="00216C45" w:rsidRDefault="00250BD9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4 985,2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1D6005" w:rsidRPr="00216C45" w:rsidRDefault="003C30F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97,2</w:t>
            </w:r>
          </w:p>
        </w:tc>
      </w:tr>
      <w:tr w:rsidR="001D6005" w:rsidRPr="00FA5128" w:rsidTr="0096756D">
        <w:trPr>
          <w:trHeight w:val="57"/>
        </w:trPr>
        <w:tc>
          <w:tcPr>
            <w:tcW w:w="2823" w:type="dxa"/>
            <w:tcBorders>
              <w:top w:val="single" w:sz="4" w:space="0" w:color="212492"/>
            </w:tcBorders>
          </w:tcPr>
          <w:p w:rsidR="001D6005" w:rsidRPr="00AB4312" w:rsidRDefault="00216C45" w:rsidP="00216C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Koszty funduszu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center"/>
          </w:tcPr>
          <w:p w:rsidR="001D6005" w:rsidRPr="00216C45" w:rsidRDefault="00250BD9" w:rsidP="009962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3 301,3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center"/>
          </w:tcPr>
          <w:p w:rsidR="001D6005" w:rsidRPr="00216C45" w:rsidRDefault="003C30F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3 211,9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center"/>
          </w:tcPr>
          <w:p w:rsidR="001D6005" w:rsidRPr="00216C45" w:rsidRDefault="003C30F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97,3</w:t>
            </w:r>
          </w:p>
        </w:tc>
      </w:tr>
      <w:tr w:rsidR="001D6005" w:rsidRPr="00FA5128" w:rsidTr="00C10867">
        <w:trPr>
          <w:trHeight w:val="57"/>
        </w:trPr>
        <w:tc>
          <w:tcPr>
            <w:tcW w:w="2823" w:type="dxa"/>
          </w:tcPr>
          <w:p w:rsidR="001D6005" w:rsidRPr="00AB4312" w:rsidRDefault="00216C45" w:rsidP="00216C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Zrealizowany zysk/strata ze ze zbycia lokat </w:t>
            </w:r>
          </w:p>
        </w:tc>
        <w:tc>
          <w:tcPr>
            <w:tcW w:w="1701" w:type="dxa"/>
            <w:vAlign w:val="center"/>
          </w:tcPr>
          <w:p w:rsidR="001D6005" w:rsidRPr="00216C45" w:rsidRDefault="00250BD9" w:rsidP="009962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4 954,8</w:t>
            </w:r>
          </w:p>
        </w:tc>
        <w:tc>
          <w:tcPr>
            <w:tcW w:w="1701" w:type="dxa"/>
            <w:vAlign w:val="center"/>
          </w:tcPr>
          <w:p w:rsidR="001D6005" w:rsidRPr="00216C45" w:rsidRDefault="003C30F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1 392,9</w:t>
            </w:r>
          </w:p>
        </w:tc>
        <w:tc>
          <w:tcPr>
            <w:tcW w:w="1701" w:type="dxa"/>
            <w:vAlign w:val="center"/>
          </w:tcPr>
          <w:p w:rsidR="001D6005" w:rsidRPr="00216C45" w:rsidRDefault="003C30F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28,1</w:t>
            </w:r>
          </w:p>
        </w:tc>
      </w:tr>
      <w:tr w:rsidR="001D6005" w:rsidRPr="00FA5128" w:rsidTr="00C10867">
        <w:trPr>
          <w:trHeight w:val="57"/>
        </w:trPr>
        <w:tc>
          <w:tcPr>
            <w:tcW w:w="2823" w:type="dxa"/>
          </w:tcPr>
          <w:p w:rsidR="001D6005" w:rsidRPr="00AB4312" w:rsidRDefault="00216C45" w:rsidP="00216C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Wzrost/spadek niezrealizowanego zysku/straty z wyceny lokat</w:t>
            </w:r>
          </w:p>
        </w:tc>
        <w:tc>
          <w:tcPr>
            <w:tcW w:w="1701" w:type="dxa"/>
            <w:vAlign w:val="center"/>
          </w:tcPr>
          <w:p w:rsidR="001D6005" w:rsidRPr="00216C45" w:rsidRDefault="00250BD9" w:rsidP="009962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6 934,6</w:t>
            </w:r>
          </w:p>
        </w:tc>
        <w:tc>
          <w:tcPr>
            <w:tcW w:w="1701" w:type="dxa"/>
            <w:vAlign w:val="center"/>
          </w:tcPr>
          <w:p w:rsidR="001D6005" w:rsidRPr="00216C45" w:rsidRDefault="003C30F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7 292,0</w:t>
            </w:r>
          </w:p>
        </w:tc>
        <w:tc>
          <w:tcPr>
            <w:tcW w:w="1701" w:type="dxa"/>
            <w:vAlign w:val="center"/>
          </w:tcPr>
          <w:p w:rsidR="001D6005" w:rsidRPr="00216C45" w:rsidRDefault="003C30F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105,2</w:t>
            </w:r>
          </w:p>
        </w:tc>
      </w:tr>
      <w:tr w:rsidR="001D6005" w:rsidRPr="00FA5128" w:rsidTr="00C10867">
        <w:trPr>
          <w:trHeight w:val="57"/>
        </w:trPr>
        <w:tc>
          <w:tcPr>
            <w:tcW w:w="2823" w:type="dxa"/>
          </w:tcPr>
          <w:p w:rsidR="001D6005" w:rsidRPr="00AB4312" w:rsidRDefault="00216C45" w:rsidP="00216C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Wynik z operacji</w:t>
            </w:r>
          </w:p>
        </w:tc>
        <w:tc>
          <w:tcPr>
            <w:tcW w:w="1701" w:type="dxa"/>
            <w:vAlign w:val="center"/>
          </w:tcPr>
          <w:p w:rsidR="001D6005" w:rsidRPr="00216C45" w:rsidRDefault="00250BD9" w:rsidP="009962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13 731,9</w:t>
            </w:r>
          </w:p>
        </w:tc>
        <w:tc>
          <w:tcPr>
            <w:tcW w:w="1701" w:type="dxa"/>
            <w:vAlign w:val="center"/>
          </w:tcPr>
          <w:p w:rsidR="001D6005" w:rsidRPr="00216C45" w:rsidRDefault="003C30F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10 469,7</w:t>
            </w:r>
          </w:p>
        </w:tc>
        <w:tc>
          <w:tcPr>
            <w:tcW w:w="1701" w:type="dxa"/>
            <w:vAlign w:val="center"/>
          </w:tcPr>
          <w:p w:rsidR="001D6005" w:rsidRPr="00216C45" w:rsidRDefault="003C30F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76,2</w:t>
            </w:r>
          </w:p>
        </w:tc>
      </w:tr>
    </w:tbl>
    <w:p w:rsidR="002F468D" w:rsidRPr="00130B04" w:rsidRDefault="000F14E6" w:rsidP="00BD38E3">
      <w:pPr>
        <w:spacing w:before="800" w:after="800"/>
        <w:jc w:val="center"/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9616" behindDoc="1" locked="0" layoutInCell="1" allowOverlap="1" wp14:anchorId="510A12F9" wp14:editId="0A86B952">
                <wp:simplePos x="0" y="0"/>
                <wp:positionH relativeFrom="column">
                  <wp:posOffset>5229225</wp:posOffset>
                </wp:positionH>
                <wp:positionV relativeFrom="paragraph">
                  <wp:posOffset>3814445</wp:posOffset>
                </wp:positionV>
                <wp:extent cx="1725295" cy="838200"/>
                <wp:effectExtent l="0" t="0" r="0" b="0"/>
                <wp:wrapTight wrapText="bothSides">
                  <wp:wrapPolygon edited="0">
                    <wp:start x="715" y="0"/>
                    <wp:lineTo x="715" y="21109"/>
                    <wp:lineTo x="20749" y="21109"/>
                    <wp:lineTo x="20749" y="0"/>
                    <wp:lineTo x="715" y="0"/>
                  </wp:wrapPolygon>
                </wp:wrapTight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CD2" w:rsidRPr="00074DD8" w:rsidRDefault="00364CD2" w:rsidP="002F468D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F00BD2">
                              <w:t xml:space="preserve">I półroczu </w:t>
                            </w:r>
                            <w:r>
                              <w:t>201</w:t>
                            </w:r>
                            <w:r w:rsidR="00F00BD2">
                              <w:t>8</w:t>
                            </w:r>
                            <w:r>
                              <w:t> r. aktywa TFI wyniosły 2,</w:t>
                            </w:r>
                            <w:r w:rsidR="00F00BD2">
                              <w:t>2</w:t>
                            </w:r>
                            <w:r>
                              <w:t xml:space="preserve"> mld zł.</w:t>
                            </w:r>
                          </w:p>
                          <w:p w:rsidR="00364CD2" w:rsidRPr="00D616D2" w:rsidRDefault="00364CD2" w:rsidP="002F468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A12F9" id="Pole tekstowe 29" o:spid="_x0000_s1039" type="#_x0000_t202" style="position:absolute;left:0;text-align:left;margin-left:411.75pt;margin-top:300.35pt;width:135.85pt;height:66pt;z-index:-251556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" filled="f" stroked="f">
                <v:textbox>
                  <w:txbxContent>
                    <w:p w:rsidR="00364CD2" w:rsidRPr="00074DD8" w:rsidRDefault="00364CD2" w:rsidP="002F468D">
                      <w:pPr>
                        <w:pStyle w:val="tekstzboku"/>
                      </w:pPr>
                      <w:r>
                        <w:t xml:space="preserve">W </w:t>
                      </w:r>
                      <w:r w:rsidR="00F00BD2">
                        <w:t xml:space="preserve">I półroczu </w:t>
                      </w:r>
                      <w:r>
                        <w:t>201</w:t>
                      </w:r>
                      <w:r w:rsidR="00F00BD2">
                        <w:t>8</w:t>
                      </w:r>
                      <w:r>
                        <w:t> r. aktywa TFI wyniosły 2,</w:t>
                      </w:r>
                      <w:r w:rsidR="00F00BD2">
                        <w:t>2</w:t>
                      </w:r>
                      <w:r>
                        <w:t xml:space="preserve"> mld zł.</w:t>
                      </w:r>
                    </w:p>
                    <w:p w:rsidR="00364CD2" w:rsidRPr="00D616D2" w:rsidRDefault="00364CD2" w:rsidP="002F468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F468D" w:rsidRPr="002F468D">
        <w:rPr>
          <w:sz w:val="40"/>
          <w:szCs w:val="40"/>
          <w:lang w:eastAsia="pl-PL"/>
        </w:rPr>
        <w:t>***</w:t>
      </w:r>
    </w:p>
    <w:p w:rsidR="002F468D" w:rsidRDefault="00CA20F9" w:rsidP="00595233">
      <w:pPr>
        <w:spacing w:after="20"/>
        <w:jc w:val="both"/>
        <w:rPr>
          <w:lang w:eastAsia="pl-PL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7DF11AF7" wp14:editId="25A475A3">
                <wp:simplePos x="0" y="0"/>
                <wp:positionH relativeFrom="column">
                  <wp:posOffset>5229225</wp:posOffset>
                </wp:positionH>
                <wp:positionV relativeFrom="paragraph">
                  <wp:posOffset>721360</wp:posOffset>
                </wp:positionV>
                <wp:extent cx="1725295" cy="962025"/>
                <wp:effectExtent l="0" t="0" r="0" b="0"/>
                <wp:wrapTight wrapText="bothSides">
                  <wp:wrapPolygon edited="0">
                    <wp:start x="715" y="0"/>
                    <wp:lineTo x="715" y="20958"/>
                    <wp:lineTo x="20749" y="20958"/>
                    <wp:lineTo x="20749" y="0"/>
                    <wp:lineTo x="715" y="0"/>
                  </wp:wrapPolygon>
                </wp:wrapTight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CD2" w:rsidRPr="00074DD8" w:rsidRDefault="00364CD2" w:rsidP="00B17158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F00BD2">
                              <w:t xml:space="preserve">I półroczu </w:t>
                            </w:r>
                            <w:r>
                              <w:t>201</w:t>
                            </w:r>
                            <w:r w:rsidR="00F00BD2">
                              <w:t>8</w:t>
                            </w:r>
                            <w:r>
                              <w:t> r. kapitał własny TFI wyniósł 1,</w:t>
                            </w:r>
                            <w:r w:rsidR="00F00BD2">
                              <w:t>6</w:t>
                            </w:r>
                            <w:r>
                              <w:t xml:space="preserve"> mld zł.</w:t>
                            </w:r>
                          </w:p>
                          <w:p w:rsidR="00364CD2" w:rsidRPr="00D616D2" w:rsidRDefault="00364CD2" w:rsidP="00B1715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11AF7" id="Pole tekstowe 30" o:spid="_x0000_s1040" type="#_x0000_t202" style="position:absolute;left:0;text-align:left;margin-left:411.75pt;margin-top:56.8pt;width:135.85pt;height:75.75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" filled="f" stroked="f">
                <v:textbox>
                  <w:txbxContent>
                    <w:p w:rsidR="00364CD2" w:rsidRPr="00074DD8" w:rsidRDefault="00364CD2" w:rsidP="00B17158">
                      <w:pPr>
                        <w:pStyle w:val="tekstzboku"/>
                      </w:pPr>
                      <w:r>
                        <w:t xml:space="preserve">W </w:t>
                      </w:r>
                      <w:r w:rsidR="00F00BD2">
                        <w:t xml:space="preserve">I półroczu </w:t>
                      </w:r>
                      <w:r>
                        <w:t>201</w:t>
                      </w:r>
                      <w:r w:rsidR="00F00BD2">
                        <w:t>8</w:t>
                      </w:r>
                      <w:r>
                        <w:t> r. kapitał własny TFI wyniósł 1,</w:t>
                      </w:r>
                      <w:r w:rsidR="00F00BD2">
                        <w:t>6</w:t>
                      </w:r>
                      <w:r>
                        <w:t xml:space="preserve"> mld zł.</w:t>
                      </w:r>
                    </w:p>
                    <w:p w:rsidR="00364CD2" w:rsidRPr="00D616D2" w:rsidRDefault="00364CD2" w:rsidP="00B1715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C0546">
        <w:rPr>
          <w:lang w:eastAsia="pl-PL"/>
        </w:rPr>
        <w:t xml:space="preserve">W końcu </w:t>
      </w:r>
      <w:r w:rsidR="0080073E">
        <w:rPr>
          <w:lang w:eastAsia="pl-PL"/>
        </w:rPr>
        <w:t xml:space="preserve">czerwca </w:t>
      </w:r>
      <w:r w:rsidR="004C0546">
        <w:rPr>
          <w:lang w:eastAsia="pl-PL"/>
        </w:rPr>
        <w:t>201</w:t>
      </w:r>
      <w:r w:rsidR="0080073E">
        <w:rPr>
          <w:lang w:eastAsia="pl-PL"/>
        </w:rPr>
        <w:t>8</w:t>
      </w:r>
      <w:r w:rsidR="00EC5F4C">
        <w:rPr>
          <w:lang w:eastAsia="pl-PL"/>
        </w:rPr>
        <w:t> </w:t>
      </w:r>
      <w:r w:rsidR="004C0546">
        <w:rPr>
          <w:lang w:eastAsia="pl-PL"/>
        </w:rPr>
        <w:t xml:space="preserve">r. działały 63 towarzystwa funduszy inwestycyjnych (TFI). Aktywa towarzystw funduszy inwestycyjnych wyniosły </w:t>
      </w:r>
      <w:r>
        <w:rPr>
          <w:lang w:eastAsia="pl-PL"/>
        </w:rPr>
        <w:t>2 </w:t>
      </w:r>
      <w:r w:rsidR="0080073E">
        <w:rPr>
          <w:lang w:eastAsia="pl-PL"/>
        </w:rPr>
        <w:t>227</w:t>
      </w:r>
      <w:r>
        <w:rPr>
          <w:lang w:eastAsia="pl-PL"/>
        </w:rPr>
        <w:t>,</w:t>
      </w:r>
      <w:r w:rsidR="0080073E">
        <w:rPr>
          <w:lang w:eastAsia="pl-PL"/>
        </w:rPr>
        <w:t>8</w:t>
      </w:r>
      <w:r w:rsidR="00EC5F4C">
        <w:rPr>
          <w:lang w:eastAsia="pl-PL"/>
        </w:rPr>
        <w:t> </w:t>
      </w:r>
      <w:r>
        <w:rPr>
          <w:lang w:eastAsia="pl-PL"/>
        </w:rPr>
        <w:t>mln</w:t>
      </w:r>
      <w:r w:rsidR="00EC5F4C">
        <w:rPr>
          <w:lang w:eastAsia="pl-PL"/>
        </w:rPr>
        <w:t> </w:t>
      </w:r>
      <w:r>
        <w:rPr>
          <w:lang w:eastAsia="pl-PL"/>
        </w:rPr>
        <w:t>zł (</w:t>
      </w:r>
      <w:r w:rsidR="005A2A69">
        <w:rPr>
          <w:lang w:eastAsia="pl-PL"/>
        </w:rPr>
        <w:t>podobnie jak przed rokiem</w:t>
      </w:r>
      <w:r>
        <w:rPr>
          <w:lang w:eastAsia="pl-PL"/>
        </w:rPr>
        <w:t>), w tym aktywa obrotowe osiągnęły wartość 1 </w:t>
      </w:r>
      <w:r w:rsidR="005A2A69">
        <w:rPr>
          <w:lang w:eastAsia="pl-PL"/>
        </w:rPr>
        <w:t>813</w:t>
      </w:r>
      <w:r>
        <w:rPr>
          <w:lang w:eastAsia="pl-PL"/>
        </w:rPr>
        <w:t>,</w:t>
      </w:r>
      <w:r w:rsidR="005A2A69">
        <w:rPr>
          <w:lang w:eastAsia="pl-PL"/>
        </w:rPr>
        <w:t>0</w:t>
      </w:r>
      <w:r w:rsidR="00EC5F4C">
        <w:rPr>
          <w:lang w:eastAsia="pl-PL"/>
        </w:rPr>
        <w:t> </w:t>
      </w:r>
      <w:r>
        <w:rPr>
          <w:lang w:eastAsia="pl-PL"/>
        </w:rPr>
        <w:t>mln</w:t>
      </w:r>
      <w:r w:rsidR="00EC5F4C">
        <w:rPr>
          <w:lang w:eastAsia="pl-PL"/>
        </w:rPr>
        <w:t> </w:t>
      </w:r>
      <w:r>
        <w:rPr>
          <w:lang w:eastAsia="pl-PL"/>
        </w:rPr>
        <w:t>zł i stanowiły 8</w:t>
      </w:r>
      <w:r w:rsidR="005A2A69">
        <w:rPr>
          <w:lang w:eastAsia="pl-PL"/>
        </w:rPr>
        <w:t>1</w:t>
      </w:r>
      <w:r>
        <w:rPr>
          <w:lang w:eastAsia="pl-PL"/>
        </w:rPr>
        <w:t>,</w:t>
      </w:r>
      <w:r w:rsidR="005A2A69">
        <w:rPr>
          <w:lang w:eastAsia="pl-PL"/>
        </w:rPr>
        <w:t>4</w:t>
      </w:r>
      <w:r>
        <w:rPr>
          <w:lang w:eastAsia="pl-PL"/>
        </w:rPr>
        <w:t xml:space="preserve">% aktywów ogółem. Aktywa obrotowe składały się głównie z finansowych inwestycji krótkoterminowych, które </w:t>
      </w:r>
      <w:r w:rsidR="005A2A69">
        <w:rPr>
          <w:lang w:eastAsia="pl-PL"/>
        </w:rPr>
        <w:t>zmniejszyły</w:t>
      </w:r>
      <w:r>
        <w:rPr>
          <w:lang w:eastAsia="pl-PL"/>
        </w:rPr>
        <w:t xml:space="preserve"> się do kwoty 1 </w:t>
      </w:r>
      <w:r w:rsidR="005A2A69">
        <w:rPr>
          <w:lang w:eastAsia="pl-PL"/>
        </w:rPr>
        <w:t>328</w:t>
      </w:r>
      <w:r>
        <w:rPr>
          <w:lang w:eastAsia="pl-PL"/>
        </w:rPr>
        <w:t>,</w:t>
      </w:r>
      <w:r w:rsidR="005A2A69">
        <w:rPr>
          <w:lang w:eastAsia="pl-PL"/>
        </w:rPr>
        <w:t>1</w:t>
      </w:r>
      <w:r>
        <w:rPr>
          <w:lang w:eastAsia="pl-PL"/>
        </w:rPr>
        <w:t xml:space="preserve"> mln</w:t>
      </w:r>
      <w:r w:rsidR="00EC5F4C">
        <w:rPr>
          <w:lang w:eastAsia="pl-PL"/>
        </w:rPr>
        <w:t> </w:t>
      </w:r>
      <w:r>
        <w:rPr>
          <w:lang w:eastAsia="pl-PL"/>
        </w:rPr>
        <w:t xml:space="preserve">zł (o </w:t>
      </w:r>
      <w:r w:rsidR="00F00BD2">
        <w:rPr>
          <w:lang w:eastAsia="pl-PL"/>
        </w:rPr>
        <w:t>5</w:t>
      </w:r>
      <w:r>
        <w:rPr>
          <w:lang w:eastAsia="pl-PL"/>
        </w:rPr>
        <w:t>,6%). W strukturze aktywów finansowych największy udział miały środki pieniężne i inne aktywa pieniężne (</w:t>
      </w:r>
      <w:r w:rsidR="00F00BD2">
        <w:rPr>
          <w:lang w:eastAsia="pl-PL"/>
        </w:rPr>
        <w:t>79</w:t>
      </w:r>
      <w:r>
        <w:rPr>
          <w:lang w:eastAsia="pl-PL"/>
        </w:rPr>
        <w:t>,</w:t>
      </w:r>
      <w:r w:rsidR="00F00BD2">
        <w:rPr>
          <w:lang w:eastAsia="pl-PL"/>
        </w:rPr>
        <w:t>8</w:t>
      </w:r>
      <w:r>
        <w:rPr>
          <w:lang w:eastAsia="pl-PL"/>
        </w:rPr>
        <w:t>%). W pasywach towarzystw funduszy inwestycyjnych kapitały (fundusze) własne wyniosły 1 </w:t>
      </w:r>
      <w:r w:rsidR="00F00BD2">
        <w:rPr>
          <w:lang w:eastAsia="pl-PL"/>
        </w:rPr>
        <w:t>628</w:t>
      </w:r>
      <w:r>
        <w:rPr>
          <w:lang w:eastAsia="pl-PL"/>
        </w:rPr>
        <w:t>,</w:t>
      </w:r>
      <w:r w:rsidR="00F00BD2">
        <w:rPr>
          <w:lang w:eastAsia="pl-PL"/>
        </w:rPr>
        <w:t>6</w:t>
      </w:r>
      <w:r>
        <w:rPr>
          <w:lang w:eastAsia="pl-PL"/>
        </w:rPr>
        <w:t xml:space="preserve"> mln</w:t>
      </w:r>
      <w:r w:rsidR="00EC5F4C">
        <w:rPr>
          <w:lang w:eastAsia="pl-PL"/>
        </w:rPr>
        <w:t> </w:t>
      </w:r>
      <w:r>
        <w:rPr>
          <w:lang w:eastAsia="pl-PL"/>
        </w:rPr>
        <w:t>zł (</w:t>
      </w:r>
      <w:r w:rsidR="00F00BD2">
        <w:rPr>
          <w:lang w:eastAsia="pl-PL"/>
        </w:rPr>
        <w:t>wzrost o 9,1%</w:t>
      </w:r>
      <w:r w:rsidR="008F7307">
        <w:rPr>
          <w:lang w:eastAsia="pl-PL"/>
        </w:rPr>
        <w:t>) i stanowiły ich największy udział (7</w:t>
      </w:r>
      <w:r w:rsidR="00F00BD2">
        <w:rPr>
          <w:lang w:eastAsia="pl-PL"/>
        </w:rPr>
        <w:t>3</w:t>
      </w:r>
      <w:r w:rsidR="008F7307">
        <w:rPr>
          <w:lang w:eastAsia="pl-PL"/>
        </w:rPr>
        <w:t>,</w:t>
      </w:r>
      <w:r w:rsidR="00F00BD2">
        <w:rPr>
          <w:lang w:eastAsia="pl-PL"/>
        </w:rPr>
        <w:t>1</w:t>
      </w:r>
      <w:r w:rsidR="008F7307">
        <w:rPr>
          <w:lang w:eastAsia="pl-PL"/>
        </w:rPr>
        <w:t xml:space="preserve">%). Wartość kapitału zagranicznego w kapitale podstawowym TFI </w:t>
      </w:r>
      <w:r w:rsidR="00F00BD2">
        <w:rPr>
          <w:lang w:eastAsia="pl-PL"/>
        </w:rPr>
        <w:t>zmniejszył</w:t>
      </w:r>
      <w:r w:rsidR="008F7307">
        <w:rPr>
          <w:lang w:eastAsia="pl-PL"/>
        </w:rPr>
        <w:t xml:space="preserve"> się do 1</w:t>
      </w:r>
      <w:r w:rsidR="00F00BD2">
        <w:rPr>
          <w:lang w:eastAsia="pl-PL"/>
        </w:rPr>
        <w:t>58</w:t>
      </w:r>
      <w:r w:rsidR="008F7307">
        <w:rPr>
          <w:lang w:eastAsia="pl-PL"/>
        </w:rPr>
        <w:t>,</w:t>
      </w:r>
      <w:r w:rsidR="00F00BD2">
        <w:rPr>
          <w:lang w:eastAsia="pl-PL"/>
        </w:rPr>
        <w:t>2</w:t>
      </w:r>
      <w:r w:rsidR="008F7307">
        <w:rPr>
          <w:lang w:eastAsia="pl-PL"/>
        </w:rPr>
        <w:t xml:space="preserve"> mln zł (udział inwestorów zagranicznych zmniejszył się o </w:t>
      </w:r>
      <w:r w:rsidR="00F00BD2">
        <w:rPr>
          <w:lang w:eastAsia="pl-PL"/>
        </w:rPr>
        <w:t>3</w:t>
      </w:r>
      <w:r w:rsidR="008F7307">
        <w:rPr>
          <w:lang w:eastAsia="pl-PL"/>
        </w:rPr>
        <w:t>,</w:t>
      </w:r>
      <w:r w:rsidR="00F00BD2">
        <w:rPr>
          <w:lang w:eastAsia="pl-PL"/>
        </w:rPr>
        <w:t>7</w:t>
      </w:r>
      <w:r w:rsidR="008F7307">
        <w:rPr>
          <w:lang w:eastAsia="pl-PL"/>
        </w:rPr>
        <w:t xml:space="preserve"> pkt. proc. do </w:t>
      </w:r>
      <w:r w:rsidR="00F00BD2">
        <w:rPr>
          <w:lang w:eastAsia="pl-PL"/>
        </w:rPr>
        <w:t>28</w:t>
      </w:r>
      <w:r w:rsidR="008F7307">
        <w:rPr>
          <w:lang w:eastAsia="pl-PL"/>
        </w:rPr>
        <w:t>,</w:t>
      </w:r>
      <w:r w:rsidR="00F00BD2">
        <w:rPr>
          <w:lang w:eastAsia="pl-PL"/>
        </w:rPr>
        <w:t>0</w:t>
      </w:r>
      <w:r w:rsidR="008F7307">
        <w:rPr>
          <w:lang w:eastAsia="pl-PL"/>
        </w:rPr>
        <w:t>%).</w:t>
      </w:r>
    </w:p>
    <w:p w:rsidR="003F167E" w:rsidRPr="003F167E" w:rsidRDefault="00595233" w:rsidP="00595233">
      <w:pPr>
        <w:pStyle w:val="Nagwek1"/>
        <w:spacing w:before="80" w:after="20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3004853" wp14:editId="4CE3725E">
                <wp:simplePos x="0" y="0"/>
                <wp:positionH relativeFrom="column">
                  <wp:posOffset>5229225</wp:posOffset>
                </wp:positionH>
                <wp:positionV relativeFrom="paragraph">
                  <wp:posOffset>206375</wp:posOffset>
                </wp:positionV>
                <wp:extent cx="1725295" cy="784225"/>
                <wp:effectExtent l="0" t="0" r="0" b="0"/>
                <wp:wrapTight wrapText="bothSides">
                  <wp:wrapPolygon edited="0">
                    <wp:start x="715" y="0"/>
                    <wp:lineTo x="715" y="20988"/>
                    <wp:lineTo x="20749" y="20988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84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CD2" w:rsidRPr="003F167E" w:rsidRDefault="00364CD2" w:rsidP="003F167E">
                            <w:pPr>
                              <w:pStyle w:val="tekstzboku"/>
                            </w:pPr>
                            <w:r w:rsidRPr="003F167E">
                              <w:t xml:space="preserve">W </w:t>
                            </w:r>
                            <w:r w:rsidR="00C461BB">
                              <w:t xml:space="preserve">I półroczu </w:t>
                            </w:r>
                            <w:r w:rsidRPr="003F167E">
                              <w:t>201</w:t>
                            </w:r>
                            <w:r w:rsidR="00C461BB">
                              <w:t>8</w:t>
                            </w:r>
                            <w:r>
                              <w:t> </w:t>
                            </w:r>
                            <w:r w:rsidRPr="003F167E">
                              <w:t xml:space="preserve">r. </w:t>
                            </w:r>
                            <w:r>
                              <w:t>w</w:t>
                            </w:r>
                            <w:r w:rsidRPr="003F167E">
                              <w:t>ynik finansowy netto TFI wyniósł 0,</w:t>
                            </w:r>
                            <w:r w:rsidR="00C461BB">
                              <w:t>5</w:t>
                            </w:r>
                            <w:r w:rsidRPr="003F167E">
                              <w:t xml:space="preserve"> mld zł</w:t>
                            </w:r>
                            <w:r>
                              <w:t>.</w:t>
                            </w:r>
                          </w:p>
                          <w:p w:rsidR="00364CD2" w:rsidRPr="003F167E" w:rsidRDefault="00364CD2" w:rsidP="003F167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04853" id="Pole tekstowe 32" o:spid="_x0000_s1041" type="#_x0000_t202" style="position:absolute;margin-left:411.75pt;margin-top:16.25pt;width:135.85pt;height:61.7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" filled="f" stroked="f">
                <v:textbox>
                  <w:txbxContent>
                    <w:p w:rsidR="00364CD2" w:rsidRPr="003F167E" w:rsidRDefault="00364CD2" w:rsidP="003F167E">
                      <w:pPr>
                        <w:pStyle w:val="tekstzboku"/>
                      </w:pPr>
                      <w:r w:rsidRPr="003F167E">
                        <w:t xml:space="preserve">W </w:t>
                      </w:r>
                      <w:r w:rsidR="00C461BB">
                        <w:t xml:space="preserve">I półroczu </w:t>
                      </w:r>
                      <w:r w:rsidRPr="003F167E">
                        <w:t>201</w:t>
                      </w:r>
                      <w:r w:rsidR="00C461BB">
                        <w:t>8</w:t>
                      </w:r>
                      <w:r>
                        <w:t> </w:t>
                      </w:r>
                      <w:r w:rsidRPr="003F167E">
                        <w:t xml:space="preserve">r. </w:t>
                      </w:r>
                      <w:r>
                        <w:t>w</w:t>
                      </w:r>
                      <w:r w:rsidRPr="003F167E">
                        <w:t>ynik finansowy netto TFI wyniósł 0,</w:t>
                      </w:r>
                      <w:r w:rsidR="00C461BB">
                        <w:t>5</w:t>
                      </w:r>
                      <w:r w:rsidRPr="003F167E">
                        <w:t xml:space="preserve"> mld zł</w:t>
                      </w:r>
                      <w:r>
                        <w:t>.</w:t>
                      </w:r>
                    </w:p>
                    <w:p w:rsidR="00364CD2" w:rsidRPr="003F167E" w:rsidRDefault="00364CD2" w:rsidP="003F167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F167E" w:rsidRPr="003F167E">
        <w:rPr>
          <w:shd w:val="clear" w:color="auto" w:fill="FFFFFF"/>
        </w:rPr>
        <w:t xml:space="preserve"> </w:t>
      </w:r>
    </w:p>
    <w:p w:rsidR="008F7307" w:rsidRDefault="00AF5E24" w:rsidP="00CA20F9">
      <w:pPr>
        <w:jc w:val="both"/>
        <w:rPr>
          <w:lang w:eastAsia="pl-PL"/>
        </w:rPr>
      </w:pPr>
      <w:r>
        <w:rPr>
          <w:lang w:eastAsia="pl-PL"/>
        </w:rPr>
        <w:t xml:space="preserve">Wynik finansowy brutto TFI w </w:t>
      </w:r>
      <w:r w:rsidR="00494E6E">
        <w:rPr>
          <w:lang w:eastAsia="pl-PL"/>
        </w:rPr>
        <w:t xml:space="preserve">I półroczu </w:t>
      </w:r>
      <w:r>
        <w:rPr>
          <w:lang w:eastAsia="pl-PL"/>
        </w:rPr>
        <w:t>201</w:t>
      </w:r>
      <w:r w:rsidR="00494E6E">
        <w:rPr>
          <w:lang w:eastAsia="pl-PL"/>
        </w:rPr>
        <w:t>8</w:t>
      </w:r>
      <w:r w:rsidR="004A07C6">
        <w:rPr>
          <w:lang w:eastAsia="pl-PL"/>
        </w:rPr>
        <w:t> </w:t>
      </w:r>
      <w:r>
        <w:rPr>
          <w:lang w:eastAsia="pl-PL"/>
        </w:rPr>
        <w:t xml:space="preserve">r. wyniósł </w:t>
      </w:r>
      <w:r w:rsidR="00494E6E">
        <w:rPr>
          <w:lang w:eastAsia="pl-PL"/>
        </w:rPr>
        <w:t>620</w:t>
      </w:r>
      <w:r>
        <w:rPr>
          <w:lang w:eastAsia="pl-PL"/>
        </w:rPr>
        <w:t>,</w:t>
      </w:r>
      <w:r w:rsidR="00494E6E">
        <w:rPr>
          <w:lang w:eastAsia="pl-PL"/>
        </w:rPr>
        <w:t>3</w:t>
      </w:r>
      <w:r>
        <w:rPr>
          <w:lang w:eastAsia="pl-PL"/>
        </w:rPr>
        <w:t xml:space="preserve"> mln zł i był wyższy o </w:t>
      </w:r>
      <w:r w:rsidR="00C461BB">
        <w:rPr>
          <w:lang w:eastAsia="pl-PL"/>
        </w:rPr>
        <w:t>62</w:t>
      </w:r>
      <w:r>
        <w:rPr>
          <w:lang w:eastAsia="pl-PL"/>
        </w:rPr>
        <w:t>,</w:t>
      </w:r>
      <w:r w:rsidR="00C461BB">
        <w:rPr>
          <w:lang w:eastAsia="pl-PL"/>
        </w:rPr>
        <w:t>1</w:t>
      </w:r>
      <w:r>
        <w:rPr>
          <w:lang w:eastAsia="pl-PL"/>
        </w:rPr>
        <w:t>% w</w:t>
      </w:r>
      <w:r w:rsidR="00C461BB">
        <w:rPr>
          <w:lang w:eastAsia="pl-PL"/>
        </w:rPr>
        <w:t> </w:t>
      </w:r>
      <w:r>
        <w:rPr>
          <w:lang w:eastAsia="pl-PL"/>
        </w:rPr>
        <w:t xml:space="preserve">stosunku do </w:t>
      </w:r>
      <w:r w:rsidR="0097287E">
        <w:rPr>
          <w:lang w:eastAsia="pl-PL"/>
        </w:rPr>
        <w:t>analogicznego</w:t>
      </w:r>
      <w:r w:rsidR="00C461BB">
        <w:rPr>
          <w:lang w:eastAsia="pl-PL"/>
        </w:rPr>
        <w:t xml:space="preserve"> półrocza</w:t>
      </w:r>
      <w:r w:rsidR="0097287E">
        <w:rPr>
          <w:lang w:eastAsia="pl-PL"/>
        </w:rPr>
        <w:t xml:space="preserve"> ubiegłego roku</w:t>
      </w:r>
      <w:r>
        <w:rPr>
          <w:lang w:eastAsia="pl-PL"/>
        </w:rPr>
        <w:t xml:space="preserve">. Na wynik finansowy netto </w:t>
      </w:r>
      <w:r w:rsidR="003F167E">
        <w:rPr>
          <w:lang w:eastAsia="pl-PL"/>
        </w:rPr>
        <w:t xml:space="preserve">w wysokości </w:t>
      </w:r>
      <w:r w:rsidR="00C461BB">
        <w:rPr>
          <w:lang w:eastAsia="pl-PL"/>
        </w:rPr>
        <w:t>499</w:t>
      </w:r>
      <w:r w:rsidR="003F167E">
        <w:rPr>
          <w:lang w:eastAsia="pl-PL"/>
        </w:rPr>
        <w:t>,</w:t>
      </w:r>
      <w:r w:rsidR="00C461BB">
        <w:rPr>
          <w:lang w:eastAsia="pl-PL"/>
        </w:rPr>
        <w:t>3</w:t>
      </w:r>
      <w:r w:rsidR="0097287E">
        <w:rPr>
          <w:lang w:eastAsia="pl-PL"/>
        </w:rPr>
        <w:t> </w:t>
      </w:r>
      <w:r w:rsidR="003F167E">
        <w:rPr>
          <w:lang w:eastAsia="pl-PL"/>
        </w:rPr>
        <w:t xml:space="preserve">mln zł złożyły się zyski 49 towarzystw funduszy inwestycyjnych o łącznej wartości </w:t>
      </w:r>
      <w:r w:rsidR="00C461BB">
        <w:rPr>
          <w:lang w:eastAsia="pl-PL"/>
        </w:rPr>
        <w:t>519</w:t>
      </w:r>
      <w:r w:rsidR="003F167E">
        <w:rPr>
          <w:lang w:eastAsia="pl-PL"/>
        </w:rPr>
        <w:t>,</w:t>
      </w:r>
      <w:r w:rsidR="00C461BB">
        <w:rPr>
          <w:lang w:eastAsia="pl-PL"/>
        </w:rPr>
        <w:t>1</w:t>
      </w:r>
      <w:r w:rsidR="0097287E">
        <w:rPr>
          <w:lang w:eastAsia="pl-PL"/>
        </w:rPr>
        <w:t> </w:t>
      </w:r>
      <w:r w:rsidR="003F167E">
        <w:rPr>
          <w:lang w:eastAsia="pl-PL"/>
        </w:rPr>
        <w:t xml:space="preserve">mln zł i straty 14 towarzystw funduszy inwestycyjnych w łącznej kwocie </w:t>
      </w:r>
      <w:r w:rsidR="00C461BB">
        <w:rPr>
          <w:lang w:eastAsia="pl-PL"/>
        </w:rPr>
        <w:t>19</w:t>
      </w:r>
      <w:r w:rsidR="003F167E">
        <w:rPr>
          <w:lang w:eastAsia="pl-PL"/>
        </w:rPr>
        <w:t>,</w:t>
      </w:r>
      <w:r w:rsidR="00C461BB">
        <w:rPr>
          <w:lang w:eastAsia="pl-PL"/>
        </w:rPr>
        <w:t>8</w:t>
      </w:r>
      <w:r w:rsidR="003F167E">
        <w:rPr>
          <w:lang w:eastAsia="pl-PL"/>
        </w:rPr>
        <w:t xml:space="preserve"> mln zł. </w:t>
      </w:r>
    </w:p>
    <w:p w:rsidR="00AF5E24" w:rsidRDefault="00AF5E24" w:rsidP="00CA20F9">
      <w:pPr>
        <w:jc w:val="both"/>
        <w:rPr>
          <w:lang w:eastAsia="pl-PL"/>
        </w:rPr>
      </w:pPr>
    </w:p>
    <w:p w:rsidR="00AF5E24" w:rsidRDefault="00AF5E24" w:rsidP="00CA20F9">
      <w:pPr>
        <w:jc w:val="both"/>
        <w:rPr>
          <w:lang w:eastAsia="pl-PL"/>
        </w:rPr>
      </w:pPr>
    </w:p>
    <w:p w:rsidR="00AF5E24" w:rsidRDefault="00AF5E24" w:rsidP="00CA20F9">
      <w:pPr>
        <w:jc w:val="both"/>
        <w:rPr>
          <w:lang w:eastAsia="pl-PL"/>
        </w:rPr>
      </w:pPr>
    </w:p>
    <w:p w:rsidR="00AF5E24" w:rsidRDefault="00AF5E24" w:rsidP="00CA20F9">
      <w:pPr>
        <w:jc w:val="both"/>
        <w:rPr>
          <w:lang w:eastAsia="pl-PL"/>
        </w:rPr>
      </w:pPr>
    </w:p>
    <w:p w:rsidR="003F167E" w:rsidRDefault="003F167E" w:rsidP="002F468D">
      <w:pPr>
        <w:rPr>
          <w:b/>
          <w:spacing w:val="-2"/>
          <w:sz w:val="18"/>
          <w:shd w:val="clear" w:color="auto" w:fill="FFFFFF"/>
        </w:rPr>
      </w:pPr>
    </w:p>
    <w:p w:rsidR="002F468D" w:rsidRPr="00696765" w:rsidRDefault="002F468D" w:rsidP="002F468D">
      <w:pPr>
        <w:rPr>
          <w:b/>
          <w:spacing w:val="-2"/>
          <w:sz w:val="18"/>
          <w:shd w:val="clear" w:color="auto" w:fill="FFFFFF"/>
        </w:rPr>
      </w:pPr>
      <w:r w:rsidRPr="004B3C88">
        <w:rPr>
          <w:b/>
          <w:spacing w:val="-2"/>
          <w:sz w:val="18"/>
          <w:shd w:val="clear" w:color="auto" w:fill="FFFFFF"/>
        </w:rPr>
        <w:lastRenderedPageBreak/>
        <w:t xml:space="preserve">Tablica </w:t>
      </w:r>
      <w:r w:rsidR="00020F3A">
        <w:rPr>
          <w:b/>
          <w:spacing w:val="-2"/>
          <w:sz w:val="18"/>
          <w:shd w:val="clear" w:color="auto" w:fill="FFFFFF"/>
        </w:rPr>
        <w:t>5</w:t>
      </w:r>
      <w:r w:rsidRPr="004B3C88">
        <w:rPr>
          <w:b/>
          <w:spacing w:val="-2"/>
          <w:sz w:val="18"/>
          <w:shd w:val="clear" w:color="auto" w:fill="FFFFFF"/>
        </w:rPr>
        <w:t xml:space="preserve">. </w:t>
      </w:r>
      <w:r w:rsidR="008F7307">
        <w:rPr>
          <w:b/>
          <w:spacing w:val="-2"/>
          <w:sz w:val="18"/>
          <w:shd w:val="clear" w:color="auto" w:fill="FFFFFF"/>
        </w:rPr>
        <w:t>Wybrane pozycje ze sprawozdań finansowych towarzystw funduszy inwestycyjnych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3"/>
        <w:gridCol w:w="1701"/>
        <w:gridCol w:w="1701"/>
        <w:gridCol w:w="1701"/>
      </w:tblGrid>
      <w:tr w:rsidR="0080073E" w:rsidRPr="00FA5128" w:rsidTr="0026295B">
        <w:trPr>
          <w:trHeight w:val="57"/>
        </w:trPr>
        <w:tc>
          <w:tcPr>
            <w:tcW w:w="2823" w:type="dxa"/>
            <w:vMerge w:val="restart"/>
            <w:vAlign w:val="center"/>
          </w:tcPr>
          <w:p w:rsidR="0080073E" w:rsidRPr="009C7251" w:rsidRDefault="0080073E" w:rsidP="0080073E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vAlign w:val="center"/>
          </w:tcPr>
          <w:p w:rsidR="0080073E" w:rsidRPr="00FA5128" w:rsidRDefault="0080073E" w:rsidP="0080073E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 półrocze 2017</w:t>
            </w:r>
          </w:p>
        </w:tc>
        <w:tc>
          <w:tcPr>
            <w:tcW w:w="1701" w:type="dxa"/>
            <w:vAlign w:val="center"/>
          </w:tcPr>
          <w:p w:rsidR="0080073E" w:rsidRPr="00FA5128" w:rsidRDefault="0080073E" w:rsidP="0080073E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 półrocze 2018</w:t>
            </w:r>
          </w:p>
        </w:tc>
        <w:tc>
          <w:tcPr>
            <w:tcW w:w="1701" w:type="dxa"/>
            <w:vMerge w:val="restart"/>
            <w:vAlign w:val="center"/>
          </w:tcPr>
          <w:p w:rsidR="0080073E" w:rsidRPr="00FA5128" w:rsidRDefault="0080073E" w:rsidP="0080073E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 półrocze 2017=100</w:t>
            </w:r>
          </w:p>
        </w:tc>
      </w:tr>
      <w:tr w:rsidR="002F468D" w:rsidRPr="00FA5128" w:rsidTr="0026295B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:rsidR="002F468D" w:rsidRPr="009C7251" w:rsidRDefault="002F468D" w:rsidP="00996239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:rsidR="002F468D" w:rsidRDefault="002F468D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mln zł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:rsidR="002F468D" w:rsidRDefault="002F468D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D005CA" w:rsidRPr="00FA5128" w:rsidTr="005D6823">
        <w:trPr>
          <w:trHeight w:hRule="exact" w:val="510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D005CA" w:rsidRPr="008F7307" w:rsidRDefault="00D005CA" w:rsidP="00996239">
            <w:pPr>
              <w:rPr>
                <w:sz w:val="16"/>
                <w:szCs w:val="16"/>
              </w:rPr>
            </w:pPr>
            <w:r w:rsidRPr="008F7307">
              <w:rPr>
                <w:sz w:val="16"/>
                <w:szCs w:val="16"/>
              </w:rPr>
              <w:t>Aktywa ogółem, z tego: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D005CA" w:rsidRPr="00AC309E" w:rsidRDefault="00012504" w:rsidP="00B171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2 230,6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D005CA" w:rsidRPr="00AC309E" w:rsidRDefault="000609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2 227,8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D005CA" w:rsidRPr="00AC309E" w:rsidRDefault="000609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</w:tr>
      <w:tr w:rsidR="00D005CA" w:rsidRPr="00FA5128" w:rsidTr="005D6823">
        <w:trPr>
          <w:trHeight w:hRule="exact" w:val="510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:rsidR="00D005CA" w:rsidRPr="00B17158" w:rsidRDefault="00D005CA" w:rsidP="00996239">
            <w:pPr>
              <w:rPr>
                <w:sz w:val="16"/>
                <w:szCs w:val="16"/>
              </w:rPr>
            </w:pPr>
            <w:r w:rsidRPr="00B17158">
              <w:rPr>
                <w:sz w:val="16"/>
                <w:szCs w:val="16"/>
              </w:rPr>
              <w:t>Aktywa trwałe, w tym: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center"/>
          </w:tcPr>
          <w:p w:rsidR="00D005CA" w:rsidRPr="00AC309E" w:rsidRDefault="00012504" w:rsidP="00B171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347,3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D005CA" w:rsidRPr="00AC309E" w:rsidRDefault="000609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394,6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D005CA" w:rsidRPr="00AC309E" w:rsidRDefault="000609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113,6</w:t>
            </w:r>
          </w:p>
        </w:tc>
      </w:tr>
      <w:tr w:rsidR="00D005CA" w:rsidRPr="00FA5128" w:rsidTr="005D6823">
        <w:trPr>
          <w:trHeight w:hRule="exact" w:val="510"/>
        </w:trPr>
        <w:tc>
          <w:tcPr>
            <w:tcW w:w="2823" w:type="dxa"/>
            <w:vAlign w:val="center"/>
          </w:tcPr>
          <w:p w:rsidR="00D005CA" w:rsidRPr="00B17158" w:rsidRDefault="00D005CA" w:rsidP="0003375A">
            <w:pPr>
              <w:ind w:left="176"/>
              <w:rPr>
                <w:sz w:val="16"/>
                <w:szCs w:val="16"/>
              </w:rPr>
            </w:pPr>
            <w:r w:rsidRPr="00B17158">
              <w:rPr>
                <w:sz w:val="16"/>
                <w:szCs w:val="16"/>
              </w:rPr>
              <w:t>inwestycje długoterminowe</w:t>
            </w:r>
          </w:p>
        </w:tc>
        <w:tc>
          <w:tcPr>
            <w:tcW w:w="1701" w:type="dxa"/>
            <w:vAlign w:val="center"/>
          </w:tcPr>
          <w:p w:rsidR="00D005CA" w:rsidRPr="00AC309E" w:rsidRDefault="00012504" w:rsidP="00B171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238,1</w:t>
            </w:r>
          </w:p>
        </w:tc>
        <w:tc>
          <w:tcPr>
            <w:tcW w:w="1701" w:type="dxa"/>
            <w:vAlign w:val="bottom"/>
          </w:tcPr>
          <w:p w:rsidR="00D005CA" w:rsidRPr="00AC309E" w:rsidRDefault="000609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254,7</w:t>
            </w:r>
          </w:p>
        </w:tc>
        <w:tc>
          <w:tcPr>
            <w:tcW w:w="1701" w:type="dxa"/>
            <w:vAlign w:val="bottom"/>
          </w:tcPr>
          <w:p w:rsidR="00D005CA" w:rsidRPr="00AC309E" w:rsidRDefault="000609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107,0</w:t>
            </w:r>
          </w:p>
        </w:tc>
      </w:tr>
      <w:tr w:rsidR="00D005CA" w:rsidRPr="00FA5128" w:rsidTr="005D6823">
        <w:trPr>
          <w:trHeight w:hRule="exact" w:val="510"/>
        </w:trPr>
        <w:tc>
          <w:tcPr>
            <w:tcW w:w="2823" w:type="dxa"/>
            <w:vAlign w:val="center"/>
          </w:tcPr>
          <w:p w:rsidR="00D005CA" w:rsidRPr="00B17158" w:rsidRDefault="00D005CA" w:rsidP="00996239">
            <w:pPr>
              <w:rPr>
                <w:sz w:val="16"/>
                <w:szCs w:val="16"/>
              </w:rPr>
            </w:pPr>
            <w:r w:rsidRPr="00B17158">
              <w:rPr>
                <w:sz w:val="16"/>
                <w:szCs w:val="16"/>
              </w:rPr>
              <w:t>Aktywa obrotowe, w tym:</w:t>
            </w:r>
          </w:p>
        </w:tc>
        <w:tc>
          <w:tcPr>
            <w:tcW w:w="1701" w:type="dxa"/>
            <w:vAlign w:val="center"/>
          </w:tcPr>
          <w:p w:rsidR="00D005CA" w:rsidRPr="00AC309E" w:rsidRDefault="00012504" w:rsidP="00B171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1 854,6</w:t>
            </w:r>
          </w:p>
        </w:tc>
        <w:tc>
          <w:tcPr>
            <w:tcW w:w="1701" w:type="dxa"/>
            <w:vAlign w:val="bottom"/>
          </w:tcPr>
          <w:p w:rsidR="00D005CA" w:rsidRPr="00AC309E" w:rsidRDefault="000609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1813,0</w:t>
            </w:r>
          </w:p>
        </w:tc>
        <w:tc>
          <w:tcPr>
            <w:tcW w:w="1701" w:type="dxa"/>
            <w:vAlign w:val="bottom"/>
          </w:tcPr>
          <w:p w:rsidR="00D005CA" w:rsidRPr="00AC309E" w:rsidRDefault="000609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97,8</w:t>
            </w:r>
          </w:p>
        </w:tc>
      </w:tr>
      <w:tr w:rsidR="008F7307" w:rsidRPr="00FA5128" w:rsidTr="005D6823">
        <w:trPr>
          <w:trHeight w:hRule="exact" w:val="510"/>
        </w:trPr>
        <w:tc>
          <w:tcPr>
            <w:tcW w:w="2823" w:type="dxa"/>
            <w:vAlign w:val="center"/>
          </w:tcPr>
          <w:p w:rsidR="008F7307" w:rsidRPr="00B17158" w:rsidRDefault="005C6135" w:rsidP="005C6135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inwestycje krótkoterminowe</w:t>
            </w:r>
          </w:p>
        </w:tc>
        <w:tc>
          <w:tcPr>
            <w:tcW w:w="1701" w:type="dxa"/>
            <w:vAlign w:val="center"/>
          </w:tcPr>
          <w:p w:rsidR="008F7307" w:rsidRPr="00AC309E" w:rsidRDefault="00012504" w:rsidP="00B171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1 407,4</w:t>
            </w:r>
          </w:p>
        </w:tc>
        <w:tc>
          <w:tcPr>
            <w:tcW w:w="1701" w:type="dxa"/>
            <w:vAlign w:val="bottom"/>
          </w:tcPr>
          <w:p w:rsidR="008F7307" w:rsidRPr="00AC309E" w:rsidRDefault="000609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1 328,1</w:t>
            </w:r>
          </w:p>
        </w:tc>
        <w:tc>
          <w:tcPr>
            <w:tcW w:w="1701" w:type="dxa"/>
            <w:vAlign w:val="bottom"/>
          </w:tcPr>
          <w:p w:rsidR="008F7307" w:rsidRPr="00AC309E" w:rsidRDefault="000609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94,4</w:t>
            </w:r>
          </w:p>
        </w:tc>
      </w:tr>
      <w:tr w:rsidR="008F7307" w:rsidRPr="00FA5128" w:rsidTr="005D6823">
        <w:trPr>
          <w:trHeight w:hRule="exact" w:val="510"/>
        </w:trPr>
        <w:tc>
          <w:tcPr>
            <w:tcW w:w="2823" w:type="dxa"/>
            <w:vAlign w:val="center"/>
          </w:tcPr>
          <w:p w:rsidR="008F7307" w:rsidRPr="00B17158" w:rsidRDefault="005C6135" w:rsidP="00996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Pasywa, z tego:</w:t>
            </w:r>
          </w:p>
        </w:tc>
        <w:tc>
          <w:tcPr>
            <w:tcW w:w="1701" w:type="dxa"/>
            <w:vAlign w:val="center"/>
          </w:tcPr>
          <w:p w:rsidR="008F7307" w:rsidRPr="00AC309E" w:rsidRDefault="00012504" w:rsidP="00B171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2 230,6</w:t>
            </w:r>
          </w:p>
        </w:tc>
        <w:tc>
          <w:tcPr>
            <w:tcW w:w="1701" w:type="dxa"/>
            <w:vAlign w:val="bottom"/>
          </w:tcPr>
          <w:p w:rsidR="008F7307" w:rsidRPr="00AC309E" w:rsidRDefault="000609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2 227,8</w:t>
            </w:r>
          </w:p>
        </w:tc>
        <w:tc>
          <w:tcPr>
            <w:tcW w:w="1701" w:type="dxa"/>
            <w:vAlign w:val="bottom"/>
          </w:tcPr>
          <w:p w:rsidR="008F7307" w:rsidRPr="00AC309E" w:rsidRDefault="000609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</w:tr>
      <w:tr w:rsidR="008F7307" w:rsidRPr="00FA5128" w:rsidTr="005D6823">
        <w:trPr>
          <w:trHeight w:hRule="exact" w:val="510"/>
        </w:trPr>
        <w:tc>
          <w:tcPr>
            <w:tcW w:w="2823" w:type="dxa"/>
            <w:vAlign w:val="center"/>
          </w:tcPr>
          <w:p w:rsidR="005C6135" w:rsidRPr="00B17158" w:rsidRDefault="005C6135" w:rsidP="00996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Kapitał własny, w tym:</w:t>
            </w:r>
          </w:p>
        </w:tc>
        <w:tc>
          <w:tcPr>
            <w:tcW w:w="1701" w:type="dxa"/>
            <w:vAlign w:val="center"/>
          </w:tcPr>
          <w:p w:rsidR="008F7307" w:rsidRPr="00AC309E" w:rsidRDefault="00012504" w:rsidP="00B171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1 493,2</w:t>
            </w:r>
          </w:p>
        </w:tc>
        <w:tc>
          <w:tcPr>
            <w:tcW w:w="1701" w:type="dxa"/>
            <w:vAlign w:val="bottom"/>
          </w:tcPr>
          <w:p w:rsidR="008F7307" w:rsidRPr="00AC309E" w:rsidRDefault="000609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1 628,6</w:t>
            </w:r>
          </w:p>
        </w:tc>
        <w:tc>
          <w:tcPr>
            <w:tcW w:w="1701" w:type="dxa"/>
            <w:vAlign w:val="bottom"/>
          </w:tcPr>
          <w:p w:rsidR="008F7307" w:rsidRPr="00AC309E" w:rsidRDefault="000609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109,1</w:t>
            </w:r>
          </w:p>
        </w:tc>
      </w:tr>
      <w:tr w:rsidR="008F7307" w:rsidRPr="00FA5128" w:rsidTr="005D6823">
        <w:trPr>
          <w:trHeight w:hRule="exact" w:val="510"/>
        </w:trPr>
        <w:tc>
          <w:tcPr>
            <w:tcW w:w="2823" w:type="dxa"/>
            <w:vAlign w:val="center"/>
          </w:tcPr>
          <w:p w:rsidR="008F7307" w:rsidRPr="00B17158" w:rsidRDefault="005C6135" w:rsidP="005C6135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kapitał podstawowy</w:t>
            </w:r>
          </w:p>
        </w:tc>
        <w:tc>
          <w:tcPr>
            <w:tcW w:w="1701" w:type="dxa"/>
            <w:vAlign w:val="center"/>
          </w:tcPr>
          <w:p w:rsidR="008F7307" w:rsidRPr="00AC309E" w:rsidRDefault="00012504" w:rsidP="00B171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532,7</w:t>
            </w:r>
          </w:p>
        </w:tc>
        <w:tc>
          <w:tcPr>
            <w:tcW w:w="1701" w:type="dxa"/>
            <w:vAlign w:val="bottom"/>
          </w:tcPr>
          <w:p w:rsidR="008F7307" w:rsidRPr="00AC309E" w:rsidRDefault="000609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566,0</w:t>
            </w:r>
          </w:p>
        </w:tc>
        <w:tc>
          <w:tcPr>
            <w:tcW w:w="1701" w:type="dxa"/>
            <w:vAlign w:val="bottom"/>
          </w:tcPr>
          <w:p w:rsidR="008F7307" w:rsidRPr="00AC309E" w:rsidRDefault="000609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106,3</w:t>
            </w:r>
          </w:p>
        </w:tc>
      </w:tr>
      <w:tr w:rsidR="008F7307" w:rsidRPr="00FA5128" w:rsidTr="005D6823">
        <w:trPr>
          <w:trHeight w:hRule="exact" w:val="510"/>
        </w:trPr>
        <w:tc>
          <w:tcPr>
            <w:tcW w:w="2823" w:type="dxa"/>
            <w:vAlign w:val="center"/>
          </w:tcPr>
          <w:p w:rsidR="008F7307" w:rsidRPr="00B17158" w:rsidRDefault="005C6135" w:rsidP="005C6135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kapitał zapasowy</w:t>
            </w:r>
          </w:p>
        </w:tc>
        <w:tc>
          <w:tcPr>
            <w:tcW w:w="1701" w:type="dxa"/>
            <w:vAlign w:val="center"/>
          </w:tcPr>
          <w:p w:rsidR="008F7307" w:rsidRPr="00AC309E" w:rsidRDefault="00012504" w:rsidP="00B171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521,9</w:t>
            </w:r>
          </w:p>
        </w:tc>
        <w:tc>
          <w:tcPr>
            <w:tcW w:w="1701" w:type="dxa"/>
            <w:vAlign w:val="bottom"/>
          </w:tcPr>
          <w:p w:rsidR="008F7307" w:rsidRPr="00AC309E" w:rsidRDefault="000609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499,0</w:t>
            </w:r>
          </w:p>
        </w:tc>
        <w:tc>
          <w:tcPr>
            <w:tcW w:w="1701" w:type="dxa"/>
            <w:vAlign w:val="bottom"/>
          </w:tcPr>
          <w:p w:rsidR="008F7307" w:rsidRPr="00AC309E" w:rsidRDefault="000609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95,6</w:t>
            </w:r>
          </w:p>
        </w:tc>
      </w:tr>
      <w:tr w:rsidR="008F7307" w:rsidRPr="00FA5128" w:rsidTr="005D6823">
        <w:trPr>
          <w:trHeight w:hRule="exact" w:val="737"/>
        </w:trPr>
        <w:tc>
          <w:tcPr>
            <w:tcW w:w="2823" w:type="dxa"/>
            <w:vAlign w:val="center"/>
          </w:tcPr>
          <w:p w:rsidR="008F7307" w:rsidRPr="00B17158" w:rsidRDefault="005C6135" w:rsidP="00996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Zobowiązania i rezerw na zobowiązania, w tym:</w:t>
            </w:r>
          </w:p>
        </w:tc>
        <w:tc>
          <w:tcPr>
            <w:tcW w:w="1701" w:type="dxa"/>
            <w:vAlign w:val="center"/>
          </w:tcPr>
          <w:p w:rsidR="008F7307" w:rsidRPr="00AC309E" w:rsidRDefault="00012504" w:rsidP="00B171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737,3</w:t>
            </w:r>
          </w:p>
        </w:tc>
        <w:tc>
          <w:tcPr>
            <w:tcW w:w="1701" w:type="dxa"/>
            <w:vAlign w:val="center"/>
          </w:tcPr>
          <w:p w:rsidR="008F7307" w:rsidRPr="00AC309E" w:rsidRDefault="000609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599,3</w:t>
            </w:r>
          </w:p>
        </w:tc>
        <w:tc>
          <w:tcPr>
            <w:tcW w:w="1701" w:type="dxa"/>
            <w:vAlign w:val="center"/>
          </w:tcPr>
          <w:p w:rsidR="008F7307" w:rsidRPr="00AC309E" w:rsidRDefault="000609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81,3</w:t>
            </w:r>
          </w:p>
        </w:tc>
      </w:tr>
      <w:tr w:rsidR="008F7307" w:rsidRPr="00FA5128" w:rsidTr="005D6823">
        <w:trPr>
          <w:trHeight w:hRule="exact" w:val="737"/>
        </w:trPr>
        <w:tc>
          <w:tcPr>
            <w:tcW w:w="2823" w:type="dxa"/>
            <w:vAlign w:val="center"/>
          </w:tcPr>
          <w:p w:rsidR="008F7307" w:rsidRPr="00B17158" w:rsidRDefault="005C6135" w:rsidP="00996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Przychody z działalności operacyjnej, w tym:</w:t>
            </w:r>
          </w:p>
        </w:tc>
        <w:tc>
          <w:tcPr>
            <w:tcW w:w="1701" w:type="dxa"/>
            <w:vAlign w:val="center"/>
          </w:tcPr>
          <w:p w:rsidR="008F7307" w:rsidRPr="00AC309E" w:rsidRDefault="00012504" w:rsidP="00B171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1 822,8</w:t>
            </w:r>
          </w:p>
        </w:tc>
        <w:tc>
          <w:tcPr>
            <w:tcW w:w="1701" w:type="dxa"/>
            <w:vAlign w:val="center"/>
          </w:tcPr>
          <w:p w:rsidR="008F7307" w:rsidRPr="00AC309E" w:rsidRDefault="000609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1 941,3</w:t>
            </w:r>
          </w:p>
        </w:tc>
        <w:tc>
          <w:tcPr>
            <w:tcW w:w="1701" w:type="dxa"/>
            <w:vAlign w:val="center"/>
          </w:tcPr>
          <w:p w:rsidR="008F7307" w:rsidRPr="00AC309E" w:rsidRDefault="000609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106,5</w:t>
            </w:r>
          </w:p>
        </w:tc>
      </w:tr>
      <w:tr w:rsidR="008F7307" w:rsidRPr="00FA5128" w:rsidTr="005D6823">
        <w:trPr>
          <w:trHeight w:hRule="exact" w:val="737"/>
        </w:trPr>
        <w:tc>
          <w:tcPr>
            <w:tcW w:w="2823" w:type="dxa"/>
            <w:vAlign w:val="center"/>
          </w:tcPr>
          <w:p w:rsidR="008F7307" w:rsidRPr="00B17158" w:rsidRDefault="005C6135" w:rsidP="005C6135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wynagrodzenie za zarządzanie funduszami</w:t>
            </w:r>
          </w:p>
        </w:tc>
        <w:tc>
          <w:tcPr>
            <w:tcW w:w="1701" w:type="dxa"/>
            <w:vAlign w:val="center"/>
          </w:tcPr>
          <w:p w:rsidR="008F7307" w:rsidRPr="00AC309E" w:rsidRDefault="00012504" w:rsidP="00B171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1 705,3</w:t>
            </w:r>
          </w:p>
        </w:tc>
        <w:tc>
          <w:tcPr>
            <w:tcW w:w="1701" w:type="dxa"/>
            <w:vAlign w:val="center"/>
          </w:tcPr>
          <w:p w:rsidR="008F7307" w:rsidRPr="00AC309E" w:rsidRDefault="000609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1 762,1</w:t>
            </w:r>
          </w:p>
        </w:tc>
        <w:tc>
          <w:tcPr>
            <w:tcW w:w="1701" w:type="dxa"/>
            <w:vAlign w:val="center"/>
          </w:tcPr>
          <w:p w:rsidR="008F7307" w:rsidRPr="00AC309E" w:rsidRDefault="000609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103,3</w:t>
            </w:r>
          </w:p>
        </w:tc>
      </w:tr>
      <w:tr w:rsidR="008F7307" w:rsidRPr="00FA5128" w:rsidTr="005D6823">
        <w:trPr>
          <w:trHeight w:hRule="exact" w:val="737"/>
        </w:trPr>
        <w:tc>
          <w:tcPr>
            <w:tcW w:w="2823" w:type="dxa"/>
            <w:vAlign w:val="center"/>
          </w:tcPr>
          <w:p w:rsidR="008F7307" w:rsidRPr="00B17158" w:rsidRDefault="005C6135" w:rsidP="00996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Koszty działalności operacyjnej, w tym:</w:t>
            </w:r>
          </w:p>
        </w:tc>
        <w:tc>
          <w:tcPr>
            <w:tcW w:w="1701" w:type="dxa"/>
            <w:vAlign w:val="center"/>
          </w:tcPr>
          <w:p w:rsidR="008F7307" w:rsidRPr="00AC309E" w:rsidRDefault="00012504" w:rsidP="00B171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1 444,7</w:t>
            </w:r>
          </w:p>
        </w:tc>
        <w:tc>
          <w:tcPr>
            <w:tcW w:w="1701" w:type="dxa"/>
            <w:vAlign w:val="center"/>
          </w:tcPr>
          <w:p w:rsidR="008F7307" w:rsidRPr="00AC309E" w:rsidRDefault="000609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1 340,0</w:t>
            </w:r>
          </w:p>
        </w:tc>
        <w:tc>
          <w:tcPr>
            <w:tcW w:w="1701" w:type="dxa"/>
            <w:vAlign w:val="center"/>
          </w:tcPr>
          <w:p w:rsidR="008F7307" w:rsidRPr="00AC309E" w:rsidRDefault="000609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92,8</w:t>
            </w:r>
          </w:p>
        </w:tc>
      </w:tr>
      <w:tr w:rsidR="008F7307" w:rsidRPr="00FA5128" w:rsidTr="005D6823">
        <w:trPr>
          <w:trHeight w:hRule="exact" w:val="510"/>
        </w:trPr>
        <w:tc>
          <w:tcPr>
            <w:tcW w:w="2823" w:type="dxa"/>
            <w:vAlign w:val="center"/>
          </w:tcPr>
          <w:p w:rsidR="008F7307" w:rsidRPr="00B17158" w:rsidRDefault="005C6135" w:rsidP="005C6135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usługi obce</w:t>
            </w:r>
          </w:p>
        </w:tc>
        <w:tc>
          <w:tcPr>
            <w:tcW w:w="1701" w:type="dxa"/>
            <w:vAlign w:val="center"/>
          </w:tcPr>
          <w:p w:rsidR="008F7307" w:rsidRPr="00AC309E" w:rsidRDefault="0006094B" w:rsidP="00B171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910,2</w:t>
            </w:r>
          </w:p>
        </w:tc>
        <w:tc>
          <w:tcPr>
            <w:tcW w:w="1701" w:type="dxa"/>
            <w:vAlign w:val="center"/>
          </w:tcPr>
          <w:p w:rsidR="008F7307" w:rsidRPr="00AC309E" w:rsidRDefault="000609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837,9</w:t>
            </w:r>
          </w:p>
        </w:tc>
        <w:tc>
          <w:tcPr>
            <w:tcW w:w="1701" w:type="dxa"/>
            <w:vAlign w:val="center"/>
          </w:tcPr>
          <w:p w:rsidR="008F7307" w:rsidRPr="00AC309E" w:rsidRDefault="000609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92,1</w:t>
            </w:r>
          </w:p>
        </w:tc>
      </w:tr>
      <w:tr w:rsidR="00D005CA" w:rsidRPr="00FA5128" w:rsidTr="005D6823">
        <w:trPr>
          <w:trHeight w:hRule="exact" w:val="510"/>
        </w:trPr>
        <w:tc>
          <w:tcPr>
            <w:tcW w:w="2823" w:type="dxa"/>
            <w:vAlign w:val="center"/>
          </w:tcPr>
          <w:p w:rsidR="00D005CA" w:rsidRPr="00B17158" w:rsidRDefault="005C6135" w:rsidP="005C61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Wynik finansowy netto</w:t>
            </w:r>
          </w:p>
        </w:tc>
        <w:tc>
          <w:tcPr>
            <w:tcW w:w="1701" w:type="dxa"/>
            <w:vAlign w:val="center"/>
          </w:tcPr>
          <w:p w:rsidR="00D005CA" w:rsidRPr="00AC309E" w:rsidRDefault="0006094B" w:rsidP="00B171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308,0</w:t>
            </w:r>
          </w:p>
        </w:tc>
        <w:tc>
          <w:tcPr>
            <w:tcW w:w="1701" w:type="dxa"/>
            <w:vAlign w:val="center"/>
          </w:tcPr>
          <w:p w:rsidR="00D005CA" w:rsidRPr="00AC309E" w:rsidRDefault="000609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499,3</w:t>
            </w:r>
          </w:p>
        </w:tc>
        <w:tc>
          <w:tcPr>
            <w:tcW w:w="1701" w:type="dxa"/>
            <w:vAlign w:val="center"/>
          </w:tcPr>
          <w:p w:rsidR="00D005CA" w:rsidRPr="00AC309E" w:rsidRDefault="000609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162,1</w:t>
            </w:r>
          </w:p>
        </w:tc>
      </w:tr>
    </w:tbl>
    <w:p w:rsidR="00020F3A" w:rsidRPr="00130B04" w:rsidRDefault="00FD146F" w:rsidP="00020F3A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462E8B83" wp14:editId="02AAF0EB">
                <wp:simplePos x="0" y="0"/>
                <wp:positionH relativeFrom="column">
                  <wp:posOffset>5229225</wp:posOffset>
                </wp:positionH>
                <wp:positionV relativeFrom="paragraph">
                  <wp:posOffset>-634</wp:posOffset>
                </wp:positionV>
                <wp:extent cx="1725295" cy="7677150"/>
                <wp:effectExtent l="0" t="0" r="0" b="0"/>
                <wp:wrapTight wrapText="bothSides">
                  <wp:wrapPolygon edited="0">
                    <wp:start x="715" y="0"/>
                    <wp:lineTo x="715" y="21546"/>
                    <wp:lineTo x="20749" y="21546"/>
                    <wp:lineTo x="20749" y="0"/>
                    <wp:lineTo x="715" y="0"/>
                  </wp:wrapPolygon>
                </wp:wrapTight>
                <wp:docPr id="193" name="Pole tekstow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677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CD2" w:rsidRPr="00D616D2" w:rsidRDefault="00364CD2" w:rsidP="00020F3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E8B83" id="Pole tekstowe 193" o:spid="_x0000_s1042" type="#_x0000_t202" style="position:absolute;margin-left:411.75pt;margin-top:-.05pt;width:135.85pt;height:604.5pt;z-index:-251550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" filled="f" stroked="f">
                <v:textbox>
                  <w:txbxContent>
                    <w:p w:rsidR="00364CD2" w:rsidRPr="00D616D2" w:rsidRDefault="00364CD2" w:rsidP="00020F3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6295B" w:rsidRDefault="0026295B" w:rsidP="00E76D26">
      <w:pPr>
        <w:rPr>
          <w:shd w:val="clear" w:color="auto" w:fill="FFFFFF"/>
        </w:rPr>
      </w:pPr>
    </w:p>
    <w:p w:rsidR="005D6823" w:rsidRDefault="005D6823" w:rsidP="00E76D26">
      <w:pPr>
        <w:rPr>
          <w:shd w:val="clear" w:color="auto" w:fill="FFFFFF"/>
        </w:rPr>
      </w:pPr>
    </w:p>
    <w:p w:rsidR="003F167E" w:rsidRDefault="003F167E" w:rsidP="00E76D26">
      <w:pPr>
        <w:rPr>
          <w:shd w:val="clear" w:color="auto" w:fill="FFFFFF"/>
        </w:rPr>
      </w:pPr>
    </w:p>
    <w:p w:rsidR="003F167E" w:rsidRDefault="003F167E" w:rsidP="00E76D26">
      <w:pPr>
        <w:rPr>
          <w:shd w:val="clear" w:color="auto" w:fill="FFFFFF"/>
        </w:rPr>
      </w:pPr>
    </w:p>
    <w:p w:rsidR="003F167E" w:rsidRDefault="003F167E" w:rsidP="00E76D26">
      <w:pPr>
        <w:rPr>
          <w:shd w:val="clear" w:color="auto" w:fill="FFFFFF"/>
        </w:rPr>
      </w:pPr>
    </w:p>
    <w:p w:rsidR="003F167E" w:rsidRPr="0026295B" w:rsidRDefault="003F167E" w:rsidP="00E76D26">
      <w:pPr>
        <w:rPr>
          <w:shd w:val="clear" w:color="auto" w:fill="FFFFFF"/>
        </w:rPr>
        <w:sectPr w:rsidR="003F167E" w:rsidRPr="0026295B" w:rsidSect="00EC722E">
          <w:headerReference w:type="default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7" w:h="16839" w:code="9"/>
          <w:pgMar w:top="720" w:right="3119" w:bottom="720" w:left="720" w:header="284" w:footer="284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2"/>
        <w:gridCol w:w="3815"/>
      </w:tblGrid>
      <w:tr w:rsidR="000470AA" w:rsidRPr="004B3C88" w:rsidTr="00E23337">
        <w:trPr>
          <w:trHeight w:val="1912"/>
        </w:trPr>
        <w:tc>
          <w:tcPr>
            <w:tcW w:w="4379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155873">
              <w:rPr>
                <w:rFonts w:cs="Arial"/>
                <w:b/>
                <w:color w:val="000000" w:themeColor="text1"/>
                <w:sz w:val="20"/>
              </w:rPr>
              <w:t>Studiów Makroekonomicznych i Finansów</w:t>
            </w:r>
          </w:p>
          <w:p w:rsidR="000470AA" w:rsidRPr="006F16BA" w:rsidRDefault="00DB2C4B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6F16B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Monika Rothe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15587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15587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="006F16B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DB2C4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33</w:t>
            </w:r>
          </w:p>
          <w:p w:rsidR="000470AA" w:rsidRPr="008F3638" w:rsidRDefault="000470AA" w:rsidP="006F16BA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6F16B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="006F16BA" w:rsidRPr="006F16BA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m.rothe@stat.gov.pl</w:t>
              </w:r>
            </w:hyperlink>
          </w:p>
        </w:tc>
        <w:tc>
          <w:tcPr>
            <w:tcW w:w="3942" w:type="dxa"/>
          </w:tcPr>
          <w:p w:rsidR="00E761AE" w:rsidRDefault="000470AA" w:rsidP="00E761A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E761AE" w:rsidRPr="008F3638" w:rsidRDefault="000470AA" w:rsidP="00E761AE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  <w:r w:rsidR="005E50FA">
              <w:rPr>
                <w:rFonts w:cs="Arial"/>
                <w:b/>
                <w:color w:val="000000" w:themeColor="text1"/>
                <w:sz w:val="20"/>
              </w:rPr>
              <w:br/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0A4081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0A4081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19" w:history="1">
              <w:r w:rsidRPr="000A4081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p w:rsidR="000470AA" w:rsidRPr="000A4081" w:rsidRDefault="000470AA" w:rsidP="000470AA">
      <w:pPr>
        <w:rPr>
          <w:sz w:val="20"/>
        </w:rPr>
      </w:pPr>
    </w:p>
    <w:p w:rsidR="000470AA" w:rsidRPr="000A4081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="00097840"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0470AA" w:rsidRPr="00684617" w:rsidRDefault="000470AA" w:rsidP="000470AA">
            <w:pPr>
              <w:rPr>
                <w:sz w:val="20"/>
                <w:lang w:val="en-US"/>
              </w:rPr>
            </w:pPr>
            <w:r w:rsidRPr="00684617">
              <w:rPr>
                <w:b/>
                <w:sz w:val="20"/>
                <w:lang w:val="en-US"/>
              </w:rPr>
              <w:t>faks:</w:t>
            </w:r>
            <w:r w:rsidR="00097840" w:rsidRPr="00684617">
              <w:rPr>
                <w:sz w:val="20"/>
                <w:lang w:val="en-US"/>
              </w:rPr>
              <w:t xml:space="preserve"> 22</w:t>
            </w:r>
            <w:r w:rsidRPr="00684617">
              <w:rPr>
                <w:sz w:val="20"/>
                <w:lang w:val="en-US"/>
              </w:rPr>
              <w:t xml:space="preserve"> 608 38 86 </w:t>
            </w:r>
          </w:p>
          <w:p w:rsidR="000470AA" w:rsidRPr="00684617" w:rsidRDefault="000470AA" w:rsidP="000470AA">
            <w:pPr>
              <w:rPr>
                <w:sz w:val="18"/>
                <w:lang w:val="en-US"/>
              </w:rPr>
            </w:pPr>
            <w:r w:rsidRPr="00684617">
              <w:rPr>
                <w:b/>
                <w:sz w:val="20"/>
                <w:lang w:val="en-US"/>
              </w:rPr>
              <w:t>e-mail:</w:t>
            </w:r>
            <w:r w:rsidRPr="00684617">
              <w:rPr>
                <w:sz w:val="20"/>
                <w:lang w:val="en-US"/>
              </w:rPr>
              <w:t xml:space="preserve"> </w:t>
            </w:r>
            <w:hyperlink r:id="rId20" w:history="1">
              <w:r w:rsidRPr="00684617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4617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7A61E48E" wp14:editId="7A61E48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E477FE" w:rsidP="000470AA">
            <w:pPr>
              <w:rPr>
                <w:sz w:val="18"/>
              </w:rPr>
            </w:pPr>
            <w:hyperlink r:id="rId22" w:history="1">
              <w:r w:rsidR="006F16BA" w:rsidRPr="00B739A2">
                <w:rPr>
                  <w:rStyle w:val="Hipercze"/>
                  <w:rFonts w:cstheme="minorBidi"/>
                  <w:sz w:val="20"/>
                </w:rPr>
                <w:t>www.stat.gov.pl</w:t>
              </w:r>
            </w:hyperlink>
            <w:r w:rsidR="006F16BA">
              <w:rPr>
                <w:sz w:val="20"/>
              </w:rPr>
              <w:t xml:space="preserve"> 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7A61E490" wp14:editId="7A61E49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7A61E492" wp14:editId="7A61E49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A61E494" wp14:editId="7A61E495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CD2" w:rsidRPr="000A4081" w:rsidRDefault="00364CD2" w:rsidP="00F25976">
                            <w:pPr>
                              <w:rPr>
                                <w:b/>
                              </w:rPr>
                            </w:pPr>
                            <w:r w:rsidRPr="000A408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364CD2" w:rsidRPr="00F25976" w:rsidRDefault="00E477FE" w:rsidP="00AB6D25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  <w:hyperlink r:id="rId25" w:history="1">
                              <w:r w:rsidR="00364CD2" w:rsidRPr="00F25976">
                                <w:rPr>
                                  <w:rStyle w:val="Hipercze"/>
                                  <w:rFonts w:cstheme="minorBidi"/>
                                  <w:szCs w:val="24"/>
                                </w:rPr>
                                <w:t>Informacje sygnalne. Wyniki finansowe przedsiębiorstw finansowych.</w:t>
                              </w:r>
                            </w:hyperlink>
                          </w:p>
                          <w:p w:rsidR="00364CD2" w:rsidRDefault="00364CD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364CD2" w:rsidRPr="000A4081" w:rsidRDefault="00364CD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0A408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364CD2" w:rsidRPr="000A4081" w:rsidRDefault="00E477FE" w:rsidP="005D14B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364CD2" w:rsidRPr="00F25976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:rsidR="00364CD2" w:rsidRPr="000A4081" w:rsidRDefault="00364CD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364CD2" w:rsidRDefault="00364CD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364CD2" w:rsidRDefault="00E477FE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364CD2" w:rsidRPr="0052468E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Fundusz Inwestycyjny</w:t>
                              </w:r>
                            </w:hyperlink>
                          </w:p>
                          <w:p w:rsidR="00364CD2" w:rsidRDefault="00E477FE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364CD2" w:rsidRPr="0052468E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Towarzystwo Funduszy Inwestycyjnych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1E494" id="_x0000_s104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EbfQAIAAHQ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k8tDC9dY&#10;P5P4Dsc1oLWlQ4vuJ2c9rUDF/Y8tOMmZ/mSpgfPJbBZ3Jhmz4nJKhjv1rE89YAVBVTxwNh5XIe1Z&#10;5GrxhhrdqNSCOBEjkz1nGu2k4X4N4+6c2inq189i+QI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a9hG30ACAAB0BAAA&#10;DgAAAAAAAAAAAAAAAAAuAgAAZHJzL2Uyb0RvYy54bWxQSwECLQAUAAYACAAAACEAbsAxfN8AAAAJ&#10;AQAADwAAAAAAAAAAAAAAAACaBAAAZHJzL2Rvd25yZXYueG1sUEsFBgAAAAAEAAQA8wAAAKYFAAAA&#10;AA==&#10;" fillcolor="#f2f2f2 [3052]" strokecolor="white [3212]">
                <v:textbox>
                  <w:txbxContent>
                    <w:p w:rsidR="00364CD2" w:rsidRPr="000A4081" w:rsidRDefault="00364CD2" w:rsidP="00F25976">
                      <w:pPr>
                        <w:rPr>
                          <w:b/>
                        </w:rPr>
                      </w:pPr>
                      <w:r w:rsidRPr="000A4081">
                        <w:rPr>
                          <w:b/>
                        </w:rPr>
                        <w:t>Powiązane opracowania</w:t>
                      </w:r>
                    </w:p>
                    <w:p w:rsidR="00364CD2" w:rsidRPr="00F25976" w:rsidRDefault="00082FBD" w:rsidP="00AB6D25">
                      <w:pPr>
                        <w:rPr>
                          <w:color w:val="000000" w:themeColor="text1"/>
                          <w:szCs w:val="24"/>
                        </w:rPr>
                      </w:pPr>
                      <w:hyperlink r:id="rId29" w:history="1">
                        <w:r w:rsidR="00364CD2" w:rsidRPr="00F25976">
                          <w:rPr>
                            <w:rStyle w:val="Hipercze"/>
                            <w:rFonts w:cstheme="minorBidi"/>
                            <w:szCs w:val="24"/>
                          </w:rPr>
                          <w:t>Informacje sygnalne. Wyniki finansowe przedsiębiorstw finansowych.</w:t>
                        </w:r>
                      </w:hyperlink>
                    </w:p>
                    <w:p w:rsidR="00364CD2" w:rsidRDefault="00364CD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364CD2" w:rsidRPr="000A4081" w:rsidRDefault="00364CD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0A408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364CD2" w:rsidRPr="000A4081" w:rsidRDefault="00082FBD" w:rsidP="005D14B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364CD2" w:rsidRPr="00F25976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:rsidR="00364CD2" w:rsidRPr="000A4081" w:rsidRDefault="00364CD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364CD2" w:rsidRDefault="00364CD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364CD2" w:rsidRDefault="00082FB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364CD2" w:rsidRPr="0052468E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Fundusz Inwestycyjny</w:t>
                        </w:r>
                      </w:hyperlink>
                    </w:p>
                    <w:p w:rsidR="00364CD2" w:rsidRDefault="00082FB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364CD2" w:rsidRPr="0052468E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Towarzystwo Funduszy Inwestycyjnych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7FE" w:rsidRDefault="00E477FE" w:rsidP="000662E2">
      <w:pPr>
        <w:spacing w:after="0" w:line="240" w:lineRule="auto"/>
      </w:pPr>
      <w:r>
        <w:separator/>
      </w:r>
    </w:p>
  </w:endnote>
  <w:endnote w:type="continuationSeparator" w:id="0">
    <w:p w:rsidR="00E477FE" w:rsidRDefault="00E477FE" w:rsidP="000662E2">
      <w:pPr>
        <w:spacing w:after="0" w:line="240" w:lineRule="auto"/>
      </w:pPr>
      <w:r>
        <w:continuationSeparator/>
      </w:r>
    </w:p>
  </w:endnote>
  <w:endnote w:id="1">
    <w:p w:rsidR="00364CD2" w:rsidRPr="005D3F15" w:rsidRDefault="00364CD2" w:rsidP="005D3F15">
      <w:pPr>
        <w:pStyle w:val="Tekstprzypisukocowego"/>
        <w:jc w:val="both"/>
        <w:rPr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>
        <w:rPr>
          <w:sz w:val="16"/>
          <w:szCs w:val="16"/>
        </w:rPr>
        <w:t>Pojęcie „fundusze inwestycyjne” obejmuje: otwarte fundusze inwestycyjne, specjalistyczne fundusze inwestycyjne otwarte i fundusze inwestycyjne zamknięte.</w:t>
      </w:r>
    </w:p>
  </w:endnote>
  <w:endnote w:id="2">
    <w:p w:rsidR="00364CD2" w:rsidRPr="005D3F15" w:rsidRDefault="00364CD2" w:rsidP="005D3F15">
      <w:pPr>
        <w:pStyle w:val="Tekstprzypisudolnego"/>
        <w:jc w:val="both"/>
        <w:rPr>
          <w:sz w:val="16"/>
          <w:szCs w:val="16"/>
        </w:rPr>
      </w:pPr>
      <w:r w:rsidRPr="005D3F15">
        <w:rPr>
          <w:rStyle w:val="Odwoanieprzypisukocowego"/>
          <w:sz w:val="16"/>
          <w:szCs w:val="16"/>
        </w:rPr>
        <w:endnoteRef/>
      </w:r>
      <w:r w:rsidRPr="005D3F15">
        <w:rPr>
          <w:sz w:val="16"/>
          <w:szCs w:val="16"/>
        </w:rPr>
        <w:t xml:space="preserve"> Według rozporządzenia Ministra Finansów z dnia 24 grudnia 2007 r. w sprawie szczególnych zasad rachunkowości funduszy inwestycyjnych (Dz. U. Nr 249, poz. 1859), przez aktywny rynek rozumie się rynek spełniający łącznie następujące kryteria: instrumenty będące przedmiotem obrotu na rynku są jednorodne, zazwyczaj w każdym czasie występują zainteresowani nabywcy i sprzedawcy, ceny są podawane do publicznej wiadomości.</w:t>
      </w:r>
    </w:p>
    <w:p w:rsidR="00364CD2" w:rsidRDefault="00364CD2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Times New Roman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0864908"/>
      <w:docPartObj>
        <w:docPartGallery w:val="Page Numbers (Bottom of Page)"/>
        <w:docPartUnique/>
      </w:docPartObj>
    </w:sdtPr>
    <w:sdtEndPr/>
    <w:sdtContent>
      <w:p w:rsidR="00364CD2" w:rsidRDefault="00364CD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2C7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4777727"/>
      <w:docPartObj>
        <w:docPartGallery w:val="Page Numbers (Bottom of Page)"/>
        <w:docPartUnique/>
      </w:docPartObj>
    </w:sdtPr>
    <w:sdtEndPr/>
    <w:sdtContent>
      <w:p w:rsidR="00364CD2" w:rsidRDefault="00364CD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2C7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64CD2" w:rsidRDefault="00364CD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2C7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7FE" w:rsidRDefault="00E477FE" w:rsidP="000662E2">
      <w:pPr>
        <w:spacing w:after="0" w:line="240" w:lineRule="auto"/>
      </w:pPr>
      <w:r>
        <w:separator/>
      </w:r>
    </w:p>
  </w:footnote>
  <w:footnote w:type="continuationSeparator" w:id="0">
    <w:p w:rsidR="00E477FE" w:rsidRDefault="00E477F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CD2" w:rsidRDefault="00364CD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90EFECC" wp14:editId="6F518A4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1B66BD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364CD2" w:rsidRDefault="00364CD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CD2" w:rsidRDefault="00364CD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22121D3" wp14:editId="4C1B444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4CD2" w:rsidRPr="003C6C8D" w:rsidRDefault="00364CD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2121D3" id="Schemat blokowy: opóźnienie 6" o:spid="_x0000_s104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364CD2" w:rsidRPr="003C6C8D" w:rsidRDefault="00364CD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D16A96A" wp14:editId="796E27A3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023E88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1DA239A" wp14:editId="5894ACBA">
          <wp:extent cx="2188845" cy="740410"/>
          <wp:effectExtent l="0" t="0" r="1905" b="2540"/>
          <wp:docPr id="25" name="Obraz 25" descr="C:\Users\babikw\Documents\My docs\infokw\Logo%20jubileuszowe%20wersja%20dla%20GUS%20odmiana%20podstawowa%20wariant%20kolorow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9" descr="C:\Users\babikw\Documents\My docs\infokw\Logo%20jubileuszowe%20wersja%20dla%20GUS%20odmiana%20podstawowa%20wariant%20kolorow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4CD2" w:rsidRDefault="00364CD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DDA249E" wp14:editId="24BB86DC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4CD2" w:rsidRPr="00C97596" w:rsidRDefault="00364CD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19.10.2018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A249E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364CD2" w:rsidRPr="00C97596" w:rsidRDefault="00364CD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19.10.2018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CD2" w:rsidRDefault="00364CD2">
    <w:pPr>
      <w:pStyle w:val="Nagwek"/>
    </w:pPr>
  </w:p>
  <w:p w:rsidR="00364CD2" w:rsidRDefault="00364C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" o:bullet="t">
        <v:imagedata r:id="rId1" o:title=""/>
      </v:shape>
    </w:pict>
  </w:numPicBullet>
  <w:numPicBullet w:numPicBulletId="1">
    <w:pict>
      <v:shape id="_x0000_i1029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3492533"/>
    <w:multiLevelType w:val="hybridMultilevel"/>
    <w:tmpl w:val="7CC89D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8E"/>
    <w:rsid w:val="0000709F"/>
    <w:rsid w:val="000108B8"/>
    <w:rsid w:val="00012504"/>
    <w:rsid w:val="000152F5"/>
    <w:rsid w:val="0001745A"/>
    <w:rsid w:val="000200A8"/>
    <w:rsid w:val="00020F3A"/>
    <w:rsid w:val="00027439"/>
    <w:rsid w:val="0003375A"/>
    <w:rsid w:val="00034BF1"/>
    <w:rsid w:val="0004582E"/>
    <w:rsid w:val="000470AA"/>
    <w:rsid w:val="00047E14"/>
    <w:rsid w:val="00053E26"/>
    <w:rsid w:val="000578A2"/>
    <w:rsid w:val="00057CA1"/>
    <w:rsid w:val="0006094B"/>
    <w:rsid w:val="00065308"/>
    <w:rsid w:val="000662E2"/>
    <w:rsid w:val="00066883"/>
    <w:rsid w:val="00074DD8"/>
    <w:rsid w:val="000806F7"/>
    <w:rsid w:val="00082FBD"/>
    <w:rsid w:val="00097840"/>
    <w:rsid w:val="000A4081"/>
    <w:rsid w:val="000A6AA4"/>
    <w:rsid w:val="000B0727"/>
    <w:rsid w:val="000B24D5"/>
    <w:rsid w:val="000B47CF"/>
    <w:rsid w:val="000B7D5D"/>
    <w:rsid w:val="000C0D18"/>
    <w:rsid w:val="000C135D"/>
    <w:rsid w:val="000D17AB"/>
    <w:rsid w:val="000D1D43"/>
    <w:rsid w:val="000D225C"/>
    <w:rsid w:val="000D23F0"/>
    <w:rsid w:val="000D25D6"/>
    <w:rsid w:val="000D2A5C"/>
    <w:rsid w:val="000E0918"/>
    <w:rsid w:val="000E3934"/>
    <w:rsid w:val="000E52D1"/>
    <w:rsid w:val="000F14E6"/>
    <w:rsid w:val="001011C3"/>
    <w:rsid w:val="00103928"/>
    <w:rsid w:val="00105600"/>
    <w:rsid w:val="00110D87"/>
    <w:rsid w:val="00114DB9"/>
    <w:rsid w:val="00116087"/>
    <w:rsid w:val="001257D5"/>
    <w:rsid w:val="00130296"/>
    <w:rsid w:val="00130B04"/>
    <w:rsid w:val="00131D2F"/>
    <w:rsid w:val="00136483"/>
    <w:rsid w:val="001423B6"/>
    <w:rsid w:val="001448A7"/>
    <w:rsid w:val="00146621"/>
    <w:rsid w:val="00151B45"/>
    <w:rsid w:val="00155873"/>
    <w:rsid w:val="001568E3"/>
    <w:rsid w:val="00162325"/>
    <w:rsid w:val="001700C7"/>
    <w:rsid w:val="001765D3"/>
    <w:rsid w:val="00194DFB"/>
    <w:rsid w:val="001951DA"/>
    <w:rsid w:val="0019592F"/>
    <w:rsid w:val="001A4AE5"/>
    <w:rsid w:val="001C3269"/>
    <w:rsid w:val="001D1DB4"/>
    <w:rsid w:val="001D6005"/>
    <w:rsid w:val="001E0053"/>
    <w:rsid w:val="00206B56"/>
    <w:rsid w:val="00216C45"/>
    <w:rsid w:val="0021786D"/>
    <w:rsid w:val="0024127A"/>
    <w:rsid w:val="00250BD9"/>
    <w:rsid w:val="00256D94"/>
    <w:rsid w:val="002574F9"/>
    <w:rsid w:val="0026295B"/>
    <w:rsid w:val="00262B61"/>
    <w:rsid w:val="002665A9"/>
    <w:rsid w:val="00274072"/>
    <w:rsid w:val="00276811"/>
    <w:rsid w:val="00276839"/>
    <w:rsid w:val="00282699"/>
    <w:rsid w:val="002844E7"/>
    <w:rsid w:val="002920C6"/>
    <w:rsid w:val="002926DF"/>
    <w:rsid w:val="00296697"/>
    <w:rsid w:val="002B0472"/>
    <w:rsid w:val="002B6B12"/>
    <w:rsid w:val="002C1B93"/>
    <w:rsid w:val="002D7403"/>
    <w:rsid w:val="002E33D7"/>
    <w:rsid w:val="002E6140"/>
    <w:rsid w:val="002E6985"/>
    <w:rsid w:val="002E71B6"/>
    <w:rsid w:val="002F00B0"/>
    <w:rsid w:val="002F468D"/>
    <w:rsid w:val="002F77C8"/>
    <w:rsid w:val="002F7E6E"/>
    <w:rsid w:val="00304F22"/>
    <w:rsid w:val="00306C7C"/>
    <w:rsid w:val="003132A5"/>
    <w:rsid w:val="00315E84"/>
    <w:rsid w:val="00321A45"/>
    <w:rsid w:val="00322EDD"/>
    <w:rsid w:val="00332320"/>
    <w:rsid w:val="00332EAC"/>
    <w:rsid w:val="00342EC3"/>
    <w:rsid w:val="00347D72"/>
    <w:rsid w:val="00357611"/>
    <w:rsid w:val="003616C1"/>
    <w:rsid w:val="00363948"/>
    <w:rsid w:val="00364CD2"/>
    <w:rsid w:val="00365F40"/>
    <w:rsid w:val="00367237"/>
    <w:rsid w:val="0037077F"/>
    <w:rsid w:val="00372411"/>
    <w:rsid w:val="00373882"/>
    <w:rsid w:val="00374412"/>
    <w:rsid w:val="00377780"/>
    <w:rsid w:val="0038064C"/>
    <w:rsid w:val="003841FB"/>
    <w:rsid w:val="003843DB"/>
    <w:rsid w:val="00385622"/>
    <w:rsid w:val="00393761"/>
    <w:rsid w:val="003938ED"/>
    <w:rsid w:val="00397D18"/>
    <w:rsid w:val="003A1B36"/>
    <w:rsid w:val="003B1454"/>
    <w:rsid w:val="003B18B6"/>
    <w:rsid w:val="003B7811"/>
    <w:rsid w:val="003C30F5"/>
    <w:rsid w:val="003C59E0"/>
    <w:rsid w:val="003C6C8D"/>
    <w:rsid w:val="003D4F95"/>
    <w:rsid w:val="003D5F42"/>
    <w:rsid w:val="003D60A9"/>
    <w:rsid w:val="003E24D5"/>
    <w:rsid w:val="003E53B2"/>
    <w:rsid w:val="003E6991"/>
    <w:rsid w:val="003F167E"/>
    <w:rsid w:val="003F4C97"/>
    <w:rsid w:val="003F7FE6"/>
    <w:rsid w:val="00400193"/>
    <w:rsid w:val="00404720"/>
    <w:rsid w:val="00406696"/>
    <w:rsid w:val="00416E70"/>
    <w:rsid w:val="004212E7"/>
    <w:rsid w:val="0042446D"/>
    <w:rsid w:val="00427BF8"/>
    <w:rsid w:val="00431C02"/>
    <w:rsid w:val="00437395"/>
    <w:rsid w:val="00445047"/>
    <w:rsid w:val="0045551C"/>
    <w:rsid w:val="00463E39"/>
    <w:rsid w:val="004652B1"/>
    <w:rsid w:val="004653FA"/>
    <w:rsid w:val="004657FC"/>
    <w:rsid w:val="0047313F"/>
    <w:rsid w:val="004733F6"/>
    <w:rsid w:val="00474E69"/>
    <w:rsid w:val="004939BC"/>
    <w:rsid w:val="00493A0E"/>
    <w:rsid w:val="00494E6E"/>
    <w:rsid w:val="0049621B"/>
    <w:rsid w:val="004A07C6"/>
    <w:rsid w:val="004A4B0C"/>
    <w:rsid w:val="004A4F94"/>
    <w:rsid w:val="004B10CA"/>
    <w:rsid w:val="004B3C88"/>
    <w:rsid w:val="004B4795"/>
    <w:rsid w:val="004C0546"/>
    <w:rsid w:val="004C1895"/>
    <w:rsid w:val="004C6D40"/>
    <w:rsid w:val="004D36E0"/>
    <w:rsid w:val="004D3A1D"/>
    <w:rsid w:val="004D7316"/>
    <w:rsid w:val="004E4E16"/>
    <w:rsid w:val="004E5469"/>
    <w:rsid w:val="004E7858"/>
    <w:rsid w:val="004F0C3C"/>
    <w:rsid w:val="004F111D"/>
    <w:rsid w:val="004F3D0A"/>
    <w:rsid w:val="004F5B1B"/>
    <w:rsid w:val="004F63FC"/>
    <w:rsid w:val="00501638"/>
    <w:rsid w:val="00505A92"/>
    <w:rsid w:val="005203F1"/>
    <w:rsid w:val="00521BC3"/>
    <w:rsid w:val="0052468E"/>
    <w:rsid w:val="0053170A"/>
    <w:rsid w:val="00533632"/>
    <w:rsid w:val="00541E6E"/>
    <w:rsid w:val="0054251F"/>
    <w:rsid w:val="005511D2"/>
    <w:rsid w:val="005520D8"/>
    <w:rsid w:val="00556CF1"/>
    <w:rsid w:val="00562DAA"/>
    <w:rsid w:val="00566F50"/>
    <w:rsid w:val="005762A7"/>
    <w:rsid w:val="005916D7"/>
    <w:rsid w:val="00595233"/>
    <w:rsid w:val="005A2A69"/>
    <w:rsid w:val="005A698C"/>
    <w:rsid w:val="005B4C37"/>
    <w:rsid w:val="005B645C"/>
    <w:rsid w:val="005C3021"/>
    <w:rsid w:val="005C6135"/>
    <w:rsid w:val="005D14B0"/>
    <w:rsid w:val="005D3F15"/>
    <w:rsid w:val="005D6823"/>
    <w:rsid w:val="005E0799"/>
    <w:rsid w:val="005E307F"/>
    <w:rsid w:val="005E50FA"/>
    <w:rsid w:val="005F5A80"/>
    <w:rsid w:val="005F6E56"/>
    <w:rsid w:val="006044FF"/>
    <w:rsid w:val="00607CC5"/>
    <w:rsid w:val="00623516"/>
    <w:rsid w:val="00632404"/>
    <w:rsid w:val="00633014"/>
    <w:rsid w:val="0063437B"/>
    <w:rsid w:val="00634415"/>
    <w:rsid w:val="00636F96"/>
    <w:rsid w:val="00644BCF"/>
    <w:rsid w:val="00656E04"/>
    <w:rsid w:val="006673CA"/>
    <w:rsid w:val="00673C26"/>
    <w:rsid w:val="006812AF"/>
    <w:rsid w:val="00681C09"/>
    <w:rsid w:val="00682D89"/>
    <w:rsid w:val="0068327D"/>
    <w:rsid w:val="00684617"/>
    <w:rsid w:val="00687806"/>
    <w:rsid w:val="00694AF0"/>
    <w:rsid w:val="006966CE"/>
    <w:rsid w:val="00696765"/>
    <w:rsid w:val="006A4686"/>
    <w:rsid w:val="006B0E9E"/>
    <w:rsid w:val="006B122A"/>
    <w:rsid w:val="006B34B2"/>
    <w:rsid w:val="006B5AE4"/>
    <w:rsid w:val="006C65B2"/>
    <w:rsid w:val="006C74EF"/>
    <w:rsid w:val="006D1507"/>
    <w:rsid w:val="006D4054"/>
    <w:rsid w:val="006D4585"/>
    <w:rsid w:val="006D6FBE"/>
    <w:rsid w:val="006E02EC"/>
    <w:rsid w:val="006E4E0E"/>
    <w:rsid w:val="006F16BA"/>
    <w:rsid w:val="006F7FF7"/>
    <w:rsid w:val="0071390E"/>
    <w:rsid w:val="00714E4B"/>
    <w:rsid w:val="007211B1"/>
    <w:rsid w:val="00721EBC"/>
    <w:rsid w:val="007454CB"/>
    <w:rsid w:val="00746187"/>
    <w:rsid w:val="00746760"/>
    <w:rsid w:val="00755B7D"/>
    <w:rsid w:val="0076254F"/>
    <w:rsid w:val="007738B5"/>
    <w:rsid w:val="00775B09"/>
    <w:rsid w:val="0077644F"/>
    <w:rsid w:val="007773FB"/>
    <w:rsid w:val="007801F5"/>
    <w:rsid w:val="00783CA4"/>
    <w:rsid w:val="007842FB"/>
    <w:rsid w:val="0078532B"/>
    <w:rsid w:val="0078596A"/>
    <w:rsid w:val="00786124"/>
    <w:rsid w:val="007871FE"/>
    <w:rsid w:val="0079472D"/>
    <w:rsid w:val="0079514B"/>
    <w:rsid w:val="007A0155"/>
    <w:rsid w:val="007A2DC1"/>
    <w:rsid w:val="007A5775"/>
    <w:rsid w:val="007A6B17"/>
    <w:rsid w:val="007C7EA9"/>
    <w:rsid w:val="007C7F88"/>
    <w:rsid w:val="007D3319"/>
    <w:rsid w:val="007D335D"/>
    <w:rsid w:val="007E3314"/>
    <w:rsid w:val="007E4B03"/>
    <w:rsid w:val="007F324B"/>
    <w:rsid w:val="0080073E"/>
    <w:rsid w:val="0080553C"/>
    <w:rsid w:val="00805B46"/>
    <w:rsid w:val="00810D58"/>
    <w:rsid w:val="008112B2"/>
    <w:rsid w:val="0082142D"/>
    <w:rsid w:val="00825DC2"/>
    <w:rsid w:val="00832467"/>
    <w:rsid w:val="00834AD3"/>
    <w:rsid w:val="00843795"/>
    <w:rsid w:val="00847F0F"/>
    <w:rsid w:val="00852448"/>
    <w:rsid w:val="00861BC1"/>
    <w:rsid w:val="00873659"/>
    <w:rsid w:val="0088258A"/>
    <w:rsid w:val="008844A6"/>
    <w:rsid w:val="00886332"/>
    <w:rsid w:val="00894AEF"/>
    <w:rsid w:val="008A17A7"/>
    <w:rsid w:val="008A26D9"/>
    <w:rsid w:val="008B38F9"/>
    <w:rsid w:val="008B7EFE"/>
    <w:rsid w:val="008C0C29"/>
    <w:rsid w:val="008C7D13"/>
    <w:rsid w:val="008D4206"/>
    <w:rsid w:val="008D6CAD"/>
    <w:rsid w:val="008D772A"/>
    <w:rsid w:val="008F3638"/>
    <w:rsid w:val="008F4441"/>
    <w:rsid w:val="008F4B44"/>
    <w:rsid w:val="008F6E53"/>
    <w:rsid w:val="008F6F31"/>
    <w:rsid w:val="008F7307"/>
    <w:rsid w:val="008F74DF"/>
    <w:rsid w:val="009112A9"/>
    <w:rsid w:val="009127BA"/>
    <w:rsid w:val="00916CE9"/>
    <w:rsid w:val="009227A6"/>
    <w:rsid w:val="00933EC1"/>
    <w:rsid w:val="009530DB"/>
    <w:rsid w:val="00953676"/>
    <w:rsid w:val="0095545E"/>
    <w:rsid w:val="0096756D"/>
    <w:rsid w:val="009705EE"/>
    <w:rsid w:val="009711F5"/>
    <w:rsid w:val="0097287E"/>
    <w:rsid w:val="00977927"/>
    <w:rsid w:val="0098135C"/>
    <w:rsid w:val="0098156A"/>
    <w:rsid w:val="00991BAC"/>
    <w:rsid w:val="00996239"/>
    <w:rsid w:val="009A3D0F"/>
    <w:rsid w:val="009A5580"/>
    <w:rsid w:val="009A6EA0"/>
    <w:rsid w:val="009B24A0"/>
    <w:rsid w:val="009C0E6F"/>
    <w:rsid w:val="009C1335"/>
    <w:rsid w:val="009C1AB2"/>
    <w:rsid w:val="009C527D"/>
    <w:rsid w:val="009C7251"/>
    <w:rsid w:val="009D4111"/>
    <w:rsid w:val="009E2E91"/>
    <w:rsid w:val="009F5809"/>
    <w:rsid w:val="009F59D6"/>
    <w:rsid w:val="00A139F5"/>
    <w:rsid w:val="00A13AFF"/>
    <w:rsid w:val="00A3518B"/>
    <w:rsid w:val="00A365F4"/>
    <w:rsid w:val="00A404D7"/>
    <w:rsid w:val="00A46817"/>
    <w:rsid w:val="00A47D80"/>
    <w:rsid w:val="00A52880"/>
    <w:rsid w:val="00A53132"/>
    <w:rsid w:val="00A5355A"/>
    <w:rsid w:val="00A53703"/>
    <w:rsid w:val="00A563F2"/>
    <w:rsid w:val="00A566E8"/>
    <w:rsid w:val="00A810F9"/>
    <w:rsid w:val="00A8212F"/>
    <w:rsid w:val="00A86ECC"/>
    <w:rsid w:val="00A86FCC"/>
    <w:rsid w:val="00AA12DB"/>
    <w:rsid w:val="00AA1B06"/>
    <w:rsid w:val="00AA2832"/>
    <w:rsid w:val="00AA710D"/>
    <w:rsid w:val="00AB1747"/>
    <w:rsid w:val="00AB329A"/>
    <w:rsid w:val="00AB4312"/>
    <w:rsid w:val="00AB6D25"/>
    <w:rsid w:val="00AC309E"/>
    <w:rsid w:val="00AD5D19"/>
    <w:rsid w:val="00AE2D4B"/>
    <w:rsid w:val="00AE4F99"/>
    <w:rsid w:val="00AF5E24"/>
    <w:rsid w:val="00AF719A"/>
    <w:rsid w:val="00B11B69"/>
    <w:rsid w:val="00B14952"/>
    <w:rsid w:val="00B17158"/>
    <w:rsid w:val="00B31E5A"/>
    <w:rsid w:val="00B653AB"/>
    <w:rsid w:val="00B65F9E"/>
    <w:rsid w:val="00B66B19"/>
    <w:rsid w:val="00B71CA4"/>
    <w:rsid w:val="00B80C6D"/>
    <w:rsid w:val="00B914E9"/>
    <w:rsid w:val="00B94E11"/>
    <w:rsid w:val="00B956EE"/>
    <w:rsid w:val="00B95CEF"/>
    <w:rsid w:val="00B972C7"/>
    <w:rsid w:val="00BA2BA1"/>
    <w:rsid w:val="00BA3562"/>
    <w:rsid w:val="00BB4F09"/>
    <w:rsid w:val="00BD38E3"/>
    <w:rsid w:val="00BD4E33"/>
    <w:rsid w:val="00BF4D8E"/>
    <w:rsid w:val="00BF65C3"/>
    <w:rsid w:val="00C01503"/>
    <w:rsid w:val="00C030DE"/>
    <w:rsid w:val="00C064E1"/>
    <w:rsid w:val="00C10867"/>
    <w:rsid w:val="00C22105"/>
    <w:rsid w:val="00C244B6"/>
    <w:rsid w:val="00C3702F"/>
    <w:rsid w:val="00C4383D"/>
    <w:rsid w:val="00C4500A"/>
    <w:rsid w:val="00C461BB"/>
    <w:rsid w:val="00C64A37"/>
    <w:rsid w:val="00C7158E"/>
    <w:rsid w:val="00C7250B"/>
    <w:rsid w:val="00C7346B"/>
    <w:rsid w:val="00C75769"/>
    <w:rsid w:val="00C77C0E"/>
    <w:rsid w:val="00C80120"/>
    <w:rsid w:val="00C81C3B"/>
    <w:rsid w:val="00C839CC"/>
    <w:rsid w:val="00C83ED1"/>
    <w:rsid w:val="00C8489D"/>
    <w:rsid w:val="00C84C99"/>
    <w:rsid w:val="00C87FE8"/>
    <w:rsid w:val="00C91687"/>
    <w:rsid w:val="00C924A8"/>
    <w:rsid w:val="00C945FE"/>
    <w:rsid w:val="00C965E2"/>
    <w:rsid w:val="00C96FAA"/>
    <w:rsid w:val="00C97A04"/>
    <w:rsid w:val="00CA107B"/>
    <w:rsid w:val="00CA20F9"/>
    <w:rsid w:val="00CA484D"/>
    <w:rsid w:val="00CA4FB6"/>
    <w:rsid w:val="00CB1646"/>
    <w:rsid w:val="00CB5CC0"/>
    <w:rsid w:val="00CC6EF4"/>
    <w:rsid w:val="00CC739E"/>
    <w:rsid w:val="00CD0B05"/>
    <w:rsid w:val="00CD58B7"/>
    <w:rsid w:val="00CE54BB"/>
    <w:rsid w:val="00CF4099"/>
    <w:rsid w:val="00CF5988"/>
    <w:rsid w:val="00D005CA"/>
    <w:rsid w:val="00D00796"/>
    <w:rsid w:val="00D21705"/>
    <w:rsid w:val="00D261A2"/>
    <w:rsid w:val="00D35AB7"/>
    <w:rsid w:val="00D3787D"/>
    <w:rsid w:val="00D616D2"/>
    <w:rsid w:val="00D63B5F"/>
    <w:rsid w:val="00D70EF7"/>
    <w:rsid w:val="00D755A1"/>
    <w:rsid w:val="00D8397C"/>
    <w:rsid w:val="00D94EED"/>
    <w:rsid w:val="00D96026"/>
    <w:rsid w:val="00DA7C1C"/>
    <w:rsid w:val="00DB147A"/>
    <w:rsid w:val="00DB1B7A"/>
    <w:rsid w:val="00DB2C4B"/>
    <w:rsid w:val="00DB3F6F"/>
    <w:rsid w:val="00DC6708"/>
    <w:rsid w:val="00DE44C0"/>
    <w:rsid w:val="00DF17C4"/>
    <w:rsid w:val="00E01436"/>
    <w:rsid w:val="00E045BD"/>
    <w:rsid w:val="00E13DA0"/>
    <w:rsid w:val="00E178CE"/>
    <w:rsid w:val="00E17B77"/>
    <w:rsid w:val="00E23337"/>
    <w:rsid w:val="00E259EA"/>
    <w:rsid w:val="00E32061"/>
    <w:rsid w:val="00E34EAA"/>
    <w:rsid w:val="00E35E85"/>
    <w:rsid w:val="00E42FF9"/>
    <w:rsid w:val="00E44AD2"/>
    <w:rsid w:val="00E4714C"/>
    <w:rsid w:val="00E477FE"/>
    <w:rsid w:val="00E50A22"/>
    <w:rsid w:val="00E51AEB"/>
    <w:rsid w:val="00E522A7"/>
    <w:rsid w:val="00E5390F"/>
    <w:rsid w:val="00E54452"/>
    <w:rsid w:val="00E659EE"/>
    <w:rsid w:val="00E664C5"/>
    <w:rsid w:val="00E671A2"/>
    <w:rsid w:val="00E72285"/>
    <w:rsid w:val="00E74157"/>
    <w:rsid w:val="00E7514A"/>
    <w:rsid w:val="00E761AE"/>
    <w:rsid w:val="00E76D26"/>
    <w:rsid w:val="00E803FD"/>
    <w:rsid w:val="00EB1390"/>
    <w:rsid w:val="00EB2C71"/>
    <w:rsid w:val="00EB3505"/>
    <w:rsid w:val="00EB4340"/>
    <w:rsid w:val="00EB556D"/>
    <w:rsid w:val="00EB5A7D"/>
    <w:rsid w:val="00EC5F4C"/>
    <w:rsid w:val="00EC722E"/>
    <w:rsid w:val="00EC724A"/>
    <w:rsid w:val="00ED1DC2"/>
    <w:rsid w:val="00ED55C0"/>
    <w:rsid w:val="00ED682B"/>
    <w:rsid w:val="00ED68C9"/>
    <w:rsid w:val="00EE313A"/>
    <w:rsid w:val="00EE41D5"/>
    <w:rsid w:val="00EE5155"/>
    <w:rsid w:val="00EE59F7"/>
    <w:rsid w:val="00EE5DDD"/>
    <w:rsid w:val="00F00BD2"/>
    <w:rsid w:val="00F037A4"/>
    <w:rsid w:val="00F20E8E"/>
    <w:rsid w:val="00F25027"/>
    <w:rsid w:val="00F25976"/>
    <w:rsid w:val="00F27C8F"/>
    <w:rsid w:val="00F303F3"/>
    <w:rsid w:val="00F32749"/>
    <w:rsid w:val="00F37172"/>
    <w:rsid w:val="00F3752A"/>
    <w:rsid w:val="00F41498"/>
    <w:rsid w:val="00F4477E"/>
    <w:rsid w:val="00F57263"/>
    <w:rsid w:val="00F5773F"/>
    <w:rsid w:val="00F6332F"/>
    <w:rsid w:val="00F67D8F"/>
    <w:rsid w:val="00F802BE"/>
    <w:rsid w:val="00F80E93"/>
    <w:rsid w:val="00F84DD6"/>
    <w:rsid w:val="00F86024"/>
    <w:rsid w:val="00F8611A"/>
    <w:rsid w:val="00F870C3"/>
    <w:rsid w:val="00FA5128"/>
    <w:rsid w:val="00FB42D4"/>
    <w:rsid w:val="00FB5906"/>
    <w:rsid w:val="00FB762F"/>
    <w:rsid w:val="00FC2AED"/>
    <w:rsid w:val="00FC4A80"/>
    <w:rsid w:val="00FD146F"/>
    <w:rsid w:val="00FD3C08"/>
    <w:rsid w:val="00FD5EA7"/>
    <w:rsid w:val="00FF1B17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9D05C5-A028-44E4-9C06-A80FF6ED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8596A"/>
    <w:rPr>
      <w:color w:val="954F72" w:themeColor="followedHyperlink"/>
      <w:u w:val="single"/>
    </w:rPr>
  </w:style>
  <w:style w:type="character" w:customStyle="1" w:styleId="apple-converted-space">
    <w:name w:val="apple-converted-space"/>
    <w:rsid w:val="00AB174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3F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3F15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3F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yperlink" Target="mailto:m.rothe@stat.gov.pl" TargetMode="External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2.xml"/><Relationship Id="rId25" Type="http://schemas.openxmlformats.org/officeDocument/2006/relationships/hyperlink" Target="http://stat.gov.pl/obszary-tematyczne/podmioty-gospodarcze-wyniki-finansowe/przedsiebiorstwa-finansowe/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obszary-tematyczne/podmioty-gospodarcze-wyniki-finansowe/przedsiebiorstwa-finansow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7.png"/><Relationship Id="rId32" Type="http://schemas.openxmlformats.org/officeDocument/2006/relationships/hyperlink" Target="http://stat.gov.pl/metainformacje/slownik-pojec/pojecia-stosowane-w-statystyce-publicznej/1646,pojecie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6.png"/><Relationship Id="rId28" Type="http://schemas.openxmlformats.org/officeDocument/2006/relationships/hyperlink" Target="http://stat.gov.pl/metainformacje/slownik-pojec/pojecia-stosowane-w-statystyce-publicznej/1646,pojecie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://stat.gov.pl/metainformacje/slownik-pojec/pojecia-stosowane-w-statystyce-publicznej/1526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www.stat.gov.pl" TargetMode="External"/><Relationship Id="rId27" Type="http://schemas.openxmlformats.org/officeDocument/2006/relationships/hyperlink" Target="http://stat.gov.pl/metainformacje/slownik-pojec/pojecia-stosowane-w-statystyce-publicznej/1526,pojecie.html" TargetMode="External"/><Relationship Id="rId30" Type="http://schemas.openxmlformats.org/officeDocument/2006/relationships/hyperlink" Target="https://bdm.stat.gov.pl/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3.0208855472013404E-2"/>
          <c:y val="0.10820486312627094"/>
          <c:w val="0.95406470165348722"/>
          <c:h val="0.650023981523886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Arkusz1!$A$3</c:f>
              <c:strCache>
                <c:ptCount val="1"/>
                <c:pt idx="0">
                  <c:v>Aktywa ogółem</c:v>
                </c:pt>
              </c:strCache>
            </c:strRef>
          </c:tx>
          <c:spPr>
            <a:solidFill>
              <a:srgbClr val="007AC9"/>
            </a:solidFill>
          </c:spPr>
          <c:invertIfNegative val="0"/>
          <c:cat>
            <c:multiLvlStrRef>
              <c:f>Arkusz1!$B$1:$E$2</c:f>
              <c:multiLvlStrCache>
                <c:ptCount val="4"/>
                <c:lvl>
                  <c:pt idx="0">
                    <c:v>31.XII.</c:v>
                  </c:pt>
                  <c:pt idx="1">
                    <c:v>30.VI.</c:v>
                  </c:pt>
                  <c:pt idx="2">
                    <c:v>31.XII.</c:v>
                  </c:pt>
                  <c:pt idx="3">
                    <c:v>30.VI.</c:v>
                  </c:pt>
                </c:lvl>
                <c:lvl>
                  <c:pt idx="0">
                    <c:v>2016</c:v>
                  </c:pt>
                  <c:pt idx="1">
                    <c:v>2017</c:v>
                  </c:pt>
                  <c:pt idx="3">
                    <c:v>2018</c:v>
                  </c:pt>
                </c:lvl>
              </c:multiLvlStrCache>
            </c:multiLvlStrRef>
          </c:cat>
          <c:val>
            <c:numRef>
              <c:f>Arkusz1!$B$3:$E$3</c:f>
              <c:numCache>
                <c:formatCode>General</c:formatCode>
                <c:ptCount val="4"/>
                <c:pt idx="0">
                  <c:v>292.89999999999998</c:v>
                </c:pt>
                <c:pt idx="1">
                  <c:v>309.39999999999998</c:v>
                </c:pt>
                <c:pt idx="2">
                  <c:v>314.10000000000002</c:v>
                </c:pt>
                <c:pt idx="3" formatCode="0.0">
                  <c:v>334.2</c:v>
                </c:pt>
              </c:numCache>
            </c:numRef>
          </c:val>
        </c:ser>
        <c:ser>
          <c:idx val="1"/>
          <c:order val="1"/>
          <c:tx>
            <c:strRef>
              <c:f>Arkusz1!$A$4</c:f>
              <c:strCache>
                <c:ptCount val="1"/>
                <c:pt idx="0">
                  <c:v>Aktywa otwartych funduszy inwestycyjnych </c:v>
                </c:pt>
              </c:strCache>
            </c:strRef>
          </c:tx>
          <c:spPr>
            <a:solidFill>
              <a:srgbClr val="3395D4"/>
            </a:solidFill>
          </c:spPr>
          <c:invertIfNegative val="0"/>
          <c:cat>
            <c:multiLvlStrRef>
              <c:f>Arkusz1!$B$1:$E$2</c:f>
              <c:multiLvlStrCache>
                <c:ptCount val="4"/>
                <c:lvl>
                  <c:pt idx="0">
                    <c:v>31.XII.</c:v>
                  </c:pt>
                  <c:pt idx="1">
                    <c:v>30.VI.</c:v>
                  </c:pt>
                  <c:pt idx="2">
                    <c:v>31.XII.</c:v>
                  </c:pt>
                  <c:pt idx="3">
                    <c:v>30.VI.</c:v>
                  </c:pt>
                </c:lvl>
                <c:lvl>
                  <c:pt idx="0">
                    <c:v>2016</c:v>
                  </c:pt>
                  <c:pt idx="1">
                    <c:v>2017</c:v>
                  </c:pt>
                  <c:pt idx="3">
                    <c:v>2018</c:v>
                  </c:pt>
                </c:lvl>
              </c:multiLvlStrCache>
            </c:multiLvlStrRef>
          </c:cat>
          <c:val>
            <c:numRef>
              <c:f>Arkusz1!$B$4:$E$4</c:f>
              <c:numCache>
                <c:formatCode>General</c:formatCode>
                <c:ptCount val="4"/>
                <c:pt idx="0">
                  <c:v>90.1</c:v>
                </c:pt>
                <c:pt idx="1">
                  <c:v>100.1</c:v>
                </c:pt>
                <c:pt idx="2">
                  <c:v>104.1</c:v>
                </c:pt>
                <c:pt idx="3" formatCode="0.0">
                  <c:v>114.5</c:v>
                </c:pt>
              </c:numCache>
            </c:numRef>
          </c:val>
        </c:ser>
        <c:ser>
          <c:idx val="2"/>
          <c:order val="2"/>
          <c:tx>
            <c:strRef>
              <c:f>Arkusz1!$A$5</c:f>
              <c:strCache>
                <c:ptCount val="1"/>
                <c:pt idx="0">
                  <c:v>Aktywa specjalistycznych funduszy inwestycyjnych otwartych</c:v>
                </c:pt>
              </c:strCache>
            </c:strRef>
          </c:tx>
          <c:spPr>
            <a:solidFill>
              <a:srgbClr val="66AFDF"/>
            </a:solidFill>
          </c:spPr>
          <c:invertIfNegative val="0"/>
          <c:cat>
            <c:multiLvlStrRef>
              <c:f>Arkusz1!$B$1:$E$2</c:f>
              <c:multiLvlStrCache>
                <c:ptCount val="4"/>
                <c:lvl>
                  <c:pt idx="0">
                    <c:v>31.XII.</c:v>
                  </c:pt>
                  <c:pt idx="1">
                    <c:v>30.VI.</c:v>
                  </c:pt>
                  <c:pt idx="2">
                    <c:v>31.XII.</c:v>
                  </c:pt>
                  <c:pt idx="3">
                    <c:v>30.VI.</c:v>
                  </c:pt>
                </c:lvl>
                <c:lvl>
                  <c:pt idx="0">
                    <c:v>2016</c:v>
                  </c:pt>
                  <c:pt idx="1">
                    <c:v>2017</c:v>
                  </c:pt>
                  <c:pt idx="3">
                    <c:v>2018</c:v>
                  </c:pt>
                </c:lvl>
              </c:multiLvlStrCache>
            </c:multiLvlStrRef>
          </c:cat>
          <c:val>
            <c:numRef>
              <c:f>Arkusz1!$B$5:$E$5</c:f>
              <c:numCache>
                <c:formatCode>General</c:formatCode>
                <c:ptCount val="4"/>
                <c:pt idx="0">
                  <c:v>49.9</c:v>
                </c:pt>
                <c:pt idx="1">
                  <c:v>53.3</c:v>
                </c:pt>
                <c:pt idx="2">
                  <c:v>54.2</c:v>
                </c:pt>
                <c:pt idx="3" formatCode="0.0">
                  <c:v>59.5</c:v>
                </c:pt>
              </c:numCache>
            </c:numRef>
          </c:val>
        </c:ser>
        <c:ser>
          <c:idx val="3"/>
          <c:order val="3"/>
          <c:tx>
            <c:strRef>
              <c:f>Arkusz1!$A$6</c:f>
              <c:strCache>
                <c:ptCount val="1"/>
                <c:pt idx="0">
                  <c:v>Aktywa funduszy inwestycyjnych zamkniętych</c:v>
                </c:pt>
              </c:strCache>
            </c:strRef>
          </c:tx>
          <c:spPr>
            <a:solidFill>
              <a:srgbClr val="99CAE9"/>
            </a:solidFill>
          </c:spPr>
          <c:invertIfNegative val="0"/>
          <c:cat>
            <c:multiLvlStrRef>
              <c:f>Arkusz1!$B$1:$E$2</c:f>
              <c:multiLvlStrCache>
                <c:ptCount val="4"/>
                <c:lvl>
                  <c:pt idx="0">
                    <c:v>31.XII.</c:v>
                  </c:pt>
                  <c:pt idx="1">
                    <c:v>30.VI.</c:v>
                  </c:pt>
                  <c:pt idx="2">
                    <c:v>31.XII.</c:v>
                  </c:pt>
                  <c:pt idx="3">
                    <c:v>30.VI.</c:v>
                  </c:pt>
                </c:lvl>
                <c:lvl>
                  <c:pt idx="0">
                    <c:v>2016</c:v>
                  </c:pt>
                  <c:pt idx="1">
                    <c:v>2017</c:v>
                  </c:pt>
                  <c:pt idx="3">
                    <c:v>2018</c:v>
                  </c:pt>
                </c:lvl>
              </c:multiLvlStrCache>
            </c:multiLvlStrRef>
          </c:cat>
          <c:val>
            <c:numRef>
              <c:f>Arkusz1!$B$6:$E$6</c:f>
              <c:numCache>
                <c:formatCode>General</c:formatCode>
                <c:ptCount val="4"/>
                <c:pt idx="0">
                  <c:v>152.80000000000001</c:v>
                </c:pt>
                <c:pt idx="1">
                  <c:v>156.1</c:v>
                </c:pt>
                <c:pt idx="2">
                  <c:v>155.9</c:v>
                </c:pt>
                <c:pt idx="3" formatCode="0.0">
                  <c:v>160.19999999999999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12854864"/>
        <c:axId val="-512852144"/>
      </c:barChart>
      <c:catAx>
        <c:axId val="-512854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00"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-5128521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5128521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-5128548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4.1224970553592456E-2"/>
          <c:y val="0.85960421305932055"/>
          <c:w val="0.91048391035926157"/>
          <c:h val="0.13204496388043929"/>
        </c:manualLayout>
      </c:layout>
      <c:overlay val="0"/>
      <c:txPr>
        <a:bodyPr/>
        <a:lstStyle/>
        <a:p>
          <a:pPr>
            <a:defRPr sz="90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solidFill>
        <a:schemeClr val="bg1"/>
      </a:solidFill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0.03989</cdr:x>
      <cdr:y>0</cdr:y>
    </cdr:from>
    <cdr:to>
      <cdr:x>0.21939</cdr:x>
      <cdr:y>0.12005</cdr:y>
    </cdr:to>
    <cdr:sp macro="" textlink="">
      <cdr:nvSpPr>
        <cdr:cNvPr id="19" name="pole tekstowe 18"/>
        <cdr:cNvSpPr txBox="1"/>
      </cdr:nvSpPr>
      <cdr:spPr>
        <a:xfrm xmlns:a="http://schemas.openxmlformats.org/drawingml/2006/main">
          <a:off x="204364" y="0"/>
          <a:ext cx="919586" cy="533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900" b="0">
              <a:latin typeface="Fira Sans" panose="020B0503050000020004" pitchFamily="34" charset="0"/>
              <a:ea typeface="Fira Sans" panose="020B0503050000020004" pitchFamily="34" charset="0"/>
            </a:rPr>
            <a:t>przyrost do poprzedniego okresu</a:t>
          </a:r>
        </a:p>
      </cdr:txBody>
    </cdr:sp>
  </cdr:relSizeAnchor>
  <cdr:relSizeAnchor xmlns:cdr="http://schemas.openxmlformats.org/drawingml/2006/chartDrawing">
    <cdr:from>
      <cdr:x>0.06921</cdr:x>
      <cdr:y>0.38086</cdr:y>
    </cdr:from>
    <cdr:to>
      <cdr:x>0.13484</cdr:x>
      <cdr:y>0.44841</cdr:y>
    </cdr:to>
    <cdr:sp macro="" textlink="">
      <cdr:nvSpPr>
        <cdr:cNvPr id="20" name="pole tekstowe 19"/>
        <cdr:cNvSpPr txBox="1"/>
      </cdr:nvSpPr>
      <cdr:spPr>
        <a:xfrm xmlns:a="http://schemas.openxmlformats.org/drawingml/2006/main">
          <a:off x="552449" y="1933575"/>
          <a:ext cx="523875" cy="3428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0.23297</cdr:x>
      <cdr:y>0.24285</cdr:y>
    </cdr:from>
    <cdr:to>
      <cdr:x>0.30107</cdr:x>
      <cdr:y>0.32456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1765300" y="841375"/>
          <a:ext cx="514350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0.25315</cdr:x>
      <cdr:y>0.38204</cdr:y>
    </cdr:from>
    <cdr:to>
      <cdr:x>0.32149</cdr:x>
      <cdr:y>0.46375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1917700" y="1279525"/>
          <a:ext cx="514350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0.10025</cdr:x>
      <cdr:y>0.3694</cdr:y>
    </cdr:from>
    <cdr:to>
      <cdr:x>0.17669</cdr:x>
      <cdr:y>0.44963</cdr:y>
    </cdr:to>
    <cdr:sp macro="" textlink="">
      <cdr:nvSpPr>
        <cdr:cNvPr id="23" name="pole tekstowe 1"/>
        <cdr:cNvSpPr txBox="1"/>
      </cdr:nvSpPr>
      <cdr:spPr>
        <a:xfrm xmlns:a="http://schemas.openxmlformats.org/drawingml/2006/main" flipH="1">
          <a:off x="590117" y="1885950"/>
          <a:ext cx="449960" cy="4095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0.10356</cdr:x>
      <cdr:y>0.21812</cdr:y>
    </cdr:from>
    <cdr:to>
      <cdr:x>0.17165</cdr:x>
      <cdr:y>0.30033</cdr:y>
    </cdr:to>
    <cdr:sp macro="" textlink="">
      <cdr:nvSpPr>
        <cdr:cNvPr id="24" name="pole tekstowe 1"/>
        <cdr:cNvSpPr txBox="1"/>
      </cdr:nvSpPr>
      <cdr:spPr>
        <a:xfrm xmlns:a="http://schemas.openxmlformats.org/drawingml/2006/main">
          <a:off x="2633101" y="403723"/>
          <a:ext cx="518197" cy="2578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0.06201</cdr:x>
      <cdr:y>0.18299</cdr:y>
    </cdr:from>
    <cdr:to>
      <cdr:x>0.1372</cdr:x>
      <cdr:y>0.22181</cdr:y>
    </cdr:to>
    <cdr:sp macro="" textlink="">
      <cdr:nvSpPr>
        <cdr:cNvPr id="25" name="pole tekstowe 1"/>
        <cdr:cNvSpPr txBox="1"/>
      </cdr:nvSpPr>
      <cdr:spPr>
        <a:xfrm xmlns:a="http://schemas.openxmlformats.org/drawingml/2006/main">
          <a:off x="447675" y="942975"/>
          <a:ext cx="542925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0.09894</cdr:x>
      <cdr:y>0.38078</cdr:y>
    </cdr:from>
    <cdr:to>
      <cdr:x>0.19256</cdr:x>
      <cdr:y>0.43676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582405" y="1944034"/>
          <a:ext cx="551070" cy="285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0.16623</cdr:x>
      <cdr:y>0.38649</cdr:y>
    </cdr:from>
    <cdr:to>
      <cdr:x>0.24142</cdr:x>
      <cdr:y>0.44465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1200150" y="1991593"/>
          <a:ext cx="542925" cy="2996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0.5056</cdr:x>
      <cdr:y>0.08038</cdr:y>
    </cdr:from>
    <cdr:to>
      <cdr:x>0.5737</cdr:x>
      <cdr:y>0.1511</cdr:y>
    </cdr:to>
    <cdr:sp macro="" textlink="">
      <cdr:nvSpPr>
        <cdr:cNvPr id="28" name="pole tekstowe 1"/>
        <cdr:cNvSpPr txBox="1"/>
      </cdr:nvSpPr>
      <cdr:spPr>
        <a:xfrm xmlns:a="http://schemas.openxmlformats.org/drawingml/2006/main">
          <a:off x="3822700" y="288925"/>
          <a:ext cx="514350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0.12665</cdr:x>
      <cdr:y>0.43902</cdr:y>
    </cdr:from>
    <cdr:to>
      <cdr:x>0.20449</cdr:x>
      <cdr:y>0.49719</cdr:y>
    </cdr:to>
    <cdr:sp macro="" textlink="">
      <cdr:nvSpPr>
        <cdr:cNvPr id="29" name="pole tekstowe 1"/>
        <cdr:cNvSpPr txBox="1"/>
      </cdr:nvSpPr>
      <cdr:spPr>
        <a:xfrm xmlns:a="http://schemas.openxmlformats.org/drawingml/2006/main">
          <a:off x="914400" y="2262281"/>
          <a:ext cx="561975" cy="2997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0.54091</cdr:x>
      <cdr:y>0.30032</cdr:y>
    </cdr:from>
    <cdr:to>
      <cdr:x>0.6227</cdr:x>
      <cdr:y>0.38204</cdr:y>
    </cdr:to>
    <cdr:sp macro="" textlink="">
      <cdr:nvSpPr>
        <cdr:cNvPr id="30" name="pole tekstowe 1"/>
        <cdr:cNvSpPr txBox="1"/>
      </cdr:nvSpPr>
      <cdr:spPr>
        <a:xfrm xmlns:a="http://schemas.openxmlformats.org/drawingml/2006/main">
          <a:off x="4089399" y="1022350"/>
          <a:ext cx="615951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0.12943</cdr:x>
      <cdr:y>0.43438</cdr:y>
    </cdr:from>
    <cdr:to>
      <cdr:x>0.203</cdr:x>
      <cdr:y>0.51017</cdr:y>
    </cdr:to>
    <cdr:sp macro="" textlink="">
      <cdr:nvSpPr>
        <cdr:cNvPr id="31" name="pole tekstowe 1"/>
        <cdr:cNvSpPr txBox="1"/>
      </cdr:nvSpPr>
      <cdr:spPr>
        <a:xfrm xmlns:a="http://schemas.openxmlformats.org/drawingml/2006/main">
          <a:off x="904876" y="2217683"/>
          <a:ext cx="514350" cy="3869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0.16757</cdr:x>
      <cdr:y>0.36784</cdr:y>
    </cdr:from>
    <cdr:to>
      <cdr:x>0.23842</cdr:x>
      <cdr:y>0.43438</cdr:y>
    </cdr:to>
    <cdr:sp macro="" textlink="">
      <cdr:nvSpPr>
        <cdr:cNvPr id="32" name="pole tekstowe 1"/>
        <cdr:cNvSpPr txBox="1"/>
      </cdr:nvSpPr>
      <cdr:spPr>
        <a:xfrm xmlns:a="http://schemas.openxmlformats.org/drawingml/2006/main">
          <a:off x="1171575" y="1877970"/>
          <a:ext cx="495300" cy="3397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0.19212</cdr:x>
      <cdr:y>0.18199</cdr:y>
    </cdr:from>
    <cdr:to>
      <cdr:x>0.26372</cdr:x>
      <cdr:y>0.26079</cdr:y>
    </cdr:to>
    <cdr:sp macro="" textlink="">
      <cdr:nvSpPr>
        <cdr:cNvPr id="33" name="pole tekstowe 1"/>
        <cdr:cNvSpPr txBox="1"/>
      </cdr:nvSpPr>
      <cdr:spPr>
        <a:xfrm xmlns:a="http://schemas.openxmlformats.org/drawingml/2006/main">
          <a:off x="1533524" y="923925"/>
          <a:ext cx="571500" cy="4000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0.10082</cdr:x>
      <cdr:y>0.37687</cdr:y>
    </cdr:from>
    <cdr:to>
      <cdr:x>0.16213</cdr:x>
      <cdr:y>0.44547</cdr:y>
    </cdr:to>
    <cdr:sp macro="" textlink="">
      <cdr:nvSpPr>
        <cdr:cNvPr id="34" name="pole tekstowe 1"/>
        <cdr:cNvSpPr txBox="1"/>
      </cdr:nvSpPr>
      <cdr:spPr>
        <a:xfrm xmlns:a="http://schemas.openxmlformats.org/drawingml/2006/main">
          <a:off x="704850" y="1924051"/>
          <a:ext cx="428625" cy="3502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0.09547</cdr:x>
      <cdr:y>0.45216</cdr:y>
    </cdr:from>
    <cdr:to>
      <cdr:x>0.1611</cdr:x>
      <cdr:y>0.54972</cdr:y>
    </cdr:to>
    <cdr:sp macro="" textlink="">
      <cdr:nvSpPr>
        <cdr:cNvPr id="35" name="pole tekstowe 1"/>
        <cdr:cNvSpPr txBox="1"/>
      </cdr:nvSpPr>
      <cdr:spPr>
        <a:xfrm xmlns:a="http://schemas.openxmlformats.org/drawingml/2006/main">
          <a:off x="761999" y="2295525"/>
          <a:ext cx="523875" cy="4953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0.1241</cdr:x>
      <cdr:y>0.32083</cdr:y>
    </cdr:from>
    <cdr:to>
      <cdr:x>0.1969</cdr:x>
      <cdr:y>0.38274</cdr:y>
    </cdr:to>
    <cdr:sp macro="" textlink="">
      <cdr:nvSpPr>
        <cdr:cNvPr id="36" name="pole tekstowe 1"/>
        <cdr:cNvSpPr txBox="1"/>
      </cdr:nvSpPr>
      <cdr:spPr>
        <a:xfrm xmlns:a="http://schemas.openxmlformats.org/drawingml/2006/main">
          <a:off x="761242" y="1628775"/>
          <a:ext cx="446562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0.03222</cdr:x>
      <cdr:y>0.23452</cdr:y>
    </cdr:from>
    <cdr:to>
      <cdr:x>0.11456</cdr:x>
      <cdr:y>0.29644</cdr:y>
    </cdr:to>
    <cdr:sp macro="" textlink="">
      <cdr:nvSpPr>
        <cdr:cNvPr id="37" name="pole tekstowe 1"/>
        <cdr:cNvSpPr txBox="1"/>
      </cdr:nvSpPr>
      <cdr:spPr>
        <a:xfrm xmlns:a="http://schemas.openxmlformats.org/drawingml/2006/main">
          <a:off x="257173" y="1190625"/>
          <a:ext cx="657225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0.22792</cdr:x>
      <cdr:y>0.37899</cdr:y>
    </cdr:from>
    <cdr:to>
      <cdr:x>0.29833</cdr:x>
      <cdr:y>0.44278</cdr:y>
    </cdr:to>
    <cdr:sp macro="" textlink="">
      <cdr:nvSpPr>
        <cdr:cNvPr id="38" name="pole tekstowe 1"/>
        <cdr:cNvSpPr txBox="1"/>
      </cdr:nvSpPr>
      <cdr:spPr>
        <a:xfrm xmlns:a="http://schemas.openxmlformats.org/drawingml/2006/main">
          <a:off x="1819274" y="1924050"/>
          <a:ext cx="561974" cy="3238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0.24821</cdr:x>
      <cdr:y>0.42964</cdr:y>
    </cdr:from>
    <cdr:to>
      <cdr:x>0.31742</cdr:x>
      <cdr:y>0.50094</cdr:y>
    </cdr:to>
    <cdr:sp macro="" textlink="">
      <cdr:nvSpPr>
        <cdr:cNvPr id="39" name="pole tekstowe 1"/>
        <cdr:cNvSpPr txBox="1"/>
      </cdr:nvSpPr>
      <cdr:spPr>
        <a:xfrm xmlns:a="http://schemas.openxmlformats.org/drawingml/2006/main">
          <a:off x="1981200" y="2181224"/>
          <a:ext cx="552450" cy="3619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0.09649</cdr:x>
      <cdr:y>0.25373</cdr:y>
    </cdr:from>
    <cdr:to>
      <cdr:x>0.15789</cdr:x>
      <cdr:y>0.3097</cdr:y>
    </cdr:to>
    <cdr:sp macro="" textlink="">
      <cdr:nvSpPr>
        <cdr:cNvPr id="40" name="pole tekstowe 1"/>
        <cdr:cNvSpPr txBox="1"/>
      </cdr:nvSpPr>
      <cdr:spPr>
        <a:xfrm xmlns:a="http://schemas.openxmlformats.org/drawingml/2006/main">
          <a:off x="733425" y="1295400"/>
          <a:ext cx="466725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0.58115</cdr:x>
      <cdr:y>0.13884</cdr:y>
    </cdr:from>
    <cdr:to>
      <cdr:x>0.6957</cdr:x>
      <cdr:y>0.31895</cdr:y>
    </cdr:to>
    <cdr:sp macro="" textlink="">
      <cdr:nvSpPr>
        <cdr:cNvPr id="42" name="pole tekstowe 41"/>
        <cdr:cNvSpPr txBox="1"/>
      </cdr:nvSpPr>
      <cdr:spPr>
        <a:xfrm xmlns:a="http://schemas.openxmlformats.org/drawingml/2006/main">
          <a:off x="4638674" y="7048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0.09264</cdr:x>
      <cdr:y>0.18843</cdr:y>
    </cdr:from>
    <cdr:to>
      <cdr:x>0.15804</cdr:x>
      <cdr:y>0.24627</cdr:y>
    </cdr:to>
    <cdr:sp macro="" textlink="">
      <cdr:nvSpPr>
        <cdr:cNvPr id="43" name="pole tekstowe 42"/>
        <cdr:cNvSpPr txBox="1"/>
      </cdr:nvSpPr>
      <cdr:spPr>
        <a:xfrm xmlns:a="http://schemas.openxmlformats.org/drawingml/2006/main">
          <a:off x="647700" y="962024"/>
          <a:ext cx="457200" cy="2952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0.56332</cdr:x>
      <cdr:y>0.28096</cdr:y>
    </cdr:from>
    <cdr:to>
      <cdr:x>0.68997</cdr:x>
      <cdr:y>0.45841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067176" y="1447801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0.53562</cdr:x>
      <cdr:y>0.29945</cdr:y>
    </cdr:from>
    <cdr:to>
      <cdr:x>0.66227</cdr:x>
      <cdr:y>0.36044</cdr:y>
    </cdr:to>
    <cdr:sp macro="" textlink="">
      <cdr:nvSpPr>
        <cdr:cNvPr id="12" name="pole tekstowe 11"/>
        <cdr:cNvSpPr txBox="1"/>
      </cdr:nvSpPr>
      <cdr:spPr>
        <a:xfrm xmlns:a="http://schemas.openxmlformats.org/drawingml/2006/main">
          <a:off x="3867151" y="1543051"/>
          <a:ext cx="914400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0.13534</cdr:x>
      <cdr:y>0.4403</cdr:y>
    </cdr:from>
    <cdr:to>
      <cdr:x>0.198</cdr:x>
      <cdr:y>0.49353</cdr:y>
    </cdr:to>
    <cdr:sp macro="" textlink="">
      <cdr:nvSpPr>
        <cdr:cNvPr id="44" name="pole tekstowe 43"/>
        <cdr:cNvSpPr txBox="1"/>
      </cdr:nvSpPr>
      <cdr:spPr>
        <a:xfrm xmlns:a="http://schemas.openxmlformats.org/drawingml/2006/main">
          <a:off x="1028701" y="2247900"/>
          <a:ext cx="476250" cy="2717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0.16917</cdr:x>
      <cdr:y>0.38246</cdr:y>
    </cdr:from>
    <cdr:to>
      <cdr:x>0.2406</cdr:x>
      <cdr:y>0.43097</cdr:y>
    </cdr:to>
    <cdr:sp macro="" textlink="">
      <cdr:nvSpPr>
        <cdr:cNvPr id="45" name="pole tekstowe 44"/>
        <cdr:cNvSpPr txBox="1"/>
      </cdr:nvSpPr>
      <cdr:spPr>
        <a:xfrm xmlns:a="http://schemas.openxmlformats.org/drawingml/2006/main">
          <a:off x="1285875" y="1952624"/>
          <a:ext cx="542925" cy="2476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0.27945</cdr:x>
      <cdr:y>0.20522</cdr:y>
    </cdr:from>
    <cdr:to>
      <cdr:x>0.34712</cdr:x>
      <cdr:y>0.28172</cdr:y>
    </cdr:to>
    <cdr:sp macro="" textlink="">
      <cdr:nvSpPr>
        <cdr:cNvPr id="46" name="pole tekstowe 45"/>
        <cdr:cNvSpPr txBox="1"/>
      </cdr:nvSpPr>
      <cdr:spPr>
        <a:xfrm xmlns:a="http://schemas.openxmlformats.org/drawingml/2006/main">
          <a:off x="2124075" y="1047750"/>
          <a:ext cx="514350" cy="3905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0.28697</cdr:x>
      <cdr:y>0.36007</cdr:y>
    </cdr:from>
    <cdr:to>
      <cdr:x>0.35464</cdr:x>
      <cdr:y>0.40299</cdr:y>
    </cdr:to>
    <cdr:sp macro="" textlink="">
      <cdr:nvSpPr>
        <cdr:cNvPr id="47" name="pole tekstowe 46"/>
        <cdr:cNvSpPr txBox="1"/>
      </cdr:nvSpPr>
      <cdr:spPr>
        <a:xfrm xmlns:a="http://schemas.openxmlformats.org/drawingml/2006/main">
          <a:off x="2181226" y="1838325"/>
          <a:ext cx="514350" cy="2191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0.32581</cdr:x>
      <cdr:y>0.44963</cdr:y>
    </cdr:from>
    <cdr:to>
      <cdr:x>0.38471</cdr:x>
      <cdr:y>0.4944</cdr:y>
    </cdr:to>
    <cdr:sp macro="" textlink="">
      <cdr:nvSpPr>
        <cdr:cNvPr id="48" name="pole tekstowe 47"/>
        <cdr:cNvSpPr txBox="1"/>
      </cdr:nvSpPr>
      <cdr:spPr>
        <a:xfrm xmlns:a="http://schemas.openxmlformats.org/drawingml/2006/main">
          <a:off x="2476500" y="2295525"/>
          <a:ext cx="447675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0.36216</cdr:x>
      <cdr:y>0.40672</cdr:y>
    </cdr:from>
    <cdr:to>
      <cdr:x>0.42732</cdr:x>
      <cdr:y>0.47388</cdr:y>
    </cdr:to>
    <cdr:sp macro="" textlink="">
      <cdr:nvSpPr>
        <cdr:cNvPr id="50" name="pole tekstowe 49"/>
        <cdr:cNvSpPr txBox="1"/>
      </cdr:nvSpPr>
      <cdr:spPr>
        <a:xfrm xmlns:a="http://schemas.openxmlformats.org/drawingml/2006/main">
          <a:off x="2752725" y="2076450"/>
          <a:ext cx="495300" cy="3429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0.10032</cdr:x>
      <cdr:y>0.375</cdr:y>
    </cdr:from>
    <cdr:to>
      <cdr:x>0.16667</cdr:x>
      <cdr:y>0.44216</cdr:y>
    </cdr:to>
    <cdr:sp macro="" textlink="">
      <cdr:nvSpPr>
        <cdr:cNvPr id="52" name="pole tekstowe 51"/>
        <cdr:cNvSpPr txBox="1"/>
      </cdr:nvSpPr>
      <cdr:spPr>
        <a:xfrm xmlns:a="http://schemas.openxmlformats.org/drawingml/2006/main">
          <a:off x="590550" y="1914525"/>
          <a:ext cx="390525" cy="3428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0.14078</cdr:x>
      <cdr:y>0.45709</cdr:y>
    </cdr:from>
    <cdr:to>
      <cdr:x>0.21036</cdr:x>
      <cdr:y>0.51119</cdr:y>
    </cdr:to>
    <cdr:sp macro="" textlink="">
      <cdr:nvSpPr>
        <cdr:cNvPr id="55" name="pole tekstowe 54"/>
        <cdr:cNvSpPr txBox="1"/>
      </cdr:nvSpPr>
      <cdr:spPr>
        <a:xfrm xmlns:a="http://schemas.openxmlformats.org/drawingml/2006/main">
          <a:off x="828675" y="2333625"/>
          <a:ext cx="409575" cy="2762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0.18932</cdr:x>
      <cdr:y>0.34515</cdr:y>
    </cdr:from>
    <cdr:to>
      <cdr:x>0.26861</cdr:x>
      <cdr:y>0.40858</cdr:y>
    </cdr:to>
    <cdr:sp macro="" textlink="">
      <cdr:nvSpPr>
        <cdr:cNvPr id="56" name="pole tekstowe 55"/>
        <cdr:cNvSpPr txBox="1"/>
      </cdr:nvSpPr>
      <cdr:spPr>
        <a:xfrm xmlns:a="http://schemas.openxmlformats.org/drawingml/2006/main">
          <a:off x="1114425" y="1762128"/>
          <a:ext cx="466725" cy="3238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0.86649</cdr:x>
      <cdr:y>0.04851</cdr:y>
    </cdr:from>
    <cdr:to>
      <cdr:x>0.91144</cdr:x>
      <cdr:y>0.09142</cdr:y>
    </cdr:to>
    <cdr:sp macro="" textlink="">
      <cdr:nvSpPr>
        <cdr:cNvPr id="16" name="pole tekstowe 15"/>
        <cdr:cNvSpPr txBox="1"/>
      </cdr:nvSpPr>
      <cdr:spPr>
        <a:xfrm xmlns:a="http://schemas.openxmlformats.org/drawingml/2006/main">
          <a:off x="6057900" y="247650"/>
          <a:ext cx="314325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0.07282</cdr:x>
      <cdr:y>0.14366</cdr:y>
    </cdr:from>
    <cdr:to>
      <cdr:x>0.16828</cdr:x>
      <cdr:y>0.20336</cdr:y>
    </cdr:to>
    <cdr:sp macro="" textlink="">
      <cdr:nvSpPr>
        <cdr:cNvPr id="49" name="pole tekstowe 48"/>
        <cdr:cNvSpPr txBox="1"/>
      </cdr:nvSpPr>
      <cdr:spPr>
        <a:xfrm xmlns:a="http://schemas.openxmlformats.org/drawingml/2006/main" flipH="1">
          <a:off x="428624" y="733442"/>
          <a:ext cx="561975" cy="3047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0.10356</cdr:x>
      <cdr:y>0.34142</cdr:y>
    </cdr:from>
    <cdr:to>
      <cdr:x>0.18123</cdr:x>
      <cdr:y>0.39925</cdr:y>
    </cdr:to>
    <cdr:sp macro="" textlink="">
      <cdr:nvSpPr>
        <cdr:cNvPr id="58" name="pole tekstowe 57"/>
        <cdr:cNvSpPr txBox="1"/>
      </cdr:nvSpPr>
      <cdr:spPr>
        <a:xfrm xmlns:a="http://schemas.openxmlformats.org/drawingml/2006/main">
          <a:off x="609601" y="1743085"/>
          <a:ext cx="457199" cy="2952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0.13916</cdr:x>
      <cdr:y>0.41791</cdr:y>
    </cdr:from>
    <cdr:to>
      <cdr:x>0.21359</cdr:x>
      <cdr:y>0.47761</cdr:y>
    </cdr:to>
    <cdr:sp macro="" textlink="">
      <cdr:nvSpPr>
        <cdr:cNvPr id="60" name="pole tekstowe 59"/>
        <cdr:cNvSpPr txBox="1"/>
      </cdr:nvSpPr>
      <cdr:spPr>
        <a:xfrm xmlns:a="http://schemas.openxmlformats.org/drawingml/2006/main">
          <a:off x="819151" y="2133601"/>
          <a:ext cx="438150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0.17799</cdr:x>
      <cdr:y>0.29291</cdr:y>
    </cdr:from>
    <cdr:to>
      <cdr:x>0.27184</cdr:x>
      <cdr:y>0.35261</cdr:y>
    </cdr:to>
    <cdr:sp macro="" textlink="">
      <cdr:nvSpPr>
        <cdr:cNvPr id="61" name="pole tekstowe 60"/>
        <cdr:cNvSpPr txBox="1"/>
      </cdr:nvSpPr>
      <cdr:spPr>
        <a:xfrm xmlns:a="http://schemas.openxmlformats.org/drawingml/2006/main">
          <a:off x="1047751" y="1495422"/>
          <a:ext cx="552450" cy="3047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0.13659</cdr:x>
      <cdr:y>0.55597</cdr:y>
    </cdr:from>
    <cdr:to>
      <cdr:x>0.18296</cdr:x>
      <cdr:y>0.625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1038225" y="2838450"/>
          <a:ext cx="352425" cy="3524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0.0614</cdr:x>
      <cdr:y>0.30224</cdr:y>
    </cdr:from>
    <cdr:to>
      <cdr:x>0.13033</cdr:x>
      <cdr:y>0.35261</cdr:y>
    </cdr:to>
    <cdr:sp macro="" textlink="">
      <cdr:nvSpPr>
        <cdr:cNvPr id="54" name="pole tekstowe 53"/>
        <cdr:cNvSpPr txBox="1"/>
      </cdr:nvSpPr>
      <cdr:spPr>
        <a:xfrm xmlns:a="http://schemas.openxmlformats.org/drawingml/2006/main">
          <a:off x="466725" y="1543050"/>
          <a:ext cx="52387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0.099</cdr:x>
      <cdr:y>0.56157</cdr:y>
    </cdr:from>
    <cdr:to>
      <cdr:x>0.15915</cdr:x>
      <cdr:y>0.59888</cdr:y>
    </cdr:to>
    <cdr:sp macro="" textlink="">
      <cdr:nvSpPr>
        <cdr:cNvPr id="62" name="pole tekstowe 61"/>
        <cdr:cNvSpPr txBox="1"/>
      </cdr:nvSpPr>
      <cdr:spPr>
        <a:xfrm xmlns:a="http://schemas.openxmlformats.org/drawingml/2006/main">
          <a:off x="752475" y="2867025"/>
          <a:ext cx="457200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0.13158</cdr:x>
      <cdr:y>0.59888</cdr:y>
    </cdr:from>
    <cdr:to>
      <cdr:x>0.25188</cdr:x>
      <cdr:y>0.67164</cdr:y>
    </cdr:to>
    <cdr:sp macro="" textlink="">
      <cdr:nvSpPr>
        <cdr:cNvPr id="63" name="pole tekstowe 62"/>
        <cdr:cNvSpPr txBox="1"/>
      </cdr:nvSpPr>
      <cdr:spPr>
        <a:xfrm xmlns:a="http://schemas.openxmlformats.org/drawingml/2006/main">
          <a:off x="1000125" y="3057525"/>
          <a:ext cx="914400" cy="3714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0.17043</cdr:x>
      <cdr:y>0.52985</cdr:y>
    </cdr:from>
    <cdr:to>
      <cdr:x>0.22807</cdr:x>
      <cdr:y>0.58209</cdr:y>
    </cdr:to>
    <cdr:sp macro="" textlink="">
      <cdr:nvSpPr>
        <cdr:cNvPr id="64" name="pole tekstowe 63"/>
        <cdr:cNvSpPr txBox="1"/>
      </cdr:nvSpPr>
      <cdr:spPr>
        <a:xfrm xmlns:a="http://schemas.openxmlformats.org/drawingml/2006/main">
          <a:off x="1295401" y="2705100"/>
          <a:ext cx="438150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0.25063</cdr:x>
      <cdr:y>0.26119</cdr:y>
    </cdr:from>
    <cdr:to>
      <cdr:x>0.31579</cdr:x>
      <cdr:y>0.31343</cdr:y>
    </cdr:to>
    <cdr:sp macro="" textlink="">
      <cdr:nvSpPr>
        <cdr:cNvPr id="65" name="pole tekstowe 64"/>
        <cdr:cNvSpPr txBox="1"/>
      </cdr:nvSpPr>
      <cdr:spPr>
        <a:xfrm xmlns:a="http://schemas.openxmlformats.org/drawingml/2006/main">
          <a:off x="1905000" y="1333501"/>
          <a:ext cx="495300" cy="2666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0.28947</cdr:x>
      <cdr:y>0.52799</cdr:y>
    </cdr:from>
    <cdr:to>
      <cdr:x>0.34586</cdr:x>
      <cdr:y>0.58396</cdr:y>
    </cdr:to>
    <cdr:sp macro="" textlink="">
      <cdr:nvSpPr>
        <cdr:cNvPr id="66" name="pole tekstowe 65"/>
        <cdr:cNvSpPr txBox="1"/>
      </cdr:nvSpPr>
      <cdr:spPr>
        <a:xfrm xmlns:a="http://schemas.openxmlformats.org/drawingml/2006/main">
          <a:off x="2200275" y="2695576"/>
          <a:ext cx="428625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0.32206</cdr:x>
      <cdr:y>0.60448</cdr:y>
    </cdr:from>
    <cdr:to>
      <cdr:x>0.3797</cdr:x>
      <cdr:y>0.65485</cdr:y>
    </cdr:to>
    <cdr:sp macro="" textlink="">
      <cdr:nvSpPr>
        <cdr:cNvPr id="67" name="pole tekstowe 66"/>
        <cdr:cNvSpPr txBox="1"/>
      </cdr:nvSpPr>
      <cdr:spPr>
        <a:xfrm xmlns:a="http://schemas.openxmlformats.org/drawingml/2006/main">
          <a:off x="2447926" y="3086100"/>
          <a:ext cx="438150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0.3609</cdr:x>
      <cdr:y>0.53918</cdr:y>
    </cdr:from>
    <cdr:to>
      <cdr:x>0.41353</cdr:x>
      <cdr:y>0.58955</cdr:y>
    </cdr:to>
    <cdr:sp macro="" textlink="">
      <cdr:nvSpPr>
        <cdr:cNvPr id="68" name="pole tekstowe 67"/>
        <cdr:cNvSpPr txBox="1"/>
      </cdr:nvSpPr>
      <cdr:spPr>
        <a:xfrm xmlns:a="http://schemas.openxmlformats.org/drawingml/2006/main">
          <a:off x="2743200" y="2752725"/>
          <a:ext cx="400050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0.05016</cdr:x>
      <cdr:y>0.21828</cdr:y>
    </cdr:from>
    <cdr:to>
      <cdr:x>0.1246</cdr:x>
      <cdr:y>0.27052</cdr:y>
    </cdr:to>
    <cdr:sp macro="" textlink="">
      <cdr:nvSpPr>
        <cdr:cNvPr id="69" name="pole tekstowe 68"/>
        <cdr:cNvSpPr txBox="1"/>
      </cdr:nvSpPr>
      <cdr:spPr>
        <a:xfrm xmlns:a="http://schemas.openxmlformats.org/drawingml/2006/main">
          <a:off x="295276" y="1114425"/>
          <a:ext cx="438150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0.09385</cdr:x>
      <cdr:y>0.52239</cdr:y>
    </cdr:from>
    <cdr:to>
      <cdr:x>0.15696</cdr:x>
      <cdr:y>0.56903</cdr:y>
    </cdr:to>
    <cdr:sp macro="" textlink="">
      <cdr:nvSpPr>
        <cdr:cNvPr id="70" name="pole tekstowe 69"/>
        <cdr:cNvSpPr txBox="1"/>
      </cdr:nvSpPr>
      <cdr:spPr>
        <a:xfrm xmlns:a="http://schemas.openxmlformats.org/drawingml/2006/main">
          <a:off x="552450" y="2667009"/>
          <a:ext cx="371475" cy="23811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0.13592</cdr:x>
      <cdr:y>0.60075</cdr:y>
    </cdr:from>
    <cdr:to>
      <cdr:x>0.20388</cdr:x>
      <cdr:y>0.64925</cdr:y>
    </cdr:to>
    <cdr:sp macro="" textlink="">
      <cdr:nvSpPr>
        <cdr:cNvPr id="71" name="pole tekstowe 70"/>
        <cdr:cNvSpPr txBox="1"/>
      </cdr:nvSpPr>
      <cdr:spPr>
        <a:xfrm xmlns:a="http://schemas.openxmlformats.org/drawingml/2006/main">
          <a:off x="800101" y="3067050"/>
          <a:ext cx="400050" cy="2476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0.17638</cdr:x>
      <cdr:y>0.49813</cdr:y>
    </cdr:from>
    <cdr:to>
      <cdr:x>0.25405</cdr:x>
      <cdr:y>0.55037</cdr:y>
    </cdr:to>
    <cdr:sp macro="" textlink="">
      <cdr:nvSpPr>
        <cdr:cNvPr id="72" name="pole tekstowe 71"/>
        <cdr:cNvSpPr txBox="1"/>
      </cdr:nvSpPr>
      <cdr:spPr>
        <a:xfrm xmlns:a="http://schemas.openxmlformats.org/drawingml/2006/main">
          <a:off x="1038225" y="2543152"/>
          <a:ext cx="457200" cy="2667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0.04531</cdr:x>
      <cdr:y>0.18097</cdr:y>
    </cdr:from>
    <cdr:to>
      <cdr:x>0.13916</cdr:x>
      <cdr:y>0.24067</cdr:y>
    </cdr:to>
    <cdr:sp macro="" textlink="">
      <cdr:nvSpPr>
        <cdr:cNvPr id="73" name="pole tekstowe 72"/>
        <cdr:cNvSpPr txBox="1"/>
      </cdr:nvSpPr>
      <cdr:spPr>
        <a:xfrm xmlns:a="http://schemas.openxmlformats.org/drawingml/2006/main">
          <a:off x="266700" y="923924"/>
          <a:ext cx="552451" cy="3047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0.09871</cdr:x>
      <cdr:y>0.52799</cdr:y>
    </cdr:from>
    <cdr:to>
      <cdr:x>0.16828</cdr:x>
      <cdr:y>0.58396</cdr:y>
    </cdr:to>
    <cdr:sp macro="" textlink="">
      <cdr:nvSpPr>
        <cdr:cNvPr id="74" name="pole tekstowe 73"/>
        <cdr:cNvSpPr txBox="1"/>
      </cdr:nvSpPr>
      <cdr:spPr>
        <a:xfrm xmlns:a="http://schemas.openxmlformats.org/drawingml/2006/main">
          <a:off x="581025" y="2695600"/>
          <a:ext cx="409575" cy="2857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0.1343</cdr:x>
      <cdr:y>0.60634</cdr:y>
    </cdr:from>
    <cdr:to>
      <cdr:x>0.20874</cdr:x>
      <cdr:y>0.65485</cdr:y>
    </cdr:to>
    <cdr:sp macro="" textlink="">
      <cdr:nvSpPr>
        <cdr:cNvPr id="75" name="pole tekstowe 74"/>
        <cdr:cNvSpPr txBox="1"/>
      </cdr:nvSpPr>
      <cdr:spPr>
        <a:xfrm xmlns:a="http://schemas.openxmlformats.org/drawingml/2006/main">
          <a:off x="790575" y="3095608"/>
          <a:ext cx="438150" cy="2476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0.18608</cdr:x>
      <cdr:y>0.4459</cdr:y>
    </cdr:from>
    <cdr:to>
      <cdr:x>0.26537</cdr:x>
      <cdr:y>0.5</cdr:y>
    </cdr:to>
    <cdr:sp macro="" textlink="">
      <cdr:nvSpPr>
        <cdr:cNvPr id="76" name="pole tekstowe 75"/>
        <cdr:cNvSpPr txBox="1"/>
      </cdr:nvSpPr>
      <cdr:spPr>
        <a:xfrm xmlns:a="http://schemas.openxmlformats.org/drawingml/2006/main">
          <a:off x="1095376" y="2276497"/>
          <a:ext cx="466724" cy="27620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0.0534</cdr:x>
      <cdr:y>0.15858</cdr:y>
    </cdr:from>
    <cdr:to>
      <cdr:x>0.1343</cdr:x>
      <cdr:y>0.21269</cdr:y>
    </cdr:to>
    <cdr:sp macro="" textlink="">
      <cdr:nvSpPr>
        <cdr:cNvPr id="77" name="pole tekstowe 76"/>
        <cdr:cNvSpPr txBox="1"/>
      </cdr:nvSpPr>
      <cdr:spPr>
        <a:xfrm xmlns:a="http://schemas.openxmlformats.org/drawingml/2006/main">
          <a:off x="314336" y="809625"/>
          <a:ext cx="476214" cy="2762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9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0.79194</cdr:x>
      <cdr:y>0.10821</cdr:y>
    </cdr:from>
    <cdr:to>
      <cdr:x>0.80572</cdr:x>
      <cdr:y>0.17537</cdr:y>
    </cdr:to>
    <cdr:sp macro="" textlink="">
      <cdr:nvSpPr>
        <cdr:cNvPr id="80" name="Strzałka w górę 79"/>
        <cdr:cNvSpPr/>
      </cdr:nvSpPr>
      <cdr:spPr>
        <a:xfrm xmlns:a="http://schemas.openxmlformats.org/drawingml/2006/main">
          <a:off x="4661703" y="552461"/>
          <a:ext cx="81115" cy="342878"/>
        </a:xfrm>
        <a:prstGeom xmlns:a="http://schemas.openxmlformats.org/drawingml/2006/main" prst="upArrow">
          <a:avLst/>
        </a:prstGeom>
        <a:solidFill xmlns:a="http://schemas.openxmlformats.org/drawingml/2006/main">
          <a:srgbClr val="007AC9"/>
        </a:solidFill>
        <a:ln xmlns:a="http://schemas.openxmlformats.org/drawingml/2006/main">
          <a:solidFill>
            <a:schemeClr val="accent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0.80583</cdr:x>
      <cdr:y>0.12313</cdr:y>
    </cdr:from>
    <cdr:to>
      <cdr:x>0.87055</cdr:x>
      <cdr:y>0.16418</cdr:y>
    </cdr:to>
    <cdr:sp macro="" textlink="">
      <cdr:nvSpPr>
        <cdr:cNvPr id="81" name="pole tekstowe 80"/>
        <cdr:cNvSpPr txBox="1"/>
      </cdr:nvSpPr>
      <cdr:spPr>
        <a:xfrm xmlns:a="http://schemas.openxmlformats.org/drawingml/2006/main">
          <a:off x="4743451" y="628650"/>
          <a:ext cx="381000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</a:rPr>
            <a:t>6,4%</a:t>
          </a:r>
        </a:p>
      </cdr:txBody>
    </cdr:sp>
  </cdr:relSizeAnchor>
  <cdr:relSizeAnchor xmlns:cdr="http://schemas.openxmlformats.org/drawingml/2006/chartDrawing">
    <cdr:from>
      <cdr:x>0.09709</cdr:x>
      <cdr:y>0.54851</cdr:y>
    </cdr:from>
    <cdr:to>
      <cdr:x>0.16505</cdr:x>
      <cdr:y>0.59142</cdr:y>
    </cdr:to>
    <cdr:sp macro="" textlink="">
      <cdr:nvSpPr>
        <cdr:cNvPr id="82" name="pole tekstowe 81"/>
        <cdr:cNvSpPr txBox="1"/>
      </cdr:nvSpPr>
      <cdr:spPr>
        <a:xfrm xmlns:a="http://schemas.openxmlformats.org/drawingml/2006/main">
          <a:off x="571515" y="2800350"/>
          <a:ext cx="400044" cy="2190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9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0.10032</cdr:x>
      <cdr:y>0.38806</cdr:y>
    </cdr:from>
    <cdr:to>
      <cdr:x>0.16505</cdr:x>
      <cdr:y>0.46269</cdr:y>
    </cdr:to>
    <cdr:sp macro="" textlink="">
      <cdr:nvSpPr>
        <cdr:cNvPr id="84" name="pole tekstowe 83"/>
        <cdr:cNvSpPr txBox="1"/>
      </cdr:nvSpPr>
      <cdr:spPr>
        <a:xfrm xmlns:a="http://schemas.openxmlformats.org/drawingml/2006/main">
          <a:off x="590529" y="1981201"/>
          <a:ext cx="381030" cy="3809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0.13592</cdr:x>
      <cdr:y>0.61007</cdr:y>
    </cdr:from>
    <cdr:to>
      <cdr:x>0.20227</cdr:x>
      <cdr:y>0.65112</cdr:y>
    </cdr:to>
    <cdr:sp macro="" textlink="">
      <cdr:nvSpPr>
        <cdr:cNvPr id="85" name="pole tekstowe 84"/>
        <cdr:cNvSpPr txBox="1"/>
      </cdr:nvSpPr>
      <cdr:spPr>
        <a:xfrm xmlns:a="http://schemas.openxmlformats.org/drawingml/2006/main">
          <a:off x="800086" y="3114675"/>
          <a:ext cx="390566" cy="2095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9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0.13592</cdr:x>
      <cdr:y>0.46455</cdr:y>
    </cdr:from>
    <cdr:to>
      <cdr:x>0.19903</cdr:x>
      <cdr:y>0.50933</cdr:y>
    </cdr:to>
    <cdr:sp macro="" textlink="">
      <cdr:nvSpPr>
        <cdr:cNvPr id="87" name="pole tekstowe 86"/>
        <cdr:cNvSpPr txBox="1"/>
      </cdr:nvSpPr>
      <cdr:spPr>
        <a:xfrm xmlns:a="http://schemas.openxmlformats.org/drawingml/2006/main">
          <a:off x="800086" y="2371725"/>
          <a:ext cx="371494" cy="2286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0.76214</cdr:x>
      <cdr:y>0.17164</cdr:y>
    </cdr:from>
    <cdr:to>
      <cdr:x>0.82848</cdr:x>
      <cdr:y>0.22575</cdr:y>
    </cdr:to>
    <cdr:sp macro="" textlink="">
      <cdr:nvSpPr>
        <cdr:cNvPr id="88" name="pole tekstowe 87"/>
        <cdr:cNvSpPr txBox="1"/>
      </cdr:nvSpPr>
      <cdr:spPr>
        <a:xfrm xmlns:a="http://schemas.openxmlformats.org/drawingml/2006/main">
          <a:off x="4486274" y="876299"/>
          <a:ext cx="390525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334,2</a:t>
          </a:r>
        </a:p>
      </cdr:txBody>
    </cdr:sp>
  </cdr:relSizeAnchor>
  <cdr:relSizeAnchor xmlns:cdr="http://schemas.openxmlformats.org/drawingml/2006/chartDrawing">
    <cdr:from>
      <cdr:x>0.4421</cdr:x>
      <cdr:y>0.35587</cdr:y>
    </cdr:from>
    <cdr:to>
      <cdr:x>0.45714</cdr:x>
      <cdr:y>0.44169</cdr:y>
    </cdr:to>
    <cdr:sp macro="" textlink="">
      <cdr:nvSpPr>
        <cdr:cNvPr id="89" name="Strzałka w górę 88"/>
        <cdr:cNvSpPr/>
      </cdr:nvSpPr>
      <cdr:spPr>
        <a:xfrm xmlns:a="http://schemas.openxmlformats.org/drawingml/2006/main">
          <a:off x="2264948" y="1581150"/>
          <a:ext cx="77052" cy="381307"/>
        </a:xfrm>
        <a:prstGeom xmlns:a="http://schemas.openxmlformats.org/drawingml/2006/main" prst="upArrow">
          <a:avLst/>
        </a:prstGeom>
        <a:solidFill xmlns:a="http://schemas.openxmlformats.org/drawingml/2006/main">
          <a:srgbClr val="99CAE9"/>
        </a:solidFill>
        <a:ln xmlns:a="http://schemas.openxmlformats.org/drawingml/2006/main">
          <a:solidFill>
            <a:srgbClr val="99CAE9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0.81068</cdr:x>
      <cdr:y>0.37302</cdr:y>
    </cdr:from>
    <cdr:to>
      <cdr:x>0.88511</cdr:x>
      <cdr:y>0.4403</cdr:y>
    </cdr:to>
    <cdr:sp macro="" textlink="">
      <cdr:nvSpPr>
        <cdr:cNvPr id="90" name="pole tekstowe 89"/>
        <cdr:cNvSpPr txBox="1"/>
      </cdr:nvSpPr>
      <cdr:spPr>
        <a:xfrm xmlns:a="http://schemas.openxmlformats.org/drawingml/2006/main">
          <a:off x="4153260" y="1657350"/>
          <a:ext cx="381318" cy="2989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</a:rPr>
            <a:t>10,0%</a:t>
          </a:r>
        </a:p>
      </cdr:txBody>
    </cdr:sp>
  </cdr:relSizeAnchor>
  <cdr:relSizeAnchor xmlns:cdr="http://schemas.openxmlformats.org/drawingml/2006/chartDrawing">
    <cdr:from>
      <cdr:x>0.07791</cdr:x>
      <cdr:y>0.15969</cdr:y>
    </cdr:from>
    <cdr:to>
      <cdr:x>0.10057</cdr:x>
      <cdr:y>0.23992</cdr:y>
    </cdr:to>
    <cdr:sp macro="" textlink="">
      <cdr:nvSpPr>
        <cdr:cNvPr id="79" name="Strzałka w dół 78"/>
        <cdr:cNvSpPr/>
      </cdr:nvSpPr>
      <cdr:spPr>
        <a:xfrm xmlns:a="http://schemas.openxmlformats.org/drawingml/2006/main">
          <a:off x="399143" y="709496"/>
          <a:ext cx="116091" cy="356470"/>
        </a:xfrm>
        <a:prstGeom xmlns:a="http://schemas.openxmlformats.org/drawingml/2006/main" prst="downArrow">
          <a:avLst/>
        </a:prstGeom>
        <a:solidFill xmlns:a="http://schemas.openxmlformats.org/drawingml/2006/main">
          <a:srgbClr val="007AC9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0.79773</cdr:x>
      <cdr:y>0.18284</cdr:y>
    </cdr:from>
    <cdr:to>
      <cdr:x>0.95307</cdr:x>
      <cdr:y>0.25187</cdr:y>
    </cdr:to>
    <cdr:sp macro="" textlink="">
      <cdr:nvSpPr>
        <cdr:cNvPr id="91" name="pole tekstowe 90"/>
        <cdr:cNvSpPr txBox="1"/>
      </cdr:nvSpPr>
      <cdr:spPr>
        <a:xfrm xmlns:a="http://schemas.openxmlformats.org/drawingml/2006/main">
          <a:off x="4695825" y="933450"/>
          <a:ext cx="914400" cy="3524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0.08738</cdr:x>
      <cdr:y>0.16978</cdr:y>
    </cdr:from>
    <cdr:to>
      <cdr:x>0.15858</cdr:x>
      <cdr:y>0.21455</cdr:y>
    </cdr:to>
    <cdr:sp macro="" textlink="">
      <cdr:nvSpPr>
        <cdr:cNvPr id="92" name="pole tekstowe 91"/>
        <cdr:cNvSpPr txBox="1"/>
      </cdr:nvSpPr>
      <cdr:spPr>
        <a:xfrm xmlns:a="http://schemas.openxmlformats.org/drawingml/2006/main">
          <a:off x="514351" y="866776"/>
          <a:ext cx="41910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</a:rPr>
            <a:t>2,7%</a:t>
          </a:r>
        </a:p>
      </cdr:txBody>
    </cdr:sp>
  </cdr:relSizeAnchor>
  <cdr:relSizeAnchor xmlns:cdr="http://schemas.openxmlformats.org/drawingml/2006/chartDrawing">
    <cdr:from>
      <cdr:x>0.0534</cdr:x>
      <cdr:y>0.23507</cdr:y>
    </cdr:from>
    <cdr:to>
      <cdr:x>0.11812</cdr:x>
      <cdr:y>0.27239</cdr:y>
    </cdr:to>
    <cdr:sp macro="" textlink="">
      <cdr:nvSpPr>
        <cdr:cNvPr id="93" name="pole tekstowe 92"/>
        <cdr:cNvSpPr txBox="1"/>
      </cdr:nvSpPr>
      <cdr:spPr>
        <a:xfrm xmlns:a="http://schemas.openxmlformats.org/drawingml/2006/main">
          <a:off x="314326" y="1200150"/>
          <a:ext cx="380999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292,9</a:t>
          </a:r>
        </a:p>
      </cdr:txBody>
    </cdr:sp>
  </cdr:relSizeAnchor>
  <cdr:relSizeAnchor xmlns:cdr="http://schemas.openxmlformats.org/drawingml/2006/chartDrawing">
    <cdr:from>
      <cdr:x>0.11675</cdr:x>
      <cdr:y>0.47602</cdr:y>
    </cdr:from>
    <cdr:to>
      <cdr:x>0.14103</cdr:x>
      <cdr:y>0.57303</cdr:y>
    </cdr:to>
    <cdr:sp macro="" textlink="">
      <cdr:nvSpPr>
        <cdr:cNvPr id="94" name="Strzałka w górę 93"/>
        <cdr:cNvSpPr/>
      </cdr:nvSpPr>
      <cdr:spPr>
        <a:xfrm xmlns:a="http://schemas.openxmlformats.org/drawingml/2006/main">
          <a:off x="598127" y="2115019"/>
          <a:ext cx="124391" cy="431025"/>
        </a:xfrm>
        <a:prstGeom xmlns:a="http://schemas.openxmlformats.org/drawingml/2006/main" prst="upArrow">
          <a:avLst/>
        </a:prstGeom>
        <a:solidFill xmlns:a="http://schemas.openxmlformats.org/drawingml/2006/main">
          <a:srgbClr val="3395D4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0.09547</cdr:x>
      <cdr:y>0.43284</cdr:y>
    </cdr:from>
    <cdr:to>
      <cdr:x>0.16343</cdr:x>
      <cdr:y>0.4944</cdr:y>
    </cdr:to>
    <cdr:sp macro="" textlink="">
      <cdr:nvSpPr>
        <cdr:cNvPr id="95" name="pole tekstowe 94"/>
        <cdr:cNvSpPr txBox="1"/>
      </cdr:nvSpPr>
      <cdr:spPr>
        <a:xfrm xmlns:a="http://schemas.openxmlformats.org/drawingml/2006/main">
          <a:off x="561976" y="2209799"/>
          <a:ext cx="400050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</a:rPr>
            <a:t>1,6%</a:t>
          </a:r>
        </a:p>
      </cdr:txBody>
    </cdr:sp>
  </cdr:relSizeAnchor>
  <cdr:relSizeAnchor xmlns:cdr="http://schemas.openxmlformats.org/drawingml/2006/chartDrawing">
    <cdr:from>
      <cdr:x>0.09709</cdr:x>
      <cdr:y>0.56716</cdr:y>
    </cdr:from>
    <cdr:to>
      <cdr:x>0.15696</cdr:x>
      <cdr:y>0.60821</cdr:y>
    </cdr:to>
    <cdr:sp macro="" textlink="">
      <cdr:nvSpPr>
        <cdr:cNvPr id="96" name="pole tekstowe 95"/>
        <cdr:cNvSpPr txBox="1"/>
      </cdr:nvSpPr>
      <cdr:spPr>
        <a:xfrm xmlns:a="http://schemas.openxmlformats.org/drawingml/2006/main">
          <a:off x="571500" y="2895599"/>
          <a:ext cx="352425" cy="2095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90,1</a:t>
          </a:r>
        </a:p>
      </cdr:txBody>
    </cdr:sp>
  </cdr:relSizeAnchor>
  <cdr:relSizeAnchor xmlns:cdr="http://schemas.openxmlformats.org/drawingml/2006/chartDrawing">
    <cdr:from>
      <cdr:x>0.15995</cdr:x>
      <cdr:y>0.54878</cdr:y>
    </cdr:from>
    <cdr:to>
      <cdr:x>0.18406</cdr:x>
      <cdr:y>0.64393</cdr:y>
    </cdr:to>
    <cdr:sp macro="" textlink="">
      <cdr:nvSpPr>
        <cdr:cNvPr id="97" name="Strzałka w dół 96"/>
        <cdr:cNvSpPr/>
      </cdr:nvSpPr>
      <cdr:spPr>
        <a:xfrm xmlns:a="http://schemas.openxmlformats.org/drawingml/2006/main">
          <a:off x="819457" y="2438298"/>
          <a:ext cx="123518" cy="422761"/>
        </a:xfrm>
        <a:prstGeom xmlns:a="http://schemas.openxmlformats.org/drawingml/2006/main" prst="downArrow">
          <a:avLst/>
        </a:prstGeom>
        <a:solidFill xmlns:a="http://schemas.openxmlformats.org/drawingml/2006/main">
          <a:srgbClr val="66AFDF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0.13916</cdr:x>
      <cdr:y>0.63433</cdr:y>
    </cdr:from>
    <cdr:to>
      <cdr:x>0.19741</cdr:x>
      <cdr:y>0.6903</cdr:y>
    </cdr:to>
    <cdr:sp macro="" textlink="">
      <cdr:nvSpPr>
        <cdr:cNvPr id="98" name="pole tekstowe 97"/>
        <cdr:cNvSpPr txBox="1"/>
      </cdr:nvSpPr>
      <cdr:spPr>
        <a:xfrm xmlns:a="http://schemas.openxmlformats.org/drawingml/2006/main">
          <a:off x="819151" y="3238500"/>
          <a:ext cx="342900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 b="0">
              <a:latin typeface="Fira Sans" panose="020B0503050000020004" pitchFamily="34" charset="0"/>
              <a:ea typeface="Fira Sans" panose="020B0503050000020004" pitchFamily="34" charset="0"/>
            </a:rPr>
            <a:t>49,9</a:t>
          </a:r>
        </a:p>
      </cdr:txBody>
    </cdr:sp>
  </cdr:relSizeAnchor>
  <cdr:relSizeAnchor xmlns:cdr="http://schemas.openxmlformats.org/drawingml/2006/chartDrawing">
    <cdr:from>
      <cdr:x>0.13754</cdr:x>
      <cdr:y>0.5056</cdr:y>
    </cdr:from>
    <cdr:to>
      <cdr:x>0.20712</cdr:x>
      <cdr:y>0.55037</cdr:y>
    </cdr:to>
    <cdr:sp macro="" textlink="">
      <cdr:nvSpPr>
        <cdr:cNvPr id="99" name="pole tekstowe 98"/>
        <cdr:cNvSpPr txBox="1"/>
      </cdr:nvSpPr>
      <cdr:spPr>
        <a:xfrm xmlns:a="http://schemas.openxmlformats.org/drawingml/2006/main">
          <a:off x="809626" y="2581275"/>
          <a:ext cx="409574" cy="2285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</a:rPr>
            <a:t>8,1%</a:t>
          </a:r>
        </a:p>
      </cdr:txBody>
    </cdr:sp>
  </cdr:relSizeAnchor>
  <cdr:relSizeAnchor xmlns:cdr="http://schemas.openxmlformats.org/drawingml/2006/chartDrawing">
    <cdr:from>
      <cdr:x>0.20228</cdr:x>
      <cdr:y>0.38432</cdr:y>
    </cdr:from>
    <cdr:to>
      <cdr:x>0.22817</cdr:x>
      <cdr:y>0.47574</cdr:y>
    </cdr:to>
    <cdr:sp macro="" textlink="">
      <cdr:nvSpPr>
        <cdr:cNvPr id="100" name="Strzałka w dół 99"/>
        <cdr:cNvSpPr/>
      </cdr:nvSpPr>
      <cdr:spPr>
        <a:xfrm xmlns:a="http://schemas.openxmlformats.org/drawingml/2006/main">
          <a:off x="1190687" y="1962131"/>
          <a:ext cx="152400" cy="466736"/>
        </a:xfrm>
        <a:prstGeom xmlns:a="http://schemas.openxmlformats.org/drawingml/2006/main" prst="downArrow">
          <a:avLst/>
        </a:prstGeom>
        <a:solidFill xmlns:a="http://schemas.openxmlformats.org/drawingml/2006/main">
          <a:srgbClr val="99CAE9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0.17799</cdr:x>
      <cdr:y>0.46828</cdr:y>
    </cdr:from>
    <cdr:to>
      <cdr:x>0.25081</cdr:x>
      <cdr:y>0.51306</cdr:y>
    </cdr:to>
    <cdr:sp macro="" textlink="">
      <cdr:nvSpPr>
        <cdr:cNvPr id="101" name="pole tekstowe 100"/>
        <cdr:cNvSpPr txBox="1"/>
      </cdr:nvSpPr>
      <cdr:spPr>
        <a:xfrm xmlns:a="http://schemas.openxmlformats.org/drawingml/2006/main">
          <a:off x="1047751" y="2390775"/>
          <a:ext cx="428624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152,8</a:t>
          </a:r>
        </a:p>
      </cdr:txBody>
    </cdr:sp>
  </cdr:relSizeAnchor>
  <cdr:relSizeAnchor xmlns:cdr="http://schemas.openxmlformats.org/drawingml/2006/chartDrawing">
    <cdr:from>
      <cdr:x>0.18447</cdr:x>
      <cdr:y>0.33955</cdr:y>
    </cdr:from>
    <cdr:to>
      <cdr:x>0.24919</cdr:x>
      <cdr:y>0.38433</cdr:y>
    </cdr:to>
    <cdr:sp macro="" textlink="">
      <cdr:nvSpPr>
        <cdr:cNvPr id="102" name="pole tekstowe 101"/>
        <cdr:cNvSpPr txBox="1"/>
      </cdr:nvSpPr>
      <cdr:spPr>
        <a:xfrm xmlns:a="http://schemas.openxmlformats.org/drawingml/2006/main">
          <a:off x="1085850" y="1733551"/>
          <a:ext cx="38100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</a:rPr>
            <a:t>3,3%</a:t>
          </a:r>
        </a:p>
      </cdr:txBody>
    </cdr:sp>
  </cdr:relSizeAnchor>
  <cdr:relSizeAnchor xmlns:cdr="http://schemas.openxmlformats.org/drawingml/2006/chartDrawing">
    <cdr:from>
      <cdr:x>0.28641</cdr:x>
      <cdr:y>0.21009</cdr:y>
    </cdr:from>
    <cdr:to>
      <cdr:x>0.35761</cdr:x>
      <cdr:y>0.26306</cdr:y>
    </cdr:to>
    <cdr:sp macro="" textlink="">
      <cdr:nvSpPr>
        <cdr:cNvPr id="103" name="pole tekstowe 102"/>
        <cdr:cNvSpPr txBox="1"/>
      </cdr:nvSpPr>
      <cdr:spPr>
        <a:xfrm xmlns:a="http://schemas.openxmlformats.org/drawingml/2006/main">
          <a:off x="1467330" y="933450"/>
          <a:ext cx="364770" cy="2353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309,4</a:t>
          </a:r>
        </a:p>
      </cdr:txBody>
    </cdr:sp>
  </cdr:relSizeAnchor>
  <cdr:relSizeAnchor xmlns:cdr="http://schemas.openxmlformats.org/drawingml/2006/chartDrawing">
    <cdr:from>
      <cdr:x>0.31553</cdr:x>
      <cdr:y>0.14739</cdr:y>
    </cdr:from>
    <cdr:to>
      <cdr:x>0.32931</cdr:x>
      <cdr:y>0.21455</cdr:y>
    </cdr:to>
    <cdr:sp macro="" textlink="">
      <cdr:nvSpPr>
        <cdr:cNvPr id="104" name="Strzałka w górę 103"/>
        <cdr:cNvSpPr/>
      </cdr:nvSpPr>
      <cdr:spPr>
        <a:xfrm xmlns:a="http://schemas.openxmlformats.org/drawingml/2006/main">
          <a:off x="1857375" y="752491"/>
          <a:ext cx="81116" cy="342879"/>
        </a:xfrm>
        <a:prstGeom xmlns:a="http://schemas.openxmlformats.org/drawingml/2006/main" prst="upArrow">
          <a:avLst/>
        </a:prstGeom>
        <a:solidFill xmlns:a="http://schemas.openxmlformats.org/drawingml/2006/main">
          <a:srgbClr val="007AC9"/>
        </a:solidFill>
        <a:ln xmlns:a="http://schemas.openxmlformats.org/drawingml/2006/main" w="25400" cap="flat" cmpd="sng" algn="ctr">
          <a:solidFill>
            <a:srgbClr val="4F81BD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0.32164</cdr:x>
      <cdr:y>0.16936</cdr:y>
    </cdr:from>
    <cdr:to>
      <cdr:x>0.39415</cdr:x>
      <cdr:y>0.22295</cdr:y>
    </cdr:to>
    <cdr:sp macro="" textlink="">
      <cdr:nvSpPr>
        <cdr:cNvPr id="105" name="pole tekstowe 104"/>
        <cdr:cNvSpPr txBox="1"/>
      </cdr:nvSpPr>
      <cdr:spPr>
        <a:xfrm xmlns:a="http://schemas.openxmlformats.org/drawingml/2006/main">
          <a:off x="1647825" y="752475"/>
          <a:ext cx="371475" cy="2381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</a:rPr>
            <a:t>5,6%</a:t>
          </a:r>
        </a:p>
      </cdr:txBody>
    </cdr:sp>
  </cdr:relSizeAnchor>
  <cdr:relSizeAnchor xmlns:cdr="http://schemas.openxmlformats.org/drawingml/2006/chartDrawing">
    <cdr:from>
      <cdr:x>0.33094</cdr:x>
      <cdr:y>0.54851</cdr:y>
    </cdr:from>
    <cdr:to>
      <cdr:x>0.40453</cdr:x>
      <cdr:y>0.60261</cdr:y>
    </cdr:to>
    <cdr:sp macro="" textlink="">
      <cdr:nvSpPr>
        <cdr:cNvPr id="106" name="pole tekstowe 105"/>
        <cdr:cNvSpPr txBox="1"/>
      </cdr:nvSpPr>
      <cdr:spPr>
        <a:xfrm xmlns:a="http://schemas.openxmlformats.org/drawingml/2006/main">
          <a:off x="1695450" y="2437082"/>
          <a:ext cx="377030" cy="2403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100,1</a:t>
          </a:r>
        </a:p>
      </cdr:txBody>
    </cdr:sp>
  </cdr:relSizeAnchor>
  <cdr:relSizeAnchor xmlns:cdr="http://schemas.openxmlformats.org/drawingml/2006/chartDrawing">
    <cdr:from>
      <cdr:x>0.33333</cdr:x>
      <cdr:y>0.40672</cdr:y>
    </cdr:from>
    <cdr:to>
      <cdr:x>0.40777</cdr:x>
      <cdr:y>0.45896</cdr:y>
    </cdr:to>
    <cdr:sp macro="" textlink="">
      <cdr:nvSpPr>
        <cdr:cNvPr id="107" name="pole tekstowe 106"/>
        <cdr:cNvSpPr txBox="1"/>
      </cdr:nvSpPr>
      <cdr:spPr>
        <a:xfrm xmlns:a="http://schemas.openxmlformats.org/drawingml/2006/main">
          <a:off x="1962151" y="2076450"/>
          <a:ext cx="438150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</a:rPr>
            <a:t>11,1%</a:t>
          </a:r>
        </a:p>
      </cdr:txBody>
    </cdr:sp>
  </cdr:relSizeAnchor>
  <cdr:relSizeAnchor xmlns:cdr="http://schemas.openxmlformats.org/drawingml/2006/chartDrawing">
    <cdr:from>
      <cdr:x>0.55232</cdr:x>
      <cdr:y>0.13308</cdr:y>
    </cdr:from>
    <cdr:to>
      <cdr:x>0.5661</cdr:x>
      <cdr:y>0.20024</cdr:y>
    </cdr:to>
    <cdr:sp macro="" textlink="">
      <cdr:nvSpPr>
        <cdr:cNvPr id="108" name="Strzałka w górę 107"/>
        <cdr:cNvSpPr/>
      </cdr:nvSpPr>
      <cdr:spPr>
        <a:xfrm xmlns:a="http://schemas.openxmlformats.org/drawingml/2006/main">
          <a:off x="3251191" y="679426"/>
          <a:ext cx="81115" cy="342878"/>
        </a:xfrm>
        <a:prstGeom xmlns:a="http://schemas.openxmlformats.org/drawingml/2006/main" prst="upArrow">
          <a:avLst/>
        </a:prstGeom>
        <a:solidFill xmlns:a="http://schemas.openxmlformats.org/drawingml/2006/main">
          <a:srgbClr val="007AC9"/>
        </a:solidFill>
        <a:ln xmlns:a="http://schemas.openxmlformats.org/drawingml/2006/main">
          <a:solidFill>
            <a:schemeClr val="accent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0.78803</cdr:x>
      <cdr:y>0.14366</cdr:y>
    </cdr:from>
    <cdr:to>
      <cdr:x>0.88673</cdr:x>
      <cdr:y>0.1959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4638675" y="733425"/>
          <a:ext cx="581025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0.52427</cdr:x>
      <cdr:y>0.20336</cdr:y>
    </cdr:from>
    <cdr:to>
      <cdr:x>0.61725</cdr:x>
      <cdr:y>0.25746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2685930" y="903548"/>
          <a:ext cx="476370" cy="2403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314,1</a:t>
          </a:r>
        </a:p>
      </cdr:txBody>
    </cdr:sp>
  </cdr:relSizeAnchor>
  <cdr:relSizeAnchor xmlns:cdr="http://schemas.openxmlformats.org/drawingml/2006/chartDrawing">
    <cdr:from>
      <cdr:x>0.55825</cdr:x>
      <cdr:y>0.14739</cdr:y>
    </cdr:from>
    <cdr:to>
      <cdr:x>0.65072</cdr:x>
      <cdr:y>0.19294</cdr:y>
    </cdr:to>
    <cdr:sp macro="" textlink="">
      <cdr:nvSpPr>
        <cdr:cNvPr id="6" name="pole tekstowe 5"/>
        <cdr:cNvSpPr txBox="1"/>
      </cdr:nvSpPr>
      <cdr:spPr>
        <a:xfrm xmlns:a="http://schemas.openxmlformats.org/drawingml/2006/main">
          <a:off x="2860014" y="654868"/>
          <a:ext cx="473735" cy="2023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</a:rPr>
            <a:t>1,5%</a:t>
          </a:r>
        </a:p>
      </cdr:txBody>
    </cdr:sp>
  </cdr:relSizeAnchor>
  <cdr:relSizeAnchor xmlns:cdr="http://schemas.openxmlformats.org/drawingml/2006/chartDrawing">
    <cdr:from>
      <cdr:x>0.3569</cdr:x>
      <cdr:y>0.45234</cdr:y>
    </cdr:from>
    <cdr:to>
      <cdr:x>0.38118</cdr:x>
      <cdr:y>0.54935</cdr:y>
    </cdr:to>
    <cdr:sp macro="" textlink="">
      <cdr:nvSpPr>
        <cdr:cNvPr id="109" name="Strzałka w górę 108"/>
        <cdr:cNvSpPr/>
      </cdr:nvSpPr>
      <cdr:spPr>
        <a:xfrm xmlns:a="http://schemas.openxmlformats.org/drawingml/2006/main">
          <a:off x="1828469" y="2009775"/>
          <a:ext cx="124391" cy="431024"/>
        </a:xfrm>
        <a:prstGeom xmlns:a="http://schemas.openxmlformats.org/drawingml/2006/main" prst="upArrow">
          <a:avLst/>
        </a:prstGeom>
        <a:solidFill xmlns:a="http://schemas.openxmlformats.org/drawingml/2006/main">
          <a:srgbClr val="3395D4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0.89644</cdr:x>
      <cdr:y>0.30597</cdr:y>
    </cdr:from>
    <cdr:to>
      <cdr:x>0.98544</cdr:x>
      <cdr:y>0.36381</cdr:y>
    </cdr:to>
    <cdr:sp macro="" textlink="">
      <cdr:nvSpPr>
        <cdr:cNvPr id="8" name="pole tekstowe 7"/>
        <cdr:cNvSpPr txBox="1"/>
      </cdr:nvSpPr>
      <cdr:spPr>
        <a:xfrm xmlns:a="http://schemas.openxmlformats.org/drawingml/2006/main">
          <a:off x="5276850" y="1562100"/>
          <a:ext cx="523875" cy="2952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0.40495</cdr:x>
      <cdr:y>0.53932</cdr:y>
    </cdr:from>
    <cdr:to>
      <cdr:x>0.41623</cdr:x>
      <cdr:y>0.63447</cdr:y>
    </cdr:to>
    <cdr:sp macro="" textlink="">
      <cdr:nvSpPr>
        <cdr:cNvPr id="110" name="Strzałka w górę 109"/>
        <cdr:cNvSpPr/>
      </cdr:nvSpPr>
      <cdr:spPr>
        <a:xfrm xmlns:a="http://schemas.openxmlformats.org/drawingml/2006/main">
          <a:off x="2074646" y="2396245"/>
          <a:ext cx="57790" cy="422761"/>
        </a:xfrm>
        <a:prstGeom xmlns:a="http://schemas.openxmlformats.org/drawingml/2006/main" prst="upArrow">
          <a:avLst/>
        </a:prstGeom>
        <a:solidFill xmlns:a="http://schemas.openxmlformats.org/drawingml/2006/main">
          <a:srgbClr val="66AFDF"/>
        </a:solidFill>
        <a:ln xmlns:a="http://schemas.openxmlformats.org/drawingml/2006/main">
          <a:solidFill>
            <a:srgbClr val="66AFDF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wrap="square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0.67962</cdr:x>
      <cdr:y>0.36816</cdr:y>
    </cdr:from>
    <cdr:to>
      <cdr:x>0.70281</cdr:x>
      <cdr:y>0.45958</cdr:y>
    </cdr:to>
    <cdr:sp macro="" textlink="">
      <cdr:nvSpPr>
        <cdr:cNvPr id="111" name="Strzałka w dół 110"/>
        <cdr:cNvSpPr/>
      </cdr:nvSpPr>
      <cdr:spPr>
        <a:xfrm xmlns:a="http://schemas.openxmlformats.org/drawingml/2006/main">
          <a:off x="4000525" y="1879623"/>
          <a:ext cx="136507" cy="466735"/>
        </a:xfrm>
        <a:prstGeom xmlns:a="http://schemas.openxmlformats.org/drawingml/2006/main" prst="downArrow">
          <a:avLst/>
        </a:prstGeom>
        <a:solidFill xmlns:a="http://schemas.openxmlformats.org/drawingml/2006/main">
          <a:srgbClr val="99CAE9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0.59427</cdr:x>
      <cdr:y>0.44632</cdr:y>
    </cdr:from>
    <cdr:to>
      <cdr:x>0.61855</cdr:x>
      <cdr:y>0.54333</cdr:y>
    </cdr:to>
    <cdr:sp macro="" textlink="">
      <cdr:nvSpPr>
        <cdr:cNvPr id="112" name="Strzałka w górę 111"/>
        <cdr:cNvSpPr/>
      </cdr:nvSpPr>
      <cdr:spPr>
        <a:xfrm xmlns:a="http://schemas.openxmlformats.org/drawingml/2006/main">
          <a:off x="3044567" y="1983054"/>
          <a:ext cx="124390" cy="431025"/>
        </a:xfrm>
        <a:prstGeom xmlns:a="http://schemas.openxmlformats.org/drawingml/2006/main" prst="upArrow">
          <a:avLst/>
        </a:prstGeom>
        <a:solidFill xmlns:a="http://schemas.openxmlformats.org/drawingml/2006/main">
          <a:srgbClr val="3395D4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0.84466</cdr:x>
      <cdr:y>0.55784</cdr:y>
    </cdr:from>
    <cdr:to>
      <cdr:x>1</cdr:x>
      <cdr:y>0.61194</cdr:y>
    </cdr:to>
    <cdr:sp macro="" textlink="">
      <cdr:nvSpPr>
        <cdr:cNvPr id="9" name="pole tekstowe 8"/>
        <cdr:cNvSpPr txBox="1"/>
      </cdr:nvSpPr>
      <cdr:spPr>
        <a:xfrm xmlns:a="http://schemas.openxmlformats.org/drawingml/2006/main">
          <a:off x="4972050" y="2847975"/>
          <a:ext cx="91440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0.79574</cdr:x>
      <cdr:y>0.52799</cdr:y>
    </cdr:from>
    <cdr:to>
      <cdr:x>0.88511</cdr:x>
      <cdr:y>0.58022</cdr:y>
    </cdr:to>
    <cdr:sp macro="" textlink="">
      <cdr:nvSpPr>
        <cdr:cNvPr id="10" name="pole tekstowe 9"/>
        <cdr:cNvSpPr txBox="1"/>
      </cdr:nvSpPr>
      <cdr:spPr>
        <a:xfrm xmlns:a="http://schemas.openxmlformats.org/drawingml/2006/main">
          <a:off x="4076700" y="2345910"/>
          <a:ext cx="457878" cy="2320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114,5</a:t>
          </a:r>
        </a:p>
      </cdr:txBody>
    </cdr:sp>
  </cdr:relSizeAnchor>
  <cdr:relSizeAnchor xmlns:cdr="http://schemas.openxmlformats.org/drawingml/2006/chartDrawing">
    <cdr:from>
      <cdr:x>0.64096</cdr:x>
      <cdr:y>0.52655</cdr:y>
    </cdr:from>
    <cdr:to>
      <cdr:x>0.65224</cdr:x>
      <cdr:y>0.6217</cdr:y>
    </cdr:to>
    <cdr:sp macro="" textlink="">
      <cdr:nvSpPr>
        <cdr:cNvPr id="114" name="Strzałka w górę 113"/>
        <cdr:cNvSpPr/>
      </cdr:nvSpPr>
      <cdr:spPr>
        <a:xfrm xmlns:a="http://schemas.openxmlformats.org/drawingml/2006/main">
          <a:off x="3283772" y="2339490"/>
          <a:ext cx="57789" cy="422760"/>
        </a:xfrm>
        <a:prstGeom xmlns:a="http://schemas.openxmlformats.org/drawingml/2006/main" prst="upArrow">
          <a:avLst/>
        </a:prstGeom>
        <a:solidFill xmlns:a="http://schemas.openxmlformats.org/drawingml/2006/main">
          <a:srgbClr val="66AFDF"/>
        </a:solidFill>
        <a:ln xmlns:a="http://schemas.openxmlformats.org/drawingml/2006/main">
          <a:solidFill>
            <a:srgbClr val="66AFDF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wrap="square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0.84965</cdr:x>
      <cdr:y>0.62313</cdr:y>
    </cdr:from>
    <cdr:to>
      <cdr:x>0.92557</cdr:x>
      <cdr:y>0.66457</cdr:y>
    </cdr:to>
    <cdr:sp macro="" textlink="">
      <cdr:nvSpPr>
        <cdr:cNvPr id="11" name="pole tekstowe 10"/>
        <cdr:cNvSpPr txBox="1"/>
      </cdr:nvSpPr>
      <cdr:spPr>
        <a:xfrm xmlns:a="http://schemas.openxmlformats.org/drawingml/2006/main">
          <a:off x="4352925" y="2768626"/>
          <a:ext cx="388937" cy="1841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59,5</a:t>
          </a:r>
        </a:p>
      </cdr:txBody>
    </cdr:sp>
  </cdr:relSizeAnchor>
  <cdr:relSizeAnchor xmlns:cdr="http://schemas.openxmlformats.org/drawingml/2006/chartDrawing">
    <cdr:from>
      <cdr:x>0.84466</cdr:x>
      <cdr:y>0.46306</cdr:y>
    </cdr:from>
    <cdr:to>
      <cdr:x>0.91424</cdr:x>
      <cdr:y>0.52612</cdr:y>
    </cdr:to>
    <cdr:sp macro="" textlink="">
      <cdr:nvSpPr>
        <cdr:cNvPr id="13" name="pole tekstowe 12"/>
        <cdr:cNvSpPr txBox="1"/>
      </cdr:nvSpPr>
      <cdr:spPr>
        <a:xfrm xmlns:a="http://schemas.openxmlformats.org/drawingml/2006/main">
          <a:off x="4327345" y="2057400"/>
          <a:ext cx="356471" cy="2802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</a:rPr>
            <a:t>9,8%</a:t>
          </a:r>
        </a:p>
      </cdr:txBody>
    </cdr:sp>
  </cdr:relSizeAnchor>
  <cdr:relSizeAnchor xmlns:cdr="http://schemas.openxmlformats.org/drawingml/2006/chartDrawing">
    <cdr:from>
      <cdr:x>0.88997</cdr:x>
      <cdr:y>0.43519</cdr:y>
    </cdr:from>
    <cdr:to>
      <cdr:x>0.96278</cdr:x>
      <cdr:y>0.4944</cdr:y>
    </cdr:to>
    <cdr:sp macro="" textlink="">
      <cdr:nvSpPr>
        <cdr:cNvPr id="14" name="pole tekstowe 13"/>
        <cdr:cNvSpPr txBox="1"/>
      </cdr:nvSpPr>
      <cdr:spPr>
        <a:xfrm xmlns:a="http://schemas.openxmlformats.org/drawingml/2006/main">
          <a:off x="4559477" y="1933575"/>
          <a:ext cx="373018" cy="2630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160,2</a:t>
          </a:r>
        </a:p>
      </cdr:txBody>
    </cdr:sp>
  </cdr:relSizeAnchor>
  <cdr:relSizeAnchor xmlns:cdr="http://schemas.openxmlformats.org/drawingml/2006/chartDrawing">
    <cdr:from>
      <cdr:x>0.90129</cdr:x>
      <cdr:y>0.28512</cdr:y>
    </cdr:from>
    <cdr:to>
      <cdr:x>0.97411</cdr:x>
      <cdr:y>0.343</cdr:y>
    </cdr:to>
    <cdr:sp macro="" textlink="">
      <cdr:nvSpPr>
        <cdr:cNvPr id="15" name="pole tekstowe 14"/>
        <cdr:cNvSpPr txBox="1"/>
      </cdr:nvSpPr>
      <cdr:spPr>
        <a:xfrm xmlns:a="http://schemas.openxmlformats.org/drawingml/2006/main">
          <a:off x="4617471" y="1266825"/>
          <a:ext cx="373070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</a:rPr>
            <a:t>2,8%</a:t>
          </a:r>
        </a:p>
      </cdr:txBody>
    </cdr:sp>
  </cdr:relSizeAnchor>
  <cdr:relSizeAnchor xmlns:cdr="http://schemas.openxmlformats.org/drawingml/2006/chartDrawing">
    <cdr:from>
      <cdr:x>0.20699</cdr:x>
      <cdr:y>0.01144</cdr:y>
    </cdr:from>
    <cdr:to>
      <cdr:x>0.23488</cdr:x>
      <cdr:y>0.10148</cdr:y>
    </cdr:to>
    <cdr:sp macro="" textlink="">
      <cdr:nvSpPr>
        <cdr:cNvPr id="113" name="Strzałka w dół 112"/>
        <cdr:cNvSpPr/>
      </cdr:nvSpPr>
      <cdr:spPr>
        <a:xfrm xmlns:a="http://schemas.openxmlformats.org/drawingml/2006/main" flipV="1">
          <a:off x="1060453" y="50812"/>
          <a:ext cx="142885" cy="400057"/>
        </a:xfrm>
        <a:prstGeom xmlns:a="http://schemas.openxmlformats.org/drawingml/2006/main" prst="downArrow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>
          <a:solidFill>
            <a:schemeClr val="bg1">
              <a:lumMod val="75000"/>
            </a:schemeClr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0.37184</cdr:x>
      <cdr:y>0.62813</cdr:y>
    </cdr:from>
    <cdr:to>
      <cdr:x>0.45922</cdr:x>
      <cdr:y>0.68601</cdr:y>
    </cdr:to>
    <cdr:sp macro="" textlink="">
      <cdr:nvSpPr>
        <cdr:cNvPr id="18" name="Pole tekstowe 17"/>
        <cdr:cNvSpPr txBox="1"/>
      </cdr:nvSpPr>
      <cdr:spPr>
        <a:xfrm xmlns:a="http://schemas.openxmlformats.org/drawingml/2006/main">
          <a:off x="1905000" y="2790825"/>
          <a:ext cx="447675" cy="2571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53,3</a:t>
          </a:r>
        </a:p>
      </cdr:txBody>
    </cdr:sp>
  </cdr:relSizeAnchor>
  <cdr:relSizeAnchor xmlns:cdr="http://schemas.openxmlformats.org/drawingml/2006/chartDrawing">
    <cdr:from>
      <cdr:x>0.3737</cdr:x>
      <cdr:y>0.49092</cdr:y>
    </cdr:from>
    <cdr:to>
      <cdr:x>0.45736</cdr:x>
      <cdr:y>0.54452</cdr:y>
    </cdr:to>
    <cdr:sp macro="" textlink="">
      <cdr:nvSpPr>
        <cdr:cNvPr id="41" name="Pole tekstowe 40"/>
        <cdr:cNvSpPr txBox="1"/>
      </cdr:nvSpPr>
      <cdr:spPr>
        <a:xfrm xmlns:a="http://schemas.openxmlformats.org/drawingml/2006/main">
          <a:off x="1914525" y="2181224"/>
          <a:ext cx="428625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</a:rPr>
            <a:t>6,8%</a:t>
          </a:r>
        </a:p>
      </cdr:txBody>
    </cdr:sp>
  </cdr:relSizeAnchor>
  <cdr:relSizeAnchor xmlns:cdr="http://schemas.openxmlformats.org/drawingml/2006/chartDrawing">
    <cdr:from>
      <cdr:x>0.40902</cdr:x>
      <cdr:y>0.45234</cdr:y>
    </cdr:from>
    <cdr:to>
      <cdr:x>0.50384</cdr:x>
      <cdr:y>0.51879</cdr:y>
    </cdr:to>
    <cdr:sp macro="" textlink="">
      <cdr:nvSpPr>
        <cdr:cNvPr id="51" name="Pole tekstowe 50"/>
        <cdr:cNvSpPr txBox="1"/>
      </cdr:nvSpPr>
      <cdr:spPr>
        <a:xfrm xmlns:a="http://schemas.openxmlformats.org/drawingml/2006/main">
          <a:off x="2095500" y="2009776"/>
          <a:ext cx="485776" cy="2952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156,1</a:t>
          </a:r>
        </a:p>
      </cdr:txBody>
    </cdr:sp>
  </cdr:relSizeAnchor>
  <cdr:relSizeAnchor xmlns:cdr="http://schemas.openxmlformats.org/drawingml/2006/chartDrawing">
    <cdr:from>
      <cdr:x>0.4146</cdr:x>
      <cdr:y>0.30656</cdr:y>
    </cdr:from>
    <cdr:to>
      <cdr:x>0.49641</cdr:x>
      <cdr:y>0.36015</cdr:y>
    </cdr:to>
    <cdr:sp macro="" textlink="">
      <cdr:nvSpPr>
        <cdr:cNvPr id="53" name="Pole tekstowe 52"/>
        <cdr:cNvSpPr txBox="1"/>
      </cdr:nvSpPr>
      <cdr:spPr>
        <a:xfrm xmlns:a="http://schemas.openxmlformats.org/drawingml/2006/main">
          <a:off x="2124076" y="1362075"/>
          <a:ext cx="41910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</a:rPr>
            <a:t>2,2%</a:t>
          </a:r>
        </a:p>
      </cdr:txBody>
    </cdr:sp>
  </cdr:relSizeAnchor>
  <cdr:relSizeAnchor xmlns:cdr="http://schemas.openxmlformats.org/drawingml/2006/chartDrawing">
    <cdr:from>
      <cdr:x>0.60796</cdr:x>
      <cdr:y>0.47592</cdr:y>
    </cdr:from>
    <cdr:to>
      <cdr:x>0.75297</cdr:x>
      <cdr:y>0.52951</cdr:y>
    </cdr:to>
    <cdr:sp macro="" textlink="">
      <cdr:nvSpPr>
        <cdr:cNvPr id="57" name="Pole tekstowe 56"/>
        <cdr:cNvSpPr txBox="1"/>
      </cdr:nvSpPr>
      <cdr:spPr>
        <a:xfrm xmlns:a="http://schemas.openxmlformats.org/drawingml/2006/main">
          <a:off x="3114676" y="2114549"/>
          <a:ext cx="7429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</a:rPr>
            <a:t>1,7%</a:t>
          </a:r>
        </a:p>
      </cdr:txBody>
    </cdr:sp>
  </cdr:relSizeAnchor>
  <cdr:relSizeAnchor xmlns:cdr="http://schemas.openxmlformats.org/drawingml/2006/chartDrawing">
    <cdr:from>
      <cdr:x>0.82796</cdr:x>
      <cdr:y>0.42304</cdr:y>
    </cdr:from>
    <cdr:to>
      <cdr:x>0.85586</cdr:x>
      <cdr:y>0.53451</cdr:y>
    </cdr:to>
    <cdr:sp macro="" textlink="">
      <cdr:nvSpPr>
        <cdr:cNvPr id="115" name="Strzałka w górę 114"/>
        <cdr:cNvSpPr/>
      </cdr:nvSpPr>
      <cdr:spPr>
        <a:xfrm xmlns:a="http://schemas.openxmlformats.org/drawingml/2006/main">
          <a:off x="4241800" y="1879600"/>
          <a:ext cx="142923" cy="495275"/>
        </a:xfrm>
        <a:prstGeom xmlns:a="http://schemas.openxmlformats.org/drawingml/2006/main" prst="upArrow">
          <a:avLst/>
        </a:prstGeom>
        <a:solidFill xmlns:a="http://schemas.openxmlformats.org/drawingml/2006/main">
          <a:srgbClr val="3395D4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0.87816</cdr:x>
      <cdr:y>0.50807</cdr:y>
    </cdr:from>
    <cdr:to>
      <cdr:x>0.89112</cdr:x>
      <cdr:y>0.61741</cdr:y>
    </cdr:to>
    <cdr:sp macro="" textlink="">
      <cdr:nvSpPr>
        <cdr:cNvPr id="116" name="Strzałka w górę 115"/>
        <cdr:cNvSpPr/>
      </cdr:nvSpPr>
      <cdr:spPr>
        <a:xfrm xmlns:a="http://schemas.openxmlformats.org/drawingml/2006/main">
          <a:off x="4498975" y="2257425"/>
          <a:ext cx="66399" cy="485779"/>
        </a:xfrm>
        <a:prstGeom xmlns:a="http://schemas.openxmlformats.org/drawingml/2006/main" prst="upArrow">
          <a:avLst/>
        </a:prstGeom>
        <a:solidFill xmlns:a="http://schemas.openxmlformats.org/drawingml/2006/main">
          <a:srgbClr val="66AFDF"/>
        </a:solidFill>
        <a:ln xmlns:a="http://schemas.openxmlformats.org/drawingml/2006/main">
          <a:solidFill>
            <a:srgbClr val="66AFDF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0.92464</cdr:x>
      <cdr:y>0.33657</cdr:y>
    </cdr:from>
    <cdr:to>
      <cdr:x>0.94192</cdr:x>
      <cdr:y>0.43519</cdr:y>
    </cdr:to>
    <cdr:sp macro="" textlink="">
      <cdr:nvSpPr>
        <cdr:cNvPr id="117" name="Strzałka w górę 116"/>
        <cdr:cNvSpPr/>
      </cdr:nvSpPr>
      <cdr:spPr>
        <a:xfrm xmlns:a="http://schemas.openxmlformats.org/drawingml/2006/main">
          <a:off x="4737100" y="1495430"/>
          <a:ext cx="88532" cy="438145"/>
        </a:xfrm>
        <a:prstGeom xmlns:a="http://schemas.openxmlformats.org/drawingml/2006/main" prst="upArrow">
          <a:avLst/>
        </a:prstGeom>
        <a:solidFill xmlns:a="http://schemas.openxmlformats.org/drawingml/2006/main">
          <a:srgbClr val="99CAE9"/>
        </a:solidFill>
        <a:ln xmlns:a="http://schemas.openxmlformats.org/drawingml/2006/main">
          <a:solidFill>
            <a:srgbClr val="99CAE9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30CF17-21AB-4176-AA70-EF0D5D35E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6</Pages>
  <Words>1408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otwartych funduszy emerytalnych i powszechnych towarzystw emerytalnych w 2017 roku</vt:lpstr>
    </vt:vector>
  </TitlesOfParts>
  <Company>Główny Urząd Statystyczny</Company>
  <LinksUpToDate>false</LinksUpToDate>
  <CharactersWithSpaces>9839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otwartych funduszy emerytalnych i powszechnych towarzystw emerytalnych w I półroczu 2018 roku</dc:title>
  <dc:subject>Wyniki finansowe otwartych funduszy emerytalnych i powszechnych towarzystw emerytalnych w 2017 roku</dc:subject>
  <dc:creator>Główny Urząd Statystyczny</dc:creator>
  <cp:keywords>ofe; otwarte fundusze emerytalne; powszechne towarzystwa emerytalne; wynik finansowy ofe</cp:keywords>
  <dc:description>Wyniki finansowe otwartych funduszy emerytalnych i powszechnych towarzystw emerytalnych w 2017 roku</dc:description>
  <cp:lastModifiedBy>Koszela Alicja</cp:lastModifiedBy>
  <cp:revision>27</cp:revision>
  <cp:lastPrinted>2018-10-03T09:30:00Z</cp:lastPrinted>
  <dcterms:created xsi:type="dcterms:W3CDTF">2018-10-02T10:11:00Z</dcterms:created>
  <dcterms:modified xsi:type="dcterms:W3CDTF">2018-10-19T06:50:00Z</dcterms:modified>
  <cp:category>Wyniki finansowe otwartych funduszy emerytalnych i powszechnych towarzystw emerytalnych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