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70" w:rsidRDefault="000B7D5D" w:rsidP="000B7D5D">
      <w:pPr>
        <w:pStyle w:val="tytuinformacji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 xml:space="preserve">Wyniki finansowe </w:t>
      </w:r>
      <w:r w:rsidR="00C84C99">
        <w:rPr>
          <w:shd w:val="clear" w:color="auto" w:fill="FFFFFF"/>
        </w:rPr>
        <w:t xml:space="preserve"> funduszy inwestycyjnych </w:t>
      </w:r>
    </w:p>
    <w:p w:rsidR="0098135C" w:rsidRPr="009711F5" w:rsidRDefault="00416E70" w:rsidP="000B7D5D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 xml:space="preserve">i </w:t>
      </w:r>
      <w:r w:rsidR="00C84C99">
        <w:rPr>
          <w:shd w:val="clear" w:color="auto" w:fill="FFFFFF"/>
        </w:rPr>
        <w:t>towarzystw funduszy inwestycyjnych</w:t>
      </w:r>
      <w:r w:rsidR="002F00B0">
        <w:rPr>
          <w:shd w:val="clear" w:color="auto" w:fill="FFFFFF"/>
        </w:rPr>
        <w:t xml:space="preserve"> </w:t>
      </w:r>
      <w:r w:rsidR="000B7D5D" w:rsidRPr="000B7D5D">
        <w:rPr>
          <w:shd w:val="clear" w:color="auto" w:fill="FFFFFF"/>
        </w:rPr>
        <w:t>w 2017 roku</w:t>
      </w:r>
      <w:bookmarkEnd w:id="0"/>
    </w:p>
    <w:p w:rsidR="00393761" w:rsidRPr="009711F5" w:rsidRDefault="00393761" w:rsidP="00074DD8">
      <w:pPr>
        <w:pStyle w:val="tytuinformacji"/>
        <w:rPr>
          <w:sz w:val="32"/>
        </w:rPr>
      </w:pPr>
    </w:p>
    <w:p w:rsidR="00416E70" w:rsidRDefault="00003437" w:rsidP="00416E70">
      <w:pPr>
        <w:pStyle w:val="LID"/>
        <w:spacing w:after="80"/>
        <w:jc w:val="both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6F1745" wp14:editId="7BDCB2C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B66B19" w:rsidRDefault="00332EA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A61E4C3">
                                  <wp:extent cx="333375" cy="333375"/>
                                  <wp:effectExtent l="0" t="0" r="9525" b="952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7,2%</w:t>
                            </w:r>
                          </w:p>
                          <w:p w:rsidR="00332EAC" w:rsidRPr="007C7F88" w:rsidRDefault="00332EAC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Pr="007C7F88">
                              <w:t xml:space="preserve"> aktywów </w:t>
                            </w:r>
                            <w:r>
                              <w:t>funduszy inwestycyjnych w</w:t>
                            </w:r>
                            <w:r w:rsidRPr="007C7F88">
                              <w:t xml:space="preserve"> 20</w:t>
                            </w:r>
                            <w:r>
                              <w:t>17</w:t>
                            </w:r>
                            <w:r w:rsidRPr="007C7F88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F17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332EAC" w:rsidRPr="00B66B19" w:rsidRDefault="00332EA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A61E4C3">
                            <wp:extent cx="333375" cy="333375"/>
                            <wp:effectExtent l="0" t="0" r="9525" b="952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7,2%</w:t>
                      </w:r>
                    </w:p>
                    <w:p w:rsidR="00332EAC" w:rsidRPr="007C7F88" w:rsidRDefault="00332EAC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Pr="007C7F88">
                        <w:t xml:space="preserve"> aktywów </w:t>
                      </w:r>
                      <w:r>
                        <w:t>funduszy inwestycyjnych w</w:t>
                      </w:r>
                      <w:r w:rsidRPr="007C7F88">
                        <w:t xml:space="preserve"> 20</w:t>
                      </w:r>
                      <w:r>
                        <w:t>17</w:t>
                      </w:r>
                      <w:r w:rsidRPr="007C7F88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7D5D" w:rsidRPr="000B7D5D">
        <w:t xml:space="preserve"> </w:t>
      </w:r>
      <w:r w:rsidR="00F41498">
        <w:t xml:space="preserve">Wartość aktywów ogółem zgromadzonych </w:t>
      </w:r>
      <w:r w:rsidR="00276839">
        <w:t>p</w:t>
      </w:r>
      <w:r w:rsidR="00F41498">
        <w:t>rze</w:t>
      </w:r>
      <w:r w:rsidR="00276839">
        <w:t xml:space="preserve">z </w:t>
      </w:r>
      <w:r w:rsidR="00F41498">
        <w:t xml:space="preserve">fundusze inwestycyjne </w:t>
      </w:r>
      <w:r w:rsidR="00385622">
        <w:t>na koniec grudnia 2017</w:t>
      </w:r>
      <w:r w:rsidR="00047E14">
        <w:t> </w:t>
      </w:r>
      <w:r w:rsidR="00385622">
        <w:t>r. wyniosła 314,1 mld</w:t>
      </w:r>
      <w:r w:rsidR="00047E14">
        <w:t> </w:t>
      </w:r>
      <w:r w:rsidR="00385622">
        <w:t xml:space="preserve">zł (wzrost o 7,2% w stosunku do roku poprzedniego). </w:t>
      </w:r>
      <w:r w:rsidR="00276839">
        <w:t>W 2017</w:t>
      </w:r>
      <w:r w:rsidR="00047E14">
        <w:t> </w:t>
      </w:r>
      <w:r w:rsidR="00276839">
        <w:t xml:space="preserve">r. fundusze inwestycyjne osiągnęły dodatni wynik z operacji w kwocie 15,5 mld zł (o 14,5 mld zł mniej niż rok wcześniej). Wartość lokat funduszy zwiększyła się do 279,4 mld zł (o 9,1%). </w:t>
      </w:r>
    </w:p>
    <w:p w:rsidR="005916D7" w:rsidRDefault="00AA2832" w:rsidP="00047E14">
      <w:pPr>
        <w:pStyle w:val="LID"/>
        <w:spacing w:after="430"/>
        <w:jc w:val="both"/>
      </w:pPr>
      <w:r>
        <w:t xml:space="preserve">Aktywa towarzystw funduszy inwestycyjnych wyniosły 2,3 mld zł (spadek o 2,9%). Wynik finansowy netto TFI wyniósł na koniec 2017 r. 0,7 mld zł i był wyższy o 34,6% niż przed rokiem. </w:t>
      </w:r>
      <w:r w:rsidR="00276839">
        <w:t xml:space="preserve"> </w:t>
      </w:r>
    </w:p>
    <w:p w:rsidR="00003437" w:rsidRPr="00342EC3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027439" w:rsidRPr="00696765" w:rsidRDefault="006C74EF" w:rsidP="00027439">
      <w:pPr>
        <w:rPr>
          <w:b/>
          <w:spacing w:val="-2"/>
          <w:sz w:val="18"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A61E484" wp14:editId="7A61E485">
                <wp:simplePos x="0" y="0"/>
                <wp:positionH relativeFrom="column">
                  <wp:posOffset>5238750</wp:posOffset>
                </wp:positionH>
                <wp:positionV relativeFrom="paragraph">
                  <wp:posOffset>241300</wp:posOffset>
                </wp:positionV>
                <wp:extent cx="1725295" cy="1552575"/>
                <wp:effectExtent l="0" t="0" r="0" b="0"/>
                <wp:wrapTight wrapText="bothSides">
                  <wp:wrapPolygon edited="0">
                    <wp:start x="715" y="0"/>
                    <wp:lineTo x="715" y="21202"/>
                    <wp:lineTo x="20749" y="21202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9711F5" w:rsidRDefault="00332EAC" w:rsidP="006C74EF">
                            <w:pPr>
                              <w:pStyle w:val="tekstzboku"/>
                              <w:jc w:val="both"/>
                            </w:pPr>
                            <w:r w:rsidRPr="009711F5">
                              <w:t>Wynik</w:t>
                            </w:r>
                            <w:r>
                              <w:t xml:space="preserve"> z operacji funduszy inwestycyjnych był w 2017 r.</w:t>
                            </w:r>
                            <w:r w:rsidR="006C74EF">
                              <w:t xml:space="preserve"> dodatni i wyniósł 15,5 mld zł</w:t>
                            </w:r>
                            <w:r>
                              <w:t xml:space="preserve"> </w:t>
                            </w:r>
                            <w:r w:rsidR="006C74EF">
                              <w:t xml:space="preserve">ale </w:t>
                            </w:r>
                            <w:r>
                              <w:t>niższy o 48,3% niż w 2016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84" id="_x0000_s1027" type="#_x0000_t202" style="position:absolute;margin-left:412.5pt;margin-top:19pt;width:135.85pt;height:122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" filled="f" stroked="f">
                <v:textbox>
                  <w:txbxContent>
                    <w:p w:rsidR="00332EAC" w:rsidRPr="009711F5" w:rsidRDefault="00332EAC" w:rsidP="006C74EF">
                      <w:pPr>
                        <w:pStyle w:val="tekstzboku"/>
                        <w:jc w:val="both"/>
                      </w:pPr>
                      <w:r w:rsidRPr="009711F5">
                        <w:t>Wynik</w:t>
                      </w:r>
                      <w:r>
                        <w:t xml:space="preserve"> z operacji funduszy inwestycyjnych był w 2017 r.</w:t>
                      </w:r>
                      <w:r w:rsidR="006C74EF">
                        <w:t xml:space="preserve"> dodatni i wyniósł 15,5 mld zł</w:t>
                      </w:r>
                      <w:r>
                        <w:t xml:space="preserve"> </w:t>
                      </w:r>
                      <w:r w:rsidR="006C74EF">
                        <w:t xml:space="preserve">ale </w:t>
                      </w:r>
                      <w:r>
                        <w:t>niższy o 48,3% niż w 2016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27439" w:rsidRPr="004B3C88">
        <w:rPr>
          <w:b/>
          <w:spacing w:val="-2"/>
          <w:sz w:val="18"/>
          <w:shd w:val="clear" w:color="auto" w:fill="FFFFFF"/>
        </w:rPr>
        <w:t xml:space="preserve">Tablica 1. </w:t>
      </w:r>
      <w:r w:rsidR="00DE44C0" w:rsidRPr="00DE44C0">
        <w:rPr>
          <w:b/>
          <w:spacing w:val="-2"/>
          <w:sz w:val="18"/>
          <w:shd w:val="clear" w:color="auto" w:fill="FFFFFF"/>
        </w:rPr>
        <w:t xml:space="preserve">Podstawowe dane </w:t>
      </w:r>
      <w:r w:rsidR="0078532B">
        <w:rPr>
          <w:b/>
          <w:spacing w:val="-2"/>
          <w:sz w:val="18"/>
          <w:shd w:val="clear" w:color="auto" w:fill="FFFFFF"/>
        </w:rPr>
        <w:t>funduszy inwestycyjnych i towarzystw funduszy inwestycyjnych</w:t>
      </w:r>
    </w:p>
    <w:tbl>
      <w:tblPr>
        <w:tblStyle w:val="Siatkatabelijasna1"/>
        <w:tblpPr w:leftFromText="141" w:rightFromText="141" w:vertAnchor="text" w:horzAnchor="margin" w:tblpY="129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701"/>
      </w:tblGrid>
      <w:tr w:rsidR="00501638" w:rsidRPr="00FA5128" w:rsidTr="00D755A1">
        <w:trPr>
          <w:trHeight w:val="57"/>
        </w:trPr>
        <w:tc>
          <w:tcPr>
            <w:tcW w:w="2977" w:type="dxa"/>
            <w:vAlign w:val="center"/>
          </w:tcPr>
          <w:p w:rsidR="00501638" w:rsidRPr="009C7251" w:rsidRDefault="00501638" w:rsidP="00AF719A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501638" w:rsidRPr="00FA5128" w:rsidRDefault="009A5580" w:rsidP="00AF719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701" w:type="dxa"/>
            <w:vAlign w:val="center"/>
          </w:tcPr>
          <w:p w:rsidR="00501638" w:rsidRPr="00FA5128" w:rsidRDefault="009A5580" w:rsidP="00AF719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701" w:type="dxa"/>
            <w:vAlign w:val="center"/>
          </w:tcPr>
          <w:p w:rsidR="00501638" w:rsidRPr="00FA5128" w:rsidRDefault="009A5580" w:rsidP="00AF719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2016=100</w:t>
            </w:r>
          </w:p>
        </w:tc>
      </w:tr>
      <w:tr w:rsidR="009A5580" w:rsidRPr="00FA5128" w:rsidTr="00D755A1">
        <w:trPr>
          <w:trHeight w:val="57"/>
        </w:trPr>
        <w:tc>
          <w:tcPr>
            <w:tcW w:w="8080" w:type="dxa"/>
            <w:gridSpan w:val="4"/>
            <w:tcBorders>
              <w:top w:val="single" w:sz="12" w:space="0" w:color="212492"/>
            </w:tcBorders>
            <w:vAlign w:val="center"/>
          </w:tcPr>
          <w:p w:rsidR="009A5580" w:rsidRPr="009A5580" w:rsidRDefault="009A5580" w:rsidP="0078532B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9A5580">
              <w:rPr>
                <w:b/>
                <w:sz w:val="16"/>
                <w:szCs w:val="16"/>
              </w:rPr>
              <w:t xml:space="preserve">Dane finansowe </w:t>
            </w:r>
            <w:r w:rsidR="0078532B">
              <w:rPr>
                <w:b/>
                <w:sz w:val="16"/>
                <w:szCs w:val="16"/>
              </w:rPr>
              <w:t xml:space="preserve">funduszy inwestycyjnych </w:t>
            </w:r>
            <w:r w:rsidRPr="009A5580">
              <w:rPr>
                <w:b/>
                <w:sz w:val="16"/>
                <w:szCs w:val="16"/>
              </w:rPr>
              <w:t xml:space="preserve"> (w mln zł)</w:t>
            </w:r>
          </w:p>
        </w:tc>
      </w:tr>
      <w:tr w:rsidR="00501638" w:rsidRPr="00FA5128" w:rsidTr="00D755A1">
        <w:trPr>
          <w:trHeight w:val="57"/>
        </w:trPr>
        <w:tc>
          <w:tcPr>
            <w:tcW w:w="2977" w:type="dxa"/>
          </w:tcPr>
          <w:p w:rsidR="00501638" w:rsidRPr="009A5580" w:rsidRDefault="00501638" w:rsidP="00DE44C0">
            <w:pPr>
              <w:rPr>
                <w:sz w:val="16"/>
                <w:szCs w:val="16"/>
              </w:rPr>
            </w:pPr>
            <w:r w:rsidRPr="009A5580">
              <w:rPr>
                <w:sz w:val="16"/>
                <w:szCs w:val="16"/>
              </w:rPr>
              <w:t>Aktywa</w:t>
            </w:r>
            <w:r w:rsidR="00D755A1">
              <w:rPr>
                <w:sz w:val="16"/>
                <w:szCs w:val="16"/>
              </w:rPr>
              <w:t xml:space="preserve"> ogółem</w:t>
            </w:r>
            <w:r w:rsidRPr="009A5580">
              <w:rPr>
                <w:sz w:val="16"/>
                <w:szCs w:val="16"/>
              </w:rPr>
              <w:t xml:space="preserve">, w tym: </w:t>
            </w:r>
          </w:p>
        </w:tc>
        <w:tc>
          <w:tcPr>
            <w:tcW w:w="1701" w:type="dxa"/>
            <w:tcBorders>
              <w:top w:val="single" w:sz="4" w:space="0" w:color="212492"/>
            </w:tcBorders>
          </w:tcPr>
          <w:p w:rsidR="00501638" w:rsidRPr="009A5580" w:rsidRDefault="00D755A1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292 871,1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501638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314 101,0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501638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107,2</w:t>
            </w:r>
          </w:p>
        </w:tc>
      </w:tr>
      <w:tr w:rsidR="00501638" w:rsidRPr="00FA5128" w:rsidTr="00D755A1">
        <w:trPr>
          <w:trHeight w:val="57"/>
        </w:trPr>
        <w:tc>
          <w:tcPr>
            <w:tcW w:w="2977" w:type="dxa"/>
          </w:tcPr>
          <w:p w:rsidR="00501638" w:rsidRPr="009A5580" w:rsidRDefault="00CB5CC0" w:rsidP="009A558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D755A1">
              <w:rPr>
                <w:sz w:val="16"/>
                <w:szCs w:val="16"/>
              </w:rPr>
              <w:t>okaty</w:t>
            </w:r>
          </w:p>
        </w:tc>
        <w:tc>
          <w:tcPr>
            <w:tcW w:w="1701" w:type="dxa"/>
          </w:tcPr>
          <w:p w:rsidR="00501638" w:rsidRPr="009A5580" w:rsidRDefault="00D755A1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256 155,8</w:t>
            </w:r>
          </w:p>
        </w:tc>
        <w:tc>
          <w:tcPr>
            <w:tcW w:w="1701" w:type="dxa"/>
            <w:vAlign w:val="center"/>
          </w:tcPr>
          <w:p w:rsidR="00501638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279 369,6</w:t>
            </w:r>
          </w:p>
        </w:tc>
        <w:tc>
          <w:tcPr>
            <w:tcW w:w="1701" w:type="dxa"/>
            <w:vAlign w:val="center"/>
          </w:tcPr>
          <w:p w:rsidR="00501638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109,1</w:t>
            </w:r>
          </w:p>
        </w:tc>
      </w:tr>
      <w:tr w:rsidR="00D755A1" w:rsidRPr="00FA5128" w:rsidTr="00D755A1">
        <w:trPr>
          <w:trHeight w:val="57"/>
        </w:trPr>
        <w:tc>
          <w:tcPr>
            <w:tcW w:w="2977" w:type="dxa"/>
          </w:tcPr>
          <w:p w:rsidR="00D755A1" w:rsidRPr="009A5580" w:rsidRDefault="00CB5CC0" w:rsidP="009A558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D755A1">
              <w:rPr>
                <w:sz w:val="16"/>
                <w:szCs w:val="16"/>
              </w:rPr>
              <w:t>ależności</w:t>
            </w:r>
          </w:p>
        </w:tc>
        <w:tc>
          <w:tcPr>
            <w:tcW w:w="1701" w:type="dxa"/>
          </w:tcPr>
          <w:p w:rsidR="00D755A1" w:rsidRPr="009A5580" w:rsidRDefault="00D755A1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19 455,6</w:t>
            </w:r>
          </w:p>
        </w:tc>
        <w:tc>
          <w:tcPr>
            <w:tcW w:w="1701" w:type="dxa"/>
            <w:vAlign w:val="center"/>
          </w:tcPr>
          <w:p w:rsidR="00D755A1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16 370,2</w:t>
            </w:r>
          </w:p>
        </w:tc>
        <w:tc>
          <w:tcPr>
            <w:tcW w:w="1701" w:type="dxa"/>
            <w:vAlign w:val="center"/>
          </w:tcPr>
          <w:p w:rsidR="00D755A1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</w:tr>
      <w:tr w:rsidR="00D755A1" w:rsidRPr="00FA5128" w:rsidTr="00D755A1">
        <w:trPr>
          <w:trHeight w:val="57"/>
        </w:trPr>
        <w:tc>
          <w:tcPr>
            <w:tcW w:w="2977" w:type="dxa"/>
          </w:tcPr>
          <w:p w:rsidR="00D755A1" w:rsidRDefault="00CB5CC0" w:rsidP="009A558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="00D755A1">
              <w:rPr>
                <w:sz w:val="16"/>
                <w:szCs w:val="16"/>
              </w:rPr>
              <w:t>rodki pieniężne i ich ekwiwalenty</w:t>
            </w:r>
          </w:p>
        </w:tc>
        <w:tc>
          <w:tcPr>
            <w:tcW w:w="1701" w:type="dxa"/>
          </w:tcPr>
          <w:p w:rsidR="00D755A1" w:rsidRPr="009A5580" w:rsidRDefault="00D755A1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12 920,0</w:t>
            </w:r>
          </w:p>
        </w:tc>
        <w:tc>
          <w:tcPr>
            <w:tcW w:w="1701" w:type="dxa"/>
            <w:vAlign w:val="center"/>
          </w:tcPr>
          <w:p w:rsidR="00D755A1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13 827,0</w:t>
            </w:r>
          </w:p>
        </w:tc>
        <w:tc>
          <w:tcPr>
            <w:tcW w:w="1701" w:type="dxa"/>
            <w:vAlign w:val="center"/>
          </w:tcPr>
          <w:p w:rsidR="00D755A1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</w:tc>
      </w:tr>
      <w:tr w:rsidR="00501638" w:rsidRPr="00FA5128" w:rsidTr="00D755A1">
        <w:trPr>
          <w:trHeight w:val="57"/>
        </w:trPr>
        <w:tc>
          <w:tcPr>
            <w:tcW w:w="2977" w:type="dxa"/>
          </w:tcPr>
          <w:p w:rsidR="00501638" w:rsidRPr="009A5580" w:rsidRDefault="00501638" w:rsidP="00D755A1">
            <w:pPr>
              <w:rPr>
                <w:sz w:val="16"/>
                <w:szCs w:val="16"/>
              </w:rPr>
            </w:pPr>
            <w:r w:rsidRPr="009A5580">
              <w:rPr>
                <w:sz w:val="16"/>
                <w:szCs w:val="16"/>
              </w:rPr>
              <w:t xml:space="preserve">Wynik </w:t>
            </w:r>
            <w:r w:rsidR="00D755A1">
              <w:rPr>
                <w:sz w:val="16"/>
                <w:szCs w:val="16"/>
              </w:rPr>
              <w:t>z operacji</w:t>
            </w:r>
          </w:p>
        </w:tc>
        <w:tc>
          <w:tcPr>
            <w:tcW w:w="1701" w:type="dxa"/>
          </w:tcPr>
          <w:p w:rsidR="00501638" w:rsidRPr="009A5580" w:rsidRDefault="00D755A1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29 953,6</w:t>
            </w:r>
          </w:p>
        </w:tc>
        <w:tc>
          <w:tcPr>
            <w:tcW w:w="1701" w:type="dxa"/>
            <w:vAlign w:val="center"/>
          </w:tcPr>
          <w:p w:rsidR="00501638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15 497,0</w:t>
            </w:r>
          </w:p>
        </w:tc>
        <w:tc>
          <w:tcPr>
            <w:tcW w:w="1701" w:type="dxa"/>
            <w:vAlign w:val="center"/>
          </w:tcPr>
          <w:p w:rsidR="00501638" w:rsidRPr="009A5580" w:rsidRDefault="00BF65C3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</w:tr>
      <w:tr w:rsidR="003938ED" w:rsidRPr="00FA5128" w:rsidTr="00D755A1">
        <w:trPr>
          <w:trHeight w:val="57"/>
        </w:trPr>
        <w:tc>
          <w:tcPr>
            <w:tcW w:w="8080" w:type="dxa"/>
            <w:gridSpan w:val="4"/>
            <w:vAlign w:val="center"/>
          </w:tcPr>
          <w:p w:rsidR="003938ED" w:rsidRPr="003938ED" w:rsidRDefault="003938ED" w:rsidP="00D755A1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3938ED">
              <w:rPr>
                <w:b/>
                <w:color w:val="000000" w:themeColor="text1"/>
                <w:sz w:val="16"/>
                <w:szCs w:val="16"/>
              </w:rPr>
              <w:t xml:space="preserve">Dane </w:t>
            </w:r>
            <w:r w:rsidR="00D755A1">
              <w:rPr>
                <w:b/>
                <w:color w:val="000000" w:themeColor="text1"/>
                <w:sz w:val="16"/>
                <w:szCs w:val="16"/>
              </w:rPr>
              <w:t>finansowe towarzystw funduszy inwestycyjnych (w mln zł)</w:t>
            </w:r>
          </w:p>
        </w:tc>
      </w:tr>
      <w:tr w:rsidR="003938ED" w:rsidRPr="00FA5128" w:rsidTr="00D755A1">
        <w:trPr>
          <w:trHeight w:val="57"/>
        </w:trPr>
        <w:tc>
          <w:tcPr>
            <w:tcW w:w="2977" w:type="dxa"/>
          </w:tcPr>
          <w:p w:rsidR="003938ED" w:rsidRPr="003938ED" w:rsidRDefault="00D755A1" w:rsidP="00DE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</w:t>
            </w:r>
            <w:r w:rsidR="003938ED" w:rsidRPr="003938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212492"/>
            </w:tcBorders>
          </w:tcPr>
          <w:p w:rsidR="003938ED" w:rsidRPr="003938ED" w:rsidRDefault="00D755A1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2 379,4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3938ED" w:rsidRPr="009A5580" w:rsidRDefault="00BF65C3" w:rsidP="00AF71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2 309,8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3938ED" w:rsidRPr="009A5580" w:rsidRDefault="00BF65C3" w:rsidP="00AF71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97,1</w:t>
            </w:r>
          </w:p>
        </w:tc>
      </w:tr>
      <w:tr w:rsidR="003938ED" w:rsidRPr="00FA5128" w:rsidTr="00D755A1">
        <w:trPr>
          <w:trHeight w:val="57"/>
        </w:trPr>
        <w:tc>
          <w:tcPr>
            <w:tcW w:w="2977" w:type="dxa"/>
          </w:tcPr>
          <w:p w:rsidR="003938ED" w:rsidRPr="003938ED" w:rsidRDefault="00D755A1" w:rsidP="00DE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finansowy netto</w:t>
            </w:r>
          </w:p>
        </w:tc>
        <w:tc>
          <w:tcPr>
            <w:tcW w:w="1701" w:type="dxa"/>
          </w:tcPr>
          <w:p w:rsidR="003938ED" w:rsidRPr="003938ED" w:rsidRDefault="00D755A1" w:rsidP="003938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505,9</w:t>
            </w:r>
          </w:p>
        </w:tc>
        <w:tc>
          <w:tcPr>
            <w:tcW w:w="1701" w:type="dxa"/>
            <w:vAlign w:val="center"/>
          </w:tcPr>
          <w:p w:rsidR="003938ED" w:rsidRPr="009A5580" w:rsidRDefault="00BF65C3" w:rsidP="00AF71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680,8</w:t>
            </w:r>
          </w:p>
        </w:tc>
        <w:tc>
          <w:tcPr>
            <w:tcW w:w="1701" w:type="dxa"/>
            <w:vAlign w:val="center"/>
          </w:tcPr>
          <w:p w:rsidR="003938ED" w:rsidRPr="009A5580" w:rsidRDefault="00BF65C3" w:rsidP="00AF71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134,6</w:t>
            </w:r>
          </w:p>
        </w:tc>
      </w:tr>
    </w:tbl>
    <w:p w:rsidR="00C22105" w:rsidRPr="00873659" w:rsidRDefault="00D755A1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780BBC1" wp14:editId="00AFCF68">
                <wp:simplePos x="0" y="0"/>
                <wp:positionH relativeFrom="column">
                  <wp:posOffset>5219700</wp:posOffset>
                </wp:positionH>
                <wp:positionV relativeFrom="paragraph">
                  <wp:posOffset>3937635</wp:posOffset>
                </wp:positionV>
                <wp:extent cx="1725295" cy="857250"/>
                <wp:effectExtent l="0" t="0" r="0" b="0"/>
                <wp:wrapTight wrapText="bothSides">
                  <wp:wrapPolygon edited="0">
                    <wp:start x="715" y="0"/>
                    <wp:lineTo x="715" y="21120"/>
                    <wp:lineTo x="20749" y="2112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074DD8" w:rsidRDefault="00332EAC" w:rsidP="001568E3">
                            <w:pPr>
                              <w:pStyle w:val="tekstzboku"/>
                            </w:pPr>
                            <w:r w:rsidRPr="00AB329A">
                              <w:t>W 2017</w:t>
                            </w:r>
                            <w:r w:rsidR="001568E3">
                              <w:t> </w:t>
                            </w:r>
                            <w:r w:rsidRPr="00AB329A">
                              <w:t xml:space="preserve">r. </w:t>
                            </w:r>
                            <w:r>
                              <w:t xml:space="preserve">liczba ogółem funduszy inwestycyjnych </w:t>
                            </w:r>
                            <w:r w:rsidRPr="00AB329A">
                              <w:t xml:space="preserve"> wyniosła </w:t>
                            </w:r>
                            <w:r>
                              <w:t>905.</w:t>
                            </w:r>
                          </w:p>
                          <w:p w:rsidR="00332EAC" w:rsidRPr="00D616D2" w:rsidRDefault="00332EA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BBC1" id="_x0000_s1028" type="#_x0000_t202" style="position:absolute;margin-left:411pt;margin-top:310.05pt;width:135.85pt;height:67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" filled="f" stroked="f">
                <v:textbox>
                  <w:txbxContent>
                    <w:p w:rsidR="00332EAC" w:rsidRPr="00074DD8" w:rsidRDefault="00332EAC" w:rsidP="001568E3">
                      <w:pPr>
                        <w:pStyle w:val="tekstzboku"/>
                      </w:pPr>
                      <w:r w:rsidRPr="00AB329A">
                        <w:t>W 2017</w:t>
                      </w:r>
                      <w:r w:rsidR="001568E3">
                        <w:t> </w:t>
                      </w:r>
                      <w:r w:rsidRPr="00AB329A">
                        <w:t xml:space="preserve">r. </w:t>
                      </w:r>
                      <w:r>
                        <w:t xml:space="preserve">liczba ogółem funduszy inwestycyjnych </w:t>
                      </w:r>
                      <w:r w:rsidRPr="00AB329A">
                        <w:t xml:space="preserve"> wyniosła </w:t>
                      </w:r>
                      <w:r>
                        <w:t>905.</w:t>
                      </w:r>
                    </w:p>
                    <w:p w:rsidR="00332EAC" w:rsidRPr="00D616D2" w:rsidRDefault="00332EA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8156A" w:rsidRDefault="002D7403" w:rsidP="00F3752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 końcu 2017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r. na polskim rynku finansowym funkcjonowało ogółem 905 funduszy inwestycyjnych</w:t>
      </w:r>
      <w:r w:rsidR="005D3F15">
        <w:rPr>
          <w:rStyle w:val="Odwoanieprzypisukocowego"/>
          <w:shd w:val="clear" w:color="auto" w:fill="FFFFFF"/>
        </w:rPr>
        <w:endnoteReference w:id="1"/>
      </w:r>
      <w:r>
        <w:rPr>
          <w:shd w:val="clear" w:color="auto" w:fill="FFFFFF"/>
        </w:rPr>
        <w:t xml:space="preserve"> (o 24 mniej niż przed rokiem). Liczba otwartych funduszy inwestycyjnych wyniosła 44</w:t>
      </w:r>
      <w:r w:rsidR="00F3752A">
        <w:rPr>
          <w:shd w:val="clear" w:color="auto" w:fill="FFFFFF"/>
        </w:rPr>
        <w:t> </w:t>
      </w:r>
      <w:r>
        <w:rPr>
          <w:shd w:val="clear" w:color="auto" w:fill="FFFFFF"/>
        </w:rPr>
        <w:t xml:space="preserve">(tak jak przed rokiem), liczba specjalistycznych funduszy inwestycyjnych otwartych </w:t>
      </w:r>
      <w:r w:rsidR="00F3752A">
        <w:rPr>
          <w:shd w:val="clear" w:color="auto" w:fill="FFFFFF"/>
        </w:rPr>
        <w:t>to 55 (51</w:t>
      </w:r>
      <w:r w:rsidR="001568E3">
        <w:rPr>
          <w:shd w:val="clear" w:color="auto" w:fill="FFFFFF"/>
        </w:rPr>
        <w:t xml:space="preserve"> rok wcześniej</w:t>
      </w:r>
      <w:r w:rsidR="00F3752A">
        <w:rPr>
          <w:shd w:val="clear" w:color="auto" w:fill="FFFFFF"/>
        </w:rPr>
        <w:t xml:space="preserve">). W grupie funduszy inwestycyjnych zamkniętych liczba funduszy zmniejszyła się z 834 do 806. </w:t>
      </w:r>
    </w:p>
    <w:p w:rsidR="000A6AA4" w:rsidRDefault="000A6AA4" w:rsidP="00F3752A">
      <w:pPr>
        <w:jc w:val="both"/>
        <w:rPr>
          <w:shd w:val="clear" w:color="auto" w:fill="FFFFFF"/>
        </w:rPr>
      </w:pPr>
    </w:p>
    <w:p w:rsidR="000A6AA4" w:rsidRDefault="000A6AA4" w:rsidP="00F3752A">
      <w:pPr>
        <w:jc w:val="both"/>
        <w:rPr>
          <w:shd w:val="clear" w:color="auto" w:fill="FFFFFF"/>
        </w:rPr>
      </w:pPr>
    </w:p>
    <w:p w:rsidR="000A6AA4" w:rsidRDefault="000A6AA4" w:rsidP="00F3752A">
      <w:pPr>
        <w:jc w:val="both"/>
        <w:rPr>
          <w:shd w:val="clear" w:color="auto" w:fill="FFFFFF"/>
        </w:rPr>
      </w:pPr>
    </w:p>
    <w:p w:rsidR="00F3752A" w:rsidRDefault="000578A2" w:rsidP="00F3752A">
      <w:pPr>
        <w:jc w:val="both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50DE14C1" wp14:editId="72CF0FCB">
                <wp:simplePos x="0" y="0"/>
                <wp:positionH relativeFrom="column">
                  <wp:posOffset>5229225</wp:posOffset>
                </wp:positionH>
                <wp:positionV relativeFrom="paragraph">
                  <wp:posOffset>0</wp:posOffset>
                </wp:positionV>
                <wp:extent cx="1725295" cy="895350"/>
                <wp:effectExtent l="0" t="0" r="0" b="0"/>
                <wp:wrapTight wrapText="bothSides">
                  <wp:wrapPolygon edited="0">
                    <wp:start x="715" y="0"/>
                    <wp:lineTo x="715" y="21140"/>
                    <wp:lineTo x="20749" y="21140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074DD8" w:rsidRDefault="00332EAC" w:rsidP="006F7FF7">
                            <w:pPr>
                              <w:pStyle w:val="tekstzboku"/>
                            </w:pPr>
                            <w:r w:rsidRPr="00AB329A">
                              <w:t>W 2017</w:t>
                            </w:r>
                            <w:r w:rsidR="001568E3">
                              <w:t> </w:t>
                            </w:r>
                            <w:r w:rsidRPr="00AB329A">
                              <w:t xml:space="preserve">r. </w:t>
                            </w:r>
                            <w:r>
                              <w:t>wartość aktywów ogółem funduszy inwestycyjnych wyniosła 314,1 mld zł</w:t>
                            </w:r>
                            <w:r w:rsidR="00E44AD2">
                              <w:t>.</w:t>
                            </w:r>
                          </w:p>
                          <w:p w:rsidR="00332EAC" w:rsidRPr="00D616D2" w:rsidRDefault="00332EAC" w:rsidP="00BF4D8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E14C1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9" type="#_x0000_t202" style="position:absolute;left:0;text-align:left;margin-left:411.75pt;margin-top:0;width:135.85pt;height:70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" filled="f" stroked="f">
                <v:textbox>
                  <w:txbxContent>
                    <w:p w:rsidR="00332EAC" w:rsidRPr="00074DD8" w:rsidRDefault="00332EAC" w:rsidP="006F7FF7">
                      <w:pPr>
                        <w:pStyle w:val="tekstzboku"/>
                      </w:pPr>
                      <w:r w:rsidRPr="00AB329A">
                        <w:t>W 2017</w:t>
                      </w:r>
                      <w:r w:rsidR="001568E3">
                        <w:t> </w:t>
                      </w:r>
                      <w:r w:rsidRPr="00AB329A">
                        <w:t xml:space="preserve">r. </w:t>
                      </w:r>
                      <w:r>
                        <w:t>wartość aktywów ogółem funduszy inwestycyjnych wyniosła 314,1 mld zł</w:t>
                      </w:r>
                      <w:r w:rsidR="00E44AD2">
                        <w:t>.</w:t>
                      </w:r>
                    </w:p>
                    <w:p w:rsidR="00332EAC" w:rsidRPr="00D616D2" w:rsidRDefault="00332EAC" w:rsidP="00BF4D8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A4">
        <w:rPr>
          <w:shd w:val="clear" w:color="auto" w:fill="FFFFFF"/>
        </w:rPr>
        <w:t>Według stanu na 31 grudnia 2017</w:t>
      </w:r>
      <w:r w:rsidR="001568E3">
        <w:rPr>
          <w:shd w:val="clear" w:color="auto" w:fill="FFFFFF"/>
        </w:rPr>
        <w:t> </w:t>
      </w:r>
      <w:r w:rsidR="000A6AA4">
        <w:rPr>
          <w:shd w:val="clear" w:color="auto" w:fill="FFFFFF"/>
        </w:rPr>
        <w:t>r. wartość aktywów ogółem zgromadzonych przez fundusze inwestycyjne wyniosła 314 101,0 mln zł (wzrost o 7,2% w stosunku do 2016</w:t>
      </w:r>
      <w:r w:rsidR="001568E3">
        <w:rPr>
          <w:shd w:val="clear" w:color="auto" w:fill="FFFFFF"/>
        </w:rPr>
        <w:t> </w:t>
      </w:r>
      <w:r w:rsidR="000A6AA4">
        <w:rPr>
          <w:shd w:val="clear" w:color="auto" w:fill="FFFFFF"/>
        </w:rPr>
        <w:t>r.), z tego aktywa:</w:t>
      </w:r>
    </w:p>
    <w:p w:rsidR="000A6AA4" w:rsidRDefault="00AD5D19" w:rsidP="00AD5D19">
      <w:pPr>
        <w:pStyle w:val="Akapitzlist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funduszy inwestycyjnych zamkniętych wyniosły 155 851,3 mln zł (wzrost o 2,0%), udział tej grupy funduszy w aktywach ogółem zmniejszył się z 52,2% do 49,6%;</w:t>
      </w:r>
    </w:p>
    <w:p w:rsidR="00AD5D19" w:rsidRDefault="00AD5D19" w:rsidP="00AD5D19">
      <w:pPr>
        <w:pStyle w:val="Akapitzlist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otwartych funduszy inwestycyjnych osiągnęły wartość 104 080,7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mln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zł (wzrost o</w:t>
      </w:r>
      <w:r w:rsidR="00C83ED1">
        <w:rPr>
          <w:shd w:val="clear" w:color="auto" w:fill="FFFFFF"/>
        </w:rPr>
        <w:t> </w:t>
      </w:r>
      <w:r>
        <w:rPr>
          <w:shd w:val="clear" w:color="auto" w:fill="FFFFFF"/>
        </w:rPr>
        <w:t xml:space="preserve">15,5%), ich udział w aktywach funduszy ogółem </w:t>
      </w:r>
      <w:r w:rsidR="00C83ED1">
        <w:rPr>
          <w:shd w:val="clear" w:color="auto" w:fill="FFFFFF"/>
        </w:rPr>
        <w:t>zwiększył się z 30,8% do 33,1%;</w:t>
      </w:r>
    </w:p>
    <w:p w:rsidR="00C83ED1" w:rsidRDefault="00C83ED1" w:rsidP="00AD5D19">
      <w:pPr>
        <w:pStyle w:val="Akapitzlist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specjalistycznych funduszy inwestycyjnych otwartych ukształtowały się na poziomie 54 169,0 mln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zł (wzrost o 8,6%), ich udział w aktywach ogółem zwiększył się do 17,2% wobec 17,0% przed rokiem.</w:t>
      </w:r>
    </w:p>
    <w:p w:rsidR="00C83ED1" w:rsidRPr="00C83ED1" w:rsidRDefault="00C83ED1" w:rsidP="00C83ED1">
      <w:pPr>
        <w:jc w:val="both"/>
        <w:rPr>
          <w:shd w:val="clear" w:color="auto" w:fill="FFFFFF"/>
        </w:rPr>
      </w:pPr>
      <w:r w:rsidRPr="00C83ED1">
        <w:rPr>
          <w:shd w:val="clear" w:color="auto" w:fill="FFFFFF"/>
        </w:rPr>
        <w:t xml:space="preserve"> </w:t>
      </w:r>
    </w:p>
    <w:p w:rsidR="00116087" w:rsidRPr="00C01503" w:rsidRDefault="00FB5906" w:rsidP="00074DD8">
      <w:pPr>
        <w:pStyle w:val="tytuwykresu"/>
      </w:pPr>
      <w:r w:rsidRPr="0019592F">
        <w:t xml:space="preserve">Wykres </w:t>
      </w:r>
      <w:r w:rsidR="00074DD8" w:rsidRPr="0019592F">
        <w:t>1</w:t>
      </w:r>
      <w:r w:rsidR="008F4441" w:rsidRPr="0019592F">
        <w:t>.</w:t>
      </w:r>
      <w:r w:rsidR="00074DD8" w:rsidRPr="0019592F">
        <w:rPr>
          <w:shd w:val="clear" w:color="auto" w:fill="FFFFFF"/>
        </w:rPr>
        <w:t xml:space="preserve"> </w:t>
      </w:r>
      <w:r w:rsidR="000578A2">
        <w:rPr>
          <w:shd w:val="clear" w:color="auto" w:fill="FFFFFF"/>
        </w:rPr>
        <w:t>Aktywa funduszy inwestycyjnych (w mld zł)</w:t>
      </w:r>
    </w:p>
    <w:p w:rsidR="00F802BE" w:rsidRDefault="000F14E6" w:rsidP="00F802BE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4572001</wp:posOffset>
                </wp:positionH>
                <wp:positionV relativeFrom="paragraph">
                  <wp:posOffset>1320800</wp:posOffset>
                </wp:positionV>
                <wp:extent cx="551180" cy="409575"/>
                <wp:effectExtent l="0" t="0" r="0" b="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E6" w:rsidRPr="000F14E6" w:rsidRDefault="000F14E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F14E6">
                              <w:rPr>
                                <w:b/>
                                <w:sz w:val="18"/>
                                <w:szCs w:val="18"/>
                              </w:rPr>
                              <w:t>0,1%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7" o:spid="_x0000_s1030" type="#_x0000_t202" style="position:absolute;margin-left:5in;margin-top:104pt;width:43.4pt;height:32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" filled="f" stroked="f" strokeweight=".5pt">
                <v:textbox>
                  <w:txbxContent>
                    <w:p w:rsidR="000F14E6" w:rsidRPr="000F14E6" w:rsidRDefault="000F14E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F14E6">
                        <w:rPr>
                          <w:b/>
                          <w:sz w:val="18"/>
                          <w:szCs w:val="18"/>
                        </w:rPr>
                        <w:t>0,1%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1949450</wp:posOffset>
                </wp:positionV>
                <wp:extent cx="485775" cy="428625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E6" w:rsidRPr="000F14E6" w:rsidRDefault="000F14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155,9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" o:spid="_x0000_s1031" type="#_x0000_t202" style="position:absolute;margin-left:355.5pt;margin-top:153.5pt;width:38.25pt;height:33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" filled="f" stroked="f" strokeweight=".5pt">
                <v:textbox>
                  <w:txbxContent>
                    <w:p w:rsidR="000F14E6" w:rsidRPr="000F14E6" w:rsidRDefault="000F14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155,9</w:t>
                      </w:r>
                    </w:p>
                  </w:txbxContent>
                </v:textbox>
              </v:shape>
            </w:pict>
          </mc:Fallback>
        </mc:AlternateContent>
      </w:r>
      <w:r w:rsidR="00775B0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2816226</wp:posOffset>
                </wp:positionV>
                <wp:extent cx="428625" cy="3048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B09" w:rsidRPr="00775B09" w:rsidRDefault="00775B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54,2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2" type="#_x0000_t202" style="position:absolute;margin-left:341.25pt;margin-top:221.75pt;width:33.75pt;height:24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" filled="f" stroked="f" strokeweight=".5pt">
                <v:textbox>
                  <w:txbxContent>
                    <w:p w:rsidR="00775B09" w:rsidRPr="00775B09" w:rsidRDefault="00775B0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54,2</w:t>
                      </w:r>
                    </w:p>
                  </w:txbxContent>
                </v:textbox>
              </v:shape>
            </w:pict>
          </mc:Fallback>
        </mc:AlternateContent>
      </w:r>
      <w:r w:rsidR="00775B0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1730375</wp:posOffset>
                </wp:positionV>
                <wp:extent cx="466725" cy="35242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B09" w:rsidRPr="00775B09" w:rsidRDefault="00775B0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5B09">
                              <w:rPr>
                                <w:b/>
                                <w:sz w:val="18"/>
                                <w:szCs w:val="18"/>
                              </w:rPr>
                              <w:t>4,0%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3" type="#_x0000_t202" style="position:absolute;margin-left:327pt;margin-top:136.25pt;width:36.75pt;height:27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" filled="f" stroked="f" strokeweight=".5pt">
                <v:textbox>
                  <w:txbxContent>
                    <w:p w:rsidR="00775B09" w:rsidRPr="00775B09" w:rsidRDefault="00775B0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5B09">
                        <w:rPr>
                          <w:b/>
                          <w:sz w:val="18"/>
                          <w:szCs w:val="18"/>
                        </w:rPr>
                        <w:t>4,0%</w:t>
                      </w:r>
                    </w:p>
                  </w:txbxContent>
                </v:textbox>
              </v:shape>
            </w:pict>
          </mc:Fallback>
        </mc:AlternateContent>
      </w:r>
      <w:r w:rsidR="00775B0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4105276</wp:posOffset>
                </wp:positionH>
                <wp:positionV relativeFrom="paragraph">
                  <wp:posOffset>2378075</wp:posOffset>
                </wp:positionV>
                <wp:extent cx="514350" cy="352425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B09" w:rsidRPr="00775B09" w:rsidRDefault="00775B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104,1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4" type="#_x0000_t202" style="position:absolute;margin-left:323.25pt;margin-top:187.25pt;width:40.5pt;height:2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" filled="f" stroked="f" strokeweight=".5pt">
                <v:textbox>
                  <w:txbxContent>
                    <w:p w:rsidR="00775B09" w:rsidRPr="00775B09" w:rsidRDefault="00775B0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104,1</w:t>
                      </w:r>
                    </w:p>
                  </w:txbxContent>
                </v:textbox>
              </v:shape>
            </w:pict>
          </mc:Fallback>
        </mc:AlternateContent>
      </w:r>
      <w:r w:rsidR="00DF17C4">
        <w:rPr>
          <w:noProof/>
        </w:rPr>
        <w:drawing>
          <wp:inline distT="0" distB="0" distL="0" distR="0" wp14:anchorId="3C1CC931" wp14:editId="5818D20E">
            <wp:extent cx="5123180" cy="4595495"/>
            <wp:effectExtent l="0" t="0" r="1270" b="1460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17C4" w:rsidRDefault="00DF17C4" w:rsidP="001E0053">
      <w:pPr>
        <w:jc w:val="both"/>
        <w:rPr>
          <w:shd w:val="clear" w:color="auto" w:fill="FFFFFF"/>
        </w:rPr>
      </w:pPr>
    </w:p>
    <w:p w:rsidR="00E74157" w:rsidRDefault="00332EAC" w:rsidP="001E0053">
      <w:pPr>
        <w:jc w:val="both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40311FD" wp14:editId="34D6062E">
                <wp:simplePos x="0" y="0"/>
                <wp:positionH relativeFrom="column">
                  <wp:posOffset>5229225</wp:posOffset>
                </wp:positionH>
                <wp:positionV relativeFrom="paragraph">
                  <wp:posOffset>204470</wp:posOffset>
                </wp:positionV>
                <wp:extent cx="1725295" cy="933450"/>
                <wp:effectExtent l="0" t="0" r="0" b="0"/>
                <wp:wrapTight wrapText="bothSides">
                  <wp:wrapPolygon edited="0">
                    <wp:start x="715" y="0"/>
                    <wp:lineTo x="715" y="21159"/>
                    <wp:lineTo x="20749" y="21159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074DD8" w:rsidRDefault="00332EAC" w:rsidP="00ED1DC2">
                            <w:pPr>
                              <w:pStyle w:val="tekstzboku"/>
                              <w:jc w:val="both"/>
                            </w:pPr>
                            <w:r w:rsidRPr="0053170A">
                              <w:t xml:space="preserve">Główną pozycją </w:t>
                            </w:r>
                            <w:r>
                              <w:t>aktywów ogółem funduszy inwestycyjnych były składniki lokat nienotowane na aktywnym rynku</w:t>
                            </w:r>
                            <w:r w:rsidR="00E44AD2">
                              <w:t>.</w:t>
                            </w:r>
                          </w:p>
                          <w:p w:rsidR="00332EAC" w:rsidRPr="00D616D2" w:rsidRDefault="00332EAC" w:rsidP="0053170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11FD" id="Pole tekstowe 16" o:spid="_x0000_s1035" type="#_x0000_t202" style="position:absolute;left:0;text-align:left;margin-left:411.75pt;margin-top:16.1pt;width:135.85pt;height:73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" filled="f" stroked="f">
                <v:textbox>
                  <w:txbxContent>
                    <w:p w:rsidR="00332EAC" w:rsidRPr="00074DD8" w:rsidRDefault="00332EAC" w:rsidP="00ED1DC2">
                      <w:pPr>
                        <w:pStyle w:val="tekstzboku"/>
                        <w:jc w:val="both"/>
                      </w:pPr>
                      <w:r w:rsidRPr="0053170A">
                        <w:t xml:space="preserve">Główną pozycją </w:t>
                      </w:r>
                      <w:r>
                        <w:t>aktywów ogółem funduszy inwestycyjnych były składniki lokat nienotowane na aktywnym rynku</w:t>
                      </w:r>
                      <w:r w:rsidR="00E44AD2">
                        <w:t>.</w:t>
                      </w:r>
                    </w:p>
                    <w:p w:rsidR="00332EAC" w:rsidRPr="00D616D2" w:rsidRDefault="00332EAC" w:rsidP="0053170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E0053">
        <w:rPr>
          <w:shd w:val="clear" w:color="auto" w:fill="FFFFFF"/>
        </w:rPr>
        <w:t>Główną pozycję aktywów ogółem funduszy inwestycyjnych stanowiły składniki lokat nienotowane na aktywnym rynku</w:t>
      </w:r>
      <w:r w:rsidR="005D3F15">
        <w:rPr>
          <w:rStyle w:val="Odwoanieprzypisukocowego"/>
          <w:shd w:val="clear" w:color="auto" w:fill="FFFFFF"/>
        </w:rPr>
        <w:endnoteReference w:id="2"/>
      </w:r>
      <w:r w:rsidR="001E0053">
        <w:rPr>
          <w:shd w:val="clear" w:color="auto" w:fill="FFFFFF"/>
        </w:rPr>
        <w:t>, ich wartość na koniec grudnia 2017</w:t>
      </w:r>
      <w:r w:rsidR="001568E3">
        <w:rPr>
          <w:shd w:val="clear" w:color="auto" w:fill="FFFFFF"/>
        </w:rPr>
        <w:t> </w:t>
      </w:r>
      <w:r w:rsidR="001E0053">
        <w:rPr>
          <w:shd w:val="clear" w:color="auto" w:fill="FFFFFF"/>
        </w:rPr>
        <w:t>r. wyniosła 151 885,3 mln</w:t>
      </w:r>
      <w:r w:rsidR="001568E3">
        <w:rPr>
          <w:shd w:val="clear" w:color="auto" w:fill="FFFFFF"/>
        </w:rPr>
        <w:t> </w:t>
      </w:r>
      <w:r w:rsidR="001E0053">
        <w:rPr>
          <w:shd w:val="clear" w:color="auto" w:fill="FFFFFF"/>
        </w:rPr>
        <w:t>zł i była wyższa o 8,5% w stosunku do grudnia 2016</w:t>
      </w:r>
      <w:r w:rsidR="001568E3">
        <w:rPr>
          <w:shd w:val="clear" w:color="auto" w:fill="FFFFFF"/>
        </w:rPr>
        <w:t> </w:t>
      </w:r>
      <w:r w:rsidR="001E0053">
        <w:rPr>
          <w:shd w:val="clear" w:color="auto" w:fill="FFFFFF"/>
        </w:rPr>
        <w:t xml:space="preserve">r. Udział tej pozycji w aktywach ogółem zwiększył się do 48,4% (wobec 47,8% przed rokiem). </w:t>
      </w:r>
    </w:p>
    <w:p w:rsidR="00E74157" w:rsidRDefault="001E0053" w:rsidP="001E005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 2017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r. należności funduszy inwestycyjnych wyniosły 16 370,2 mln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zł i były niższe o 15,9% w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porównaniu z końcem 2016</w:t>
      </w:r>
      <w:r w:rsidR="001568E3">
        <w:rPr>
          <w:shd w:val="clear" w:color="auto" w:fill="FFFFFF"/>
        </w:rPr>
        <w:t> </w:t>
      </w:r>
      <w:r>
        <w:rPr>
          <w:shd w:val="clear" w:color="auto" w:fill="FFFFFF"/>
        </w:rPr>
        <w:t>r.</w:t>
      </w:r>
      <w:r w:rsidR="00ED1DC2">
        <w:rPr>
          <w:shd w:val="clear" w:color="auto" w:fill="FFFFFF"/>
        </w:rPr>
        <w:t xml:space="preserve"> Należności z tytułu zbytych lokat zmniejszyły się do 7 409,3</w:t>
      </w:r>
      <w:r w:rsidR="00EC5F4C">
        <w:rPr>
          <w:shd w:val="clear" w:color="auto" w:fill="FFFFFF"/>
        </w:rPr>
        <w:t> </w:t>
      </w:r>
      <w:r w:rsidR="00ED1DC2">
        <w:rPr>
          <w:shd w:val="clear" w:color="auto" w:fill="FFFFFF"/>
        </w:rPr>
        <w:t>mln</w:t>
      </w:r>
      <w:r w:rsidR="001568E3">
        <w:rPr>
          <w:shd w:val="clear" w:color="auto" w:fill="FFFFFF"/>
        </w:rPr>
        <w:t> </w:t>
      </w:r>
      <w:r w:rsidR="00ED1DC2">
        <w:rPr>
          <w:shd w:val="clear" w:color="auto" w:fill="FFFFFF"/>
        </w:rPr>
        <w:t>zł (</w:t>
      </w:r>
      <w:r w:rsidR="001568E3">
        <w:rPr>
          <w:shd w:val="clear" w:color="auto" w:fill="FFFFFF"/>
        </w:rPr>
        <w:t>o</w:t>
      </w:r>
      <w:r w:rsidR="00ED1DC2">
        <w:rPr>
          <w:shd w:val="clear" w:color="auto" w:fill="FFFFFF"/>
        </w:rPr>
        <w:t xml:space="preserve"> 8,8%). Należności z tytułu zbytych jednostek uczestnictwa i wydanych certyfikatów inwestycyjnych zwiększyły się do 6 745,9 mln</w:t>
      </w:r>
      <w:r w:rsidR="001568E3">
        <w:rPr>
          <w:shd w:val="clear" w:color="auto" w:fill="FFFFFF"/>
        </w:rPr>
        <w:t> </w:t>
      </w:r>
      <w:r w:rsidR="00ED1DC2">
        <w:rPr>
          <w:shd w:val="clear" w:color="auto" w:fill="FFFFFF"/>
        </w:rPr>
        <w:t>zł (o 20,7%). Kwota należności z tytułu udzielonych pożyczek wyniosła 738,0 mln zł (spadek o 31,1%).</w:t>
      </w:r>
      <w:r w:rsidR="00B95CEF">
        <w:rPr>
          <w:shd w:val="clear" w:color="auto" w:fill="FFFFFF"/>
        </w:rPr>
        <w:t xml:space="preserve"> </w:t>
      </w:r>
    </w:p>
    <w:p w:rsidR="00E74157" w:rsidRDefault="00B95CEF" w:rsidP="001E005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Zobowiązania funduszy inwestycyjnych osiągnęły wartość 18 287,5 mln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>zł (wzrost o 2,4%), w tym z tytułu transakcji przy zobowiązaniu się funduszu do odkupu wyniosły 6 905,2 mln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>zł. Wartość zobowiązań z tytułu nabytych aktywów wyniosła 5 024,7 mln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>zł (spadek o 21,3%), a odkupionych jednostek uczestnictwa i wykupionych certyfikatów inwestycyjnych osiągnęła poziom 1 415,6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>mln zł (wzrost o 33,5%)</w:t>
      </w:r>
      <w:r w:rsidR="00332EAC">
        <w:rPr>
          <w:shd w:val="clear" w:color="auto" w:fill="FFFFFF"/>
        </w:rPr>
        <w:t>.</w:t>
      </w:r>
      <w:r w:rsidR="00E74157">
        <w:rPr>
          <w:shd w:val="clear" w:color="auto" w:fill="FFFFFF"/>
        </w:rPr>
        <w:t xml:space="preserve"> Największe zobowiązania w kwocie 9 316,1 mln</w:t>
      </w:r>
      <w:r w:rsidR="00EC5F4C">
        <w:rPr>
          <w:shd w:val="clear" w:color="auto" w:fill="FFFFFF"/>
        </w:rPr>
        <w:t> </w:t>
      </w:r>
      <w:r w:rsidR="00E74157">
        <w:rPr>
          <w:shd w:val="clear" w:color="auto" w:fill="FFFFFF"/>
        </w:rPr>
        <w:t>zł wykazały fundusze inwestycyjne zamknięte, co stanowiło 50,9% wartości zobowiązań wszystkich funduszy inwestycyjnych.</w:t>
      </w:r>
    </w:p>
    <w:p w:rsidR="00A13AFF" w:rsidRDefault="00E74157" w:rsidP="001E0053">
      <w:pPr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W dniu 31 grudnia 2017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 xml:space="preserve">r. aktywa netto funduszy </w:t>
      </w:r>
      <w:r w:rsidR="00416E70">
        <w:rPr>
          <w:shd w:val="clear" w:color="auto" w:fill="FFFFFF"/>
        </w:rPr>
        <w:t>wynosiły</w:t>
      </w:r>
      <w:r>
        <w:rPr>
          <w:shd w:val="clear" w:color="auto" w:fill="FFFFFF"/>
        </w:rPr>
        <w:t xml:space="preserve"> 295 813,5 mln zł, tj. </w:t>
      </w:r>
      <w:r w:rsidR="00416E70">
        <w:rPr>
          <w:shd w:val="clear" w:color="auto" w:fill="FFFFFF"/>
        </w:rPr>
        <w:t xml:space="preserve">na poziomie </w:t>
      </w:r>
      <w:r>
        <w:rPr>
          <w:shd w:val="clear" w:color="auto" w:fill="FFFFFF"/>
        </w:rPr>
        <w:t>o</w:t>
      </w:r>
      <w:r w:rsidR="00416E70">
        <w:rPr>
          <w:shd w:val="clear" w:color="auto" w:fill="FFFFFF"/>
        </w:rPr>
        <w:t> </w:t>
      </w:r>
      <w:r>
        <w:rPr>
          <w:shd w:val="clear" w:color="auto" w:fill="FFFFFF"/>
        </w:rPr>
        <w:t>7,6% wyższym niż na koniec 2016</w:t>
      </w:r>
      <w:r w:rsidR="00EC5F4C">
        <w:rPr>
          <w:shd w:val="clear" w:color="auto" w:fill="FFFFFF"/>
        </w:rPr>
        <w:t> </w:t>
      </w:r>
      <w:r>
        <w:rPr>
          <w:shd w:val="clear" w:color="auto" w:fill="FFFFFF"/>
        </w:rPr>
        <w:t>r.</w:t>
      </w:r>
      <w:r w:rsidR="00E44AD2">
        <w:rPr>
          <w:shd w:val="clear" w:color="auto" w:fill="FFFFFF"/>
        </w:rPr>
        <w:t xml:space="preserve"> </w:t>
      </w:r>
      <w:r w:rsidR="00CB5CC0">
        <w:rPr>
          <w:shd w:val="clear" w:color="auto" w:fill="FFFFFF"/>
        </w:rPr>
        <w:t>Aktywa netto funduszy inwestycyjnych zamkniętych osiągnęły wartość 146 535,3 mln</w:t>
      </w:r>
      <w:r w:rsidR="00EC5F4C">
        <w:rPr>
          <w:shd w:val="clear" w:color="auto" w:fill="FFFFFF"/>
        </w:rPr>
        <w:t> </w:t>
      </w:r>
      <w:r w:rsidR="00CB5CC0">
        <w:rPr>
          <w:shd w:val="clear" w:color="auto" w:fill="FFFFFF"/>
        </w:rPr>
        <w:t>zł (porównywalnie jak przed rokiem), funduszy inwestycyjnych otwartych 96 685,4 mln</w:t>
      </w:r>
      <w:r w:rsidR="00EC5F4C">
        <w:rPr>
          <w:shd w:val="clear" w:color="auto" w:fill="FFFFFF"/>
        </w:rPr>
        <w:t> </w:t>
      </w:r>
      <w:r w:rsidR="00CB5CC0">
        <w:rPr>
          <w:shd w:val="clear" w:color="auto" w:fill="FFFFFF"/>
        </w:rPr>
        <w:t xml:space="preserve">zł (wyższą o 18,1%), a specjalistycznych funduszy otwartych 52 592,8 mln zł (wzrost o 11,1%). </w:t>
      </w:r>
    </w:p>
    <w:p w:rsidR="00DE44C0" w:rsidRPr="00696765" w:rsidRDefault="00DE44C0" w:rsidP="00DE44C0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2</w:t>
      </w:r>
      <w:r w:rsidRPr="004B3C88">
        <w:rPr>
          <w:b/>
          <w:spacing w:val="-2"/>
          <w:sz w:val="18"/>
          <w:shd w:val="clear" w:color="auto" w:fill="FFFFFF"/>
        </w:rPr>
        <w:t xml:space="preserve">. </w:t>
      </w:r>
      <w:r w:rsidR="00CB5CC0">
        <w:rPr>
          <w:b/>
          <w:spacing w:val="-2"/>
          <w:sz w:val="18"/>
          <w:shd w:val="clear" w:color="auto" w:fill="FFFFFF"/>
        </w:rPr>
        <w:t>Wybrane pozycje z bilansu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DE44C0" w:rsidRPr="00FA5128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DE44C0" w:rsidRPr="009C7251" w:rsidRDefault="00DE44C0" w:rsidP="00DE44C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DE44C0" w:rsidRPr="00FA5128" w:rsidRDefault="00DE44C0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701" w:type="dxa"/>
            <w:vAlign w:val="center"/>
          </w:tcPr>
          <w:p w:rsidR="00DE44C0" w:rsidRPr="00FA5128" w:rsidRDefault="00DE44C0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701" w:type="dxa"/>
            <w:vMerge w:val="restart"/>
            <w:vAlign w:val="center"/>
          </w:tcPr>
          <w:p w:rsidR="00DE44C0" w:rsidRPr="00FA5128" w:rsidRDefault="00DE44C0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2016=100</w:t>
            </w:r>
          </w:p>
        </w:tc>
      </w:tr>
      <w:tr w:rsidR="00DE44C0" w:rsidRPr="00FA5128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DE44C0" w:rsidRPr="009C7251" w:rsidRDefault="00DE44C0" w:rsidP="00DE44C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DE44C0" w:rsidRDefault="00DE44C0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DE44C0" w:rsidRDefault="00DE44C0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4F5B1B" w:rsidRPr="00FA5128" w:rsidTr="006F7FF7">
        <w:trPr>
          <w:trHeight w:hRule="exact" w:val="454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5B1B" w:rsidRPr="00FF7F27" w:rsidRDefault="00CB5CC0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ogółem, w tym: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5B1B" w:rsidRPr="00FF7F27" w:rsidRDefault="00EE313A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292 871,1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314 101,0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</w:tr>
      <w:tr w:rsidR="004F5B1B" w:rsidRPr="00FA5128" w:rsidTr="006F7FF7">
        <w:trPr>
          <w:trHeight w:hRule="exact" w:val="454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4F5B1B" w:rsidRPr="00FF7F27" w:rsidRDefault="00CB5CC0" w:rsidP="00CB5CC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Należności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4F5B1B" w:rsidRPr="00FF7F27" w:rsidRDefault="00EE313A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19 455,6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16 370,2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84,1</w:t>
            </w:r>
          </w:p>
        </w:tc>
      </w:tr>
      <w:tr w:rsidR="004F5B1B" w:rsidRPr="00FA5128" w:rsidTr="006F7FF7">
        <w:trPr>
          <w:trHeight w:hRule="exact" w:val="680"/>
        </w:trPr>
        <w:tc>
          <w:tcPr>
            <w:tcW w:w="2823" w:type="dxa"/>
            <w:vAlign w:val="center"/>
          </w:tcPr>
          <w:p w:rsidR="004F5B1B" w:rsidRPr="00FF7F27" w:rsidRDefault="00CB5CC0" w:rsidP="00CB5CC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Składniki lokat nienotowane na aktywnym rynku</w:t>
            </w:r>
          </w:p>
        </w:tc>
        <w:tc>
          <w:tcPr>
            <w:tcW w:w="1701" w:type="dxa"/>
            <w:vAlign w:val="center"/>
          </w:tcPr>
          <w:p w:rsidR="004F5B1B" w:rsidRPr="00FF7F27" w:rsidRDefault="00EE313A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139 945,1</w:t>
            </w:r>
          </w:p>
        </w:tc>
        <w:tc>
          <w:tcPr>
            <w:tcW w:w="1701" w:type="dxa"/>
            <w:vAlign w:val="center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151 885,3</w:t>
            </w:r>
          </w:p>
        </w:tc>
        <w:tc>
          <w:tcPr>
            <w:tcW w:w="1701" w:type="dxa"/>
            <w:vAlign w:val="center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108,5</w:t>
            </w:r>
          </w:p>
        </w:tc>
      </w:tr>
      <w:tr w:rsidR="004F5B1B" w:rsidRPr="00FA5128" w:rsidTr="006F7FF7">
        <w:trPr>
          <w:trHeight w:hRule="exact" w:val="680"/>
        </w:trPr>
        <w:tc>
          <w:tcPr>
            <w:tcW w:w="2823" w:type="dxa"/>
            <w:vAlign w:val="center"/>
          </w:tcPr>
          <w:p w:rsidR="004F5B1B" w:rsidRPr="00FF7F27" w:rsidRDefault="00CB5CC0" w:rsidP="00CB5CC0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Składniki lokat notowane na aktywnym rynku </w:t>
            </w:r>
          </w:p>
        </w:tc>
        <w:tc>
          <w:tcPr>
            <w:tcW w:w="1701" w:type="dxa"/>
            <w:vAlign w:val="center"/>
          </w:tcPr>
          <w:p w:rsidR="004F5B1B" w:rsidRPr="00FF7F27" w:rsidRDefault="00EE313A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111 967,6</w:t>
            </w:r>
          </w:p>
        </w:tc>
        <w:tc>
          <w:tcPr>
            <w:tcW w:w="1701" w:type="dxa"/>
            <w:vAlign w:val="center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122 832,5</w:t>
            </w:r>
          </w:p>
        </w:tc>
        <w:tc>
          <w:tcPr>
            <w:tcW w:w="1701" w:type="dxa"/>
            <w:vAlign w:val="center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109,7</w:t>
            </w:r>
          </w:p>
        </w:tc>
      </w:tr>
      <w:tr w:rsidR="00CB5CC0" w:rsidRPr="00FA5128" w:rsidTr="006F7FF7">
        <w:trPr>
          <w:trHeight w:hRule="exact" w:val="454"/>
        </w:trPr>
        <w:tc>
          <w:tcPr>
            <w:tcW w:w="2823" w:type="dxa"/>
            <w:vAlign w:val="center"/>
          </w:tcPr>
          <w:p w:rsidR="00CB5CC0" w:rsidRDefault="00CB5CC0" w:rsidP="00CB5C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Zobowiązania</w:t>
            </w:r>
          </w:p>
        </w:tc>
        <w:tc>
          <w:tcPr>
            <w:tcW w:w="1701" w:type="dxa"/>
            <w:vAlign w:val="center"/>
          </w:tcPr>
          <w:p w:rsidR="00CB5CC0" w:rsidRPr="00FF7F27" w:rsidRDefault="00EE313A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17 855,8</w:t>
            </w:r>
          </w:p>
        </w:tc>
        <w:tc>
          <w:tcPr>
            <w:tcW w:w="1701" w:type="dxa"/>
            <w:vAlign w:val="center"/>
          </w:tcPr>
          <w:p w:rsidR="00CB5CC0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18 287,5</w:t>
            </w:r>
          </w:p>
        </w:tc>
        <w:tc>
          <w:tcPr>
            <w:tcW w:w="1701" w:type="dxa"/>
            <w:vAlign w:val="center"/>
          </w:tcPr>
          <w:p w:rsidR="00CB5CC0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</w:tr>
      <w:tr w:rsidR="00EE313A" w:rsidRPr="00FA5128" w:rsidTr="006F7FF7">
        <w:trPr>
          <w:trHeight w:hRule="exact" w:val="454"/>
        </w:trPr>
        <w:tc>
          <w:tcPr>
            <w:tcW w:w="2823" w:type="dxa"/>
            <w:vAlign w:val="center"/>
          </w:tcPr>
          <w:p w:rsidR="00EE313A" w:rsidRDefault="00EE313A" w:rsidP="00CB5C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netto</w:t>
            </w:r>
          </w:p>
        </w:tc>
        <w:tc>
          <w:tcPr>
            <w:tcW w:w="1701" w:type="dxa"/>
            <w:vAlign w:val="center"/>
          </w:tcPr>
          <w:p w:rsidR="00EE313A" w:rsidRPr="00FF7F27" w:rsidRDefault="00EE313A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275 015,3</w:t>
            </w:r>
          </w:p>
        </w:tc>
        <w:tc>
          <w:tcPr>
            <w:tcW w:w="1701" w:type="dxa"/>
            <w:vAlign w:val="center"/>
          </w:tcPr>
          <w:p w:rsidR="00EE313A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295 813,5</w:t>
            </w:r>
          </w:p>
        </w:tc>
        <w:tc>
          <w:tcPr>
            <w:tcW w:w="1701" w:type="dxa"/>
            <w:vAlign w:val="center"/>
          </w:tcPr>
          <w:p w:rsidR="00EE313A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4F5B1B" w:rsidRPr="00FA5128" w:rsidTr="006F7FF7">
        <w:trPr>
          <w:trHeight w:hRule="exact" w:val="454"/>
        </w:trPr>
        <w:tc>
          <w:tcPr>
            <w:tcW w:w="2823" w:type="dxa"/>
            <w:vAlign w:val="center"/>
          </w:tcPr>
          <w:p w:rsidR="004F5B1B" w:rsidRPr="00FF7F27" w:rsidRDefault="00EE313A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Kapitał</w:t>
            </w:r>
          </w:p>
        </w:tc>
        <w:tc>
          <w:tcPr>
            <w:tcW w:w="1701" w:type="dxa"/>
            <w:vAlign w:val="center"/>
          </w:tcPr>
          <w:p w:rsidR="004F5B1B" w:rsidRPr="00FF7F27" w:rsidRDefault="00EE313A" w:rsidP="00FF7F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191 037,4</w:t>
            </w:r>
          </w:p>
        </w:tc>
        <w:tc>
          <w:tcPr>
            <w:tcW w:w="1701" w:type="dxa"/>
            <w:vAlign w:val="bottom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207 159,6</w:t>
            </w:r>
          </w:p>
        </w:tc>
        <w:tc>
          <w:tcPr>
            <w:tcW w:w="1701" w:type="dxa"/>
            <w:vAlign w:val="bottom"/>
          </w:tcPr>
          <w:p w:rsidR="004F5B1B" w:rsidRDefault="00EE313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</w:tr>
    </w:tbl>
    <w:p w:rsidR="006F7FF7" w:rsidRDefault="006F7FF7" w:rsidP="00E13DA0">
      <w:pPr>
        <w:jc w:val="both"/>
        <w:rPr>
          <w:lang w:eastAsia="pl-PL"/>
        </w:rPr>
      </w:pPr>
    </w:p>
    <w:p w:rsidR="001257D5" w:rsidRPr="00130B04" w:rsidRDefault="000F14E6" w:rsidP="00E13DA0">
      <w:pPr>
        <w:jc w:val="both"/>
        <w:rPr>
          <w:lang w:eastAsia="pl-P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53103BD5" wp14:editId="30D4386A">
                <wp:simplePos x="0" y="0"/>
                <wp:positionH relativeFrom="column">
                  <wp:posOffset>5229225</wp:posOffset>
                </wp:positionH>
                <wp:positionV relativeFrom="paragraph">
                  <wp:posOffset>64770</wp:posOffset>
                </wp:positionV>
                <wp:extent cx="1725295" cy="1362075"/>
                <wp:effectExtent l="0" t="0" r="0" b="0"/>
                <wp:wrapTight wrapText="bothSides">
                  <wp:wrapPolygon edited="0">
                    <wp:start x="715" y="0"/>
                    <wp:lineTo x="715" y="21147"/>
                    <wp:lineTo x="20749" y="21147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074DD8" w:rsidRDefault="00416E70" w:rsidP="006F7FF7">
                            <w:pPr>
                              <w:pStyle w:val="tekstzboku"/>
                              <w:jc w:val="both"/>
                            </w:pPr>
                            <w:r>
                              <w:t>Na koniec grudnia 2017</w:t>
                            </w:r>
                            <w:r w:rsidR="006F7FF7">
                              <w:t> </w:t>
                            </w:r>
                            <w:r>
                              <w:t>r. l</w:t>
                            </w:r>
                            <w:r w:rsidR="00FD3C08">
                              <w:t>okaty funduszy inwestycyjnych wyniosły 279,4 mld zł</w:t>
                            </w:r>
                            <w:r w:rsidR="006F7FF7">
                              <w:t>.</w:t>
                            </w:r>
                          </w:p>
                          <w:p w:rsidR="00332EAC" w:rsidRDefault="00332EAC" w:rsidP="006F7FF7">
                            <w:pPr>
                              <w:spacing w:after="0"/>
                              <w:jc w:val="both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7A5775" w:rsidRDefault="007A5775" w:rsidP="00130B0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7A5775" w:rsidRPr="00D616D2" w:rsidRDefault="007A5775" w:rsidP="00130B0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3BD5" id="Pole tekstowe 18" o:spid="_x0000_s1036" type="#_x0000_t202" style="position:absolute;left:0;text-align:left;margin-left:411.75pt;margin-top:5.1pt;width:135.85pt;height:107.2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" filled="f" stroked="f">
                <v:textbox>
                  <w:txbxContent>
                    <w:p w:rsidR="00332EAC" w:rsidRPr="00074DD8" w:rsidRDefault="00416E70" w:rsidP="006F7FF7">
                      <w:pPr>
                        <w:pStyle w:val="tekstzboku"/>
                        <w:jc w:val="both"/>
                      </w:pPr>
                      <w:r>
                        <w:t>Na koniec grudnia 2017</w:t>
                      </w:r>
                      <w:r w:rsidR="006F7FF7">
                        <w:t> </w:t>
                      </w:r>
                      <w:r>
                        <w:t>r. l</w:t>
                      </w:r>
                      <w:r w:rsidR="00FD3C08">
                        <w:t>okaty funduszy inwestycyjnych wyniosły 279,4 mld zł</w:t>
                      </w:r>
                      <w:r w:rsidR="006F7FF7">
                        <w:t>.</w:t>
                      </w:r>
                    </w:p>
                    <w:p w:rsidR="00332EAC" w:rsidRDefault="00332EAC" w:rsidP="006F7FF7">
                      <w:pPr>
                        <w:spacing w:after="0"/>
                        <w:jc w:val="both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7A5775" w:rsidRDefault="007A5775" w:rsidP="00130B0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7A5775" w:rsidRPr="00D616D2" w:rsidRDefault="007A5775" w:rsidP="00130B0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773FB"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66878462" wp14:editId="77EE933E">
                <wp:simplePos x="0" y="0"/>
                <wp:positionH relativeFrom="column">
                  <wp:posOffset>5229225</wp:posOffset>
                </wp:positionH>
                <wp:positionV relativeFrom="paragraph">
                  <wp:posOffset>804545</wp:posOffset>
                </wp:positionV>
                <wp:extent cx="1725295" cy="819150"/>
                <wp:effectExtent l="0" t="0" r="0" b="0"/>
                <wp:wrapTight wrapText="bothSides">
                  <wp:wrapPolygon edited="0">
                    <wp:start x="715" y="0"/>
                    <wp:lineTo x="715" y="21098"/>
                    <wp:lineTo x="20749" y="21098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D616D2" w:rsidRDefault="00332EAC" w:rsidP="001257D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8462" id="Pole tekstowe 19" o:spid="_x0000_s1037" type="#_x0000_t202" style="position:absolute;left:0;text-align:left;margin-left:411.75pt;margin-top:63.35pt;width:135.85pt;height:64.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" filled="f" stroked="f">
                <v:textbox>
                  <w:txbxContent>
                    <w:p w:rsidR="00332EAC" w:rsidRPr="00D616D2" w:rsidRDefault="00332EAC" w:rsidP="001257D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35E85">
        <w:rPr>
          <w:lang w:eastAsia="pl-PL"/>
        </w:rPr>
        <w:t xml:space="preserve">Wartość </w:t>
      </w:r>
      <w:r w:rsidR="00C4383D">
        <w:rPr>
          <w:lang w:eastAsia="pl-PL"/>
        </w:rPr>
        <w:t xml:space="preserve">lokat </w:t>
      </w:r>
      <w:r w:rsidR="00FD3C08">
        <w:rPr>
          <w:lang w:eastAsia="pl-PL"/>
        </w:rPr>
        <w:t>funduszy inwestycyjnych na koniec grudnia 2017</w:t>
      </w:r>
      <w:r w:rsidR="00EC5F4C">
        <w:rPr>
          <w:lang w:eastAsia="pl-PL"/>
        </w:rPr>
        <w:t> </w:t>
      </w:r>
      <w:r w:rsidR="00FD3C08">
        <w:rPr>
          <w:lang w:eastAsia="pl-PL"/>
        </w:rPr>
        <w:t>r. zwiększyła się do 279 369,6 mln zł (o 9,1%). Dłużne papiery wartościowe miały najwyższą wartość tj. 131 655,4 mln zł (wzrost o 11,8%), w tym lokaty w obligacjach wyniosły 124 552,0 mln</w:t>
      </w:r>
      <w:r w:rsidR="00EC5F4C">
        <w:rPr>
          <w:lang w:eastAsia="pl-PL"/>
        </w:rPr>
        <w:t> </w:t>
      </w:r>
      <w:r w:rsidR="00FD3C08">
        <w:rPr>
          <w:lang w:eastAsia="pl-PL"/>
        </w:rPr>
        <w:t>zł (wzrost o 6,3%). Wartość akcji zwiększyła się do kwoty 84 019,2 mln</w:t>
      </w:r>
      <w:r w:rsidR="00EC5F4C">
        <w:rPr>
          <w:lang w:eastAsia="pl-PL"/>
        </w:rPr>
        <w:t> </w:t>
      </w:r>
      <w:r w:rsidR="00FD3C08">
        <w:rPr>
          <w:lang w:eastAsia="pl-PL"/>
        </w:rPr>
        <w:t>zł (o 8,9%). Wierzytelności ukształtowały się na poziomie 18 408,9 mln</w:t>
      </w:r>
      <w:r w:rsidR="00EC5F4C">
        <w:rPr>
          <w:lang w:eastAsia="pl-PL"/>
        </w:rPr>
        <w:t> </w:t>
      </w:r>
      <w:r w:rsidR="00FD3C08">
        <w:rPr>
          <w:lang w:eastAsia="pl-PL"/>
        </w:rPr>
        <w:t>zł (spadek o 9,2%)</w:t>
      </w:r>
      <w:r w:rsidR="003B7811">
        <w:rPr>
          <w:lang w:eastAsia="pl-PL"/>
        </w:rPr>
        <w:t>. Lokaty w tytułach uczestnictwa emitowanych przez instytucje wspólnego inwestowania o statusie nierezydenta wyniosły 13 783,4 mln</w:t>
      </w:r>
      <w:r w:rsidR="00EC5F4C">
        <w:rPr>
          <w:lang w:eastAsia="pl-PL"/>
        </w:rPr>
        <w:t> </w:t>
      </w:r>
      <w:r w:rsidR="003B7811">
        <w:rPr>
          <w:lang w:eastAsia="pl-PL"/>
        </w:rPr>
        <w:t>zł. Udziały w spółkach zwiększyły się do kwoty 12 110,1 mln</w:t>
      </w:r>
      <w:r w:rsidR="00EC5F4C">
        <w:rPr>
          <w:lang w:eastAsia="pl-PL"/>
        </w:rPr>
        <w:t> </w:t>
      </w:r>
      <w:r w:rsidR="003B7811">
        <w:rPr>
          <w:lang w:eastAsia="pl-PL"/>
        </w:rPr>
        <w:t>zł (o 32,9%). Depozyty zmniejszyły się do 2 733,2 mln</w:t>
      </w:r>
      <w:r w:rsidR="00EC5F4C">
        <w:rPr>
          <w:lang w:eastAsia="pl-PL"/>
        </w:rPr>
        <w:t> </w:t>
      </w:r>
      <w:r w:rsidR="003B7811">
        <w:rPr>
          <w:lang w:eastAsia="pl-PL"/>
        </w:rPr>
        <w:t>zł (o</w:t>
      </w:r>
      <w:r w:rsidR="00E13DA0">
        <w:rPr>
          <w:lang w:eastAsia="pl-PL"/>
        </w:rPr>
        <w:t> </w:t>
      </w:r>
      <w:r w:rsidR="003B7811">
        <w:rPr>
          <w:lang w:eastAsia="pl-PL"/>
        </w:rPr>
        <w:t xml:space="preserve">14,5%). </w:t>
      </w:r>
      <w:r w:rsidR="00E13DA0">
        <w:rPr>
          <w:lang w:eastAsia="pl-PL"/>
        </w:rPr>
        <w:t xml:space="preserve">Udział dłużnych papierów wartościowych i akcji w lokatach ogółem wyniósł odpowiednio 47,1% i 30,1%. </w:t>
      </w:r>
    </w:p>
    <w:p w:rsidR="00374412" w:rsidRPr="00696765" w:rsidRDefault="00374412" w:rsidP="00374412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3</w:t>
      </w:r>
      <w:r w:rsidRPr="004B3C88">
        <w:rPr>
          <w:b/>
          <w:spacing w:val="-2"/>
          <w:sz w:val="18"/>
          <w:shd w:val="clear" w:color="auto" w:fill="FFFFFF"/>
        </w:rPr>
        <w:t xml:space="preserve">. </w:t>
      </w:r>
      <w:r w:rsidR="00E13DA0">
        <w:rPr>
          <w:b/>
          <w:spacing w:val="-2"/>
          <w:sz w:val="18"/>
          <w:shd w:val="clear" w:color="auto" w:fill="FFFFFF"/>
        </w:rPr>
        <w:t>Wartość lokat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374412" w:rsidRPr="00FA5128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374412" w:rsidRPr="009C7251" w:rsidRDefault="00374412" w:rsidP="0099623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374412" w:rsidRPr="00FA5128" w:rsidRDefault="00374412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701" w:type="dxa"/>
            <w:vAlign w:val="center"/>
          </w:tcPr>
          <w:p w:rsidR="00374412" w:rsidRPr="00FA5128" w:rsidRDefault="00374412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701" w:type="dxa"/>
            <w:vMerge w:val="restart"/>
            <w:vAlign w:val="center"/>
          </w:tcPr>
          <w:p w:rsidR="00374412" w:rsidRPr="00FA5128" w:rsidRDefault="00374412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2016=100</w:t>
            </w:r>
          </w:p>
        </w:tc>
      </w:tr>
      <w:tr w:rsidR="00374412" w:rsidRPr="00FA5128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374412" w:rsidRPr="009C7251" w:rsidRDefault="00374412" w:rsidP="00996239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374412" w:rsidRDefault="00374412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374412" w:rsidRDefault="00374412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5F6E56" w:rsidRPr="00FA5128" w:rsidTr="007A0155">
        <w:trPr>
          <w:trHeight w:hRule="exact" w:val="454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</w:tcPr>
          <w:p w:rsidR="005F6E56" w:rsidRPr="00FF7F27" w:rsidRDefault="00E13DA0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Lokaty, w tym: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6E56" w:rsidRPr="00FF7F27" w:rsidRDefault="007773FB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256 155,8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279 369,6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</w:tr>
      <w:tr w:rsidR="005F6E56" w:rsidRPr="00FA5128" w:rsidTr="007A0155">
        <w:trPr>
          <w:trHeight w:hRule="exact" w:val="454"/>
        </w:trPr>
        <w:tc>
          <w:tcPr>
            <w:tcW w:w="2823" w:type="dxa"/>
            <w:tcBorders>
              <w:top w:val="single" w:sz="4" w:space="0" w:color="212492"/>
            </w:tcBorders>
          </w:tcPr>
          <w:p w:rsidR="005F6E56" w:rsidRPr="00FF7F27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Akcje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5F6E56" w:rsidRPr="00FF7F27" w:rsidRDefault="007773FB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77 176,4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84 019,2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</w:tr>
      <w:tr w:rsidR="005F6E56" w:rsidRPr="00FA5128" w:rsidTr="007A0155">
        <w:trPr>
          <w:trHeight w:hRule="exact" w:val="454"/>
        </w:trPr>
        <w:tc>
          <w:tcPr>
            <w:tcW w:w="2823" w:type="dxa"/>
          </w:tcPr>
          <w:p w:rsidR="005F6E56" w:rsidRPr="00FF7F27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Obligacje</w:t>
            </w:r>
          </w:p>
        </w:tc>
        <w:tc>
          <w:tcPr>
            <w:tcW w:w="1701" w:type="dxa"/>
            <w:vAlign w:val="center"/>
          </w:tcPr>
          <w:p w:rsidR="005F6E56" w:rsidRPr="00FF7F27" w:rsidRDefault="007773FB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117 222,2</w:t>
            </w:r>
          </w:p>
        </w:tc>
        <w:tc>
          <w:tcPr>
            <w:tcW w:w="1701" w:type="dxa"/>
            <w:vAlign w:val="bottom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124 552,0</w:t>
            </w:r>
          </w:p>
        </w:tc>
        <w:tc>
          <w:tcPr>
            <w:tcW w:w="1701" w:type="dxa"/>
            <w:vAlign w:val="bottom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</w:tr>
      <w:tr w:rsidR="005F6E56" w:rsidRPr="00FA5128" w:rsidTr="007A0155">
        <w:trPr>
          <w:trHeight w:hRule="exact" w:val="454"/>
        </w:trPr>
        <w:tc>
          <w:tcPr>
            <w:tcW w:w="2823" w:type="dxa"/>
          </w:tcPr>
          <w:p w:rsidR="005F6E56" w:rsidRPr="00FF7F27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Wierzytelności</w:t>
            </w:r>
          </w:p>
        </w:tc>
        <w:tc>
          <w:tcPr>
            <w:tcW w:w="1701" w:type="dxa"/>
            <w:vAlign w:val="center"/>
          </w:tcPr>
          <w:p w:rsidR="005F6E56" w:rsidRPr="00FF7F27" w:rsidRDefault="007773FB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20 284,1</w:t>
            </w:r>
          </w:p>
        </w:tc>
        <w:tc>
          <w:tcPr>
            <w:tcW w:w="1701" w:type="dxa"/>
            <w:vAlign w:val="center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18 408,9</w:t>
            </w:r>
          </w:p>
        </w:tc>
        <w:tc>
          <w:tcPr>
            <w:tcW w:w="1701" w:type="dxa"/>
            <w:vAlign w:val="center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</w:tr>
      <w:tr w:rsidR="007773FB" w:rsidRPr="00FA5128" w:rsidTr="007A0155">
        <w:trPr>
          <w:trHeight w:hRule="exact" w:val="1134"/>
        </w:trPr>
        <w:tc>
          <w:tcPr>
            <w:tcW w:w="2823" w:type="dxa"/>
          </w:tcPr>
          <w:p w:rsidR="007773FB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Tytuły uczestnictwa emitowane przez instytucje wspólnego inwestowania mające siedzibę za granicą </w:t>
            </w:r>
          </w:p>
        </w:tc>
        <w:tc>
          <w:tcPr>
            <w:tcW w:w="1701" w:type="dxa"/>
            <w:vAlign w:val="center"/>
          </w:tcPr>
          <w:p w:rsidR="007773FB" w:rsidRPr="00FF7F27" w:rsidRDefault="007773FB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12 193,0</w:t>
            </w:r>
          </w:p>
        </w:tc>
        <w:tc>
          <w:tcPr>
            <w:tcW w:w="1701" w:type="dxa"/>
            <w:vAlign w:val="center"/>
          </w:tcPr>
          <w:p w:rsidR="007773FB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13 783,4</w:t>
            </w:r>
          </w:p>
        </w:tc>
        <w:tc>
          <w:tcPr>
            <w:tcW w:w="1701" w:type="dxa"/>
            <w:vAlign w:val="center"/>
          </w:tcPr>
          <w:p w:rsidR="007773FB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113,0</w:t>
            </w:r>
          </w:p>
        </w:tc>
      </w:tr>
      <w:tr w:rsidR="005F6E56" w:rsidRPr="00FA5128" w:rsidTr="005E307F">
        <w:trPr>
          <w:trHeight w:hRule="exact" w:val="454"/>
        </w:trPr>
        <w:tc>
          <w:tcPr>
            <w:tcW w:w="2823" w:type="dxa"/>
          </w:tcPr>
          <w:p w:rsidR="005F6E56" w:rsidRPr="00FF7F27" w:rsidRDefault="007773FB" w:rsidP="007773F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Depozyty</w:t>
            </w:r>
          </w:p>
        </w:tc>
        <w:tc>
          <w:tcPr>
            <w:tcW w:w="1701" w:type="dxa"/>
            <w:vAlign w:val="center"/>
          </w:tcPr>
          <w:p w:rsidR="005F6E56" w:rsidRPr="00FF7F27" w:rsidRDefault="007773FB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3 196,5</w:t>
            </w:r>
          </w:p>
        </w:tc>
        <w:tc>
          <w:tcPr>
            <w:tcW w:w="1701" w:type="dxa"/>
            <w:vAlign w:val="center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2 733,2</w:t>
            </w:r>
          </w:p>
        </w:tc>
        <w:tc>
          <w:tcPr>
            <w:tcW w:w="1701" w:type="dxa"/>
            <w:vAlign w:val="center"/>
          </w:tcPr>
          <w:p w:rsidR="005F6E56" w:rsidRDefault="007773F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85,5</w:t>
            </w:r>
          </w:p>
        </w:tc>
      </w:tr>
    </w:tbl>
    <w:p w:rsidR="004E5469" w:rsidRPr="00130B04" w:rsidRDefault="004E5469" w:rsidP="004E5469">
      <w:pPr>
        <w:pStyle w:val="Nagwek1"/>
      </w:pPr>
    </w:p>
    <w:p w:rsidR="004E5469" w:rsidRDefault="007773FB" w:rsidP="004F111D">
      <w:pPr>
        <w:jc w:val="both"/>
        <w:rPr>
          <w:lang w:eastAsia="pl-P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5ACEDF31" wp14:editId="4D552FFE">
                <wp:simplePos x="0" y="0"/>
                <wp:positionH relativeFrom="column">
                  <wp:posOffset>5229225</wp:posOffset>
                </wp:positionH>
                <wp:positionV relativeFrom="paragraph">
                  <wp:posOffset>84455</wp:posOffset>
                </wp:positionV>
                <wp:extent cx="1725295" cy="1352550"/>
                <wp:effectExtent l="0" t="0" r="0" b="0"/>
                <wp:wrapTight wrapText="bothSides">
                  <wp:wrapPolygon edited="0">
                    <wp:start x="715" y="0"/>
                    <wp:lineTo x="715" y="21296"/>
                    <wp:lineTo x="20749" y="21296"/>
                    <wp:lineTo x="20749" y="0"/>
                    <wp:lineTo x="715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074DD8" w:rsidRDefault="00AF5E24" w:rsidP="00AF5E24">
                            <w:pPr>
                              <w:pStyle w:val="tekstzboku"/>
                            </w:pPr>
                            <w:r>
                              <w:t>W 2017 r. p</w:t>
                            </w:r>
                            <w:r w:rsidR="00216C45">
                              <w:t>rzychody z lokat funduszy inwestycyjnych wyniosły 10,6 mld zł</w:t>
                            </w:r>
                            <w:r>
                              <w:t>.</w:t>
                            </w:r>
                          </w:p>
                          <w:p w:rsidR="00332EAC" w:rsidRPr="00D616D2" w:rsidRDefault="00332EAC" w:rsidP="004E546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DF31" id="Pole tekstowe 20" o:spid="_x0000_s1038" type="#_x0000_t202" style="position:absolute;left:0;text-align:left;margin-left:411.75pt;margin-top:6.65pt;width:135.85pt;height:106.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" filled="f" stroked="f">
                <v:textbox>
                  <w:txbxContent>
                    <w:p w:rsidR="00332EAC" w:rsidRPr="00074DD8" w:rsidRDefault="00AF5E24" w:rsidP="00AF5E24">
                      <w:pPr>
                        <w:pStyle w:val="tekstzboku"/>
                      </w:pPr>
                      <w:r>
                        <w:t>W 2017 r. p</w:t>
                      </w:r>
                      <w:r w:rsidR="00216C45">
                        <w:t>rzychody z lokat funduszy inwestycyjnych wyniosły 10,6 mld zł</w:t>
                      </w:r>
                      <w:r>
                        <w:t>.</w:t>
                      </w:r>
                    </w:p>
                    <w:p w:rsidR="00332EAC" w:rsidRPr="00D616D2" w:rsidRDefault="00332EAC" w:rsidP="004E546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F111D">
        <w:rPr>
          <w:lang w:eastAsia="pl-PL"/>
        </w:rPr>
        <w:t>Przychody z lokat funduszy inwestycyjnych w 2017</w:t>
      </w:r>
      <w:r w:rsidR="00EC5F4C">
        <w:rPr>
          <w:lang w:eastAsia="pl-PL"/>
        </w:rPr>
        <w:t> </w:t>
      </w:r>
      <w:r w:rsidR="004F111D">
        <w:rPr>
          <w:lang w:eastAsia="pl-PL"/>
        </w:rPr>
        <w:t>r. wyniosły 10 648,8 mln</w:t>
      </w:r>
      <w:r w:rsidR="00EC5F4C">
        <w:rPr>
          <w:lang w:eastAsia="pl-PL"/>
        </w:rPr>
        <w:t> </w:t>
      </w:r>
      <w:r w:rsidR="004F111D">
        <w:rPr>
          <w:lang w:eastAsia="pl-PL"/>
        </w:rPr>
        <w:t>zł (o 50,1% mniej niż przed rokiem). Główną ich pozycją były przychody odsetkowe, które osiągnęły wartość 5 263,4 mln</w:t>
      </w:r>
      <w:r w:rsidR="00EC5F4C">
        <w:rPr>
          <w:lang w:eastAsia="pl-PL"/>
        </w:rPr>
        <w:t> </w:t>
      </w:r>
      <w:r w:rsidR="004F111D">
        <w:rPr>
          <w:lang w:eastAsia="pl-PL"/>
        </w:rPr>
        <w:t>zł i stanowiły 49,4% przychodów z lokat. Dywidendy i inne udziały w zyskach wyniosły 2 312,9 mln</w:t>
      </w:r>
      <w:r w:rsidR="00EC5F4C">
        <w:rPr>
          <w:lang w:eastAsia="pl-PL"/>
        </w:rPr>
        <w:t> </w:t>
      </w:r>
      <w:r w:rsidR="004F111D">
        <w:rPr>
          <w:lang w:eastAsia="pl-PL"/>
        </w:rPr>
        <w:t>zł (12 834,2 mln</w:t>
      </w:r>
      <w:r w:rsidR="00EC5F4C">
        <w:rPr>
          <w:lang w:eastAsia="pl-PL"/>
        </w:rPr>
        <w:t> </w:t>
      </w:r>
      <w:r w:rsidR="004F111D">
        <w:rPr>
          <w:lang w:eastAsia="pl-PL"/>
        </w:rPr>
        <w:t>zł przed rokiem). Wynagrodzenia dla towarzystw zarządzających funduszami wyniosły 3 732,9 mln</w:t>
      </w:r>
      <w:r w:rsidR="00EC5F4C">
        <w:rPr>
          <w:lang w:eastAsia="pl-PL"/>
        </w:rPr>
        <w:t> </w:t>
      </w:r>
      <w:r w:rsidR="004F111D">
        <w:rPr>
          <w:lang w:eastAsia="pl-PL"/>
        </w:rPr>
        <w:t>zł (wzrost o 15,0%). Koszty netto funduszy inwestycyjnych, po uwzględnieniu kosztów pokrywanych przez towarzystwo, wyniosły 6 876,8 mln</w:t>
      </w:r>
      <w:r w:rsidR="00EC5F4C">
        <w:rPr>
          <w:lang w:eastAsia="pl-PL"/>
        </w:rPr>
        <w:t> </w:t>
      </w:r>
      <w:r w:rsidR="004F111D">
        <w:rPr>
          <w:lang w:eastAsia="pl-PL"/>
        </w:rPr>
        <w:t>zł</w:t>
      </w:r>
      <w:r w:rsidR="000B24D5">
        <w:rPr>
          <w:lang w:eastAsia="pl-PL"/>
        </w:rPr>
        <w:t xml:space="preserve"> i były wyższe o 13,1% niż rok wcześniej. Fundusze inwestycyjne w 2017</w:t>
      </w:r>
      <w:r w:rsidR="00EC5F4C">
        <w:rPr>
          <w:lang w:eastAsia="pl-PL"/>
        </w:rPr>
        <w:t> </w:t>
      </w:r>
      <w:r w:rsidR="000B24D5">
        <w:rPr>
          <w:lang w:eastAsia="pl-PL"/>
        </w:rPr>
        <w:t>r. wykazały dodatni wynik z operacji w kwocie 15 497,0 mln</w:t>
      </w:r>
      <w:r w:rsidR="00EC5F4C">
        <w:rPr>
          <w:lang w:eastAsia="pl-PL"/>
        </w:rPr>
        <w:t> </w:t>
      </w:r>
      <w:r w:rsidR="000B24D5">
        <w:rPr>
          <w:lang w:eastAsia="pl-PL"/>
        </w:rPr>
        <w:t>zł, jego spadek o 48,3% był spowodowany obniżką przychodów z lokat oraz spadkiem niezrealizowanego zysku z tytułu wyceny lokat w wysokości 5 029,8</w:t>
      </w:r>
      <w:r w:rsidR="00EC5F4C">
        <w:rPr>
          <w:lang w:eastAsia="pl-PL"/>
        </w:rPr>
        <w:t> </w:t>
      </w:r>
      <w:r w:rsidR="000B24D5">
        <w:rPr>
          <w:lang w:eastAsia="pl-PL"/>
        </w:rPr>
        <w:t>mln</w:t>
      </w:r>
      <w:r w:rsidR="00EC5F4C">
        <w:rPr>
          <w:lang w:eastAsia="pl-PL"/>
        </w:rPr>
        <w:t> </w:t>
      </w:r>
      <w:r w:rsidR="000B24D5">
        <w:rPr>
          <w:lang w:eastAsia="pl-PL"/>
        </w:rPr>
        <w:t>zł (w</w:t>
      </w:r>
      <w:r w:rsidR="00216C45">
        <w:rPr>
          <w:lang w:eastAsia="pl-PL"/>
        </w:rPr>
        <w:t> </w:t>
      </w:r>
      <w:r w:rsidR="000B24D5">
        <w:rPr>
          <w:lang w:eastAsia="pl-PL"/>
        </w:rPr>
        <w:t>roku poprzedzającym</w:t>
      </w:r>
      <w:r w:rsidR="00216C45">
        <w:rPr>
          <w:lang w:eastAsia="pl-PL"/>
        </w:rPr>
        <w:t xml:space="preserve"> był to zysk w kwocie 7 118,3</w:t>
      </w:r>
      <w:r w:rsidR="00EC5F4C">
        <w:rPr>
          <w:lang w:eastAsia="pl-PL"/>
        </w:rPr>
        <w:t> </w:t>
      </w:r>
      <w:r w:rsidR="00216C45">
        <w:rPr>
          <w:lang w:eastAsia="pl-PL"/>
        </w:rPr>
        <w:t>mln</w:t>
      </w:r>
      <w:r w:rsidR="00EC5F4C">
        <w:rPr>
          <w:lang w:eastAsia="pl-PL"/>
        </w:rPr>
        <w:t> </w:t>
      </w:r>
      <w:r w:rsidR="00216C45">
        <w:rPr>
          <w:lang w:eastAsia="pl-PL"/>
        </w:rPr>
        <w:t>zł)</w:t>
      </w:r>
      <w:r w:rsidR="004E5469" w:rsidRPr="004E5469">
        <w:rPr>
          <w:lang w:eastAsia="pl-PL"/>
        </w:rPr>
        <w:t>.</w:t>
      </w:r>
    </w:p>
    <w:p w:rsidR="002F468D" w:rsidRPr="00696765" w:rsidRDefault="002F468D" w:rsidP="002F468D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4</w:t>
      </w:r>
      <w:r w:rsidRPr="004B3C88">
        <w:rPr>
          <w:b/>
          <w:spacing w:val="-2"/>
          <w:sz w:val="18"/>
          <w:shd w:val="clear" w:color="auto" w:fill="FFFFFF"/>
        </w:rPr>
        <w:t xml:space="preserve">. </w:t>
      </w:r>
      <w:r w:rsidR="00216C45">
        <w:rPr>
          <w:b/>
          <w:spacing w:val="-2"/>
          <w:sz w:val="18"/>
          <w:shd w:val="clear" w:color="auto" w:fill="FFFFFF"/>
        </w:rPr>
        <w:t>Wybrane pozycje z rachunku wyniku z operacji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2F468D" w:rsidRPr="00FA5128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2F468D" w:rsidRPr="009C7251" w:rsidRDefault="002F468D" w:rsidP="0099623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2F468D" w:rsidRPr="00FA5128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701" w:type="dxa"/>
            <w:vAlign w:val="center"/>
          </w:tcPr>
          <w:p w:rsidR="002F468D" w:rsidRPr="00FA5128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701" w:type="dxa"/>
            <w:vMerge w:val="restart"/>
            <w:vAlign w:val="center"/>
          </w:tcPr>
          <w:p w:rsidR="002F468D" w:rsidRPr="00FA5128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2016=100</w:t>
            </w:r>
          </w:p>
        </w:tc>
      </w:tr>
      <w:tr w:rsidR="002F468D" w:rsidRPr="00FA5128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2F468D" w:rsidRPr="009C7251" w:rsidRDefault="002F468D" w:rsidP="00996239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2F468D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2F468D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1D6005" w:rsidRPr="00FA5128" w:rsidTr="00636F96">
        <w:trPr>
          <w:trHeight w:val="57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</w:tcPr>
          <w:p w:rsidR="001D6005" w:rsidRPr="00216C45" w:rsidRDefault="00216C4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Przychody z lokat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</w:tcPr>
          <w:p w:rsidR="001D6005" w:rsidRPr="00216C45" w:rsidRDefault="00216C45" w:rsidP="00996239">
            <w:pPr>
              <w:jc w:val="right"/>
              <w:rPr>
                <w:sz w:val="16"/>
                <w:szCs w:val="16"/>
              </w:rPr>
            </w:pPr>
            <w:r w:rsidRPr="00216C45">
              <w:rPr>
                <w:sz w:val="16"/>
                <w:szCs w:val="16"/>
              </w:rPr>
              <w:t>21 335,8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1D6005" w:rsidRPr="00216C45" w:rsidRDefault="00216C4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10 648,8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1D6005" w:rsidRPr="00216C45" w:rsidRDefault="00216C4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</w:tr>
      <w:tr w:rsidR="001D6005" w:rsidRPr="00FA5128" w:rsidTr="0096756D">
        <w:trPr>
          <w:trHeight w:val="57"/>
        </w:trPr>
        <w:tc>
          <w:tcPr>
            <w:tcW w:w="2823" w:type="dxa"/>
            <w:tcBorders>
              <w:top w:val="single" w:sz="4" w:space="0" w:color="212492"/>
            </w:tcBorders>
          </w:tcPr>
          <w:p w:rsidR="001D6005" w:rsidRPr="00AB4312" w:rsidRDefault="00216C45" w:rsidP="00216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funduszu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1D6005" w:rsidRPr="00216C45" w:rsidRDefault="00216C45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3 456,7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1D6005" w:rsidRPr="00216C45" w:rsidRDefault="00216C4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6 900,3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1D6005" w:rsidRPr="00216C45" w:rsidRDefault="00216C4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199,6</w:t>
            </w:r>
          </w:p>
        </w:tc>
      </w:tr>
      <w:tr w:rsidR="001D6005" w:rsidRPr="00FA5128" w:rsidTr="00C10867">
        <w:trPr>
          <w:trHeight w:val="57"/>
        </w:trPr>
        <w:tc>
          <w:tcPr>
            <w:tcW w:w="2823" w:type="dxa"/>
          </w:tcPr>
          <w:p w:rsidR="001D6005" w:rsidRPr="00AB4312" w:rsidRDefault="00216C45" w:rsidP="00216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Zrealizowany zysk/strata ze ze zbycia lokat </w:t>
            </w:r>
          </w:p>
        </w:tc>
        <w:tc>
          <w:tcPr>
            <w:tcW w:w="1701" w:type="dxa"/>
            <w:vAlign w:val="center"/>
          </w:tcPr>
          <w:p w:rsidR="001D6005" w:rsidRPr="00216C45" w:rsidRDefault="00216C45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7 579,5</w:t>
            </w:r>
          </w:p>
        </w:tc>
        <w:tc>
          <w:tcPr>
            <w:tcW w:w="1701" w:type="dxa"/>
            <w:vAlign w:val="center"/>
          </w:tcPr>
          <w:p w:rsidR="001D6005" w:rsidRPr="00216C45" w:rsidRDefault="00C1086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6 695,1</w:t>
            </w:r>
          </w:p>
        </w:tc>
        <w:tc>
          <w:tcPr>
            <w:tcW w:w="1701" w:type="dxa"/>
            <w:vAlign w:val="center"/>
          </w:tcPr>
          <w:p w:rsidR="001D6005" w:rsidRPr="00216C45" w:rsidRDefault="00C1086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88,3</w:t>
            </w:r>
          </w:p>
        </w:tc>
      </w:tr>
      <w:tr w:rsidR="001D6005" w:rsidRPr="00FA5128" w:rsidTr="00C10867">
        <w:trPr>
          <w:trHeight w:val="57"/>
        </w:trPr>
        <w:tc>
          <w:tcPr>
            <w:tcW w:w="2823" w:type="dxa"/>
          </w:tcPr>
          <w:p w:rsidR="001D6005" w:rsidRPr="00AB4312" w:rsidRDefault="00216C45" w:rsidP="00216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Wzrost/spadek niezrealizowanego zysku/straty z wyceny lokat</w:t>
            </w:r>
          </w:p>
        </w:tc>
        <w:tc>
          <w:tcPr>
            <w:tcW w:w="1701" w:type="dxa"/>
            <w:vAlign w:val="center"/>
          </w:tcPr>
          <w:p w:rsidR="001D6005" w:rsidRPr="00216C45" w:rsidRDefault="00216C45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7 118,3</w:t>
            </w:r>
          </w:p>
        </w:tc>
        <w:tc>
          <w:tcPr>
            <w:tcW w:w="1701" w:type="dxa"/>
            <w:vAlign w:val="center"/>
          </w:tcPr>
          <w:p w:rsidR="001D6005" w:rsidRPr="00216C45" w:rsidRDefault="00C1086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5 029,8</w:t>
            </w:r>
          </w:p>
        </w:tc>
        <w:tc>
          <w:tcPr>
            <w:tcW w:w="1701" w:type="dxa"/>
            <w:vAlign w:val="center"/>
          </w:tcPr>
          <w:p w:rsidR="001D6005" w:rsidRPr="00216C45" w:rsidRDefault="00C1086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70,7</w:t>
            </w:r>
          </w:p>
        </w:tc>
      </w:tr>
      <w:tr w:rsidR="001D6005" w:rsidRPr="00FA5128" w:rsidTr="00C10867">
        <w:trPr>
          <w:trHeight w:val="57"/>
        </w:trPr>
        <w:tc>
          <w:tcPr>
            <w:tcW w:w="2823" w:type="dxa"/>
          </w:tcPr>
          <w:p w:rsidR="001D6005" w:rsidRPr="00AB4312" w:rsidRDefault="00216C45" w:rsidP="00216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center"/>
          </w:tcPr>
          <w:p w:rsidR="001D6005" w:rsidRPr="00216C45" w:rsidRDefault="00216C45" w:rsidP="009962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29 953,6</w:t>
            </w:r>
          </w:p>
        </w:tc>
        <w:tc>
          <w:tcPr>
            <w:tcW w:w="1701" w:type="dxa"/>
            <w:vAlign w:val="center"/>
          </w:tcPr>
          <w:p w:rsidR="001D6005" w:rsidRPr="00216C45" w:rsidRDefault="00C1086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15 497,0</w:t>
            </w:r>
          </w:p>
        </w:tc>
        <w:tc>
          <w:tcPr>
            <w:tcW w:w="1701" w:type="dxa"/>
            <w:vAlign w:val="center"/>
          </w:tcPr>
          <w:p w:rsidR="001D6005" w:rsidRPr="00216C45" w:rsidRDefault="00C1086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51,7</w:t>
            </w:r>
          </w:p>
        </w:tc>
      </w:tr>
    </w:tbl>
    <w:p w:rsidR="002F468D" w:rsidRPr="00130B04" w:rsidRDefault="000F14E6" w:rsidP="00BD38E3">
      <w:pPr>
        <w:spacing w:before="800" w:after="800"/>
        <w:jc w:val="center"/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510A12F9" wp14:editId="0A86B952">
                <wp:simplePos x="0" y="0"/>
                <wp:positionH relativeFrom="column">
                  <wp:posOffset>5229225</wp:posOffset>
                </wp:positionH>
                <wp:positionV relativeFrom="paragraph">
                  <wp:posOffset>3814445</wp:posOffset>
                </wp:positionV>
                <wp:extent cx="1725295" cy="838200"/>
                <wp:effectExtent l="0" t="0" r="0" b="0"/>
                <wp:wrapTight wrapText="bothSides">
                  <wp:wrapPolygon edited="0">
                    <wp:start x="715" y="0"/>
                    <wp:lineTo x="715" y="21109"/>
                    <wp:lineTo x="20749" y="21109"/>
                    <wp:lineTo x="20749" y="0"/>
                    <wp:lineTo x="715" y="0"/>
                  </wp:wrapPolygon>
                </wp:wrapTight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074DD8" w:rsidRDefault="00AF5E24" w:rsidP="002F468D">
                            <w:pPr>
                              <w:pStyle w:val="tekstzboku"/>
                            </w:pPr>
                            <w:r>
                              <w:t>W 2017</w:t>
                            </w:r>
                            <w:r w:rsidR="007A6B17">
                              <w:t> </w:t>
                            </w:r>
                            <w:r>
                              <w:t>r. a</w:t>
                            </w:r>
                            <w:r w:rsidR="00332EAC">
                              <w:t xml:space="preserve">ktywa ogółem </w:t>
                            </w:r>
                            <w:r w:rsidR="00CA20F9">
                              <w:t>TFI wyniosły 2,3 mld zł</w:t>
                            </w:r>
                            <w:r>
                              <w:t>.</w:t>
                            </w:r>
                          </w:p>
                          <w:p w:rsidR="00332EAC" w:rsidRPr="00D616D2" w:rsidRDefault="00332EAC" w:rsidP="002F468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12F9" id="Pole tekstowe 29" o:spid="_x0000_s1039" type="#_x0000_t202" style="position:absolute;left:0;text-align:left;margin-left:411.75pt;margin-top:300.35pt;width:135.85pt;height:66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" filled="f" stroked="f">
                <v:textbox>
                  <w:txbxContent>
                    <w:p w:rsidR="00332EAC" w:rsidRPr="00074DD8" w:rsidRDefault="00AF5E24" w:rsidP="002F468D">
                      <w:pPr>
                        <w:pStyle w:val="tekstzboku"/>
                      </w:pPr>
                      <w:r>
                        <w:t>W 2017</w:t>
                      </w:r>
                      <w:r w:rsidR="007A6B17">
                        <w:t> </w:t>
                      </w:r>
                      <w:r>
                        <w:t>r. a</w:t>
                      </w:r>
                      <w:r w:rsidR="00332EAC">
                        <w:t xml:space="preserve">ktywa ogółem </w:t>
                      </w:r>
                      <w:r w:rsidR="00CA20F9">
                        <w:t>TFI wyniosły 2,3 mld zł</w:t>
                      </w:r>
                      <w:r>
                        <w:t>.</w:t>
                      </w:r>
                    </w:p>
                    <w:p w:rsidR="00332EAC" w:rsidRPr="00D616D2" w:rsidRDefault="00332EAC" w:rsidP="002F468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F468D" w:rsidRPr="002F468D">
        <w:rPr>
          <w:sz w:val="40"/>
          <w:szCs w:val="40"/>
          <w:lang w:eastAsia="pl-PL"/>
        </w:rPr>
        <w:t>***</w:t>
      </w:r>
    </w:p>
    <w:p w:rsidR="002F468D" w:rsidRDefault="00CA20F9" w:rsidP="00595233">
      <w:pPr>
        <w:spacing w:after="20"/>
        <w:jc w:val="both"/>
        <w:rPr>
          <w:lang w:eastAsia="pl-P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DF11AF7" wp14:editId="25A475A3">
                <wp:simplePos x="0" y="0"/>
                <wp:positionH relativeFrom="column">
                  <wp:posOffset>5229225</wp:posOffset>
                </wp:positionH>
                <wp:positionV relativeFrom="paragraph">
                  <wp:posOffset>721360</wp:posOffset>
                </wp:positionV>
                <wp:extent cx="1725295" cy="962025"/>
                <wp:effectExtent l="0" t="0" r="0" b="0"/>
                <wp:wrapTight wrapText="bothSides">
                  <wp:wrapPolygon edited="0">
                    <wp:start x="715" y="0"/>
                    <wp:lineTo x="715" y="20958"/>
                    <wp:lineTo x="20749" y="20958"/>
                    <wp:lineTo x="20749" y="0"/>
                    <wp:lineTo x="715" y="0"/>
                  </wp:wrapPolygon>
                </wp:wrapTight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074DD8" w:rsidRDefault="00AF5E24" w:rsidP="00B17158">
                            <w:pPr>
                              <w:pStyle w:val="tekstzboku"/>
                            </w:pPr>
                            <w:r>
                              <w:t>W 2017</w:t>
                            </w:r>
                            <w:r w:rsidR="007A6B17">
                              <w:t> </w:t>
                            </w:r>
                            <w:r>
                              <w:t>r. k</w:t>
                            </w:r>
                            <w:r w:rsidR="00332EAC">
                              <w:t xml:space="preserve">apitał własny </w:t>
                            </w:r>
                            <w:r w:rsidR="008F7307">
                              <w:t>TFI</w:t>
                            </w:r>
                            <w:r w:rsidR="00332EAC">
                              <w:t xml:space="preserve"> wyniósł</w:t>
                            </w:r>
                            <w:r>
                              <w:t xml:space="preserve"> </w:t>
                            </w:r>
                            <w:r w:rsidR="00DB2C4B">
                              <w:t>1,7 mld zł</w:t>
                            </w:r>
                            <w:r>
                              <w:t>.</w:t>
                            </w:r>
                          </w:p>
                          <w:p w:rsidR="00332EAC" w:rsidRPr="00D616D2" w:rsidRDefault="00332EAC" w:rsidP="00B1715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11AF7" id="Pole tekstowe 30" o:spid="_x0000_s1040" type="#_x0000_t202" style="position:absolute;left:0;text-align:left;margin-left:411.75pt;margin-top:56.8pt;width:135.85pt;height:75.7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" filled="f" stroked="f">
                <v:textbox>
                  <w:txbxContent>
                    <w:p w:rsidR="00332EAC" w:rsidRPr="00074DD8" w:rsidRDefault="00AF5E24" w:rsidP="00B17158">
                      <w:pPr>
                        <w:pStyle w:val="tekstzboku"/>
                      </w:pPr>
                      <w:r>
                        <w:t>W 2017</w:t>
                      </w:r>
                      <w:r w:rsidR="007A6B17">
                        <w:t> </w:t>
                      </w:r>
                      <w:r>
                        <w:t>r. k</w:t>
                      </w:r>
                      <w:r w:rsidR="00332EAC">
                        <w:t xml:space="preserve">apitał własny </w:t>
                      </w:r>
                      <w:r w:rsidR="008F7307">
                        <w:t>TFI</w:t>
                      </w:r>
                      <w:r w:rsidR="00332EAC">
                        <w:t xml:space="preserve"> wyniósł</w:t>
                      </w:r>
                      <w:r>
                        <w:t xml:space="preserve"> </w:t>
                      </w:r>
                      <w:r w:rsidR="00DB2C4B">
                        <w:t>1,7 mld zł</w:t>
                      </w:r>
                      <w:r>
                        <w:t>.</w:t>
                      </w:r>
                    </w:p>
                    <w:p w:rsidR="00332EAC" w:rsidRPr="00D616D2" w:rsidRDefault="00332EAC" w:rsidP="00B1715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C0546">
        <w:rPr>
          <w:lang w:eastAsia="pl-PL"/>
        </w:rPr>
        <w:t>W końcu grudnia 2017</w:t>
      </w:r>
      <w:r w:rsidR="00EC5F4C">
        <w:rPr>
          <w:lang w:eastAsia="pl-PL"/>
        </w:rPr>
        <w:t> </w:t>
      </w:r>
      <w:r w:rsidR="004C0546">
        <w:rPr>
          <w:lang w:eastAsia="pl-PL"/>
        </w:rPr>
        <w:t xml:space="preserve">r. działały 63 towarzystwa funduszy inwestycyjnych (TFI). Aktywa towarzystw funduszy inwestycyjnych wyniosły </w:t>
      </w:r>
      <w:r>
        <w:rPr>
          <w:lang w:eastAsia="pl-PL"/>
        </w:rPr>
        <w:t>2 309,8</w:t>
      </w:r>
      <w:r w:rsidR="00EC5F4C">
        <w:rPr>
          <w:lang w:eastAsia="pl-PL"/>
        </w:rPr>
        <w:t> </w:t>
      </w:r>
      <w:r>
        <w:rPr>
          <w:lang w:eastAsia="pl-PL"/>
        </w:rPr>
        <w:t>mln</w:t>
      </w:r>
      <w:r w:rsidR="00EC5F4C">
        <w:rPr>
          <w:lang w:eastAsia="pl-PL"/>
        </w:rPr>
        <w:t> </w:t>
      </w:r>
      <w:r>
        <w:rPr>
          <w:lang w:eastAsia="pl-PL"/>
        </w:rPr>
        <w:t>zł (o 2,9% mniej niż na koniec grudnia 2016</w:t>
      </w:r>
      <w:r w:rsidR="00EC5F4C">
        <w:rPr>
          <w:lang w:eastAsia="pl-PL"/>
        </w:rPr>
        <w:t> </w:t>
      </w:r>
      <w:r>
        <w:rPr>
          <w:lang w:eastAsia="pl-PL"/>
        </w:rPr>
        <w:t>r.), w tym aktywa obrotowe osiągnęły wartość 1 952,9</w:t>
      </w:r>
      <w:r w:rsidR="00EC5F4C">
        <w:rPr>
          <w:lang w:eastAsia="pl-PL"/>
        </w:rPr>
        <w:t> </w:t>
      </w:r>
      <w:r>
        <w:rPr>
          <w:lang w:eastAsia="pl-PL"/>
        </w:rPr>
        <w:t>mln</w:t>
      </w:r>
      <w:r w:rsidR="00EC5F4C">
        <w:rPr>
          <w:lang w:eastAsia="pl-PL"/>
        </w:rPr>
        <w:t> </w:t>
      </w:r>
      <w:r>
        <w:rPr>
          <w:lang w:eastAsia="pl-PL"/>
        </w:rPr>
        <w:t>zł i stanowiły 84,5% aktywów ogółem. Aktywa obrotowe składały się głównie z finansowych inwestycji krótkoterminowych, które zwiększyły się do kwoty 1 447,8 mln</w:t>
      </w:r>
      <w:r w:rsidR="00EC5F4C">
        <w:rPr>
          <w:lang w:eastAsia="pl-PL"/>
        </w:rPr>
        <w:t> </w:t>
      </w:r>
      <w:r>
        <w:rPr>
          <w:lang w:eastAsia="pl-PL"/>
        </w:rPr>
        <w:t>zł (o 9,6%). W strukturze aktywów finansowych największy udział miały środki pieniężne i inne aktywa pieniężne (82,6%). W pasywach towarzystw funduszy inwestycyjnych kapitały (fundusze) własne wyniosły 1 749,2 mln</w:t>
      </w:r>
      <w:r w:rsidR="00EC5F4C">
        <w:rPr>
          <w:lang w:eastAsia="pl-PL"/>
        </w:rPr>
        <w:t> </w:t>
      </w:r>
      <w:r>
        <w:rPr>
          <w:lang w:eastAsia="pl-PL"/>
        </w:rPr>
        <w:t>zł (</w:t>
      </w:r>
      <w:r w:rsidR="008F7307">
        <w:rPr>
          <w:lang w:eastAsia="pl-PL"/>
        </w:rPr>
        <w:t>podobny poziom w porównaniu z 2016</w:t>
      </w:r>
      <w:r w:rsidR="00EC5F4C">
        <w:rPr>
          <w:lang w:eastAsia="pl-PL"/>
        </w:rPr>
        <w:t> </w:t>
      </w:r>
      <w:r w:rsidR="008F7307">
        <w:rPr>
          <w:lang w:eastAsia="pl-PL"/>
        </w:rPr>
        <w:t>r.) i stanowiły ich największy udział (75,7%). Wartość kapitału zagranicznego w kapitale podstawowym TFI zwiększył się do 172,7 mln zł (udział inwestorów zagranicznych zmniejszył się o 0,3 pkt. proc. do 32,1%).</w:t>
      </w:r>
    </w:p>
    <w:p w:rsidR="003F167E" w:rsidRPr="003F167E" w:rsidRDefault="00595233" w:rsidP="00595233">
      <w:pPr>
        <w:pStyle w:val="Nagwek1"/>
        <w:spacing w:before="80" w:after="20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3004853" wp14:editId="4CE3725E">
                <wp:simplePos x="0" y="0"/>
                <wp:positionH relativeFrom="column">
                  <wp:posOffset>5229225</wp:posOffset>
                </wp:positionH>
                <wp:positionV relativeFrom="paragraph">
                  <wp:posOffset>206375</wp:posOffset>
                </wp:positionV>
                <wp:extent cx="1725295" cy="784225"/>
                <wp:effectExtent l="0" t="0" r="0" b="0"/>
                <wp:wrapTight wrapText="bothSides">
                  <wp:wrapPolygon edited="0">
                    <wp:start x="715" y="0"/>
                    <wp:lineTo x="715" y="20988"/>
                    <wp:lineTo x="20749" y="20988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67E" w:rsidRPr="003F167E" w:rsidRDefault="003F167E" w:rsidP="003F167E">
                            <w:pPr>
                              <w:pStyle w:val="tekstzboku"/>
                            </w:pPr>
                            <w:r w:rsidRPr="003F167E">
                              <w:t>W 2017</w:t>
                            </w:r>
                            <w:r w:rsidR="007A6B17">
                              <w:t> </w:t>
                            </w:r>
                            <w:r w:rsidRPr="003F167E">
                              <w:t xml:space="preserve">r. </w:t>
                            </w:r>
                            <w:r>
                              <w:t>w</w:t>
                            </w:r>
                            <w:r w:rsidRPr="003F167E">
                              <w:t>ynik finansowy netto TFI wyniósł 0,7 mld zł</w:t>
                            </w:r>
                            <w:r>
                              <w:t>.</w:t>
                            </w:r>
                          </w:p>
                          <w:p w:rsidR="003F167E" w:rsidRPr="003F167E" w:rsidRDefault="003F167E" w:rsidP="003F167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04853" id="Pole tekstowe 32" o:spid="_x0000_s1041" type="#_x0000_t202" style="position:absolute;margin-left:411.75pt;margin-top:16.25pt;width:135.85pt;height:61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" filled="f" stroked="f">
                <v:textbox>
                  <w:txbxContent>
                    <w:p w:rsidR="003F167E" w:rsidRPr="003F167E" w:rsidRDefault="003F167E" w:rsidP="003F167E">
                      <w:pPr>
                        <w:pStyle w:val="tekstzboku"/>
                      </w:pPr>
                      <w:r w:rsidRPr="003F167E">
                        <w:t>W 2017</w:t>
                      </w:r>
                      <w:r w:rsidR="007A6B17">
                        <w:t> </w:t>
                      </w:r>
                      <w:r w:rsidRPr="003F167E">
                        <w:t xml:space="preserve">r. </w:t>
                      </w:r>
                      <w:r>
                        <w:t>w</w:t>
                      </w:r>
                      <w:r w:rsidRPr="003F167E">
                        <w:t>ynik finansowy netto TFI wyniósł 0,7 mld zł</w:t>
                      </w:r>
                      <w:r>
                        <w:t>.</w:t>
                      </w:r>
                    </w:p>
                    <w:p w:rsidR="003F167E" w:rsidRPr="003F167E" w:rsidRDefault="003F167E" w:rsidP="003F167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F167E" w:rsidRPr="003F167E">
        <w:rPr>
          <w:shd w:val="clear" w:color="auto" w:fill="FFFFFF"/>
        </w:rPr>
        <w:t xml:space="preserve"> </w:t>
      </w:r>
    </w:p>
    <w:p w:rsidR="008F7307" w:rsidRDefault="00AF5E24" w:rsidP="00CA20F9">
      <w:pPr>
        <w:jc w:val="both"/>
        <w:rPr>
          <w:lang w:eastAsia="pl-PL"/>
        </w:rPr>
      </w:pPr>
      <w:r>
        <w:rPr>
          <w:lang w:eastAsia="pl-PL"/>
        </w:rPr>
        <w:t xml:space="preserve">Wynik finansowy brutto TFI w 2017 r. wyniósł 846,9 mln zł i był wyższy o 32,3% w stosunku do roku poprzedniego. Na wynik finansowy netto </w:t>
      </w:r>
      <w:r w:rsidR="003F167E">
        <w:rPr>
          <w:lang w:eastAsia="pl-PL"/>
        </w:rPr>
        <w:t xml:space="preserve">w wysokości 680,8 mln zł złożyły się zyski 49 towarzystw funduszy inwestycyjnych o łącznej wartości 712,3 mln zł i straty 14 towarzystw funduszy inwestycyjnych w łącznej kwocie 31,5 mln zł. </w:t>
      </w:r>
    </w:p>
    <w:p w:rsidR="00AF5E24" w:rsidRDefault="00AF5E24" w:rsidP="00CA20F9">
      <w:pPr>
        <w:jc w:val="both"/>
        <w:rPr>
          <w:lang w:eastAsia="pl-PL"/>
        </w:rPr>
      </w:pPr>
    </w:p>
    <w:p w:rsidR="00AF5E24" w:rsidRDefault="00AF5E24" w:rsidP="00CA20F9">
      <w:pPr>
        <w:jc w:val="both"/>
        <w:rPr>
          <w:lang w:eastAsia="pl-PL"/>
        </w:rPr>
      </w:pPr>
    </w:p>
    <w:p w:rsidR="00AF5E24" w:rsidRDefault="00AF5E24" w:rsidP="00CA20F9">
      <w:pPr>
        <w:jc w:val="both"/>
        <w:rPr>
          <w:lang w:eastAsia="pl-PL"/>
        </w:rPr>
      </w:pPr>
    </w:p>
    <w:p w:rsidR="00AF5E24" w:rsidRDefault="00AF5E24" w:rsidP="00CA20F9">
      <w:pPr>
        <w:jc w:val="both"/>
        <w:rPr>
          <w:lang w:eastAsia="pl-PL"/>
        </w:rPr>
      </w:pPr>
    </w:p>
    <w:p w:rsidR="003F167E" w:rsidRDefault="003F167E" w:rsidP="002F468D">
      <w:pPr>
        <w:rPr>
          <w:b/>
          <w:spacing w:val="-2"/>
          <w:sz w:val="18"/>
          <w:shd w:val="clear" w:color="auto" w:fill="FFFFFF"/>
        </w:rPr>
      </w:pPr>
    </w:p>
    <w:p w:rsidR="002F468D" w:rsidRPr="00696765" w:rsidRDefault="002F468D" w:rsidP="002F468D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lastRenderedPageBreak/>
        <w:t xml:space="preserve">Tablica </w:t>
      </w:r>
      <w:r w:rsidR="00020F3A">
        <w:rPr>
          <w:b/>
          <w:spacing w:val="-2"/>
          <w:sz w:val="18"/>
          <w:shd w:val="clear" w:color="auto" w:fill="FFFFFF"/>
        </w:rPr>
        <w:t>5</w:t>
      </w:r>
      <w:r w:rsidRPr="004B3C88">
        <w:rPr>
          <w:b/>
          <w:spacing w:val="-2"/>
          <w:sz w:val="18"/>
          <w:shd w:val="clear" w:color="auto" w:fill="FFFFFF"/>
        </w:rPr>
        <w:t xml:space="preserve">. </w:t>
      </w:r>
      <w:r w:rsidR="008F7307">
        <w:rPr>
          <w:b/>
          <w:spacing w:val="-2"/>
          <w:sz w:val="18"/>
          <w:shd w:val="clear" w:color="auto" w:fill="FFFFFF"/>
        </w:rPr>
        <w:t>Wybrane pozycje ze sprawozdań finansowych towarzystw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2F468D" w:rsidRPr="00FA5128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2F468D" w:rsidRPr="009C7251" w:rsidRDefault="002F468D" w:rsidP="0099623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2F468D" w:rsidRPr="00FA5128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701" w:type="dxa"/>
            <w:vAlign w:val="center"/>
          </w:tcPr>
          <w:p w:rsidR="002F468D" w:rsidRPr="00FA5128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701" w:type="dxa"/>
            <w:vMerge w:val="restart"/>
            <w:vAlign w:val="center"/>
          </w:tcPr>
          <w:p w:rsidR="002F468D" w:rsidRPr="00FA5128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2016=100</w:t>
            </w:r>
          </w:p>
        </w:tc>
      </w:tr>
      <w:tr w:rsidR="002F468D" w:rsidRPr="00FA5128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2F468D" w:rsidRPr="009C7251" w:rsidRDefault="002F468D" w:rsidP="00996239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2F468D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2F468D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005CA" w:rsidRPr="008F7307" w:rsidRDefault="00D005CA" w:rsidP="00996239">
            <w:pPr>
              <w:rPr>
                <w:sz w:val="16"/>
                <w:szCs w:val="16"/>
              </w:rPr>
            </w:pPr>
            <w:r w:rsidRPr="008F7307">
              <w:rPr>
                <w:sz w:val="16"/>
                <w:szCs w:val="16"/>
              </w:rPr>
              <w:t>Aktywa ogółem, z tego: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005CA" w:rsidRPr="00AC309E" w:rsidRDefault="00AC309E" w:rsidP="00B17158">
            <w:pPr>
              <w:jc w:val="right"/>
              <w:rPr>
                <w:sz w:val="16"/>
                <w:szCs w:val="16"/>
              </w:rPr>
            </w:pPr>
            <w:r w:rsidRPr="00AC309E">
              <w:rPr>
                <w:sz w:val="16"/>
                <w:szCs w:val="16"/>
              </w:rPr>
              <w:t>2 379,4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005CA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2 309,8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005CA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D005CA" w:rsidRPr="00B17158" w:rsidRDefault="00D005CA" w:rsidP="00996239">
            <w:pPr>
              <w:rPr>
                <w:sz w:val="16"/>
                <w:szCs w:val="16"/>
              </w:rPr>
            </w:pPr>
            <w:r w:rsidRPr="00B17158">
              <w:rPr>
                <w:sz w:val="16"/>
                <w:szCs w:val="16"/>
              </w:rPr>
              <w:t>Aktywa trwałe, w tym: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D005CA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005CA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356,5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D005CA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D005CA" w:rsidRPr="00B17158" w:rsidRDefault="00D005CA" w:rsidP="0003375A">
            <w:pPr>
              <w:ind w:left="176"/>
              <w:rPr>
                <w:sz w:val="16"/>
                <w:szCs w:val="16"/>
              </w:rPr>
            </w:pPr>
            <w:r w:rsidRPr="00B17158">
              <w:rPr>
                <w:sz w:val="16"/>
                <w:szCs w:val="16"/>
              </w:rPr>
              <w:t>inwestycje długoterminowe</w:t>
            </w:r>
          </w:p>
        </w:tc>
        <w:tc>
          <w:tcPr>
            <w:tcW w:w="1701" w:type="dxa"/>
            <w:vAlign w:val="center"/>
          </w:tcPr>
          <w:p w:rsidR="00D005CA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264,2</w:t>
            </w:r>
          </w:p>
        </w:tc>
        <w:tc>
          <w:tcPr>
            <w:tcW w:w="1701" w:type="dxa"/>
            <w:vAlign w:val="bottom"/>
          </w:tcPr>
          <w:p w:rsidR="00D005CA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223,3</w:t>
            </w:r>
          </w:p>
        </w:tc>
        <w:tc>
          <w:tcPr>
            <w:tcW w:w="1701" w:type="dxa"/>
            <w:vAlign w:val="bottom"/>
          </w:tcPr>
          <w:p w:rsidR="00D005CA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84,5</w:t>
            </w: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D005CA" w:rsidRPr="00B17158" w:rsidRDefault="00D005CA" w:rsidP="00996239">
            <w:pPr>
              <w:rPr>
                <w:sz w:val="16"/>
                <w:szCs w:val="16"/>
              </w:rPr>
            </w:pPr>
            <w:r w:rsidRPr="00B17158">
              <w:rPr>
                <w:sz w:val="16"/>
                <w:szCs w:val="16"/>
              </w:rPr>
              <w:t>Aktywa obrotowe, w tym:</w:t>
            </w:r>
          </w:p>
        </w:tc>
        <w:tc>
          <w:tcPr>
            <w:tcW w:w="1701" w:type="dxa"/>
            <w:vAlign w:val="center"/>
          </w:tcPr>
          <w:p w:rsidR="00D005CA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1 790,2</w:t>
            </w:r>
          </w:p>
        </w:tc>
        <w:tc>
          <w:tcPr>
            <w:tcW w:w="1701" w:type="dxa"/>
            <w:vAlign w:val="bottom"/>
          </w:tcPr>
          <w:p w:rsidR="00D005CA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1 952,9</w:t>
            </w:r>
          </w:p>
        </w:tc>
        <w:tc>
          <w:tcPr>
            <w:tcW w:w="1701" w:type="dxa"/>
            <w:vAlign w:val="bottom"/>
          </w:tcPr>
          <w:p w:rsidR="00D005CA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inwestycje krótkoterminowe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1 320,7</w:t>
            </w:r>
          </w:p>
        </w:tc>
        <w:tc>
          <w:tcPr>
            <w:tcW w:w="1701" w:type="dxa"/>
            <w:vAlign w:val="bottom"/>
          </w:tcPr>
          <w:p w:rsidR="008F7307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1 447,8</w:t>
            </w:r>
          </w:p>
        </w:tc>
        <w:tc>
          <w:tcPr>
            <w:tcW w:w="1701" w:type="dxa"/>
            <w:vAlign w:val="bottom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Pasywa, z tego: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2 379,4</w:t>
            </w:r>
          </w:p>
        </w:tc>
        <w:tc>
          <w:tcPr>
            <w:tcW w:w="1701" w:type="dxa"/>
            <w:vAlign w:val="bottom"/>
          </w:tcPr>
          <w:p w:rsidR="008F7307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2 309,8</w:t>
            </w:r>
          </w:p>
        </w:tc>
        <w:tc>
          <w:tcPr>
            <w:tcW w:w="1701" w:type="dxa"/>
            <w:vAlign w:val="bottom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5C6135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Kapitał własny, w tym: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1 724,3</w:t>
            </w:r>
          </w:p>
        </w:tc>
        <w:tc>
          <w:tcPr>
            <w:tcW w:w="1701" w:type="dxa"/>
            <w:vAlign w:val="bottom"/>
          </w:tcPr>
          <w:p w:rsidR="008F7307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1 749,2</w:t>
            </w:r>
          </w:p>
        </w:tc>
        <w:tc>
          <w:tcPr>
            <w:tcW w:w="1701" w:type="dxa"/>
            <w:vAlign w:val="bottom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kapitał podstawowy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498,4</w:t>
            </w:r>
          </w:p>
        </w:tc>
        <w:tc>
          <w:tcPr>
            <w:tcW w:w="1701" w:type="dxa"/>
            <w:vAlign w:val="bottom"/>
          </w:tcPr>
          <w:p w:rsidR="008F7307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537,2</w:t>
            </w:r>
          </w:p>
        </w:tc>
        <w:tc>
          <w:tcPr>
            <w:tcW w:w="1701" w:type="dxa"/>
            <w:vAlign w:val="bottom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kapitał zapasowy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</w:tc>
        <w:tc>
          <w:tcPr>
            <w:tcW w:w="1701" w:type="dxa"/>
            <w:vAlign w:val="bottom"/>
          </w:tcPr>
          <w:p w:rsidR="008F7307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498,7</w:t>
            </w:r>
          </w:p>
        </w:tc>
        <w:tc>
          <w:tcPr>
            <w:tcW w:w="1701" w:type="dxa"/>
            <w:vAlign w:val="bottom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85,0</w:t>
            </w:r>
          </w:p>
        </w:tc>
      </w:tr>
      <w:tr w:rsidR="008F7307" w:rsidRPr="00FA5128" w:rsidTr="005D6823">
        <w:trPr>
          <w:trHeight w:hRule="exact" w:val="737"/>
        </w:trPr>
        <w:tc>
          <w:tcPr>
            <w:tcW w:w="2823" w:type="dxa"/>
            <w:vAlign w:val="center"/>
          </w:tcPr>
          <w:p w:rsidR="008F7307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Zobowiązania i rezerw na zobowiązania, w tym: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655,2</w:t>
            </w:r>
          </w:p>
        </w:tc>
        <w:tc>
          <w:tcPr>
            <w:tcW w:w="1701" w:type="dxa"/>
            <w:vAlign w:val="center"/>
          </w:tcPr>
          <w:p w:rsidR="008F7307" w:rsidRPr="00AC309E" w:rsidRDefault="00AC30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560,5</w:t>
            </w:r>
          </w:p>
        </w:tc>
        <w:tc>
          <w:tcPr>
            <w:tcW w:w="1701" w:type="dxa"/>
            <w:vAlign w:val="center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85,5</w:t>
            </w:r>
          </w:p>
        </w:tc>
      </w:tr>
      <w:tr w:rsidR="008F7307" w:rsidRPr="00FA5128" w:rsidTr="005D6823">
        <w:trPr>
          <w:trHeight w:hRule="exact" w:val="737"/>
        </w:trPr>
        <w:tc>
          <w:tcPr>
            <w:tcW w:w="2823" w:type="dxa"/>
            <w:vAlign w:val="center"/>
          </w:tcPr>
          <w:p w:rsidR="008F7307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Przychody z działalności operacyjnej, w tym: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3 184,9</w:t>
            </w:r>
          </w:p>
        </w:tc>
        <w:tc>
          <w:tcPr>
            <w:tcW w:w="1701" w:type="dxa"/>
            <w:vAlign w:val="center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3 790,7</w:t>
            </w:r>
          </w:p>
        </w:tc>
        <w:tc>
          <w:tcPr>
            <w:tcW w:w="1701" w:type="dxa"/>
            <w:vAlign w:val="center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119,0</w:t>
            </w:r>
          </w:p>
        </w:tc>
      </w:tr>
      <w:tr w:rsidR="008F7307" w:rsidRPr="00FA5128" w:rsidTr="005D6823">
        <w:trPr>
          <w:trHeight w:hRule="exact" w:val="737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wynagrodzenie za zarządzanie funduszami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2 899,7</w:t>
            </w:r>
          </w:p>
        </w:tc>
        <w:tc>
          <w:tcPr>
            <w:tcW w:w="1701" w:type="dxa"/>
            <w:vAlign w:val="center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3 418,4</w:t>
            </w:r>
          </w:p>
        </w:tc>
        <w:tc>
          <w:tcPr>
            <w:tcW w:w="1701" w:type="dxa"/>
            <w:vAlign w:val="center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117,9</w:t>
            </w:r>
          </w:p>
        </w:tc>
      </w:tr>
      <w:tr w:rsidR="008F7307" w:rsidRPr="00FA5128" w:rsidTr="005D6823">
        <w:trPr>
          <w:trHeight w:hRule="exact" w:val="737"/>
        </w:trPr>
        <w:tc>
          <w:tcPr>
            <w:tcW w:w="2823" w:type="dxa"/>
            <w:vAlign w:val="center"/>
          </w:tcPr>
          <w:p w:rsidR="008F7307" w:rsidRPr="00B17158" w:rsidRDefault="005C6135" w:rsidP="0099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działalności operacyjnej, w tym: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2 524,3</w:t>
            </w:r>
          </w:p>
        </w:tc>
        <w:tc>
          <w:tcPr>
            <w:tcW w:w="1701" w:type="dxa"/>
            <w:vAlign w:val="center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2 961,3</w:t>
            </w:r>
          </w:p>
        </w:tc>
        <w:tc>
          <w:tcPr>
            <w:tcW w:w="1701" w:type="dxa"/>
            <w:vAlign w:val="center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117,3</w:t>
            </w:r>
          </w:p>
        </w:tc>
      </w:tr>
      <w:tr w:rsidR="008F7307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8F7307" w:rsidRPr="00B17158" w:rsidRDefault="005C6135" w:rsidP="005C6135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usługi obce</w:t>
            </w:r>
          </w:p>
        </w:tc>
        <w:tc>
          <w:tcPr>
            <w:tcW w:w="1701" w:type="dxa"/>
            <w:vAlign w:val="center"/>
          </w:tcPr>
          <w:p w:rsidR="008F7307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1 530,2</w:t>
            </w:r>
          </w:p>
        </w:tc>
        <w:tc>
          <w:tcPr>
            <w:tcW w:w="1701" w:type="dxa"/>
            <w:vAlign w:val="center"/>
          </w:tcPr>
          <w:p w:rsidR="008F7307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1 808,6</w:t>
            </w:r>
          </w:p>
        </w:tc>
        <w:tc>
          <w:tcPr>
            <w:tcW w:w="1701" w:type="dxa"/>
            <w:vAlign w:val="center"/>
          </w:tcPr>
          <w:p w:rsidR="008F7307" w:rsidRPr="00AC309E" w:rsidRDefault="00DB2C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118,2</w:t>
            </w:r>
          </w:p>
        </w:tc>
      </w:tr>
      <w:tr w:rsidR="00D005CA" w:rsidRPr="00FA5128" w:rsidTr="005D6823">
        <w:trPr>
          <w:trHeight w:hRule="exact" w:val="510"/>
        </w:trPr>
        <w:tc>
          <w:tcPr>
            <w:tcW w:w="2823" w:type="dxa"/>
            <w:vAlign w:val="center"/>
          </w:tcPr>
          <w:p w:rsidR="00D005CA" w:rsidRPr="00B17158" w:rsidRDefault="005C6135" w:rsidP="005C61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finansowy netto</w:t>
            </w:r>
          </w:p>
        </w:tc>
        <w:tc>
          <w:tcPr>
            <w:tcW w:w="1701" w:type="dxa"/>
            <w:vAlign w:val="center"/>
          </w:tcPr>
          <w:p w:rsidR="00D005CA" w:rsidRPr="00AC309E" w:rsidRDefault="00AC309E" w:rsidP="00B171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505,9</w:t>
            </w:r>
          </w:p>
        </w:tc>
        <w:tc>
          <w:tcPr>
            <w:tcW w:w="1701" w:type="dxa"/>
            <w:vAlign w:val="center"/>
          </w:tcPr>
          <w:p w:rsidR="00D005CA" w:rsidRPr="00AC309E" w:rsidRDefault="00206B5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680,8</w:t>
            </w:r>
          </w:p>
        </w:tc>
        <w:tc>
          <w:tcPr>
            <w:tcW w:w="1701" w:type="dxa"/>
            <w:vAlign w:val="center"/>
          </w:tcPr>
          <w:p w:rsidR="00D005CA" w:rsidRPr="00AC309E" w:rsidRDefault="00DB2C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134,6</w:t>
            </w:r>
          </w:p>
        </w:tc>
      </w:tr>
    </w:tbl>
    <w:p w:rsidR="00020F3A" w:rsidRPr="00130B04" w:rsidRDefault="00FD146F" w:rsidP="00020F3A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462E8B83" wp14:editId="02AAF0EB">
                <wp:simplePos x="0" y="0"/>
                <wp:positionH relativeFrom="column">
                  <wp:posOffset>5229225</wp:posOffset>
                </wp:positionH>
                <wp:positionV relativeFrom="paragraph">
                  <wp:posOffset>-634</wp:posOffset>
                </wp:positionV>
                <wp:extent cx="1725295" cy="7677150"/>
                <wp:effectExtent l="0" t="0" r="0" b="0"/>
                <wp:wrapTight wrapText="bothSides">
                  <wp:wrapPolygon edited="0">
                    <wp:start x="715" y="0"/>
                    <wp:lineTo x="715" y="21546"/>
                    <wp:lineTo x="20749" y="21546"/>
                    <wp:lineTo x="20749" y="0"/>
                    <wp:lineTo x="715" y="0"/>
                  </wp:wrapPolygon>
                </wp:wrapTight>
                <wp:docPr id="193" name="Pole tekstow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67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AC" w:rsidRPr="00D616D2" w:rsidRDefault="00332EAC" w:rsidP="00020F3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E8B83" id="Pole tekstowe 193" o:spid="_x0000_s1042" type="#_x0000_t202" style="position:absolute;margin-left:411.75pt;margin-top:-.05pt;width:135.85pt;height:604.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" filled="f" stroked="f">
                <v:textbox>
                  <w:txbxContent>
                    <w:p w:rsidR="00332EAC" w:rsidRPr="00D616D2" w:rsidRDefault="00332EAC" w:rsidP="00020F3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295B" w:rsidRDefault="0026295B" w:rsidP="00E76D26">
      <w:pPr>
        <w:rPr>
          <w:shd w:val="clear" w:color="auto" w:fill="FFFFFF"/>
        </w:rPr>
      </w:pPr>
    </w:p>
    <w:p w:rsidR="005D6823" w:rsidRDefault="005D6823" w:rsidP="00E76D26">
      <w:pPr>
        <w:rPr>
          <w:shd w:val="clear" w:color="auto" w:fill="FFFFFF"/>
        </w:rPr>
      </w:pPr>
    </w:p>
    <w:p w:rsidR="003F167E" w:rsidRDefault="003F167E" w:rsidP="00E76D26">
      <w:pPr>
        <w:rPr>
          <w:shd w:val="clear" w:color="auto" w:fill="FFFFFF"/>
        </w:rPr>
      </w:pPr>
    </w:p>
    <w:p w:rsidR="003F167E" w:rsidRDefault="003F167E" w:rsidP="00E76D26">
      <w:pPr>
        <w:rPr>
          <w:shd w:val="clear" w:color="auto" w:fill="FFFFFF"/>
        </w:rPr>
      </w:pPr>
    </w:p>
    <w:p w:rsidR="003F167E" w:rsidRDefault="003F167E" w:rsidP="00E76D26">
      <w:pPr>
        <w:rPr>
          <w:shd w:val="clear" w:color="auto" w:fill="FFFFFF"/>
        </w:rPr>
      </w:pPr>
    </w:p>
    <w:p w:rsidR="003F167E" w:rsidRPr="0026295B" w:rsidRDefault="003F167E" w:rsidP="00E76D26">
      <w:pPr>
        <w:rPr>
          <w:shd w:val="clear" w:color="auto" w:fill="FFFFFF"/>
        </w:rPr>
        <w:sectPr w:rsidR="003F167E" w:rsidRPr="0026295B" w:rsidSect="00EC722E">
          <w:headerReference w:type="default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2"/>
        <w:gridCol w:w="3815"/>
      </w:tblGrid>
      <w:tr w:rsidR="000470AA" w:rsidRPr="004B3C8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155873">
              <w:rPr>
                <w:rFonts w:cs="Arial"/>
                <w:b/>
                <w:color w:val="000000" w:themeColor="text1"/>
                <w:sz w:val="20"/>
              </w:rPr>
              <w:t>Studiów Makroekonomicznych i Finansów</w:t>
            </w:r>
          </w:p>
          <w:p w:rsidR="000470AA" w:rsidRPr="006F16BA" w:rsidRDefault="00DB2C4B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6F16B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Monika Rothe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6F16B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DB2C4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33</w:t>
            </w:r>
          </w:p>
          <w:p w:rsidR="000470AA" w:rsidRPr="008F3638" w:rsidRDefault="000470AA" w:rsidP="006F16B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F16B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6F16BA" w:rsidRPr="006F16BA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m.rothe@stat.gov.pl</w:t>
              </w:r>
            </w:hyperlink>
          </w:p>
        </w:tc>
        <w:tc>
          <w:tcPr>
            <w:tcW w:w="3942" w:type="dxa"/>
          </w:tcPr>
          <w:p w:rsidR="00E761AE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8F3638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  <w:r w:rsidR="005E50FA">
              <w:rPr>
                <w:rFonts w:cs="Arial"/>
                <w:b/>
                <w:color w:val="000000" w:themeColor="text1"/>
                <w:sz w:val="20"/>
              </w:rPr>
              <w:br/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0A408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0A408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0A4081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0A4081" w:rsidRDefault="000470AA" w:rsidP="000470AA">
      <w:pPr>
        <w:rPr>
          <w:sz w:val="20"/>
        </w:rPr>
      </w:pPr>
    </w:p>
    <w:p w:rsidR="000470AA" w:rsidRPr="000A4081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4617" w:rsidRDefault="000470AA" w:rsidP="000470AA">
            <w:pPr>
              <w:rPr>
                <w:sz w:val="20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faks:</w:t>
            </w:r>
            <w:r w:rsidR="00097840" w:rsidRPr="00684617">
              <w:rPr>
                <w:sz w:val="20"/>
                <w:lang w:val="en-US"/>
              </w:rPr>
              <w:t xml:space="preserve"> 22</w:t>
            </w:r>
            <w:r w:rsidRPr="00684617">
              <w:rPr>
                <w:sz w:val="20"/>
                <w:lang w:val="en-US"/>
              </w:rPr>
              <w:t xml:space="preserve"> 608 38 86 </w:t>
            </w:r>
          </w:p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e-mail:</w:t>
            </w:r>
            <w:r w:rsidRPr="00684617">
              <w:rPr>
                <w:sz w:val="20"/>
                <w:lang w:val="en-US"/>
              </w:rPr>
              <w:t xml:space="preserve"> </w:t>
            </w:r>
            <w:hyperlink r:id="rId20" w:history="1">
              <w:r w:rsidRPr="00684617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A61E48E" wp14:editId="7A61E4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9809DA" w:rsidP="000470AA">
            <w:pPr>
              <w:rPr>
                <w:sz w:val="18"/>
              </w:rPr>
            </w:pPr>
            <w:hyperlink r:id="rId22" w:history="1">
              <w:r w:rsidR="006F16BA" w:rsidRPr="00B739A2">
                <w:rPr>
                  <w:rStyle w:val="Hipercze"/>
                  <w:rFonts w:cstheme="minorBidi"/>
                  <w:sz w:val="20"/>
                </w:rPr>
                <w:t>www.stat.gov.pl</w:t>
              </w:r>
            </w:hyperlink>
            <w:r w:rsidR="006F16BA">
              <w:rPr>
                <w:sz w:val="20"/>
              </w:rPr>
              <w:t xml:space="preserve"> 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61E490" wp14:editId="7A61E49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A61E492" wp14:editId="7A61E4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61E494" wp14:editId="7A61E49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76" w:rsidRPr="000A4081" w:rsidRDefault="00F25976" w:rsidP="00F25976">
                            <w:pPr>
                              <w:rPr>
                                <w:b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25976" w:rsidRPr="00F25976" w:rsidRDefault="009809DA" w:rsidP="00AB6D25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hyperlink r:id="rId25" w:history="1">
                              <w:r w:rsidR="00F25976" w:rsidRPr="00F25976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sygnalne. Wyniki finansowe przedsiębiorstw finansowych.</w:t>
                              </w:r>
                            </w:hyperlink>
                          </w:p>
                          <w:p w:rsidR="00F25976" w:rsidRDefault="00F2597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32EAC" w:rsidRPr="000A4081" w:rsidRDefault="00332EA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5D3F15" w:rsidRPr="000A4081" w:rsidRDefault="009809DA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25976" w:rsidRPr="00F25976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332EAC" w:rsidRPr="000A4081" w:rsidRDefault="00332EA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32EAC" w:rsidRDefault="00332EA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32EAC" w:rsidRDefault="009809D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52468E" w:rsidRPr="0052468E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Fundusz Inwestycyjny</w:t>
                              </w:r>
                            </w:hyperlink>
                          </w:p>
                          <w:p w:rsidR="0052468E" w:rsidRDefault="009809D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52468E" w:rsidRPr="0052468E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Towarzystwo Funduszy Inwestycyjnych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94" id="_x0000_s104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uW8oKU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F25976" w:rsidRPr="000A4081" w:rsidRDefault="00F25976" w:rsidP="00F25976">
                      <w:pPr>
                        <w:rPr>
                          <w:b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:rsidR="00F25976" w:rsidRPr="00F25976" w:rsidRDefault="00F25976" w:rsidP="00AB6D25">
                      <w:pPr>
                        <w:rPr>
                          <w:color w:val="000000" w:themeColor="text1"/>
                          <w:szCs w:val="24"/>
                        </w:rPr>
                      </w:pPr>
                      <w:hyperlink r:id="rId29" w:history="1">
                        <w:r w:rsidRPr="00F25976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sygnalne. Wyniki finansowe przedsiębiorstw finansowych.</w:t>
                        </w:r>
                      </w:hyperlink>
                    </w:p>
                    <w:p w:rsidR="00F25976" w:rsidRDefault="00F2597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332EAC" w:rsidRPr="000A4081" w:rsidRDefault="00332EA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5D3F15" w:rsidRPr="000A4081" w:rsidRDefault="00F25976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Pr="00F25976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332EAC" w:rsidRPr="000A4081" w:rsidRDefault="00332EA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332EAC" w:rsidRDefault="00332EA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32EAC" w:rsidRDefault="0052468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Pr="0052468E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Fundusz Inwestycyjny</w:t>
                        </w:r>
                      </w:hyperlink>
                    </w:p>
                    <w:p w:rsidR="0052468E" w:rsidRDefault="0052468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52468E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Towarzystwo Funduszy Inwestycyjnych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9DA" w:rsidRDefault="009809DA" w:rsidP="000662E2">
      <w:pPr>
        <w:spacing w:after="0" w:line="240" w:lineRule="auto"/>
      </w:pPr>
      <w:r>
        <w:separator/>
      </w:r>
    </w:p>
  </w:endnote>
  <w:endnote w:type="continuationSeparator" w:id="0">
    <w:p w:rsidR="009809DA" w:rsidRDefault="009809DA" w:rsidP="000662E2">
      <w:pPr>
        <w:spacing w:after="0" w:line="240" w:lineRule="auto"/>
      </w:pPr>
      <w:r>
        <w:continuationSeparator/>
      </w:r>
    </w:p>
  </w:endnote>
  <w:endnote w:id="1">
    <w:p w:rsidR="005D3F15" w:rsidRPr="005D3F15" w:rsidRDefault="005D3F15" w:rsidP="005D3F15">
      <w:pPr>
        <w:pStyle w:val="Tekstprzypisukocowego"/>
        <w:jc w:val="both"/>
        <w:rPr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sz w:val="16"/>
          <w:szCs w:val="16"/>
        </w:rPr>
        <w:t>Pojęcie „fundusze inwestycyjne” obejmuje: otwarte fundusze inwestycyjne, specjalistyczne fundusze inwestycyjne otwarte i fundusze inwestycyjne zamknięte.</w:t>
      </w:r>
    </w:p>
  </w:endnote>
  <w:endnote w:id="2">
    <w:p w:rsidR="005D3F15" w:rsidRPr="005D3F15" w:rsidRDefault="005D3F15" w:rsidP="005D3F15">
      <w:pPr>
        <w:pStyle w:val="Tekstprzypisudolnego"/>
        <w:jc w:val="both"/>
        <w:rPr>
          <w:sz w:val="16"/>
          <w:szCs w:val="16"/>
        </w:rPr>
      </w:pPr>
      <w:r w:rsidRPr="005D3F15">
        <w:rPr>
          <w:rStyle w:val="Odwoanieprzypisukocowego"/>
          <w:sz w:val="16"/>
          <w:szCs w:val="16"/>
        </w:rPr>
        <w:endnoteRef/>
      </w:r>
      <w:r w:rsidRPr="005D3F15">
        <w:rPr>
          <w:sz w:val="16"/>
          <w:szCs w:val="16"/>
        </w:rPr>
        <w:t xml:space="preserve"> Według rozporządzenia Ministra Finansów z dnia 24 grudnia 2007 r. w sprawie szczególnych zasad rachunkowości funduszy inwestycyjnych (Dz. U. Nr 249, poz. 1859), przez aktywny rynek rozumie się rynek spełniający łącznie następujące kryteria: instrumenty będące przedmiotem obrotu na rynku są jednorodne, zazwyczaj w każdym czasie występują zainteresowani nabywcy i sprzedawcy, ceny są podawane do publicznej wiadomości.</w:t>
      </w:r>
    </w:p>
    <w:p w:rsidR="005D3F15" w:rsidRDefault="005D3F15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864908"/>
      <w:docPartObj>
        <w:docPartGallery w:val="Page Numbers (Bottom of Page)"/>
        <w:docPartUnique/>
      </w:docPartObj>
    </w:sdtPr>
    <w:sdtEndPr/>
    <w:sdtContent>
      <w:p w:rsidR="00332EAC" w:rsidRDefault="00332EA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8ED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777727"/>
      <w:docPartObj>
        <w:docPartGallery w:val="Page Numbers (Bottom of Page)"/>
        <w:docPartUnique/>
      </w:docPartObj>
    </w:sdtPr>
    <w:sdtEndPr/>
    <w:sdtContent>
      <w:p w:rsidR="00332EAC" w:rsidRDefault="00332EA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8E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32EAC" w:rsidRDefault="00332EA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8ED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9DA" w:rsidRDefault="009809DA" w:rsidP="000662E2">
      <w:pPr>
        <w:spacing w:after="0" w:line="240" w:lineRule="auto"/>
      </w:pPr>
      <w:r>
        <w:separator/>
      </w:r>
    </w:p>
  </w:footnote>
  <w:footnote w:type="continuationSeparator" w:id="0">
    <w:p w:rsidR="009809DA" w:rsidRDefault="009809D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AC" w:rsidRDefault="00332E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0EFECC" wp14:editId="6F518A4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66B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332EAC" w:rsidRDefault="00332E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AC" w:rsidRDefault="00332EA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2121D3" wp14:editId="4C1B444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2EAC" w:rsidRPr="003C6C8D" w:rsidRDefault="00332EA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121D3" id="Schemat blokowy: opóźnienie 6" o:spid="_x0000_s104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32EAC" w:rsidRPr="003C6C8D" w:rsidRDefault="00332EA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16A96A" wp14:editId="796E27A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23E8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1DA239A" wp14:editId="5894ACBA">
          <wp:extent cx="2188845" cy="740410"/>
          <wp:effectExtent l="0" t="0" r="1905" b="2540"/>
          <wp:docPr id="25" name="Obraz 25" descr="C:\Users\babikw\Documents\My docs\infokw\Logo%20jubileuszowe%20wersja%20dla%20GUS%20odmiana%20podstawowa%20wariant%20kolorow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:\Users\babikw\Documents\My docs\infokw\Logo%20jubileuszowe%20wersja%20dla%20GUS%20odmiana%20podstawowa%20wariant%20kolorow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2EAC" w:rsidRDefault="00332EA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DA249E" wp14:editId="24BB86D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2EAC" w:rsidRPr="00C97596" w:rsidRDefault="00332EA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22.06.2018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A249E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32EAC" w:rsidRPr="00C97596" w:rsidRDefault="00332EA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22.06.2018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AC" w:rsidRDefault="00332EAC">
    <w:pPr>
      <w:pStyle w:val="Nagwek"/>
    </w:pPr>
  </w:p>
  <w:p w:rsidR="00332EAC" w:rsidRDefault="00332E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pt;height:125.3pt;visibility:visible" o:bullet="t">
        <v:imagedata r:id="rId1" o:title=""/>
      </v:shape>
    </w:pict>
  </w:numPicBullet>
  <w:numPicBullet w:numPicBulletId="1">
    <w:pict>
      <v:shape id="_x0000_i1029" type="#_x0000_t75" style="width:123.85pt;height:125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492533"/>
    <w:multiLevelType w:val="hybridMultilevel"/>
    <w:tmpl w:val="7CC89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8E"/>
    <w:rsid w:val="0000709F"/>
    <w:rsid w:val="000108B8"/>
    <w:rsid w:val="000152F5"/>
    <w:rsid w:val="0001745A"/>
    <w:rsid w:val="000200A8"/>
    <w:rsid w:val="00020F3A"/>
    <w:rsid w:val="00027439"/>
    <w:rsid w:val="0003375A"/>
    <w:rsid w:val="0004582E"/>
    <w:rsid w:val="000470AA"/>
    <w:rsid w:val="00047E14"/>
    <w:rsid w:val="00053E26"/>
    <w:rsid w:val="000578A2"/>
    <w:rsid w:val="00057CA1"/>
    <w:rsid w:val="00065308"/>
    <w:rsid w:val="000662E2"/>
    <w:rsid w:val="00066883"/>
    <w:rsid w:val="00074DD8"/>
    <w:rsid w:val="000806F7"/>
    <w:rsid w:val="00097840"/>
    <w:rsid w:val="000A4081"/>
    <w:rsid w:val="000A6AA4"/>
    <w:rsid w:val="000B0727"/>
    <w:rsid w:val="000B24D5"/>
    <w:rsid w:val="000B47CF"/>
    <w:rsid w:val="000B7D5D"/>
    <w:rsid w:val="000C0D18"/>
    <w:rsid w:val="000C135D"/>
    <w:rsid w:val="000D17AB"/>
    <w:rsid w:val="000D1D43"/>
    <w:rsid w:val="000D225C"/>
    <w:rsid w:val="000D23F0"/>
    <w:rsid w:val="000D25D6"/>
    <w:rsid w:val="000D2A5C"/>
    <w:rsid w:val="000E0918"/>
    <w:rsid w:val="000E3934"/>
    <w:rsid w:val="000E52D1"/>
    <w:rsid w:val="000F14E6"/>
    <w:rsid w:val="001011C3"/>
    <w:rsid w:val="00105600"/>
    <w:rsid w:val="00110D87"/>
    <w:rsid w:val="00114DB9"/>
    <w:rsid w:val="00116087"/>
    <w:rsid w:val="001257D5"/>
    <w:rsid w:val="00130296"/>
    <w:rsid w:val="00130B04"/>
    <w:rsid w:val="00131D2F"/>
    <w:rsid w:val="001423B6"/>
    <w:rsid w:val="001448A7"/>
    <w:rsid w:val="00146621"/>
    <w:rsid w:val="00155873"/>
    <w:rsid w:val="001568E3"/>
    <w:rsid w:val="00162325"/>
    <w:rsid w:val="001700C7"/>
    <w:rsid w:val="001765D3"/>
    <w:rsid w:val="00194DFB"/>
    <w:rsid w:val="001951DA"/>
    <w:rsid w:val="0019592F"/>
    <w:rsid w:val="001A4AE5"/>
    <w:rsid w:val="001C3269"/>
    <w:rsid w:val="001D1DB4"/>
    <w:rsid w:val="001D6005"/>
    <w:rsid w:val="001E0053"/>
    <w:rsid w:val="00206B56"/>
    <w:rsid w:val="00216C45"/>
    <w:rsid w:val="0021786D"/>
    <w:rsid w:val="0024127A"/>
    <w:rsid w:val="00256D94"/>
    <w:rsid w:val="002574F9"/>
    <w:rsid w:val="0026295B"/>
    <w:rsid w:val="00262B61"/>
    <w:rsid w:val="00274072"/>
    <w:rsid w:val="00276811"/>
    <w:rsid w:val="00276839"/>
    <w:rsid w:val="00282699"/>
    <w:rsid w:val="002926DF"/>
    <w:rsid w:val="00296697"/>
    <w:rsid w:val="002B0472"/>
    <w:rsid w:val="002B6B12"/>
    <w:rsid w:val="002C1B93"/>
    <w:rsid w:val="002D7403"/>
    <w:rsid w:val="002E33D7"/>
    <w:rsid w:val="002E6140"/>
    <w:rsid w:val="002E6985"/>
    <w:rsid w:val="002E71B6"/>
    <w:rsid w:val="002F00B0"/>
    <w:rsid w:val="002F468D"/>
    <w:rsid w:val="002F77C8"/>
    <w:rsid w:val="00304F22"/>
    <w:rsid w:val="00306C7C"/>
    <w:rsid w:val="003132A5"/>
    <w:rsid w:val="00315E84"/>
    <w:rsid w:val="00321A45"/>
    <w:rsid w:val="00322EDD"/>
    <w:rsid w:val="00332320"/>
    <w:rsid w:val="00332EAC"/>
    <w:rsid w:val="00342EC3"/>
    <w:rsid w:val="00347D72"/>
    <w:rsid w:val="00357611"/>
    <w:rsid w:val="003616C1"/>
    <w:rsid w:val="00363948"/>
    <w:rsid w:val="00365F40"/>
    <w:rsid w:val="00367237"/>
    <w:rsid w:val="0037077F"/>
    <w:rsid w:val="00372411"/>
    <w:rsid w:val="00373882"/>
    <w:rsid w:val="00374412"/>
    <w:rsid w:val="00377780"/>
    <w:rsid w:val="0038064C"/>
    <w:rsid w:val="003843DB"/>
    <w:rsid w:val="00385622"/>
    <w:rsid w:val="00393761"/>
    <w:rsid w:val="003938ED"/>
    <w:rsid w:val="00397D18"/>
    <w:rsid w:val="003A1B36"/>
    <w:rsid w:val="003B1454"/>
    <w:rsid w:val="003B18B6"/>
    <w:rsid w:val="003B7811"/>
    <w:rsid w:val="003C59E0"/>
    <w:rsid w:val="003C6C8D"/>
    <w:rsid w:val="003D4F95"/>
    <w:rsid w:val="003D5F42"/>
    <w:rsid w:val="003D60A9"/>
    <w:rsid w:val="003E24D5"/>
    <w:rsid w:val="003E53B2"/>
    <w:rsid w:val="003F167E"/>
    <w:rsid w:val="003F4C97"/>
    <w:rsid w:val="003F7FE6"/>
    <w:rsid w:val="00400193"/>
    <w:rsid w:val="00404720"/>
    <w:rsid w:val="00406696"/>
    <w:rsid w:val="00416E70"/>
    <w:rsid w:val="004212E7"/>
    <w:rsid w:val="0042446D"/>
    <w:rsid w:val="00427BF8"/>
    <w:rsid w:val="00431C02"/>
    <w:rsid w:val="00437395"/>
    <w:rsid w:val="00445047"/>
    <w:rsid w:val="0045551C"/>
    <w:rsid w:val="00463E39"/>
    <w:rsid w:val="004652B1"/>
    <w:rsid w:val="004653FA"/>
    <w:rsid w:val="004657FC"/>
    <w:rsid w:val="004733F6"/>
    <w:rsid w:val="00474E69"/>
    <w:rsid w:val="004939BC"/>
    <w:rsid w:val="00493A0E"/>
    <w:rsid w:val="0049621B"/>
    <w:rsid w:val="004A4B0C"/>
    <w:rsid w:val="004A4F94"/>
    <w:rsid w:val="004B10CA"/>
    <w:rsid w:val="004B3C88"/>
    <w:rsid w:val="004B4795"/>
    <w:rsid w:val="004C0546"/>
    <w:rsid w:val="004C1895"/>
    <w:rsid w:val="004C6D40"/>
    <w:rsid w:val="004D36E0"/>
    <w:rsid w:val="004D3A1D"/>
    <w:rsid w:val="004D7316"/>
    <w:rsid w:val="004E5469"/>
    <w:rsid w:val="004E7858"/>
    <w:rsid w:val="004F0C3C"/>
    <w:rsid w:val="004F111D"/>
    <w:rsid w:val="004F3D0A"/>
    <w:rsid w:val="004F5B1B"/>
    <w:rsid w:val="004F63FC"/>
    <w:rsid w:val="00501638"/>
    <w:rsid w:val="00505A92"/>
    <w:rsid w:val="005203F1"/>
    <w:rsid w:val="00521BC3"/>
    <w:rsid w:val="0052468E"/>
    <w:rsid w:val="0053170A"/>
    <w:rsid w:val="00533632"/>
    <w:rsid w:val="00541E6E"/>
    <w:rsid w:val="0054251F"/>
    <w:rsid w:val="005511D2"/>
    <w:rsid w:val="005520D8"/>
    <w:rsid w:val="00556CF1"/>
    <w:rsid w:val="00562DAA"/>
    <w:rsid w:val="00566F50"/>
    <w:rsid w:val="005762A7"/>
    <w:rsid w:val="005916D7"/>
    <w:rsid w:val="00595233"/>
    <w:rsid w:val="005A698C"/>
    <w:rsid w:val="005B4C37"/>
    <w:rsid w:val="005B645C"/>
    <w:rsid w:val="005C3021"/>
    <w:rsid w:val="005C6135"/>
    <w:rsid w:val="005D14B0"/>
    <w:rsid w:val="005D3F15"/>
    <w:rsid w:val="005D6823"/>
    <w:rsid w:val="005E0799"/>
    <w:rsid w:val="005E307F"/>
    <w:rsid w:val="005E50FA"/>
    <w:rsid w:val="005F5A80"/>
    <w:rsid w:val="005F6E56"/>
    <w:rsid w:val="006044FF"/>
    <w:rsid w:val="00607CC5"/>
    <w:rsid w:val="00623516"/>
    <w:rsid w:val="00633014"/>
    <w:rsid w:val="0063437B"/>
    <w:rsid w:val="00634415"/>
    <w:rsid w:val="00636F96"/>
    <w:rsid w:val="00644BCF"/>
    <w:rsid w:val="00656E04"/>
    <w:rsid w:val="006673CA"/>
    <w:rsid w:val="00673C26"/>
    <w:rsid w:val="006812AF"/>
    <w:rsid w:val="00681C09"/>
    <w:rsid w:val="00682D89"/>
    <w:rsid w:val="0068327D"/>
    <w:rsid w:val="00684617"/>
    <w:rsid w:val="00687806"/>
    <w:rsid w:val="00694AF0"/>
    <w:rsid w:val="006966CE"/>
    <w:rsid w:val="00696765"/>
    <w:rsid w:val="006A4686"/>
    <w:rsid w:val="006B0E9E"/>
    <w:rsid w:val="006B122A"/>
    <w:rsid w:val="006B5AE4"/>
    <w:rsid w:val="006C74EF"/>
    <w:rsid w:val="006D1507"/>
    <w:rsid w:val="006D4054"/>
    <w:rsid w:val="006D4585"/>
    <w:rsid w:val="006D6FBE"/>
    <w:rsid w:val="006E02EC"/>
    <w:rsid w:val="006E4E0E"/>
    <w:rsid w:val="006F16BA"/>
    <w:rsid w:val="006F7FF7"/>
    <w:rsid w:val="0071390E"/>
    <w:rsid w:val="007211B1"/>
    <w:rsid w:val="00746187"/>
    <w:rsid w:val="00746760"/>
    <w:rsid w:val="00755B7D"/>
    <w:rsid w:val="0076254F"/>
    <w:rsid w:val="007738B5"/>
    <w:rsid w:val="00775B09"/>
    <w:rsid w:val="0077644F"/>
    <w:rsid w:val="007773FB"/>
    <w:rsid w:val="007801F5"/>
    <w:rsid w:val="00783CA4"/>
    <w:rsid w:val="007842FB"/>
    <w:rsid w:val="0078532B"/>
    <w:rsid w:val="0078596A"/>
    <w:rsid w:val="00786124"/>
    <w:rsid w:val="007871FE"/>
    <w:rsid w:val="0079472D"/>
    <w:rsid w:val="0079514B"/>
    <w:rsid w:val="007A0155"/>
    <w:rsid w:val="007A2DC1"/>
    <w:rsid w:val="007A5775"/>
    <w:rsid w:val="007A6B17"/>
    <w:rsid w:val="007C7EA9"/>
    <w:rsid w:val="007C7F88"/>
    <w:rsid w:val="007D3319"/>
    <w:rsid w:val="007D335D"/>
    <w:rsid w:val="007E3314"/>
    <w:rsid w:val="007E4B03"/>
    <w:rsid w:val="007F324B"/>
    <w:rsid w:val="007F78ED"/>
    <w:rsid w:val="0080553C"/>
    <w:rsid w:val="00805B46"/>
    <w:rsid w:val="00810D58"/>
    <w:rsid w:val="008112B2"/>
    <w:rsid w:val="0082142D"/>
    <w:rsid w:val="00825DC2"/>
    <w:rsid w:val="00832467"/>
    <w:rsid w:val="00834AD3"/>
    <w:rsid w:val="00843795"/>
    <w:rsid w:val="00847F0F"/>
    <w:rsid w:val="00852448"/>
    <w:rsid w:val="00861BC1"/>
    <w:rsid w:val="00873659"/>
    <w:rsid w:val="0088258A"/>
    <w:rsid w:val="008844A6"/>
    <w:rsid w:val="00886332"/>
    <w:rsid w:val="008A17A7"/>
    <w:rsid w:val="008A26D9"/>
    <w:rsid w:val="008B38F9"/>
    <w:rsid w:val="008B7EFE"/>
    <w:rsid w:val="008C0C29"/>
    <w:rsid w:val="008D4206"/>
    <w:rsid w:val="008D6CAD"/>
    <w:rsid w:val="008D772A"/>
    <w:rsid w:val="008F3638"/>
    <w:rsid w:val="008F4441"/>
    <w:rsid w:val="008F4B44"/>
    <w:rsid w:val="008F6E53"/>
    <w:rsid w:val="008F6F31"/>
    <w:rsid w:val="008F7307"/>
    <w:rsid w:val="008F74DF"/>
    <w:rsid w:val="009112A9"/>
    <w:rsid w:val="009127BA"/>
    <w:rsid w:val="009227A6"/>
    <w:rsid w:val="00933EC1"/>
    <w:rsid w:val="009530DB"/>
    <w:rsid w:val="00953676"/>
    <w:rsid w:val="0095545E"/>
    <w:rsid w:val="0096756D"/>
    <w:rsid w:val="009705EE"/>
    <w:rsid w:val="009711F5"/>
    <w:rsid w:val="00977927"/>
    <w:rsid w:val="009809DA"/>
    <w:rsid w:val="0098135C"/>
    <w:rsid w:val="0098156A"/>
    <w:rsid w:val="00991BAC"/>
    <w:rsid w:val="00996239"/>
    <w:rsid w:val="009A3D0F"/>
    <w:rsid w:val="009A5580"/>
    <w:rsid w:val="009A6EA0"/>
    <w:rsid w:val="009C0E6F"/>
    <w:rsid w:val="009C1335"/>
    <w:rsid w:val="009C1AB2"/>
    <w:rsid w:val="009C527D"/>
    <w:rsid w:val="009C7251"/>
    <w:rsid w:val="009E2E91"/>
    <w:rsid w:val="009F59D6"/>
    <w:rsid w:val="00A139F5"/>
    <w:rsid w:val="00A13AFF"/>
    <w:rsid w:val="00A3518B"/>
    <w:rsid w:val="00A365F4"/>
    <w:rsid w:val="00A404D7"/>
    <w:rsid w:val="00A46817"/>
    <w:rsid w:val="00A47D80"/>
    <w:rsid w:val="00A52880"/>
    <w:rsid w:val="00A53132"/>
    <w:rsid w:val="00A5355A"/>
    <w:rsid w:val="00A53703"/>
    <w:rsid w:val="00A563F2"/>
    <w:rsid w:val="00A566E8"/>
    <w:rsid w:val="00A810F9"/>
    <w:rsid w:val="00A8212F"/>
    <w:rsid w:val="00A86ECC"/>
    <w:rsid w:val="00A86FCC"/>
    <w:rsid w:val="00AA12DB"/>
    <w:rsid w:val="00AA1B06"/>
    <w:rsid w:val="00AA2832"/>
    <w:rsid w:val="00AA710D"/>
    <w:rsid w:val="00AB1747"/>
    <w:rsid w:val="00AB329A"/>
    <w:rsid w:val="00AB4312"/>
    <w:rsid w:val="00AB6D25"/>
    <w:rsid w:val="00AC309E"/>
    <w:rsid w:val="00AD5D19"/>
    <w:rsid w:val="00AE2D4B"/>
    <w:rsid w:val="00AE4F99"/>
    <w:rsid w:val="00AF5E24"/>
    <w:rsid w:val="00AF719A"/>
    <w:rsid w:val="00B11B69"/>
    <w:rsid w:val="00B14952"/>
    <w:rsid w:val="00B17158"/>
    <w:rsid w:val="00B31E5A"/>
    <w:rsid w:val="00B653AB"/>
    <w:rsid w:val="00B65F9E"/>
    <w:rsid w:val="00B66B19"/>
    <w:rsid w:val="00B71CA4"/>
    <w:rsid w:val="00B80C6D"/>
    <w:rsid w:val="00B914E9"/>
    <w:rsid w:val="00B94E11"/>
    <w:rsid w:val="00B956EE"/>
    <w:rsid w:val="00B95CEF"/>
    <w:rsid w:val="00BA2BA1"/>
    <w:rsid w:val="00BA3562"/>
    <w:rsid w:val="00BB4F09"/>
    <w:rsid w:val="00BD38E3"/>
    <w:rsid w:val="00BD4E33"/>
    <w:rsid w:val="00BF4D8E"/>
    <w:rsid w:val="00BF65C3"/>
    <w:rsid w:val="00C01503"/>
    <w:rsid w:val="00C030DE"/>
    <w:rsid w:val="00C064E1"/>
    <w:rsid w:val="00C10867"/>
    <w:rsid w:val="00C22105"/>
    <w:rsid w:val="00C244B6"/>
    <w:rsid w:val="00C3702F"/>
    <w:rsid w:val="00C4383D"/>
    <w:rsid w:val="00C4500A"/>
    <w:rsid w:val="00C64A37"/>
    <w:rsid w:val="00C7158E"/>
    <w:rsid w:val="00C7250B"/>
    <w:rsid w:val="00C7346B"/>
    <w:rsid w:val="00C75769"/>
    <w:rsid w:val="00C77C0E"/>
    <w:rsid w:val="00C80120"/>
    <w:rsid w:val="00C81C3B"/>
    <w:rsid w:val="00C839CC"/>
    <w:rsid w:val="00C83ED1"/>
    <w:rsid w:val="00C8489D"/>
    <w:rsid w:val="00C84C99"/>
    <w:rsid w:val="00C87FE8"/>
    <w:rsid w:val="00C91687"/>
    <w:rsid w:val="00C924A8"/>
    <w:rsid w:val="00C945FE"/>
    <w:rsid w:val="00C965E2"/>
    <w:rsid w:val="00C96FAA"/>
    <w:rsid w:val="00C97A04"/>
    <w:rsid w:val="00CA107B"/>
    <w:rsid w:val="00CA20F9"/>
    <w:rsid w:val="00CA484D"/>
    <w:rsid w:val="00CA4FB6"/>
    <w:rsid w:val="00CB1646"/>
    <w:rsid w:val="00CB5CC0"/>
    <w:rsid w:val="00CC6EF4"/>
    <w:rsid w:val="00CC739E"/>
    <w:rsid w:val="00CD58B7"/>
    <w:rsid w:val="00CE54BB"/>
    <w:rsid w:val="00CF4099"/>
    <w:rsid w:val="00CF5988"/>
    <w:rsid w:val="00D005CA"/>
    <w:rsid w:val="00D00796"/>
    <w:rsid w:val="00D21705"/>
    <w:rsid w:val="00D261A2"/>
    <w:rsid w:val="00D35AB7"/>
    <w:rsid w:val="00D616D2"/>
    <w:rsid w:val="00D63B5F"/>
    <w:rsid w:val="00D70EF7"/>
    <w:rsid w:val="00D755A1"/>
    <w:rsid w:val="00D8397C"/>
    <w:rsid w:val="00D94EED"/>
    <w:rsid w:val="00D96026"/>
    <w:rsid w:val="00DA7C1C"/>
    <w:rsid w:val="00DB147A"/>
    <w:rsid w:val="00DB1B7A"/>
    <w:rsid w:val="00DB2C4B"/>
    <w:rsid w:val="00DB3F6F"/>
    <w:rsid w:val="00DC6708"/>
    <w:rsid w:val="00DE44C0"/>
    <w:rsid w:val="00DF17C4"/>
    <w:rsid w:val="00E01436"/>
    <w:rsid w:val="00E045BD"/>
    <w:rsid w:val="00E13DA0"/>
    <w:rsid w:val="00E178CE"/>
    <w:rsid w:val="00E17B77"/>
    <w:rsid w:val="00E23337"/>
    <w:rsid w:val="00E259EA"/>
    <w:rsid w:val="00E32061"/>
    <w:rsid w:val="00E34EAA"/>
    <w:rsid w:val="00E35E85"/>
    <w:rsid w:val="00E42FF9"/>
    <w:rsid w:val="00E44AD2"/>
    <w:rsid w:val="00E4714C"/>
    <w:rsid w:val="00E51AEB"/>
    <w:rsid w:val="00E522A7"/>
    <w:rsid w:val="00E54452"/>
    <w:rsid w:val="00E659EE"/>
    <w:rsid w:val="00E664C5"/>
    <w:rsid w:val="00E671A2"/>
    <w:rsid w:val="00E74157"/>
    <w:rsid w:val="00E7514A"/>
    <w:rsid w:val="00E761AE"/>
    <w:rsid w:val="00E76D26"/>
    <w:rsid w:val="00E803FD"/>
    <w:rsid w:val="00EB1390"/>
    <w:rsid w:val="00EB2C71"/>
    <w:rsid w:val="00EB4340"/>
    <w:rsid w:val="00EB556D"/>
    <w:rsid w:val="00EB5A7D"/>
    <w:rsid w:val="00EC5F4C"/>
    <w:rsid w:val="00EC722E"/>
    <w:rsid w:val="00EC724A"/>
    <w:rsid w:val="00ED1DC2"/>
    <w:rsid w:val="00ED55C0"/>
    <w:rsid w:val="00ED682B"/>
    <w:rsid w:val="00ED68C9"/>
    <w:rsid w:val="00EE313A"/>
    <w:rsid w:val="00EE41D5"/>
    <w:rsid w:val="00EE5155"/>
    <w:rsid w:val="00EE59F7"/>
    <w:rsid w:val="00EE5DDD"/>
    <w:rsid w:val="00F037A4"/>
    <w:rsid w:val="00F20E8E"/>
    <w:rsid w:val="00F25976"/>
    <w:rsid w:val="00F27C8F"/>
    <w:rsid w:val="00F32749"/>
    <w:rsid w:val="00F37172"/>
    <w:rsid w:val="00F3752A"/>
    <w:rsid w:val="00F41498"/>
    <w:rsid w:val="00F4477E"/>
    <w:rsid w:val="00F5773F"/>
    <w:rsid w:val="00F6332F"/>
    <w:rsid w:val="00F67D8F"/>
    <w:rsid w:val="00F802BE"/>
    <w:rsid w:val="00F80E93"/>
    <w:rsid w:val="00F84DD6"/>
    <w:rsid w:val="00F86024"/>
    <w:rsid w:val="00F8611A"/>
    <w:rsid w:val="00FA5128"/>
    <w:rsid w:val="00FB42D4"/>
    <w:rsid w:val="00FB5906"/>
    <w:rsid w:val="00FB762F"/>
    <w:rsid w:val="00FC2AED"/>
    <w:rsid w:val="00FC4A80"/>
    <w:rsid w:val="00FD146F"/>
    <w:rsid w:val="00FD3C08"/>
    <w:rsid w:val="00FD5EA7"/>
    <w:rsid w:val="00FF1B17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9D05C5-A028-44E4-9C06-A80FF6ED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AB17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F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F15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m.rothe@stat.gov.pl" TargetMode="Externa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podmioty-gospodarcze-wyniki-finansowe/przedsiebiorstwa-finansowe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obszary-tematyczne/podmioty-gospodarcze-wyniki-finansowe/przedsiebiorstwa-finansow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1646,pojeci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://stat.gov.pl/metainformacje/slownik-pojec/pojecia-stosowane-w-statystyce-publicznej/1646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1526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metainformacje/slownik-pojec/pojecia-stosowane-w-statystyce-publicznej/1526,pojecie.html" TargetMode="External"/><Relationship Id="rId30" Type="http://schemas.openxmlformats.org/officeDocument/2006/relationships/hyperlink" Target="https://bdm.stat.gov.pl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0208855472013404E-2"/>
          <c:y val="0.10820486312627094"/>
          <c:w val="0.95406470165348722"/>
          <c:h val="0.650023981523886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Aktywa ogółem</c:v>
                </c:pt>
              </c:strCache>
            </c:strRef>
          </c:tx>
          <c:spPr>
            <a:solidFill>
              <a:srgbClr val="007AC9"/>
            </a:solidFill>
          </c:spPr>
          <c:invertIfNegative val="0"/>
          <c:cat>
            <c:multiLvlStrRef>
              <c:f>Arkusz1!$B$1:$E$2</c:f>
              <c:multiLvlStrCache>
                <c:ptCount val="4"/>
                <c:lvl>
                  <c:pt idx="0">
                    <c:v>30.VI.</c:v>
                  </c:pt>
                  <c:pt idx="1">
                    <c:v>31.XII.</c:v>
                  </c:pt>
                  <c:pt idx="2">
                    <c:v>30.VI.</c:v>
                  </c:pt>
                  <c:pt idx="3">
                    <c:v>31.XII.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</c:lvl>
              </c:multiLvlStrCache>
            </c:multiLvlStrRef>
          </c:cat>
          <c:val>
            <c:numRef>
              <c:f>Arkusz1!$B$3:$E$3</c:f>
              <c:numCache>
                <c:formatCode>General</c:formatCode>
                <c:ptCount val="4"/>
                <c:pt idx="0" formatCode="0.0">
                  <c:v>301.10000000000002</c:v>
                </c:pt>
                <c:pt idx="1">
                  <c:v>292.89999999999998</c:v>
                </c:pt>
                <c:pt idx="2">
                  <c:v>309.39999999999998</c:v>
                </c:pt>
                <c:pt idx="3">
                  <c:v>314.10000000000002</c:v>
                </c:pt>
              </c:numCache>
            </c:numRef>
          </c:val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Aktywa otwartych funduszy inwestycyjnych </c:v>
                </c:pt>
              </c:strCache>
            </c:strRef>
          </c:tx>
          <c:spPr>
            <a:solidFill>
              <a:srgbClr val="3395D4"/>
            </a:solidFill>
          </c:spPr>
          <c:invertIfNegative val="0"/>
          <c:cat>
            <c:multiLvlStrRef>
              <c:f>Arkusz1!$B$1:$E$2</c:f>
              <c:multiLvlStrCache>
                <c:ptCount val="4"/>
                <c:lvl>
                  <c:pt idx="0">
                    <c:v>30.VI.</c:v>
                  </c:pt>
                  <c:pt idx="1">
                    <c:v>31.XII.</c:v>
                  </c:pt>
                  <c:pt idx="2">
                    <c:v>30.VI.</c:v>
                  </c:pt>
                  <c:pt idx="3">
                    <c:v>31.XII.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</c:lvl>
              </c:multiLvlStrCache>
            </c:multiLvlStrRef>
          </c:cat>
          <c:val>
            <c:numRef>
              <c:f>Arkusz1!$B$4:$E$4</c:f>
              <c:numCache>
                <c:formatCode>General</c:formatCode>
                <c:ptCount val="4"/>
                <c:pt idx="0" formatCode="0.0">
                  <c:v>88.7</c:v>
                </c:pt>
                <c:pt idx="1">
                  <c:v>90.1</c:v>
                </c:pt>
                <c:pt idx="2">
                  <c:v>100.1</c:v>
                </c:pt>
                <c:pt idx="3">
                  <c:v>104.1</c:v>
                </c:pt>
              </c:numCache>
            </c:numRef>
          </c:val>
        </c:ser>
        <c:ser>
          <c:idx val="2"/>
          <c:order val="2"/>
          <c:tx>
            <c:strRef>
              <c:f>Arkusz1!$A$5</c:f>
              <c:strCache>
                <c:ptCount val="1"/>
                <c:pt idx="0">
                  <c:v>Aktywa specjalistycznych funduszy inwestycyjnych otwartych</c:v>
                </c:pt>
              </c:strCache>
            </c:strRef>
          </c:tx>
          <c:spPr>
            <a:solidFill>
              <a:srgbClr val="66AFDF"/>
            </a:solidFill>
          </c:spPr>
          <c:invertIfNegative val="0"/>
          <c:cat>
            <c:multiLvlStrRef>
              <c:f>Arkusz1!$B$1:$E$2</c:f>
              <c:multiLvlStrCache>
                <c:ptCount val="4"/>
                <c:lvl>
                  <c:pt idx="0">
                    <c:v>30.VI.</c:v>
                  </c:pt>
                  <c:pt idx="1">
                    <c:v>31.XII.</c:v>
                  </c:pt>
                  <c:pt idx="2">
                    <c:v>30.VI.</c:v>
                  </c:pt>
                  <c:pt idx="3">
                    <c:v>31.XII.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</c:lvl>
              </c:multiLvlStrCache>
            </c:multiLvlStrRef>
          </c:cat>
          <c:val>
            <c:numRef>
              <c:f>Arkusz1!$B$5:$E$5</c:f>
              <c:numCache>
                <c:formatCode>General</c:formatCode>
                <c:ptCount val="4"/>
                <c:pt idx="0" formatCode="0.0">
                  <c:v>54.3</c:v>
                </c:pt>
                <c:pt idx="1">
                  <c:v>49.9</c:v>
                </c:pt>
                <c:pt idx="2">
                  <c:v>53.3</c:v>
                </c:pt>
                <c:pt idx="3">
                  <c:v>54.2</c:v>
                </c:pt>
              </c:numCache>
            </c:numRef>
          </c:val>
        </c:ser>
        <c:ser>
          <c:idx val="3"/>
          <c:order val="3"/>
          <c:tx>
            <c:strRef>
              <c:f>Arkusz1!$A$6</c:f>
              <c:strCache>
                <c:ptCount val="1"/>
                <c:pt idx="0">
                  <c:v>Aktywa funduszy inwestycyjnych zamkniętych</c:v>
                </c:pt>
              </c:strCache>
            </c:strRef>
          </c:tx>
          <c:spPr>
            <a:solidFill>
              <a:srgbClr val="99CAE9"/>
            </a:solidFill>
          </c:spPr>
          <c:invertIfNegative val="0"/>
          <c:cat>
            <c:multiLvlStrRef>
              <c:f>Arkusz1!$B$1:$E$2</c:f>
              <c:multiLvlStrCache>
                <c:ptCount val="4"/>
                <c:lvl>
                  <c:pt idx="0">
                    <c:v>30.VI.</c:v>
                  </c:pt>
                  <c:pt idx="1">
                    <c:v>31.XII.</c:v>
                  </c:pt>
                  <c:pt idx="2">
                    <c:v>30.VI.</c:v>
                  </c:pt>
                  <c:pt idx="3">
                    <c:v>31.XII.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</c:lvl>
              </c:multiLvlStrCache>
            </c:multiLvlStrRef>
          </c:cat>
          <c:val>
            <c:numRef>
              <c:f>Arkusz1!$B$6:$E$6</c:f>
              <c:numCache>
                <c:formatCode>General</c:formatCode>
                <c:ptCount val="4"/>
                <c:pt idx="0" formatCode="0.0">
                  <c:v>158</c:v>
                </c:pt>
                <c:pt idx="1">
                  <c:v>152.80000000000001</c:v>
                </c:pt>
                <c:pt idx="2">
                  <c:v>156.1</c:v>
                </c:pt>
                <c:pt idx="3">
                  <c:v>155.9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85308400"/>
        <c:axId val="-985299696"/>
      </c:barChart>
      <c:catAx>
        <c:axId val="-98530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985299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8529969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985308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1224970553592456E-2"/>
          <c:y val="0.85960421305932055"/>
          <c:w val="0.91048391035926157"/>
          <c:h val="0.13204496388043929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 sz="800"/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0.03989</cdr:x>
      <cdr:y>2.17604E-7</cdr:y>
    </cdr:from>
    <cdr:to>
      <cdr:x>0.2417</cdr:x>
      <cdr:y>0.11814</cdr:y>
    </cdr:to>
    <cdr:sp macro="" textlink="">
      <cdr:nvSpPr>
        <cdr:cNvPr id="19" name="pole tekstowe 18"/>
        <cdr:cNvSpPr txBox="1"/>
      </cdr:nvSpPr>
      <cdr:spPr>
        <a:xfrm xmlns:a="http://schemas.openxmlformats.org/drawingml/2006/main">
          <a:off x="204364" y="1"/>
          <a:ext cx="1033886" cy="5429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0">
              <a:latin typeface="Fira Sans" panose="020B0503050000020004" pitchFamily="34" charset="0"/>
              <a:ea typeface="Fira Sans" panose="020B0503050000020004" pitchFamily="34" charset="0"/>
            </a:rPr>
            <a:t>przyrost do poprzedniego okresu</a:t>
          </a:r>
        </a:p>
      </cdr:txBody>
    </cdr:sp>
  </cdr:relSizeAnchor>
  <cdr:relSizeAnchor xmlns:cdr="http://schemas.openxmlformats.org/drawingml/2006/chartDrawing">
    <cdr:from>
      <cdr:x>0.06921</cdr:x>
      <cdr:y>0.38086</cdr:y>
    </cdr:from>
    <cdr:to>
      <cdr:x>0.13484</cdr:x>
      <cdr:y>0.44841</cdr:y>
    </cdr:to>
    <cdr:sp macro="" textlink="">
      <cdr:nvSpPr>
        <cdr:cNvPr id="20" name="pole tekstowe 19"/>
        <cdr:cNvSpPr txBox="1"/>
      </cdr:nvSpPr>
      <cdr:spPr>
        <a:xfrm xmlns:a="http://schemas.openxmlformats.org/drawingml/2006/main">
          <a:off x="552449" y="1933575"/>
          <a:ext cx="523875" cy="3428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0.23297</cdr:x>
      <cdr:y>0.24285</cdr:y>
    </cdr:from>
    <cdr:to>
      <cdr:x>0.30107</cdr:x>
      <cdr:y>0.32456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1765300" y="841375"/>
          <a:ext cx="5143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0.25315</cdr:x>
      <cdr:y>0.38204</cdr:y>
    </cdr:from>
    <cdr:to>
      <cdr:x>0.32149</cdr:x>
      <cdr:y>0.46375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1917700" y="1279525"/>
          <a:ext cx="5143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0.10025</cdr:x>
      <cdr:y>0.3694</cdr:y>
    </cdr:from>
    <cdr:to>
      <cdr:x>0.17669</cdr:x>
      <cdr:y>0.44963</cdr:y>
    </cdr:to>
    <cdr:sp macro="" textlink="">
      <cdr:nvSpPr>
        <cdr:cNvPr id="23" name="pole tekstowe 1"/>
        <cdr:cNvSpPr txBox="1"/>
      </cdr:nvSpPr>
      <cdr:spPr>
        <a:xfrm xmlns:a="http://schemas.openxmlformats.org/drawingml/2006/main" flipH="1">
          <a:off x="590117" y="1885950"/>
          <a:ext cx="449960" cy="4095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0.10356</cdr:x>
      <cdr:y>0.21812</cdr:y>
    </cdr:from>
    <cdr:to>
      <cdr:x>0.17165</cdr:x>
      <cdr:y>0.30033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2633101" y="403723"/>
          <a:ext cx="518197" cy="257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0.06201</cdr:x>
      <cdr:y>0.18299</cdr:y>
    </cdr:from>
    <cdr:to>
      <cdr:x>0.1372</cdr:x>
      <cdr:y>0.22181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447675" y="942975"/>
          <a:ext cx="54292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0.09894</cdr:x>
      <cdr:y>0.38078</cdr:y>
    </cdr:from>
    <cdr:to>
      <cdr:x>0.19256</cdr:x>
      <cdr:y>0.43676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582405" y="1944034"/>
          <a:ext cx="551070" cy="285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0.16623</cdr:x>
      <cdr:y>0.38649</cdr:y>
    </cdr:from>
    <cdr:to>
      <cdr:x>0.24142</cdr:x>
      <cdr:y>0.44465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00150" y="1991593"/>
          <a:ext cx="542925" cy="2996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0.5056</cdr:x>
      <cdr:y>0.08038</cdr:y>
    </cdr:from>
    <cdr:to>
      <cdr:x>0.5737</cdr:x>
      <cdr:y>0.1511</cdr:y>
    </cdr:to>
    <cdr:sp macro="" textlink="">
      <cdr:nvSpPr>
        <cdr:cNvPr id="28" name="pole tekstowe 1"/>
        <cdr:cNvSpPr txBox="1"/>
      </cdr:nvSpPr>
      <cdr:spPr>
        <a:xfrm xmlns:a="http://schemas.openxmlformats.org/drawingml/2006/main">
          <a:off x="3822700" y="288925"/>
          <a:ext cx="5143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0.12665</cdr:x>
      <cdr:y>0.43902</cdr:y>
    </cdr:from>
    <cdr:to>
      <cdr:x>0.20449</cdr:x>
      <cdr:y>0.49719</cdr:y>
    </cdr:to>
    <cdr:sp macro="" textlink="">
      <cdr:nvSpPr>
        <cdr:cNvPr id="29" name="pole tekstowe 1"/>
        <cdr:cNvSpPr txBox="1"/>
      </cdr:nvSpPr>
      <cdr:spPr>
        <a:xfrm xmlns:a="http://schemas.openxmlformats.org/drawingml/2006/main">
          <a:off x="914400" y="2262281"/>
          <a:ext cx="561975" cy="299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0.54091</cdr:x>
      <cdr:y>0.30032</cdr:y>
    </cdr:from>
    <cdr:to>
      <cdr:x>0.6227</cdr:x>
      <cdr:y>0.38204</cdr:y>
    </cdr:to>
    <cdr:sp macro="" textlink="">
      <cdr:nvSpPr>
        <cdr:cNvPr id="30" name="pole tekstowe 1"/>
        <cdr:cNvSpPr txBox="1"/>
      </cdr:nvSpPr>
      <cdr:spPr>
        <a:xfrm xmlns:a="http://schemas.openxmlformats.org/drawingml/2006/main">
          <a:off x="4089399" y="1022350"/>
          <a:ext cx="615951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0.12943</cdr:x>
      <cdr:y>0.43438</cdr:y>
    </cdr:from>
    <cdr:to>
      <cdr:x>0.203</cdr:x>
      <cdr:y>0.51017</cdr:y>
    </cdr:to>
    <cdr:sp macro="" textlink="">
      <cdr:nvSpPr>
        <cdr:cNvPr id="31" name="pole tekstowe 1"/>
        <cdr:cNvSpPr txBox="1"/>
      </cdr:nvSpPr>
      <cdr:spPr>
        <a:xfrm xmlns:a="http://schemas.openxmlformats.org/drawingml/2006/main">
          <a:off x="904876" y="2217683"/>
          <a:ext cx="514350" cy="3869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0.16757</cdr:x>
      <cdr:y>0.36784</cdr:y>
    </cdr:from>
    <cdr:to>
      <cdr:x>0.23842</cdr:x>
      <cdr:y>0.43438</cdr:y>
    </cdr:to>
    <cdr:sp macro="" textlink="">
      <cdr:nvSpPr>
        <cdr:cNvPr id="32" name="pole tekstowe 1"/>
        <cdr:cNvSpPr txBox="1"/>
      </cdr:nvSpPr>
      <cdr:spPr>
        <a:xfrm xmlns:a="http://schemas.openxmlformats.org/drawingml/2006/main">
          <a:off x="1171575" y="1877970"/>
          <a:ext cx="495300" cy="3397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0.19212</cdr:x>
      <cdr:y>0.18199</cdr:y>
    </cdr:from>
    <cdr:to>
      <cdr:x>0.26372</cdr:x>
      <cdr:y>0.26079</cdr:y>
    </cdr:to>
    <cdr:sp macro="" textlink="">
      <cdr:nvSpPr>
        <cdr:cNvPr id="33" name="pole tekstowe 1"/>
        <cdr:cNvSpPr txBox="1"/>
      </cdr:nvSpPr>
      <cdr:spPr>
        <a:xfrm xmlns:a="http://schemas.openxmlformats.org/drawingml/2006/main">
          <a:off x="1533524" y="923925"/>
          <a:ext cx="571500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0.10082</cdr:x>
      <cdr:y>0.37687</cdr:y>
    </cdr:from>
    <cdr:to>
      <cdr:x>0.16213</cdr:x>
      <cdr:y>0.44547</cdr:y>
    </cdr:to>
    <cdr:sp macro="" textlink="">
      <cdr:nvSpPr>
        <cdr:cNvPr id="34" name="pole tekstowe 1"/>
        <cdr:cNvSpPr txBox="1"/>
      </cdr:nvSpPr>
      <cdr:spPr>
        <a:xfrm xmlns:a="http://schemas.openxmlformats.org/drawingml/2006/main">
          <a:off x="704850" y="1924051"/>
          <a:ext cx="428625" cy="3502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0.09547</cdr:x>
      <cdr:y>0.45216</cdr:y>
    </cdr:from>
    <cdr:to>
      <cdr:x>0.1611</cdr:x>
      <cdr:y>0.54972</cdr:y>
    </cdr:to>
    <cdr:sp macro="" textlink="">
      <cdr:nvSpPr>
        <cdr:cNvPr id="35" name="pole tekstowe 1"/>
        <cdr:cNvSpPr txBox="1"/>
      </cdr:nvSpPr>
      <cdr:spPr>
        <a:xfrm xmlns:a="http://schemas.openxmlformats.org/drawingml/2006/main">
          <a:off x="761999" y="2295525"/>
          <a:ext cx="523875" cy="495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0.1241</cdr:x>
      <cdr:y>0.32083</cdr:y>
    </cdr:from>
    <cdr:to>
      <cdr:x>0.1969</cdr:x>
      <cdr:y>0.38274</cdr:y>
    </cdr:to>
    <cdr:sp macro="" textlink="">
      <cdr:nvSpPr>
        <cdr:cNvPr id="36" name="pole tekstowe 1"/>
        <cdr:cNvSpPr txBox="1"/>
      </cdr:nvSpPr>
      <cdr:spPr>
        <a:xfrm xmlns:a="http://schemas.openxmlformats.org/drawingml/2006/main">
          <a:off x="761242" y="1628775"/>
          <a:ext cx="446562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0.03222</cdr:x>
      <cdr:y>0.23452</cdr:y>
    </cdr:from>
    <cdr:to>
      <cdr:x>0.11456</cdr:x>
      <cdr:y>0.29644</cdr:y>
    </cdr:to>
    <cdr:sp macro="" textlink="">
      <cdr:nvSpPr>
        <cdr:cNvPr id="37" name="pole tekstowe 1"/>
        <cdr:cNvSpPr txBox="1"/>
      </cdr:nvSpPr>
      <cdr:spPr>
        <a:xfrm xmlns:a="http://schemas.openxmlformats.org/drawingml/2006/main">
          <a:off x="257173" y="1190625"/>
          <a:ext cx="6572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0.22792</cdr:x>
      <cdr:y>0.37899</cdr:y>
    </cdr:from>
    <cdr:to>
      <cdr:x>0.29833</cdr:x>
      <cdr:y>0.44278</cdr:y>
    </cdr:to>
    <cdr:sp macro="" textlink="">
      <cdr:nvSpPr>
        <cdr:cNvPr id="38" name="pole tekstowe 1"/>
        <cdr:cNvSpPr txBox="1"/>
      </cdr:nvSpPr>
      <cdr:spPr>
        <a:xfrm xmlns:a="http://schemas.openxmlformats.org/drawingml/2006/main">
          <a:off x="1819274" y="1924050"/>
          <a:ext cx="561974" cy="323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0.24821</cdr:x>
      <cdr:y>0.42964</cdr:y>
    </cdr:from>
    <cdr:to>
      <cdr:x>0.31742</cdr:x>
      <cdr:y>0.50094</cdr:y>
    </cdr:to>
    <cdr:sp macro="" textlink="">
      <cdr:nvSpPr>
        <cdr:cNvPr id="39" name="pole tekstowe 1"/>
        <cdr:cNvSpPr txBox="1"/>
      </cdr:nvSpPr>
      <cdr:spPr>
        <a:xfrm xmlns:a="http://schemas.openxmlformats.org/drawingml/2006/main">
          <a:off x="1981200" y="2181224"/>
          <a:ext cx="552450" cy="3619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0.09649</cdr:x>
      <cdr:y>0.25373</cdr:y>
    </cdr:from>
    <cdr:to>
      <cdr:x>0.15789</cdr:x>
      <cdr:y>0.3097</cdr:y>
    </cdr:to>
    <cdr:sp macro="" textlink="">
      <cdr:nvSpPr>
        <cdr:cNvPr id="40" name="pole tekstowe 1"/>
        <cdr:cNvSpPr txBox="1"/>
      </cdr:nvSpPr>
      <cdr:spPr>
        <a:xfrm xmlns:a="http://schemas.openxmlformats.org/drawingml/2006/main">
          <a:off x="733425" y="1295400"/>
          <a:ext cx="4667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0.58115</cdr:x>
      <cdr:y>0.13884</cdr:y>
    </cdr:from>
    <cdr:to>
      <cdr:x>0.6957</cdr:x>
      <cdr:y>0.31895</cdr:y>
    </cdr:to>
    <cdr:sp macro="" textlink="">
      <cdr:nvSpPr>
        <cdr:cNvPr id="42" name="pole tekstowe 41"/>
        <cdr:cNvSpPr txBox="1"/>
      </cdr:nvSpPr>
      <cdr:spPr>
        <a:xfrm xmlns:a="http://schemas.openxmlformats.org/drawingml/2006/main">
          <a:off x="4638674" y="7048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0.09264</cdr:x>
      <cdr:y>0.18843</cdr:y>
    </cdr:from>
    <cdr:to>
      <cdr:x>0.15804</cdr:x>
      <cdr:y>0.24627</cdr:y>
    </cdr:to>
    <cdr:sp macro="" textlink="">
      <cdr:nvSpPr>
        <cdr:cNvPr id="43" name="pole tekstowe 42"/>
        <cdr:cNvSpPr txBox="1"/>
      </cdr:nvSpPr>
      <cdr:spPr>
        <a:xfrm xmlns:a="http://schemas.openxmlformats.org/drawingml/2006/main">
          <a:off x="647700" y="962024"/>
          <a:ext cx="4572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0.56332</cdr:x>
      <cdr:y>0.28096</cdr:y>
    </cdr:from>
    <cdr:to>
      <cdr:x>0.68997</cdr:x>
      <cdr:y>0.45841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067176" y="144780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0.53562</cdr:x>
      <cdr:y>0.29945</cdr:y>
    </cdr:from>
    <cdr:to>
      <cdr:x>0.66227</cdr:x>
      <cdr:y>0.36044</cdr:y>
    </cdr:to>
    <cdr:sp macro="" textlink="">
      <cdr:nvSpPr>
        <cdr:cNvPr id="12" name="pole tekstowe 11"/>
        <cdr:cNvSpPr txBox="1"/>
      </cdr:nvSpPr>
      <cdr:spPr>
        <a:xfrm xmlns:a="http://schemas.openxmlformats.org/drawingml/2006/main">
          <a:off x="3867151" y="1543051"/>
          <a:ext cx="91440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0.13534</cdr:x>
      <cdr:y>0.4403</cdr:y>
    </cdr:from>
    <cdr:to>
      <cdr:x>0.198</cdr:x>
      <cdr:y>0.49353</cdr:y>
    </cdr:to>
    <cdr:sp macro="" textlink="">
      <cdr:nvSpPr>
        <cdr:cNvPr id="44" name="pole tekstowe 43"/>
        <cdr:cNvSpPr txBox="1"/>
      </cdr:nvSpPr>
      <cdr:spPr>
        <a:xfrm xmlns:a="http://schemas.openxmlformats.org/drawingml/2006/main">
          <a:off x="1028701" y="2247900"/>
          <a:ext cx="476250" cy="2717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0.16917</cdr:x>
      <cdr:y>0.38246</cdr:y>
    </cdr:from>
    <cdr:to>
      <cdr:x>0.2406</cdr:x>
      <cdr:y>0.43097</cdr:y>
    </cdr:to>
    <cdr:sp macro="" textlink="">
      <cdr:nvSpPr>
        <cdr:cNvPr id="45" name="pole tekstowe 44"/>
        <cdr:cNvSpPr txBox="1"/>
      </cdr:nvSpPr>
      <cdr:spPr>
        <a:xfrm xmlns:a="http://schemas.openxmlformats.org/drawingml/2006/main">
          <a:off x="1285875" y="1952624"/>
          <a:ext cx="542925" cy="2476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0.27945</cdr:x>
      <cdr:y>0.20522</cdr:y>
    </cdr:from>
    <cdr:to>
      <cdr:x>0.34712</cdr:x>
      <cdr:y>0.28172</cdr:y>
    </cdr:to>
    <cdr:sp macro="" textlink="">
      <cdr:nvSpPr>
        <cdr:cNvPr id="46" name="pole tekstowe 45"/>
        <cdr:cNvSpPr txBox="1"/>
      </cdr:nvSpPr>
      <cdr:spPr>
        <a:xfrm xmlns:a="http://schemas.openxmlformats.org/drawingml/2006/main">
          <a:off x="2124075" y="1047750"/>
          <a:ext cx="514350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0.28697</cdr:x>
      <cdr:y>0.36007</cdr:y>
    </cdr:from>
    <cdr:to>
      <cdr:x>0.35464</cdr:x>
      <cdr:y>0.40299</cdr:y>
    </cdr:to>
    <cdr:sp macro="" textlink="">
      <cdr:nvSpPr>
        <cdr:cNvPr id="47" name="pole tekstowe 46"/>
        <cdr:cNvSpPr txBox="1"/>
      </cdr:nvSpPr>
      <cdr:spPr>
        <a:xfrm xmlns:a="http://schemas.openxmlformats.org/drawingml/2006/main">
          <a:off x="2181226" y="1838325"/>
          <a:ext cx="514350" cy="2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0.32581</cdr:x>
      <cdr:y>0.44963</cdr:y>
    </cdr:from>
    <cdr:to>
      <cdr:x>0.38471</cdr:x>
      <cdr:y>0.4944</cdr:y>
    </cdr:to>
    <cdr:sp macro="" textlink="">
      <cdr:nvSpPr>
        <cdr:cNvPr id="48" name="pole tekstowe 47"/>
        <cdr:cNvSpPr txBox="1"/>
      </cdr:nvSpPr>
      <cdr:spPr>
        <a:xfrm xmlns:a="http://schemas.openxmlformats.org/drawingml/2006/main">
          <a:off x="2476500" y="2295525"/>
          <a:ext cx="4476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0.36216</cdr:x>
      <cdr:y>0.40672</cdr:y>
    </cdr:from>
    <cdr:to>
      <cdr:x>0.42732</cdr:x>
      <cdr:y>0.47388</cdr:y>
    </cdr:to>
    <cdr:sp macro="" textlink="">
      <cdr:nvSpPr>
        <cdr:cNvPr id="50" name="pole tekstowe 49"/>
        <cdr:cNvSpPr txBox="1"/>
      </cdr:nvSpPr>
      <cdr:spPr>
        <a:xfrm xmlns:a="http://schemas.openxmlformats.org/drawingml/2006/main">
          <a:off x="2752725" y="2076450"/>
          <a:ext cx="4953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0.10032</cdr:x>
      <cdr:y>0.375</cdr:y>
    </cdr:from>
    <cdr:to>
      <cdr:x>0.16667</cdr:x>
      <cdr:y>0.44216</cdr:y>
    </cdr:to>
    <cdr:sp macro="" textlink="">
      <cdr:nvSpPr>
        <cdr:cNvPr id="52" name="pole tekstowe 51"/>
        <cdr:cNvSpPr txBox="1"/>
      </cdr:nvSpPr>
      <cdr:spPr>
        <a:xfrm xmlns:a="http://schemas.openxmlformats.org/drawingml/2006/main">
          <a:off x="590550" y="1914525"/>
          <a:ext cx="390525" cy="342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0.14078</cdr:x>
      <cdr:y>0.45709</cdr:y>
    </cdr:from>
    <cdr:to>
      <cdr:x>0.21036</cdr:x>
      <cdr:y>0.51119</cdr:y>
    </cdr:to>
    <cdr:sp macro="" textlink="">
      <cdr:nvSpPr>
        <cdr:cNvPr id="55" name="pole tekstowe 54"/>
        <cdr:cNvSpPr txBox="1"/>
      </cdr:nvSpPr>
      <cdr:spPr>
        <a:xfrm xmlns:a="http://schemas.openxmlformats.org/drawingml/2006/main">
          <a:off x="828675" y="2333625"/>
          <a:ext cx="409575" cy="2762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0.18932</cdr:x>
      <cdr:y>0.34515</cdr:y>
    </cdr:from>
    <cdr:to>
      <cdr:x>0.26861</cdr:x>
      <cdr:y>0.40858</cdr:y>
    </cdr:to>
    <cdr:sp macro="" textlink="">
      <cdr:nvSpPr>
        <cdr:cNvPr id="56" name="pole tekstowe 55"/>
        <cdr:cNvSpPr txBox="1"/>
      </cdr:nvSpPr>
      <cdr:spPr>
        <a:xfrm xmlns:a="http://schemas.openxmlformats.org/drawingml/2006/main">
          <a:off x="1114425" y="1762128"/>
          <a:ext cx="466725" cy="3238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0.86649</cdr:x>
      <cdr:y>0.04851</cdr:y>
    </cdr:from>
    <cdr:to>
      <cdr:x>0.91144</cdr:x>
      <cdr:y>0.09142</cdr:y>
    </cdr:to>
    <cdr:sp macro="" textlink="">
      <cdr:nvSpPr>
        <cdr:cNvPr id="16" name="pole tekstowe 15"/>
        <cdr:cNvSpPr txBox="1"/>
      </cdr:nvSpPr>
      <cdr:spPr>
        <a:xfrm xmlns:a="http://schemas.openxmlformats.org/drawingml/2006/main">
          <a:off x="6057900" y="247650"/>
          <a:ext cx="3143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0.07282</cdr:x>
      <cdr:y>0.14366</cdr:y>
    </cdr:from>
    <cdr:to>
      <cdr:x>0.16828</cdr:x>
      <cdr:y>0.20336</cdr:y>
    </cdr:to>
    <cdr:sp macro="" textlink="">
      <cdr:nvSpPr>
        <cdr:cNvPr id="49" name="pole tekstowe 48"/>
        <cdr:cNvSpPr txBox="1"/>
      </cdr:nvSpPr>
      <cdr:spPr>
        <a:xfrm xmlns:a="http://schemas.openxmlformats.org/drawingml/2006/main" flipH="1">
          <a:off x="428624" y="733442"/>
          <a:ext cx="561975" cy="304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0.10356</cdr:x>
      <cdr:y>0.34142</cdr:y>
    </cdr:from>
    <cdr:to>
      <cdr:x>0.18123</cdr:x>
      <cdr:y>0.39925</cdr:y>
    </cdr:to>
    <cdr:sp macro="" textlink="">
      <cdr:nvSpPr>
        <cdr:cNvPr id="58" name="pole tekstowe 57"/>
        <cdr:cNvSpPr txBox="1"/>
      </cdr:nvSpPr>
      <cdr:spPr>
        <a:xfrm xmlns:a="http://schemas.openxmlformats.org/drawingml/2006/main">
          <a:off x="609601" y="1743085"/>
          <a:ext cx="457199" cy="295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0.13916</cdr:x>
      <cdr:y>0.41791</cdr:y>
    </cdr:from>
    <cdr:to>
      <cdr:x>0.21359</cdr:x>
      <cdr:y>0.47761</cdr:y>
    </cdr:to>
    <cdr:sp macro="" textlink="">
      <cdr:nvSpPr>
        <cdr:cNvPr id="60" name="pole tekstowe 59"/>
        <cdr:cNvSpPr txBox="1"/>
      </cdr:nvSpPr>
      <cdr:spPr>
        <a:xfrm xmlns:a="http://schemas.openxmlformats.org/drawingml/2006/main">
          <a:off x="819151" y="2133601"/>
          <a:ext cx="43815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0.17799</cdr:x>
      <cdr:y>0.29291</cdr:y>
    </cdr:from>
    <cdr:to>
      <cdr:x>0.27184</cdr:x>
      <cdr:y>0.35261</cdr:y>
    </cdr:to>
    <cdr:sp macro="" textlink="">
      <cdr:nvSpPr>
        <cdr:cNvPr id="61" name="pole tekstowe 60"/>
        <cdr:cNvSpPr txBox="1"/>
      </cdr:nvSpPr>
      <cdr:spPr>
        <a:xfrm xmlns:a="http://schemas.openxmlformats.org/drawingml/2006/main">
          <a:off x="1047751" y="1495422"/>
          <a:ext cx="552450" cy="304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 b="1"/>
        </a:p>
      </cdr:txBody>
    </cdr:sp>
  </cdr:relSizeAnchor>
  <cdr:relSizeAnchor xmlns:cdr="http://schemas.openxmlformats.org/drawingml/2006/chartDrawing">
    <cdr:from>
      <cdr:x>0.13659</cdr:x>
      <cdr:y>0.55597</cdr:y>
    </cdr:from>
    <cdr:to>
      <cdr:x>0.18296</cdr:x>
      <cdr:y>0.625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038225" y="2838450"/>
          <a:ext cx="352425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0.0614</cdr:x>
      <cdr:y>0.30224</cdr:y>
    </cdr:from>
    <cdr:to>
      <cdr:x>0.13033</cdr:x>
      <cdr:y>0.35261</cdr:y>
    </cdr:to>
    <cdr:sp macro="" textlink="">
      <cdr:nvSpPr>
        <cdr:cNvPr id="54" name="pole tekstowe 53"/>
        <cdr:cNvSpPr txBox="1"/>
      </cdr:nvSpPr>
      <cdr:spPr>
        <a:xfrm xmlns:a="http://schemas.openxmlformats.org/drawingml/2006/main">
          <a:off x="466725" y="1543050"/>
          <a:ext cx="5238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0.099</cdr:x>
      <cdr:y>0.56157</cdr:y>
    </cdr:from>
    <cdr:to>
      <cdr:x>0.15915</cdr:x>
      <cdr:y>0.59888</cdr:y>
    </cdr:to>
    <cdr:sp macro="" textlink="">
      <cdr:nvSpPr>
        <cdr:cNvPr id="62" name="pole tekstowe 61"/>
        <cdr:cNvSpPr txBox="1"/>
      </cdr:nvSpPr>
      <cdr:spPr>
        <a:xfrm xmlns:a="http://schemas.openxmlformats.org/drawingml/2006/main">
          <a:off x="752475" y="2867025"/>
          <a:ext cx="4572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0.13158</cdr:x>
      <cdr:y>0.59888</cdr:y>
    </cdr:from>
    <cdr:to>
      <cdr:x>0.25188</cdr:x>
      <cdr:y>0.67164</cdr:y>
    </cdr:to>
    <cdr:sp macro="" textlink="">
      <cdr:nvSpPr>
        <cdr:cNvPr id="63" name="pole tekstowe 62"/>
        <cdr:cNvSpPr txBox="1"/>
      </cdr:nvSpPr>
      <cdr:spPr>
        <a:xfrm xmlns:a="http://schemas.openxmlformats.org/drawingml/2006/main">
          <a:off x="1000125" y="3057525"/>
          <a:ext cx="914400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0.17043</cdr:x>
      <cdr:y>0.52985</cdr:y>
    </cdr:from>
    <cdr:to>
      <cdr:x>0.22807</cdr:x>
      <cdr:y>0.58209</cdr:y>
    </cdr:to>
    <cdr:sp macro="" textlink="">
      <cdr:nvSpPr>
        <cdr:cNvPr id="64" name="pole tekstowe 63"/>
        <cdr:cNvSpPr txBox="1"/>
      </cdr:nvSpPr>
      <cdr:spPr>
        <a:xfrm xmlns:a="http://schemas.openxmlformats.org/drawingml/2006/main">
          <a:off x="1295401" y="2705100"/>
          <a:ext cx="4381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0.25063</cdr:x>
      <cdr:y>0.26119</cdr:y>
    </cdr:from>
    <cdr:to>
      <cdr:x>0.31579</cdr:x>
      <cdr:y>0.31343</cdr:y>
    </cdr:to>
    <cdr:sp macro="" textlink="">
      <cdr:nvSpPr>
        <cdr:cNvPr id="65" name="pole tekstowe 64"/>
        <cdr:cNvSpPr txBox="1"/>
      </cdr:nvSpPr>
      <cdr:spPr>
        <a:xfrm xmlns:a="http://schemas.openxmlformats.org/drawingml/2006/main">
          <a:off x="1905000" y="1333501"/>
          <a:ext cx="495300" cy="2666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0.28947</cdr:x>
      <cdr:y>0.52799</cdr:y>
    </cdr:from>
    <cdr:to>
      <cdr:x>0.34586</cdr:x>
      <cdr:y>0.58396</cdr:y>
    </cdr:to>
    <cdr:sp macro="" textlink="">
      <cdr:nvSpPr>
        <cdr:cNvPr id="66" name="pole tekstowe 65"/>
        <cdr:cNvSpPr txBox="1"/>
      </cdr:nvSpPr>
      <cdr:spPr>
        <a:xfrm xmlns:a="http://schemas.openxmlformats.org/drawingml/2006/main">
          <a:off x="2200275" y="2695576"/>
          <a:ext cx="4286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0.32206</cdr:x>
      <cdr:y>0.60448</cdr:y>
    </cdr:from>
    <cdr:to>
      <cdr:x>0.3797</cdr:x>
      <cdr:y>0.65485</cdr:y>
    </cdr:to>
    <cdr:sp macro="" textlink="">
      <cdr:nvSpPr>
        <cdr:cNvPr id="67" name="pole tekstowe 66"/>
        <cdr:cNvSpPr txBox="1"/>
      </cdr:nvSpPr>
      <cdr:spPr>
        <a:xfrm xmlns:a="http://schemas.openxmlformats.org/drawingml/2006/main">
          <a:off x="2447926" y="3086100"/>
          <a:ext cx="4381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0.3609</cdr:x>
      <cdr:y>0.53918</cdr:y>
    </cdr:from>
    <cdr:to>
      <cdr:x>0.41353</cdr:x>
      <cdr:y>0.58955</cdr:y>
    </cdr:to>
    <cdr:sp macro="" textlink="">
      <cdr:nvSpPr>
        <cdr:cNvPr id="68" name="pole tekstowe 67"/>
        <cdr:cNvSpPr txBox="1"/>
      </cdr:nvSpPr>
      <cdr:spPr>
        <a:xfrm xmlns:a="http://schemas.openxmlformats.org/drawingml/2006/main">
          <a:off x="2743200" y="2752725"/>
          <a:ext cx="4000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0.05016</cdr:x>
      <cdr:y>0.21828</cdr:y>
    </cdr:from>
    <cdr:to>
      <cdr:x>0.1246</cdr:x>
      <cdr:y>0.27052</cdr:y>
    </cdr:to>
    <cdr:sp macro="" textlink="">
      <cdr:nvSpPr>
        <cdr:cNvPr id="69" name="pole tekstowe 68"/>
        <cdr:cNvSpPr txBox="1"/>
      </cdr:nvSpPr>
      <cdr:spPr>
        <a:xfrm xmlns:a="http://schemas.openxmlformats.org/drawingml/2006/main">
          <a:off x="295276" y="1114425"/>
          <a:ext cx="4381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0.09385</cdr:x>
      <cdr:y>0.52239</cdr:y>
    </cdr:from>
    <cdr:to>
      <cdr:x>0.15696</cdr:x>
      <cdr:y>0.56903</cdr:y>
    </cdr:to>
    <cdr:sp macro="" textlink="">
      <cdr:nvSpPr>
        <cdr:cNvPr id="70" name="pole tekstowe 69"/>
        <cdr:cNvSpPr txBox="1"/>
      </cdr:nvSpPr>
      <cdr:spPr>
        <a:xfrm xmlns:a="http://schemas.openxmlformats.org/drawingml/2006/main">
          <a:off x="552450" y="2667009"/>
          <a:ext cx="371475" cy="2381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0.13592</cdr:x>
      <cdr:y>0.60075</cdr:y>
    </cdr:from>
    <cdr:to>
      <cdr:x>0.20388</cdr:x>
      <cdr:y>0.64925</cdr:y>
    </cdr:to>
    <cdr:sp macro="" textlink="">
      <cdr:nvSpPr>
        <cdr:cNvPr id="71" name="pole tekstowe 70"/>
        <cdr:cNvSpPr txBox="1"/>
      </cdr:nvSpPr>
      <cdr:spPr>
        <a:xfrm xmlns:a="http://schemas.openxmlformats.org/drawingml/2006/main">
          <a:off x="800101" y="3067050"/>
          <a:ext cx="400050" cy="2476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0.17638</cdr:x>
      <cdr:y>0.49813</cdr:y>
    </cdr:from>
    <cdr:to>
      <cdr:x>0.25405</cdr:x>
      <cdr:y>0.55037</cdr:y>
    </cdr:to>
    <cdr:sp macro="" textlink="">
      <cdr:nvSpPr>
        <cdr:cNvPr id="72" name="pole tekstowe 71"/>
        <cdr:cNvSpPr txBox="1"/>
      </cdr:nvSpPr>
      <cdr:spPr>
        <a:xfrm xmlns:a="http://schemas.openxmlformats.org/drawingml/2006/main">
          <a:off x="1038225" y="2543152"/>
          <a:ext cx="457200" cy="2667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0.04531</cdr:x>
      <cdr:y>0.18097</cdr:y>
    </cdr:from>
    <cdr:to>
      <cdr:x>0.13916</cdr:x>
      <cdr:y>0.24067</cdr:y>
    </cdr:to>
    <cdr:sp macro="" textlink="">
      <cdr:nvSpPr>
        <cdr:cNvPr id="73" name="pole tekstowe 72"/>
        <cdr:cNvSpPr txBox="1"/>
      </cdr:nvSpPr>
      <cdr:spPr>
        <a:xfrm xmlns:a="http://schemas.openxmlformats.org/drawingml/2006/main">
          <a:off x="266700" y="923924"/>
          <a:ext cx="552451" cy="304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0.09871</cdr:x>
      <cdr:y>0.52799</cdr:y>
    </cdr:from>
    <cdr:to>
      <cdr:x>0.16828</cdr:x>
      <cdr:y>0.58396</cdr:y>
    </cdr:to>
    <cdr:sp macro="" textlink="">
      <cdr:nvSpPr>
        <cdr:cNvPr id="74" name="pole tekstowe 73"/>
        <cdr:cNvSpPr txBox="1"/>
      </cdr:nvSpPr>
      <cdr:spPr>
        <a:xfrm xmlns:a="http://schemas.openxmlformats.org/drawingml/2006/main">
          <a:off x="581025" y="2695600"/>
          <a:ext cx="409575" cy="2857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0.1343</cdr:x>
      <cdr:y>0.60634</cdr:y>
    </cdr:from>
    <cdr:to>
      <cdr:x>0.20874</cdr:x>
      <cdr:y>0.65485</cdr:y>
    </cdr:to>
    <cdr:sp macro="" textlink="">
      <cdr:nvSpPr>
        <cdr:cNvPr id="75" name="pole tekstowe 74"/>
        <cdr:cNvSpPr txBox="1"/>
      </cdr:nvSpPr>
      <cdr:spPr>
        <a:xfrm xmlns:a="http://schemas.openxmlformats.org/drawingml/2006/main">
          <a:off x="790575" y="3095608"/>
          <a:ext cx="438150" cy="2476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0.18608</cdr:x>
      <cdr:y>0.4459</cdr:y>
    </cdr:from>
    <cdr:to>
      <cdr:x>0.26537</cdr:x>
      <cdr:y>0.5</cdr:y>
    </cdr:to>
    <cdr:sp macro="" textlink="">
      <cdr:nvSpPr>
        <cdr:cNvPr id="76" name="pole tekstowe 75"/>
        <cdr:cNvSpPr txBox="1"/>
      </cdr:nvSpPr>
      <cdr:spPr>
        <a:xfrm xmlns:a="http://schemas.openxmlformats.org/drawingml/2006/main">
          <a:off x="1095376" y="2276497"/>
          <a:ext cx="466724" cy="2762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000"/>
        </a:p>
      </cdr:txBody>
    </cdr:sp>
  </cdr:relSizeAnchor>
  <cdr:relSizeAnchor xmlns:cdr="http://schemas.openxmlformats.org/drawingml/2006/chartDrawing">
    <cdr:from>
      <cdr:x>0.0534</cdr:x>
      <cdr:y>0.15858</cdr:y>
    </cdr:from>
    <cdr:to>
      <cdr:x>0.1343</cdr:x>
      <cdr:y>0.21269</cdr:y>
    </cdr:to>
    <cdr:sp macro="" textlink="">
      <cdr:nvSpPr>
        <cdr:cNvPr id="77" name="pole tekstowe 76"/>
        <cdr:cNvSpPr txBox="1"/>
      </cdr:nvSpPr>
      <cdr:spPr>
        <a:xfrm xmlns:a="http://schemas.openxmlformats.org/drawingml/2006/main">
          <a:off x="314336" y="809625"/>
          <a:ext cx="476214" cy="2762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301,1</a:t>
          </a:r>
        </a:p>
      </cdr:txBody>
    </cdr:sp>
  </cdr:relSizeAnchor>
  <cdr:relSizeAnchor xmlns:cdr="http://schemas.openxmlformats.org/drawingml/2006/chartDrawing">
    <cdr:from>
      <cdr:x>0.07762</cdr:x>
      <cdr:y>0.09785</cdr:y>
    </cdr:from>
    <cdr:to>
      <cdr:x>0.0914</cdr:x>
      <cdr:y>0.16501</cdr:y>
    </cdr:to>
    <cdr:sp macro="" textlink="">
      <cdr:nvSpPr>
        <cdr:cNvPr id="80" name="Strzałka w górę 79"/>
        <cdr:cNvSpPr/>
      </cdr:nvSpPr>
      <cdr:spPr>
        <a:xfrm xmlns:a="http://schemas.openxmlformats.org/drawingml/2006/main">
          <a:off x="397674" y="434763"/>
          <a:ext cx="70597" cy="298398"/>
        </a:xfrm>
        <a:prstGeom xmlns:a="http://schemas.openxmlformats.org/drawingml/2006/main" prst="upArrow">
          <a:avLst/>
        </a:prstGeom>
        <a:solidFill xmlns:a="http://schemas.openxmlformats.org/drawingml/2006/main">
          <a:srgbClr val="007AC9"/>
        </a:solidFill>
        <a:ln xmlns:a="http://schemas.openxmlformats.org/drawingml/2006/main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0.09547</cdr:x>
      <cdr:y>0.10261</cdr:y>
    </cdr:from>
    <cdr:to>
      <cdr:x>0.16343</cdr:x>
      <cdr:y>0.15112</cdr:y>
    </cdr:to>
    <cdr:sp macro="" textlink="">
      <cdr:nvSpPr>
        <cdr:cNvPr id="81" name="pole tekstowe 80"/>
        <cdr:cNvSpPr txBox="1"/>
      </cdr:nvSpPr>
      <cdr:spPr>
        <a:xfrm xmlns:a="http://schemas.openxmlformats.org/drawingml/2006/main">
          <a:off x="561976" y="523865"/>
          <a:ext cx="400050" cy="2476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5,9%</a:t>
          </a:r>
        </a:p>
      </cdr:txBody>
    </cdr:sp>
  </cdr:relSizeAnchor>
  <cdr:relSizeAnchor xmlns:cdr="http://schemas.openxmlformats.org/drawingml/2006/chartDrawing">
    <cdr:from>
      <cdr:x>0.09709</cdr:x>
      <cdr:y>0.54851</cdr:y>
    </cdr:from>
    <cdr:to>
      <cdr:x>0.16505</cdr:x>
      <cdr:y>0.59142</cdr:y>
    </cdr:to>
    <cdr:sp macro="" textlink="">
      <cdr:nvSpPr>
        <cdr:cNvPr id="82" name="pole tekstowe 81"/>
        <cdr:cNvSpPr txBox="1"/>
      </cdr:nvSpPr>
      <cdr:spPr>
        <a:xfrm xmlns:a="http://schemas.openxmlformats.org/drawingml/2006/main">
          <a:off x="571515" y="2800350"/>
          <a:ext cx="400044" cy="2190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88,7</a:t>
          </a:r>
        </a:p>
      </cdr:txBody>
    </cdr:sp>
  </cdr:relSizeAnchor>
  <cdr:relSizeAnchor xmlns:cdr="http://schemas.openxmlformats.org/drawingml/2006/chartDrawing">
    <cdr:from>
      <cdr:x>0.11955</cdr:x>
      <cdr:y>0.4347</cdr:y>
    </cdr:from>
    <cdr:to>
      <cdr:x>0.13333</cdr:x>
      <cdr:y>0.53918</cdr:y>
    </cdr:to>
    <cdr:sp macro="" textlink="">
      <cdr:nvSpPr>
        <cdr:cNvPr id="83" name="Strzałka w dół 82"/>
        <cdr:cNvSpPr/>
      </cdr:nvSpPr>
      <cdr:spPr>
        <a:xfrm xmlns:a="http://schemas.openxmlformats.org/drawingml/2006/main">
          <a:off x="703723" y="2219339"/>
          <a:ext cx="81115" cy="53341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3395D4"/>
        </a:solidFill>
        <a:ln xmlns:a="http://schemas.openxmlformats.org/drawingml/2006/main">
          <a:solidFill>
            <a:srgbClr val="3395D4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0.10032</cdr:x>
      <cdr:y>0.38806</cdr:y>
    </cdr:from>
    <cdr:to>
      <cdr:x>0.16505</cdr:x>
      <cdr:y>0.46269</cdr:y>
    </cdr:to>
    <cdr:sp macro="" textlink="">
      <cdr:nvSpPr>
        <cdr:cNvPr id="84" name="pole tekstowe 83"/>
        <cdr:cNvSpPr txBox="1"/>
      </cdr:nvSpPr>
      <cdr:spPr>
        <a:xfrm xmlns:a="http://schemas.openxmlformats.org/drawingml/2006/main">
          <a:off x="590529" y="1981201"/>
          <a:ext cx="381030" cy="3809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5,0%</a:t>
          </a:r>
        </a:p>
      </cdr:txBody>
    </cdr:sp>
  </cdr:relSizeAnchor>
  <cdr:relSizeAnchor xmlns:cdr="http://schemas.openxmlformats.org/drawingml/2006/chartDrawing">
    <cdr:from>
      <cdr:x>0.13592</cdr:x>
      <cdr:y>0.61007</cdr:y>
    </cdr:from>
    <cdr:to>
      <cdr:x>0.20227</cdr:x>
      <cdr:y>0.65112</cdr:y>
    </cdr:to>
    <cdr:sp macro="" textlink="">
      <cdr:nvSpPr>
        <cdr:cNvPr id="85" name="pole tekstowe 84"/>
        <cdr:cNvSpPr txBox="1"/>
      </cdr:nvSpPr>
      <cdr:spPr>
        <a:xfrm xmlns:a="http://schemas.openxmlformats.org/drawingml/2006/main">
          <a:off x="800086" y="3114675"/>
          <a:ext cx="390566" cy="2095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54,3</a:t>
          </a:r>
        </a:p>
      </cdr:txBody>
    </cdr:sp>
  </cdr:relSizeAnchor>
  <cdr:relSizeAnchor xmlns:cdr="http://schemas.openxmlformats.org/drawingml/2006/chartDrawing">
    <cdr:from>
      <cdr:x>0.16722</cdr:x>
      <cdr:y>0.50933</cdr:y>
    </cdr:from>
    <cdr:to>
      <cdr:x>0.1785</cdr:x>
      <cdr:y>0.60448</cdr:y>
    </cdr:to>
    <cdr:sp macro="" textlink="">
      <cdr:nvSpPr>
        <cdr:cNvPr id="86" name="Strzałka w górę 85"/>
        <cdr:cNvSpPr/>
      </cdr:nvSpPr>
      <cdr:spPr>
        <a:xfrm xmlns:a="http://schemas.openxmlformats.org/drawingml/2006/main">
          <a:off x="984308" y="2600326"/>
          <a:ext cx="66399" cy="485779"/>
        </a:xfrm>
        <a:prstGeom xmlns:a="http://schemas.openxmlformats.org/drawingml/2006/main" prst="upArrow">
          <a:avLst/>
        </a:prstGeom>
        <a:solidFill xmlns:a="http://schemas.openxmlformats.org/drawingml/2006/main">
          <a:srgbClr val="66AFDF"/>
        </a:solidFill>
        <a:ln xmlns:a="http://schemas.openxmlformats.org/drawingml/2006/main">
          <a:solidFill>
            <a:srgbClr val="66AFDF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0.13592</cdr:x>
      <cdr:y>0.46455</cdr:y>
    </cdr:from>
    <cdr:to>
      <cdr:x>0.19903</cdr:x>
      <cdr:y>0.50933</cdr:y>
    </cdr:to>
    <cdr:sp macro="" textlink="">
      <cdr:nvSpPr>
        <cdr:cNvPr id="87" name="pole tekstowe 86"/>
        <cdr:cNvSpPr txBox="1"/>
      </cdr:nvSpPr>
      <cdr:spPr>
        <a:xfrm xmlns:a="http://schemas.openxmlformats.org/drawingml/2006/main">
          <a:off x="800086" y="2371725"/>
          <a:ext cx="371494" cy="228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0,7%</a:t>
          </a:r>
        </a:p>
      </cdr:txBody>
    </cdr:sp>
  </cdr:relSizeAnchor>
  <cdr:relSizeAnchor xmlns:cdr="http://schemas.openxmlformats.org/drawingml/2006/chartDrawing">
    <cdr:from>
      <cdr:x>0.17638</cdr:x>
      <cdr:y>0.41661</cdr:y>
    </cdr:from>
    <cdr:to>
      <cdr:x>0.24919</cdr:x>
      <cdr:y>0.45709</cdr:y>
    </cdr:to>
    <cdr:sp macro="" textlink="">
      <cdr:nvSpPr>
        <cdr:cNvPr id="88" name="pole tekstowe 87"/>
        <cdr:cNvSpPr txBox="1"/>
      </cdr:nvSpPr>
      <cdr:spPr>
        <a:xfrm xmlns:a="http://schemas.openxmlformats.org/drawingml/2006/main">
          <a:off x="903626" y="1914525"/>
          <a:ext cx="373019" cy="1860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158,0</a:t>
          </a:r>
        </a:p>
      </cdr:txBody>
    </cdr:sp>
  </cdr:relSizeAnchor>
  <cdr:relSizeAnchor xmlns:cdr="http://schemas.openxmlformats.org/drawingml/2006/chartDrawing">
    <cdr:from>
      <cdr:x>0.2068</cdr:x>
      <cdr:y>0.3265</cdr:y>
    </cdr:from>
    <cdr:to>
      <cdr:x>0.22184</cdr:x>
      <cdr:y>0.41232</cdr:y>
    </cdr:to>
    <cdr:sp macro="" textlink="">
      <cdr:nvSpPr>
        <cdr:cNvPr id="89" name="Strzałka w górę 88"/>
        <cdr:cNvSpPr/>
      </cdr:nvSpPr>
      <cdr:spPr>
        <a:xfrm xmlns:a="http://schemas.openxmlformats.org/drawingml/2006/main">
          <a:off x="1217294" y="1666891"/>
          <a:ext cx="88532" cy="438145"/>
        </a:xfrm>
        <a:prstGeom xmlns:a="http://schemas.openxmlformats.org/drawingml/2006/main" prst="upArrow">
          <a:avLst/>
        </a:prstGeom>
        <a:solidFill xmlns:a="http://schemas.openxmlformats.org/drawingml/2006/main">
          <a:srgbClr val="99CAE9"/>
        </a:solidFill>
        <a:ln xmlns:a="http://schemas.openxmlformats.org/drawingml/2006/main">
          <a:solidFill>
            <a:srgbClr val="99CAE9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0.17799</cdr:x>
      <cdr:y>0.27612</cdr:y>
    </cdr:from>
    <cdr:to>
      <cdr:x>0.26052</cdr:x>
      <cdr:y>0.31343</cdr:y>
    </cdr:to>
    <cdr:sp macro="" textlink="">
      <cdr:nvSpPr>
        <cdr:cNvPr id="90" name="pole tekstowe 89"/>
        <cdr:cNvSpPr txBox="1"/>
      </cdr:nvSpPr>
      <cdr:spPr>
        <a:xfrm xmlns:a="http://schemas.openxmlformats.org/drawingml/2006/main">
          <a:off x="1047729" y="1409699"/>
          <a:ext cx="485809" cy="1904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15,3%</a:t>
          </a:r>
        </a:p>
      </cdr:txBody>
    </cdr:sp>
  </cdr:relSizeAnchor>
  <cdr:relSizeAnchor xmlns:cdr="http://schemas.openxmlformats.org/drawingml/2006/chartDrawing">
    <cdr:from>
      <cdr:x>0.31391</cdr:x>
      <cdr:y>0.09141</cdr:y>
    </cdr:from>
    <cdr:to>
      <cdr:x>0.33657</cdr:x>
      <cdr:y>0.17164</cdr:y>
    </cdr:to>
    <cdr:sp macro="" textlink="">
      <cdr:nvSpPr>
        <cdr:cNvPr id="79" name="Strzałka w dół 78"/>
        <cdr:cNvSpPr/>
      </cdr:nvSpPr>
      <cdr:spPr>
        <a:xfrm xmlns:a="http://schemas.openxmlformats.org/drawingml/2006/main">
          <a:off x="1847814" y="466698"/>
          <a:ext cx="133387" cy="409606"/>
        </a:xfrm>
        <a:prstGeom xmlns:a="http://schemas.openxmlformats.org/drawingml/2006/main" prst="downArrow">
          <a:avLst/>
        </a:prstGeom>
        <a:solidFill xmlns:a="http://schemas.openxmlformats.org/drawingml/2006/main">
          <a:srgbClr val="007AC9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0.79773</cdr:x>
      <cdr:y>0.18284</cdr:y>
    </cdr:from>
    <cdr:to>
      <cdr:x>0.95307</cdr:x>
      <cdr:y>0.25187</cdr:y>
    </cdr:to>
    <cdr:sp macro="" textlink="">
      <cdr:nvSpPr>
        <cdr:cNvPr id="91" name="pole tekstowe 90"/>
        <cdr:cNvSpPr txBox="1"/>
      </cdr:nvSpPr>
      <cdr:spPr>
        <a:xfrm xmlns:a="http://schemas.openxmlformats.org/drawingml/2006/main">
          <a:off x="4695825" y="933450"/>
          <a:ext cx="914400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0.32848</cdr:x>
      <cdr:y>0.09515</cdr:y>
    </cdr:from>
    <cdr:to>
      <cdr:x>0.39159</cdr:x>
      <cdr:y>0.15299</cdr:y>
    </cdr:to>
    <cdr:sp macro="" textlink="">
      <cdr:nvSpPr>
        <cdr:cNvPr id="92" name="pole tekstowe 91"/>
        <cdr:cNvSpPr txBox="1"/>
      </cdr:nvSpPr>
      <cdr:spPr>
        <a:xfrm xmlns:a="http://schemas.openxmlformats.org/drawingml/2006/main">
          <a:off x="1933576" y="485779"/>
          <a:ext cx="371474" cy="2952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2,7%</a:t>
          </a:r>
        </a:p>
      </cdr:txBody>
    </cdr:sp>
  </cdr:relSizeAnchor>
  <cdr:relSizeAnchor xmlns:cdr="http://schemas.openxmlformats.org/drawingml/2006/chartDrawing">
    <cdr:from>
      <cdr:x>0.28641</cdr:x>
      <cdr:y>0.17351</cdr:y>
    </cdr:from>
    <cdr:to>
      <cdr:x>0.36084</cdr:x>
      <cdr:y>0.21642</cdr:y>
    </cdr:to>
    <cdr:sp macro="" textlink="">
      <cdr:nvSpPr>
        <cdr:cNvPr id="93" name="pole tekstowe 92"/>
        <cdr:cNvSpPr txBox="1"/>
      </cdr:nvSpPr>
      <cdr:spPr>
        <a:xfrm xmlns:a="http://schemas.openxmlformats.org/drawingml/2006/main">
          <a:off x="1685938" y="885825"/>
          <a:ext cx="438129" cy="2190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292,9</a:t>
          </a:r>
        </a:p>
      </cdr:txBody>
    </cdr:sp>
  </cdr:relSizeAnchor>
  <cdr:relSizeAnchor xmlns:cdr="http://schemas.openxmlformats.org/drawingml/2006/chartDrawing">
    <cdr:from>
      <cdr:x>0.35437</cdr:x>
      <cdr:y>0.44403</cdr:y>
    </cdr:from>
    <cdr:to>
      <cdr:x>0.37865</cdr:x>
      <cdr:y>0.54104</cdr:y>
    </cdr:to>
    <cdr:sp macro="" textlink="">
      <cdr:nvSpPr>
        <cdr:cNvPr id="94" name="Strzałka w górę 93"/>
        <cdr:cNvSpPr/>
      </cdr:nvSpPr>
      <cdr:spPr>
        <a:xfrm xmlns:a="http://schemas.openxmlformats.org/drawingml/2006/main">
          <a:off x="2085968" y="2266950"/>
          <a:ext cx="142923" cy="495275"/>
        </a:xfrm>
        <a:prstGeom xmlns:a="http://schemas.openxmlformats.org/drawingml/2006/main" prst="upArrow">
          <a:avLst/>
        </a:prstGeom>
        <a:solidFill xmlns:a="http://schemas.openxmlformats.org/drawingml/2006/main">
          <a:srgbClr val="3395D4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0.33657</cdr:x>
      <cdr:y>0.39552</cdr:y>
    </cdr:from>
    <cdr:to>
      <cdr:x>0.40129</cdr:x>
      <cdr:y>0.45522</cdr:y>
    </cdr:to>
    <cdr:sp macro="" textlink="">
      <cdr:nvSpPr>
        <cdr:cNvPr id="95" name="pole tekstowe 94"/>
        <cdr:cNvSpPr txBox="1"/>
      </cdr:nvSpPr>
      <cdr:spPr>
        <a:xfrm xmlns:a="http://schemas.openxmlformats.org/drawingml/2006/main">
          <a:off x="1981201" y="2019287"/>
          <a:ext cx="381000" cy="304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1,6%</a:t>
          </a:r>
        </a:p>
      </cdr:txBody>
    </cdr:sp>
  </cdr:relSizeAnchor>
  <cdr:relSizeAnchor xmlns:cdr="http://schemas.openxmlformats.org/drawingml/2006/chartDrawing">
    <cdr:from>
      <cdr:x>0.33333</cdr:x>
      <cdr:y>0.54664</cdr:y>
    </cdr:from>
    <cdr:to>
      <cdr:x>0.39968</cdr:x>
      <cdr:y>0.59702</cdr:y>
    </cdr:to>
    <cdr:sp macro="" textlink="">
      <cdr:nvSpPr>
        <cdr:cNvPr id="96" name="pole tekstowe 95"/>
        <cdr:cNvSpPr txBox="1"/>
      </cdr:nvSpPr>
      <cdr:spPr>
        <a:xfrm xmlns:a="http://schemas.openxmlformats.org/drawingml/2006/main">
          <a:off x="1962130" y="2790825"/>
          <a:ext cx="390566" cy="2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90,1</a:t>
          </a:r>
        </a:p>
      </cdr:txBody>
    </cdr:sp>
  </cdr:relSizeAnchor>
  <cdr:relSizeAnchor xmlns:cdr="http://schemas.openxmlformats.org/drawingml/2006/chartDrawing">
    <cdr:from>
      <cdr:x>0.39967</cdr:x>
      <cdr:y>0.53358</cdr:y>
    </cdr:from>
    <cdr:to>
      <cdr:x>0.41877</cdr:x>
      <cdr:y>0.62873</cdr:y>
    </cdr:to>
    <cdr:sp macro="" textlink="">
      <cdr:nvSpPr>
        <cdr:cNvPr id="97" name="Strzałka w dół 96"/>
        <cdr:cNvSpPr/>
      </cdr:nvSpPr>
      <cdr:spPr>
        <a:xfrm xmlns:a="http://schemas.openxmlformats.org/drawingml/2006/main">
          <a:off x="2352636" y="2724151"/>
          <a:ext cx="112431" cy="485779"/>
        </a:xfrm>
        <a:prstGeom xmlns:a="http://schemas.openxmlformats.org/drawingml/2006/main" prst="downArrow">
          <a:avLst/>
        </a:prstGeom>
        <a:solidFill xmlns:a="http://schemas.openxmlformats.org/drawingml/2006/main">
          <a:srgbClr val="66AFDF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0.3754</cdr:x>
      <cdr:y>0.62127</cdr:y>
    </cdr:from>
    <cdr:to>
      <cdr:x>0.44175</cdr:x>
      <cdr:y>0.67164</cdr:y>
    </cdr:to>
    <cdr:sp macro="" textlink="">
      <cdr:nvSpPr>
        <cdr:cNvPr id="98" name="pole tekstowe 97"/>
        <cdr:cNvSpPr txBox="1"/>
      </cdr:nvSpPr>
      <cdr:spPr>
        <a:xfrm xmlns:a="http://schemas.openxmlformats.org/drawingml/2006/main">
          <a:off x="2209801" y="3171831"/>
          <a:ext cx="390524" cy="2571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0">
              <a:latin typeface="Fira Sans" panose="020B0503050000020004" pitchFamily="34" charset="0"/>
              <a:ea typeface="Fira Sans" panose="020B0503050000020004" pitchFamily="34" charset="0"/>
            </a:rPr>
            <a:t>49,9</a:t>
          </a:r>
        </a:p>
      </cdr:txBody>
    </cdr:sp>
  </cdr:relSizeAnchor>
  <cdr:relSizeAnchor xmlns:cdr="http://schemas.openxmlformats.org/drawingml/2006/chartDrawing">
    <cdr:from>
      <cdr:x>0.37379</cdr:x>
      <cdr:y>0.49067</cdr:y>
    </cdr:from>
    <cdr:to>
      <cdr:x>0.44013</cdr:x>
      <cdr:y>0.53545</cdr:y>
    </cdr:to>
    <cdr:sp macro="" textlink="">
      <cdr:nvSpPr>
        <cdr:cNvPr id="99" name="pole tekstowe 98"/>
        <cdr:cNvSpPr txBox="1"/>
      </cdr:nvSpPr>
      <cdr:spPr>
        <a:xfrm xmlns:a="http://schemas.openxmlformats.org/drawingml/2006/main">
          <a:off x="2200296" y="2505075"/>
          <a:ext cx="390507" cy="2286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8,1%</a:t>
          </a:r>
        </a:p>
      </cdr:txBody>
    </cdr:sp>
  </cdr:relSizeAnchor>
  <cdr:relSizeAnchor xmlns:cdr="http://schemas.openxmlformats.org/drawingml/2006/chartDrawing">
    <cdr:from>
      <cdr:x>0.44014</cdr:x>
      <cdr:y>0.34328</cdr:y>
    </cdr:from>
    <cdr:to>
      <cdr:x>0.46603</cdr:x>
      <cdr:y>0.4347</cdr:y>
    </cdr:to>
    <cdr:sp macro="" textlink="">
      <cdr:nvSpPr>
        <cdr:cNvPr id="100" name="Strzałka w dół 99"/>
        <cdr:cNvSpPr/>
      </cdr:nvSpPr>
      <cdr:spPr>
        <a:xfrm xmlns:a="http://schemas.openxmlformats.org/drawingml/2006/main">
          <a:off x="2590838" y="1752580"/>
          <a:ext cx="152400" cy="466735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9CAE9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0.41424</cdr:x>
      <cdr:y>0.4291</cdr:y>
    </cdr:from>
    <cdr:to>
      <cdr:x>0.49029</cdr:x>
      <cdr:y>0.50187</cdr:y>
    </cdr:to>
    <cdr:sp macro="" textlink="">
      <cdr:nvSpPr>
        <cdr:cNvPr id="101" name="pole tekstowe 100"/>
        <cdr:cNvSpPr txBox="1"/>
      </cdr:nvSpPr>
      <cdr:spPr>
        <a:xfrm xmlns:a="http://schemas.openxmlformats.org/drawingml/2006/main">
          <a:off x="2438400" y="2190727"/>
          <a:ext cx="447675" cy="3715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152,8</a:t>
          </a:r>
        </a:p>
      </cdr:txBody>
    </cdr:sp>
  </cdr:relSizeAnchor>
  <cdr:relSizeAnchor xmlns:cdr="http://schemas.openxmlformats.org/drawingml/2006/chartDrawing">
    <cdr:from>
      <cdr:x>0.42071</cdr:x>
      <cdr:y>0.29851</cdr:y>
    </cdr:from>
    <cdr:to>
      <cdr:x>0.49191</cdr:x>
      <cdr:y>0.34142</cdr:y>
    </cdr:to>
    <cdr:sp macro="" textlink="">
      <cdr:nvSpPr>
        <cdr:cNvPr id="102" name="pole tekstowe 101"/>
        <cdr:cNvSpPr txBox="1"/>
      </cdr:nvSpPr>
      <cdr:spPr>
        <a:xfrm xmlns:a="http://schemas.openxmlformats.org/drawingml/2006/main">
          <a:off x="2476488" y="1524000"/>
          <a:ext cx="419116" cy="2190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3,3%</a:t>
          </a:r>
        </a:p>
      </cdr:txBody>
    </cdr:sp>
  </cdr:relSizeAnchor>
  <cdr:relSizeAnchor xmlns:cdr="http://schemas.openxmlformats.org/drawingml/2006/chartDrawing">
    <cdr:from>
      <cdr:x>0.52104</cdr:x>
      <cdr:y>0.14366</cdr:y>
    </cdr:from>
    <cdr:to>
      <cdr:x>0.59385</cdr:x>
      <cdr:y>0.19963</cdr:y>
    </cdr:to>
    <cdr:sp macro="" textlink="">
      <cdr:nvSpPr>
        <cdr:cNvPr id="103" name="pole tekstowe 102"/>
        <cdr:cNvSpPr txBox="1"/>
      </cdr:nvSpPr>
      <cdr:spPr>
        <a:xfrm xmlns:a="http://schemas.openxmlformats.org/drawingml/2006/main">
          <a:off x="3067076" y="733425"/>
          <a:ext cx="428592" cy="2857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309,4</a:t>
          </a:r>
        </a:p>
      </cdr:txBody>
    </cdr:sp>
  </cdr:relSizeAnchor>
  <cdr:relSizeAnchor xmlns:cdr="http://schemas.openxmlformats.org/drawingml/2006/chartDrawing">
    <cdr:from>
      <cdr:x>0.55178</cdr:x>
      <cdr:y>0.07463</cdr:y>
    </cdr:from>
    <cdr:to>
      <cdr:x>0.56556</cdr:x>
      <cdr:y>0.14179</cdr:y>
    </cdr:to>
    <cdr:sp macro="" textlink="">
      <cdr:nvSpPr>
        <cdr:cNvPr id="104" name="Strzałka w górę 103"/>
        <cdr:cNvSpPr/>
      </cdr:nvSpPr>
      <cdr:spPr>
        <a:xfrm xmlns:a="http://schemas.openxmlformats.org/drawingml/2006/main">
          <a:off x="3248012" y="381021"/>
          <a:ext cx="81116" cy="342879"/>
        </a:xfrm>
        <a:prstGeom xmlns:a="http://schemas.openxmlformats.org/drawingml/2006/main" prst="upArrow">
          <a:avLst/>
        </a:prstGeom>
        <a:solidFill xmlns:a="http://schemas.openxmlformats.org/drawingml/2006/main">
          <a:srgbClr val="007AC9"/>
        </a:solidFill>
        <a:ln xmlns:a="http://schemas.openxmlformats.org/drawingml/2006/main" w="25400" cap="flat" cmpd="sng" algn="ctr">
          <a:solidFill>
            <a:srgbClr val="4F81BD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0.56311</cdr:x>
      <cdr:y>0.08209</cdr:y>
    </cdr:from>
    <cdr:to>
      <cdr:x>0.62945</cdr:x>
      <cdr:y>0.12873</cdr:y>
    </cdr:to>
    <cdr:sp macro="" textlink="">
      <cdr:nvSpPr>
        <cdr:cNvPr id="105" name="pole tekstowe 104"/>
        <cdr:cNvSpPr txBox="1"/>
      </cdr:nvSpPr>
      <cdr:spPr>
        <a:xfrm xmlns:a="http://schemas.openxmlformats.org/drawingml/2006/main">
          <a:off x="3314701" y="419100"/>
          <a:ext cx="390524" cy="238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5,6%</a:t>
          </a:r>
        </a:p>
      </cdr:txBody>
    </cdr:sp>
  </cdr:relSizeAnchor>
  <cdr:relSizeAnchor xmlns:cdr="http://schemas.openxmlformats.org/drawingml/2006/chartDrawing">
    <cdr:from>
      <cdr:x>0.56796</cdr:x>
      <cdr:y>0.52612</cdr:y>
    </cdr:from>
    <cdr:to>
      <cdr:x>0.64239</cdr:x>
      <cdr:y>0.57276</cdr:y>
    </cdr:to>
    <cdr:sp macro="" textlink="">
      <cdr:nvSpPr>
        <cdr:cNvPr id="106" name="pole tekstowe 105"/>
        <cdr:cNvSpPr txBox="1"/>
      </cdr:nvSpPr>
      <cdr:spPr>
        <a:xfrm xmlns:a="http://schemas.openxmlformats.org/drawingml/2006/main">
          <a:off x="3343268" y="2686050"/>
          <a:ext cx="438129" cy="238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100,1</a:t>
          </a:r>
        </a:p>
      </cdr:txBody>
    </cdr:sp>
  </cdr:relSizeAnchor>
  <cdr:relSizeAnchor xmlns:cdr="http://schemas.openxmlformats.org/drawingml/2006/chartDrawing">
    <cdr:from>
      <cdr:x>0.5712</cdr:x>
      <cdr:y>0.38993</cdr:y>
    </cdr:from>
    <cdr:to>
      <cdr:x>0.64887</cdr:x>
      <cdr:y>0.43843</cdr:y>
    </cdr:to>
    <cdr:sp macro="" textlink="">
      <cdr:nvSpPr>
        <cdr:cNvPr id="107" name="pole tekstowe 106"/>
        <cdr:cNvSpPr txBox="1"/>
      </cdr:nvSpPr>
      <cdr:spPr>
        <a:xfrm xmlns:a="http://schemas.openxmlformats.org/drawingml/2006/main">
          <a:off x="3362340" y="1990724"/>
          <a:ext cx="457201" cy="2476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11,1%</a:t>
          </a:r>
        </a:p>
      </cdr:txBody>
    </cdr:sp>
  </cdr:relSizeAnchor>
  <cdr:relSizeAnchor xmlns:cdr="http://schemas.openxmlformats.org/drawingml/2006/chartDrawing">
    <cdr:from>
      <cdr:x>0.7918</cdr:x>
      <cdr:y>0.06405</cdr:y>
    </cdr:from>
    <cdr:to>
      <cdr:x>0.80558</cdr:x>
      <cdr:y>0.13121</cdr:y>
    </cdr:to>
    <cdr:sp macro="" textlink="">
      <cdr:nvSpPr>
        <cdr:cNvPr id="108" name="Strzałka w górę 107"/>
        <cdr:cNvSpPr/>
      </cdr:nvSpPr>
      <cdr:spPr>
        <a:xfrm xmlns:a="http://schemas.openxmlformats.org/drawingml/2006/main">
          <a:off x="4660900" y="327025"/>
          <a:ext cx="81116" cy="342879"/>
        </a:xfrm>
        <a:prstGeom xmlns:a="http://schemas.openxmlformats.org/drawingml/2006/main" prst="upArrow">
          <a:avLst/>
        </a:prstGeom>
        <a:solidFill xmlns:a="http://schemas.openxmlformats.org/drawingml/2006/main">
          <a:srgbClr val="007AC9"/>
        </a:solidFill>
        <a:ln xmlns:a="http://schemas.openxmlformats.org/drawingml/2006/main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0.78803</cdr:x>
      <cdr:y>0.14366</cdr:y>
    </cdr:from>
    <cdr:to>
      <cdr:x>0.88673</cdr:x>
      <cdr:y>0.1959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4638675" y="733425"/>
          <a:ext cx="58102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0.76052</cdr:x>
      <cdr:y>0.13619</cdr:y>
    </cdr:from>
    <cdr:to>
      <cdr:x>0.84628</cdr:x>
      <cdr:y>0.19216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4476763" y="695325"/>
          <a:ext cx="504822" cy="2857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314,1</a:t>
          </a:r>
        </a:p>
      </cdr:txBody>
    </cdr:sp>
  </cdr:relSizeAnchor>
  <cdr:relSizeAnchor xmlns:cdr="http://schemas.openxmlformats.org/drawingml/2006/chartDrawing">
    <cdr:from>
      <cdr:x>0.79612</cdr:x>
      <cdr:y>0.08022</cdr:y>
    </cdr:from>
    <cdr:to>
      <cdr:x>0.88188</cdr:x>
      <cdr:y>0.1306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4686300" y="409575"/>
          <a:ext cx="5048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1,5%</a:t>
          </a:r>
        </a:p>
      </cdr:txBody>
    </cdr:sp>
  </cdr:relSizeAnchor>
  <cdr:relSizeAnchor xmlns:cdr="http://schemas.openxmlformats.org/drawingml/2006/chartDrawing">
    <cdr:from>
      <cdr:x>0.83064</cdr:x>
      <cdr:y>0.426</cdr:y>
    </cdr:from>
    <cdr:to>
      <cdr:x>0.85492</cdr:x>
      <cdr:y>0.52301</cdr:y>
    </cdr:to>
    <cdr:sp macro="" textlink="">
      <cdr:nvSpPr>
        <cdr:cNvPr id="109" name="Strzałka w górę 108"/>
        <cdr:cNvSpPr/>
      </cdr:nvSpPr>
      <cdr:spPr>
        <a:xfrm xmlns:a="http://schemas.openxmlformats.org/drawingml/2006/main">
          <a:off x="4889500" y="2174875"/>
          <a:ext cx="142923" cy="495275"/>
        </a:xfrm>
        <a:prstGeom xmlns:a="http://schemas.openxmlformats.org/drawingml/2006/main" prst="upArrow">
          <a:avLst/>
        </a:prstGeom>
        <a:solidFill xmlns:a="http://schemas.openxmlformats.org/drawingml/2006/main">
          <a:srgbClr val="3395D4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0.89644</cdr:x>
      <cdr:y>0.30597</cdr:y>
    </cdr:from>
    <cdr:to>
      <cdr:x>0.98544</cdr:x>
      <cdr:y>0.36381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5276850" y="1562100"/>
          <a:ext cx="52387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0.87918</cdr:x>
      <cdr:y>0.51741</cdr:y>
    </cdr:from>
    <cdr:to>
      <cdr:x>0.89046</cdr:x>
      <cdr:y>0.61256</cdr:y>
    </cdr:to>
    <cdr:sp macro="" textlink="">
      <cdr:nvSpPr>
        <cdr:cNvPr id="110" name="Strzałka w górę 109"/>
        <cdr:cNvSpPr/>
      </cdr:nvSpPr>
      <cdr:spPr>
        <a:xfrm xmlns:a="http://schemas.openxmlformats.org/drawingml/2006/main">
          <a:off x="5175250" y="2641600"/>
          <a:ext cx="66399" cy="485779"/>
        </a:xfrm>
        <a:prstGeom xmlns:a="http://schemas.openxmlformats.org/drawingml/2006/main" prst="upArrow">
          <a:avLst/>
        </a:prstGeom>
        <a:solidFill xmlns:a="http://schemas.openxmlformats.org/drawingml/2006/main">
          <a:srgbClr val="66AFDF"/>
        </a:solidFill>
        <a:ln xmlns:a="http://schemas.openxmlformats.org/drawingml/2006/main">
          <a:solidFill>
            <a:srgbClr val="66AFDF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0.91748</cdr:x>
      <cdr:y>0.34391</cdr:y>
    </cdr:from>
    <cdr:to>
      <cdr:x>0.94067</cdr:x>
      <cdr:y>0.43533</cdr:y>
    </cdr:to>
    <cdr:sp macro="" textlink="">
      <cdr:nvSpPr>
        <cdr:cNvPr id="111" name="Strzałka w dół 110"/>
        <cdr:cNvSpPr/>
      </cdr:nvSpPr>
      <cdr:spPr>
        <a:xfrm xmlns:a="http://schemas.openxmlformats.org/drawingml/2006/main">
          <a:off x="5400674" y="1755775"/>
          <a:ext cx="136525" cy="466736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9CAE9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0.19769</cdr:x>
      <cdr:y>0.01365</cdr:y>
    </cdr:from>
    <cdr:to>
      <cdr:x>0.22558</cdr:x>
      <cdr:y>0.10369</cdr:y>
    </cdr:to>
    <cdr:sp macro="" textlink="">
      <cdr:nvSpPr>
        <cdr:cNvPr id="112" name="Strzałka w dół 111"/>
        <cdr:cNvSpPr/>
      </cdr:nvSpPr>
      <cdr:spPr>
        <a:xfrm xmlns:a="http://schemas.openxmlformats.org/drawingml/2006/main" flipV="1">
          <a:off x="1012825" y="62721"/>
          <a:ext cx="142873" cy="413773"/>
        </a:xfrm>
        <a:prstGeom xmlns:a="http://schemas.openxmlformats.org/drawingml/2006/main" prst="downArrow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chemeClr val="bg1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0.59297</cdr:x>
      <cdr:y>0.43643</cdr:y>
    </cdr:from>
    <cdr:to>
      <cdr:x>0.61725</cdr:x>
      <cdr:y>0.53344</cdr:y>
    </cdr:to>
    <cdr:sp macro="" textlink="">
      <cdr:nvSpPr>
        <cdr:cNvPr id="113" name="Strzałka w górę 112"/>
        <cdr:cNvSpPr/>
      </cdr:nvSpPr>
      <cdr:spPr>
        <a:xfrm xmlns:a="http://schemas.openxmlformats.org/drawingml/2006/main">
          <a:off x="3037876" y="2005613"/>
          <a:ext cx="124391" cy="445809"/>
        </a:xfrm>
        <a:prstGeom xmlns:a="http://schemas.openxmlformats.org/drawingml/2006/main" prst="upArrow">
          <a:avLst/>
        </a:prstGeom>
        <a:solidFill xmlns:a="http://schemas.openxmlformats.org/drawingml/2006/main">
          <a:srgbClr val="3395D4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0.64193</cdr:x>
      <cdr:y>0.52246</cdr:y>
    </cdr:from>
    <cdr:to>
      <cdr:x>0.65321</cdr:x>
      <cdr:y>0.61761</cdr:y>
    </cdr:to>
    <cdr:sp macro="" textlink="">
      <cdr:nvSpPr>
        <cdr:cNvPr id="114" name="Strzałka w górę 113"/>
        <cdr:cNvSpPr/>
      </cdr:nvSpPr>
      <cdr:spPr>
        <a:xfrm xmlns:a="http://schemas.openxmlformats.org/drawingml/2006/main">
          <a:off x="3288748" y="2400948"/>
          <a:ext cx="57790" cy="437262"/>
        </a:xfrm>
        <a:prstGeom xmlns:a="http://schemas.openxmlformats.org/drawingml/2006/main" prst="upArrow">
          <a:avLst/>
        </a:prstGeom>
        <a:solidFill xmlns:a="http://schemas.openxmlformats.org/drawingml/2006/main">
          <a:srgbClr val="66AFDF"/>
        </a:solidFill>
        <a:ln xmlns:a="http://schemas.openxmlformats.org/drawingml/2006/main">
          <a:solidFill>
            <a:srgbClr val="66AFDF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0.61539</cdr:x>
      <cdr:y>0.61351</cdr:y>
    </cdr:from>
    <cdr:to>
      <cdr:x>0.69162</cdr:x>
      <cdr:y>0.66533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3152776" y="2819400"/>
          <a:ext cx="390524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53,3</a:t>
          </a:r>
        </a:p>
      </cdr:txBody>
    </cdr:sp>
  </cdr:relSizeAnchor>
  <cdr:relSizeAnchor xmlns:cdr="http://schemas.openxmlformats.org/drawingml/2006/chartDrawing">
    <cdr:from>
      <cdr:x>0.60796</cdr:x>
      <cdr:y>0.47257</cdr:y>
    </cdr:from>
    <cdr:to>
      <cdr:x>0.70092</cdr:x>
      <cdr:y>0.52024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3114676" y="2171700"/>
          <a:ext cx="476249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6,8%</a:t>
          </a:r>
        </a:p>
      </cdr:txBody>
    </cdr:sp>
  </cdr:relSizeAnchor>
  <cdr:relSizeAnchor xmlns:cdr="http://schemas.openxmlformats.org/drawingml/2006/chartDrawing">
    <cdr:from>
      <cdr:x>0.68337</cdr:x>
      <cdr:y>0.34585</cdr:y>
    </cdr:from>
    <cdr:to>
      <cdr:x>0.69841</cdr:x>
      <cdr:y>0.43166</cdr:y>
    </cdr:to>
    <cdr:sp macro="" textlink="">
      <cdr:nvSpPr>
        <cdr:cNvPr id="115" name="Strzałka w górę 114"/>
        <cdr:cNvSpPr/>
      </cdr:nvSpPr>
      <cdr:spPr>
        <a:xfrm xmlns:a="http://schemas.openxmlformats.org/drawingml/2006/main">
          <a:off x="3501049" y="1589329"/>
          <a:ext cx="77052" cy="394385"/>
        </a:xfrm>
        <a:prstGeom xmlns:a="http://schemas.openxmlformats.org/drawingml/2006/main" prst="upArrow">
          <a:avLst/>
        </a:prstGeom>
        <a:solidFill xmlns:a="http://schemas.openxmlformats.org/drawingml/2006/main">
          <a:srgbClr val="99CAE9"/>
        </a:solidFill>
        <a:ln xmlns:a="http://schemas.openxmlformats.org/drawingml/2006/main">
          <a:solidFill>
            <a:srgbClr val="99CAE9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0.65258</cdr:x>
      <cdr:y>0.42697</cdr:y>
    </cdr:from>
    <cdr:to>
      <cdr:x>0.73624</cdr:x>
      <cdr:y>0.4933</cdr:y>
    </cdr:to>
    <cdr:sp macro="" textlink="">
      <cdr:nvSpPr>
        <cdr:cNvPr id="10" name="Pole tekstowe 9"/>
        <cdr:cNvSpPr txBox="1"/>
      </cdr:nvSpPr>
      <cdr:spPr>
        <a:xfrm xmlns:a="http://schemas.openxmlformats.org/drawingml/2006/main">
          <a:off x="3343276" y="1962151"/>
          <a:ext cx="428624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156,1</a:t>
          </a:r>
        </a:p>
      </cdr:txBody>
    </cdr:sp>
  </cdr:relSizeAnchor>
  <cdr:relSizeAnchor xmlns:cdr="http://schemas.openxmlformats.org/drawingml/2006/chartDrawing">
    <cdr:from>
      <cdr:x>0.65444</cdr:x>
      <cdr:y>0.29639</cdr:y>
    </cdr:from>
    <cdr:to>
      <cdr:x>0.73996</cdr:x>
      <cdr:y>0.35443</cdr:y>
    </cdr:to>
    <cdr:sp macro="" textlink="">
      <cdr:nvSpPr>
        <cdr:cNvPr id="11" name="Pole tekstowe 10"/>
        <cdr:cNvSpPr txBox="1"/>
      </cdr:nvSpPr>
      <cdr:spPr>
        <a:xfrm xmlns:a="http://schemas.openxmlformats.org/drawingml/2006/main">
          <a:off x="3352800" y="1362075"/>
          <a:ext cx="4381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2,2%</a:t>
          </a:r>
        </a:p>
      </cdr:txBody>
    </cdr:sp>
  </cdr:relSizeAnchor>
  <cdr:relSizeAnchor xmlns:cdr="http://schemas.openxmlformats.org/drawingml/2006/chartDrawing">
    <cdr:from>
      <cdr:x>0.84593</cdr:x>
      <cdr:y>0.46843</cdr:y>
    </cdr:from>
    <cdr:to>
      <cdr:x>0.94261</cdr:x>
      <cdr:y>0.52439</cdr:y>
    </cdr:to>
    <cdr:sp macro="" textlink="">
      <cdr:nvSpPr>
        <cdr:cNvPr id="13" name="Pole tekstowe 12"/>
        <cdr:cNvSpPr txBox="1"/>
      </cdr:nvSpPr>
      <cdr:spPr>
        <a:xfrm xmlns:a="http://schemas.openxmlformats.org/drawingml/2006/main">
          <a:off x="4333875" y="2152650"/>
          <a:ext cx="4953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</a:rPr>
            <a:t>1,7%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2AA87-2DD0-4CAF-A612-8C6C1831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1371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otwartych funduszy emerytalnych i powszechnych towarzystw emerytalnych w 2017 roku</vt:lpstr>
    </vt:vector>
  </TitlesOfParts>
  <Company>Główny Urząd Statystyczny</Company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otwartych funduszy emerytalnych i powszechnych towarzystw emerytalnych w 2017 roku</dc:title>
  <dc:subject>Wyniki finansowe otwartych funduszy emerytalnych i powszechnych towarzystw emerytalnych w 2017 roku</dc:subject>
  <dc:creator>Główny Urząd Statystyczny</dc:creator>
  <cp:keywords>ofe; otwarte fundusze emerytalne; powszechne towarzystwa emerytalne; wynik finansowy ofe</cp:keywords>
  <dc:description>Wyniki finansowe otwartych funduszy emerytalnych i powszechnych towarzystw emerytalnych w 2017 roku</dc:description>
  <cp:lastModifiedBy>Żołynia Marcin</cp:lastModifiedBy>
  <cp:revision>2</cp:revision>
  <cp:lastPrinted>2018-06-21T14:21:00Z</cp:lastPrinted>
  <dcterms:created xsi:type="dcterms:W3CDTF">2018-06-21T14:22:00Z</dcterms:created>
  <dcterms:modified xsi:type="dcterms:W3CDTF">2018-06-21T14:22:00Z</dcterms:modified>
  <cp:category>Wyniki finansowe otwartych funduszy emerytalnych i powszechnych towarzystw emerytalnych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