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EC4951">
        <w:rPr>
          <w:shd w:val="clear" w:color="auto" w:fill="FFFFFF"/>
        </w:rPr>
        <w:t>grudzień</w:t>
      </w:r>
      <w:r w:rsidRPr="00530074">
        <w:rPr>
          <w:shd w:val="clear" w:color="auto" w:fill="FFFFFF"/>
        </w:rPr>
        <w:t xml:space="preserve"> 2018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D1E" w:rsidRPr="00074DD8" w:rsidRDefault="00D13D1E" w:rsidP="00074DD8">
                            <w:pPr>
                              <w:pStyle w:val="tekstzboku"/>
                            </w:pPr>
                            <w:r>
                              <w:t>W grudniu</w:t>
                            </w:r>
                            <w:r w:rsidRPr="00AE6789">
                              <w:t xml:space="preserve"> 2018</w:t>
                            </w:r>
                            <w:r>
                              <w:t xml:space="preserve"> r. odnotowano wyraźne pogorszenie zarówno obecnych, jak i przyszłych nastrojów konsumenckich 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D13D1E" w:rsidRPr="00074DD8" w:rsidRDefault="00D13D1E" w:rsidP="00074DD8">
                      <w:pPr>
                        <w:pStyle w:val="tekstzboku"/>
                      </w:pPr>
                      <w:r>
                        <w:t>W grudniu</w:t>
                      </w:r>
                      <w:r w:rsidRPr="00AE6789">
                        <w:t xml:space="preserve"> 2018</w:t>
                      </w:r>
                      <w:r>
                        <w:t xml:space="preserve"> r. odnotowano wyraźne pogorszenie zarówno obecnych, jak i przyszłych nastrojów konsumenckich 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D1E" w:rsidRPr="00BC44E4" w:rsidRDefault="00D13D1E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1,1</w:t>
                            </w:r>
                          </w:p>
                          <w:p w:rsidR="00D13D1E" w:rsidRPr="00DD7916" w:rsidRDefault="00D13D1E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D13D1E" w:rsidRPr="00BC44E4" w:rsidRDefault="00D13D1E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1,1</w:t>
                      </w:r>
                    </w:p>
                    <w:p w:rsidR="00D13D1E" w:rsidRPr="00DD7916" w:rsidRDefault="00D13D1E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 w:rsidR="009D0AC9">
        <w:t>1,1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D1E" w:rsidRPr="00380DFD" w:rsidRDefault="00D13D1E" w:rsidP="00380DFD">
                            <w:pPr>
                              <w:pStyle w:val="tekstzboku"/>
                            </w:pPr>
                            <w:r>
                              <w:t>Bieżący wskaźnik ufności konsumenckiej (BWUK) był niższy o 4,1 p. proc. w stosunku do poprzedniego miesiąca</w:t>
                            </w:r>
                          </w:p>
                          <w:p w:rsidR="00D13D1E" w:rsidRPr="00D616D2" w:rsidRDefault="00D13D1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D13D1E" w:rsidRPr="00380DFD" w:rsidRDefault="00D13D1E" w:rsidP="00380DFD">
                      <w:pPr>
                        <w:pStyle w:val="tekstzboku"/>
                      </w:pPr>
                      <w:r>
                        <w:t>Bieżący wskaźnik ufności konsumenckiej (BWUK) był niższy o 4,1 p. proc. w stosunku do poprzedniego miesiąca</w:t>
                      </w:r>
                    </w:p>
                    <w:p w:rsidR="00D13D1E" w:rsidRPr="00D616D2" w:rsidRDefault="00D13D1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9D0AC9">
        <w:t>grudniu</w:t>
      </w:r>
      <w:r w:rsidR="009A5A6D" w:rsidRPr="009A5A6D">
        <w:t xml:space="preserve"> 2018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AA57A3">
        <w:rPr>
          <w:shd w:val="clear" w:color="auto" w:fill="FFFFFF"/>
        </w:rPr>
        <w:t>niższy</w:t>
      </w:r>
      <w:r w:rsidR="007B7753">
        <w:rPr>
          <w:shd w:val="clear" w:color="auto" w:fill="FFFFFF"/>
        </w:rPr>
        <w:t xml:space="preserve"> o </w:t>
      </w:r>
      <w:r w:rsidR="009D0AC9">
        <w:rPr>
          <w:shd w:val="clear" w:color="auto" w:fill="FFFFFF"/>
        </w:rPr>
        <w:t>4</w:t>
      </w:r>
      <w:r w:rsidR="0053753D">
        <w:rPr>
          <w:shd w:val="clear" w:color="auto" w:fill="FFFFFF"/>
        </w:rPr>
        <w:t>,</w:t>
      </w:r>
      <w:r w:rsidR="009D0AC9">
        <w:rPr>
          <w:shd w:val="clear" w:color="auto" w:fill="FFFFFF"/>
        </w:rPr>
        <w:t>1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9D0AC9">
        <w:rPr>
          <w:shd w:val="clear" w:color="auto" w:fill="FFFFFF"/>
        </w:rPr>
        <w:t>1</w:t>
      </w:r>
      <w:r w:rsidR="0053753D">
        <w:rPr>
          <w:shd w:val="clear" w:color="auto" w:fill="FFFFFF"/>
        </w:rPr>
        <w:t>,</w:t>
      </w:r>
      <w:r w:rsidR="009D0AC9">
        <w:rPr>
          <w:shd w:val="clear" w:color="auto" w:fill="FFFFFF"/>
        </w:rPr>
        <w:t>1</w:t>
      </w:r>
      <w:r w:rsidR="00210F89" w:rsidRPr="00210F89">
        <w:rPr>
          <w:shd w:val="clear" w:color="auto" w:fill="FFFFFF"/>
          <w:vertAlign w:val="superscript"/>
        </w:rPr>
        <w:t>*</w:t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D8019B" w:rsidP="008E75B8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Wszystkie składowe wskaźnika uzyskały wartości niższe niż przed miesiącem.</w:t>
      </w:r>
      <w:r w:rsidR="00D96A34">
        <w:rPr>
          <w:shd w:val="clear" w:color="auto" w:fill="FFFFFF"/>
        </w:rPr>
        <w:t xml:space="preserve"> </w:t>
      </w:r>
      <w:r w:rsidR="00597C1D">
        <w:rPr>
          <w:shd w:val="clear" w:color="auto" w:fill="FFFFFF"/>
        </w:rPr>
        <w:t xml:space="preserve">Największe spadki odnotowano dla ocen przyszłej sytuacji ekonomicznej kraju i przyszłej sytuacji finansowej gospodarstwa domowego (spadki odpowiednio o </w:t>
      </w:r>
      <w:r w:rsidR="008E75B8">
        <w:rPr>
          <w:shd w:val="clear" w:color="auto" w:fill="FFFFFF"/>
        </w:rPr>
        <w:t>7,5 p. proc</w:t>
      </w:r>
      <w:r w:rsidR="00D96A34">
        <w:rPr>
          <w:shd w:val="clear" w:color="auto" w:fill="FFFFFF"/>
        </w:rPr>
        <w:t>.</w:t>
      </w:r>
      <w:r w:rsidR="00597C1D">
        <w:rPr>
          <w:shd w:val="clear" w:color="auto" w:fill="FFFFFF"/>
        </w:rPr>
        <w:t xml:space="preserve"> i 5,0 p. proc.).</w:t>
      </w:r>
      <w:r w:rsidR="00891FF7">
        <w:rPr>
          <w:shd w:val="clear" w:color="auto" w:fill="FFFFFF"/>
        </w:rPr>
        <w:t xml:space="preserve"> </w:t>
      </w:r>
      <w:r w:rsidR="00597C1D">
        <w:rPr>
          <w:shd w:val="clear" w:color="auto" w:fill="FFFFFF"/>
        </w:rPr>
        <w:t xml:space="preserve">Dla pozostałych składowych wskaźnika spadki kształtowały się </w:t>
      </w:r>
      <w:r w:rsidR="00D13D1E">
        <w:rPr>
          <w:shd w:val="clear" w:color="auto" w:fill="FFFFFF"/>
        </w:rPr>
        <w:t>następująco:</w:t>
      </w:r>
      <w:r w:rsidR="00597C1D">
        <w:rPr>
          <w:shd w:val="clear" w:color="auto" w:fill="FFFFFF"/>
        </w:rPr>
        <w:t xml:space="preserve"> </w:t>
      </w:r>
      <w:r w:rsidR="00D629CF">
        <w:rPr>
          <w:shd w:val="clear" w:color="auto" w:fill="FFFFFF"/>
        </w:rPr>
        <w:t>3,2 p. proc. dla oceny obecnej sytuacji finansowej gospodarstwa domowego</w:t>
      </w:r>
      <w:r w:rsidR="00D13D1E">
        <w:rPr>
          <w:shd w:val="clear" w:color="auto" w:fill="FFFFFF"/>
        </w:rPr>
        <w:t xml:space="preserve">, 3,1 p. proc. dla </w:t>
      </w:r>
      <w:r w:rsidR="00D629CF">
        <w:rPr>
          <w:shd w:val="clear" w:color="auto" w:fill="FFFFFF"/>
        </w:rPr>
        <w:t xml:space="preserve"> </w:t>
      </w:r>
      <w:r w:rsidR="00D13D1E">
        <w:rPr>
          <w:shd w:val="clear" w:color="auto" w:fill="FFFFFF"/>
        </w:rPr>
        <w:t xml:space="preserve">oceny możliwości dokonywania ważnych zakupów oraz </w:t>
      </w:r>
      <w:r w:rsidR="00923642">
        <w:rPr>
          <w:shd w:val="clear" w:color="auto" w:fill="FFFFFF"/>
        </w:rPr>
        <w:t>1,8 p. proc. dla oceny obecnej</w:t>
      </w:r>
      <w:r w:rsidR="00D629CF">
        <w:rPr>
          <w:shd w:val="clear" w:color="auto" w:fill="FFFFFF"/>
        </w:rPr>
        <w:t xml:space="preserve"> sytuacji ekonomicznej kraju.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grudnia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A821F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była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A10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A06A63" w:rsidRPr="009A5A6D" w:rsidRDefault="006265B8" w:rsidP="003F6DBB">
      <w:pPr>
        <w:spacing w:before="0" w:after="0"/>
      </w:pPr>
      <w:r>
        <w:t>W 2018 r. BWUK był o 3,3 p. proc. wyższy w porównaniu do 2017</w:t>
      </w:r>
      <w:r w:rsidR="006B60E1">
        <w:t> </w:t>
      </w:r>
      <w:r>
        <w:t>r.</w:t>
      </w:r>
      <w:r w:rsidR="00597C1D">
        <w:t xml:space="preserve"> i osiągnął wartość 5,7</w:t>
      </w:r>
      <w:r w:rsidR="00597C1D" w:rsidRPr="00210F89">
        <w:rPr>
          <w:shd w:val="clear" w:color="auto" w:fill="FFFFFF"/>
          <w:vertAlign w:val="superscript"/>
        </w:rPr>
        <w:t>*</w:t>
      </w:r>
      <w:r w:rsidR="00597C1D">
        <w:t>.</w:t>
      </w: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D1E" w:rsidRPr="00380DFD" w:rsidRDefault="00D13D1E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5,2 p. proc.  w stosunku do poprzedniego miesiąca</w:t>
                            </w:r>
                          </w:p>
                          <w:p w:rsidR="00D13D1E" w:rsidRPr="00380DFD" w:rsidRDefault="00D13D1E" w:rsidP="00C074FD">
                            <w:pPr>
                              <w:pStyle w:val="tekstzboku"/>
                            </w:pPr>
                          </w:p>
                          <w:p w:rsidR="00D13D1E" w:rsidRPr="00D616D2" w:rsidRDefault="00D13D1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D13D1E" w:rsidRPr="00380DFD" w:rsidRDefault="00D13D1E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5,2 p. proc.  w stosunku do poprzedniego miesiąca</w:t>
                      </w:r>
                    </w:p>
                    <w:p w:rsidR="00D13D1E" w:rsidRPr="00380DFD" w:rsidRDefault="00D13D1E" w:rsidP="00C074FD">
                      <w:pPr>
                        <w:pStyle w:val="tekstzboku"/>
                      </w:pPr>
                    </w:p>
                    <w:p w:rsidR="00D13D1E" w:rsidRPr="00D616D2" w:rsidRDefault="00D13D1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9D0AC9">
        <w:t>grudniu</w:t>
      </w:r>
      <w:r w:rsidRPr="009A5A6D">
        <w:t xml:space="preserve"> 2018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7E58C7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7E58C7">
        <w:rPr>
          <w:shd w:val="clear" w:color="auto" w:fill="FFFFFF"/>
        </w:rPr>
        <w:t>5,2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7E58C7">
        <w:rPr>
          <w:shd w:val="clear" w:color="auto" w:fill="FFFFFF"/>
        </w:rPr>
        <w:t>-1</w:t>
      </w:r>
      <w:r w:rsidRPr="00396FC5">
        <w:rPr>
          <w:shd w:val="clear" w:color="auto" w:fill="FFFFFF"/>
        </w:rPr>
        <w:t>,</w:t>
      </w:r>
      <w:r w:rsidR="007E58C7">
        <w:rPr>
          <w:shd w:val="clear" w:color="auto" w:fill="FFFFFF"/>
        </w:rPr>
        <w:t>8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4E61ED" w:rsidRDefault="00163353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6265B8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="00C566A9">
        <w:rPr>
          <w:shd w:val="clear" w:color="auto" w:fill="FFFFFF"/>
        </w:rPr>
        <w:t>wartości wskaźnika</w:t>
      </w:r>
      <w:r w:rsidR="00D96A34">
        <w:rPr>
          <w:shd w:val="clear" w:color="auto" w:fill="FFFFFF"/>
        </w:rPr>
        <w:t xml:space="preserve"> </w:t>
      </w:r>
      <w:r w:rsidR="006265B8">
        <w:rPr>
          <w:shd w:val="clear" w:color="auto" w:fill="FFFFFF"/>
        </w:rPr>
        <w:t>wpłynęły wszystkie jego składniki</w:t>
      </w:r>
      <w:r w:rsidR="0062592E">
        <w:rPr>
          <w:shd w:val="clear" w:color="auto" w:fill="FFFFFF"/>
        </w:rPr>
        <w:t xml:space="preserve">. </w:t>
      </w:r>
      <w:r w:rsidR="004271F2">
        <w:rPr>
          <w:shd w:val="clear" w:color="auto" w:fill="FFFFFF"/>
        </w:rPr>
        <w:t>N</w:t>
      </w:r>
      <w:r w:rsidR="00D13D1E">
        <w:rPr>
          <w:shd w:val="clear" w:color="auto" w:fill="FFFFFF"/>
        </w:rPr>
        <w:t>ajwiększe</w:t>
      </w:r>
      <w:r w:rsidR="004271F2">
        <w:rPr>
          <w:shd w:val="clear" w:color="auto" w:fill="FFFFFF"/>
        </w:rPr>
        <w:t xml:space="preserve"> spad</w:t>
      </w:r>
      <w:r w:rsidR="00D13D1E">
        <w:rPr>
          <w:shd w:val="clear" w:color="auto" w:fill="FFFFFF"/>
        </w:rPr>
        <w:t xml:space="preserve">ki odnotowano dla ocen </w:t>
      </w:r>
      <w:r w:rsidR="004271F2">
        <w:rPr>
          <w:shd w:val="clear" w:color="auto" w:fill="FFFFFF"/>
        </w:rPr>
        <w:t>przyszłej sytuacji ekonomicznej kraju (o 7,5 p. proc.</w:t>
      </w:r>
      <w:r w:rsidR="00D13D1E">
        <w:rPr>
          <w:shd w:val="clear" w:color="auto" w:fill="FFFFFF"/>
        </w:rPr>
        <w:t>) oraz możliwości oszczędzania pieniędzy (o 6,4 p. proc.)</w:t>
      </w:r>
      <w:r w:rsidR="004271F2">
        <w:rPr>
          <w:shd w:val="clear" w:color="auto" w:fill="FFFFFF"/>
        </w:rPr>
        <w:t xml:space="preserve"> Dla pozostałych składowych wskaźnika spadki kształtowały się</w:t>
      </w:r>
      <w:r w:rsidR="00D13D1E">
        <w:rPr>
          <w:shd w:val="clear" w:color="auto" w:fill="FFFFFF"/>
        </w:rPr>
        <w:t xml:space="preserve"> następująco: </w:t>
      </w:r>
      <w:r w:rsidR="004271F2">
        <w:rPr>
          <w:shd w:val="clear" w:color="auto" w:fill="FFFFFF"/>
        </w:rPr>
        <w:t xml:space="preserve"> 5,0 p. proc. dla oceny przyszłej sytuacji finansowej gospodarstwa domowego </w:t>
      </w:r>
      <w:r w:rsidR="00D13D1E">
        <w:rPr>
          <w:shd w:val="clear" w:color="auto" w:fill="FFFFFF"/>
        </w:rPr>
        <w:t>oraz</w:t>
      </w:r>
      <w:r w:rsidR="004271F2">
        <w:rPr>
          <w:shd w:val="clear" w:color="auto" w:fill="FFFFFF"/>
        </w:rPr>
        <w:t xml:space="preserve"> 1,8 p. proc. dla oceny przyszłego poziomu bezrobocia. 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grudniu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1,6 p. proc.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niższą niż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 analogicznym miesiącu 2017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2570E8" w:rsidRDefault="006265B8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 2018 r. wartość WWUK była o 3,2 p. proc. wyższa niż w 2017 r.</w:t>
      </w:r>
      <w:r w:rsidR="003F6DBB">
        <w:rPr>
          <w:shd w:val="clear" w:color="auto" w:fill="FFFFFF"/>
        </w:rPr>
        <w:t xml:space="preserve"> i ukształtowała się na poziomie 2,9</w:t>
      </w:r>
      <w:r w:rsidR="003F6DBB" w:rsidRPr="00210F89">
        <w:rPr>
          <w:shd w:val="clear" w:color="auto" w:fill="FFFFFF"/>
          <w:vertAlign w:val="superscript"/>
        </w:rPr>
        <w:t>*</w:t>
      </w:r>
      <w:r w:rsidR="003F6DBB">
        <w:rPr>
          <w:shd w:val="clear" w:color="auto" w:fill="FFFFFF"/>
        </w:rPr>
        <w:t>.</w:t>
      </w: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D1E" w:rsidRPr="0093660E" w:rsidRDefault="00D13D1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D13D1E" w:rsidRPr="0093660E" w:rsidRDefault="00D13D1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D1E" w:rsidRPr="0093660E" w:rsidRDefault="00D13D1E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D13D1E" w:rsidRPr="0093660E" w:rsidRDefault="00D13D1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D13D1E" w:rsidRPr="0093660E" w:rsidRDefault="00D13D1E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D13D1E" w:rsidRPr="0093660E" w:rsidRDefault="00D13D1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D1E" w:rsidRPr="003B3271" w:rsidRDefault="00D13D1E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D13D1E" w:rsidRPr="003B3271" w:rsidRDefault="00D13D1E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D629CF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530074">
              <w:rPr>
                <w:b/>
                <w:sz w:val="20"/>
                <w:lang w:val="en-US"/>
              </w:rPr>
              <w:t>faks</w:t>
            </w:r>
            <w:proofErr w:type="spellEnd"/>
            <w:r w:rsidRPr="00530074">
              <w:rPr>
                <w:b/>
                <w:sz w:val="20"/>
                <w:lang w:val="en-US"/>
              </w:rPr>
              <w:t>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D1E" w:rsidRDefault="00D13D1E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D13D1E" w:rsidRPr="00C51D06" w:rsidRDefault="00D13D1E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13D1E" w:rsidRPr="00F65B91" w:rsidRDefault="001264B7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D13D1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listopadzie 2018 roku</w:t>
                              </w:r>
                            </w:hyperlink>
                          </w:p>
                          <w:p w:rsidR="00D13D1E" w:rsidRPr="00C51D06" w:rsidRDefault="001264B7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D13D1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10/2018</w:t>
                              </w:r>
                            </w:hyperlink>
                          </w:p>
                          <w:p w:rsidR="00D13D1E" w:rsidRPr="00C51D06" w:rsidRDefault="00D13D1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13D1E" w:rsidRPr="00655E7E" w:rsidRDefault="00D13D1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13D1E" w:rsidRPr="00E827EF" w:rsidRDefault="001264B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13D1E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D13D1E" w:rsidRPr="00C267CA" w:rsidRDefault="00D13D1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D13D1E" w:rsidRDefault="00D13D1E" w:rsidP="00AB6D25">
                      <w:pPr>
                        <w:rPr>
                          <w:b/>
                        </w:rPr>
                      </w:pPr>
                    </w:p>
                    <w:p w:rsidR="00D13D1E" w:rsidRPr="00C51D06" w:rsidRDefault="00D13D1E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D13D1E" w:rsidRPr="00F65B91" w:rsidRDefault="00D13D1E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listopadzie 2018 roku</w:t>
                        </w:r>
                      </w:hyperlink>
                    </w:p>
                    <w:p w:rsidR="00D13D1E" w:rsidRPr="00C51D06" w:rsidRDefault="00D13D1E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10/2018</w:t>
                        </w:r>
                      </w:hyperlink>
                    </w:p>
                    <w:p w:rsidR="00D13D1E" w:rsidRPr="00C51D06" w:rsidRDefault="00D13D1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13D1E" w:rsidRPr="00655E7E" w:rsidRDefault="00D13D1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13D1E" w:rsidRPr="00E827EF" w:rsidRDefault="00D13D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D13D1E" w:rsidRPr="00C267CA" w:rsidRDefault="00D13D1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4B7" w:rsidRDefault="001264B7" w:rsidP="000662E2">
      <w:pPr>
        <w:spacing w:after="0" w:line="240" w:lineRule="auto"/>
      </w:pPr>
      <w:r>
        <w:separator/>
      </w:r>
    </w:p>
  </w:endnote>
  <w:endnote w:type="continuationSeparator" w:id="0">
    <w:p w:rsidR="001264B7" w:rsidRDefault="001264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60EF3FB-6655-481A-AFE1-C0A84929CE0A}"/>
    <w:embedBold r:id="rId2" w:fontKey="{72DC67B4-51FD-4502-8C5C-401554212C11}"/>
    <w:embedItalic r:id="rId3" w:fontKey="{EF14952D-131F-4EFD-8282-F3B5539CE20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CA66FEE-F88F-4EFE-94FC-36C5CB39FA43}"/>
    <w:embedBold r:id="rId5" w:fontKey="{AC8EC5A9-69B1-41AD-A84E-59AE16DD3D82}"/>
    <w:embedItalic r:id="rId6" w:fontKey="{CE927956-1A39-4ECE-B9D2-E0C644A9A4C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60AFEDC-0A96-4C95-BD01-7442A97119F6}"/>
    <w:embedBold r:id="rId8" w:fontKey="{5E0B1838-6846-48F6-BF22-8C1A5E61653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1151096-E149-4241-98E2-94B8797E5001}"/>
    <w:embedItalic r:id="rId10" w:fontKey="{97CC482A-77D2-4CC8-B6FD-49B86946C1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3EBF25F-B110-481E-AE73-1890F1B48ACE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DA0DEC67-C581-489B-BBED-A8C5040E512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D13D1E" w:rsidRDefault="00D13D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69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D13D1E" w:rsidRDefault="00D13D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69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D13D1E" w:rsidRDefault="00D13D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69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4B7" w:rsidRDefault="001264B7" w:rsidP="000662E2">
      <w:pPr>
        <w:spacing w:after="0" w:line="240" w:lineRule="auto"/>
      </w:pPr>
      <w:r>
        <w:separator/>
      </w:r>
    </w:p>
  </w:footnote>
  <w:footnote w:type="continuationSeparator" w:id="0">
    <w:p w:rsidR="001264B7" w:rsidRDefault="001264B7" w:rsidP="000662E2">
      <w:pPr>
        <w:spacing w:after="0" w:line="240" w:lineRule="auto"/>
      </w:pPr>
      <w:r>
        <w:continuationSeparator/>
      </w:r>
    </w:p>
  </w:footnote>
  <w:footnote w:id="1">
    <w:p w:rsidR="00D13D1E" w:rsidRPr="00EC6435" w:rsidRDefault="00D13D1E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grudniu 2018 r. przeprowadzono 1223 wywiady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03-12.12.2018 r. (w tym 79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1E" w:rsidRDefault="00D13D1E">
    <w:pPr>
      <w:pStyle w:val="Nagwek"/>
    </w:pPr>
  </w:p>
  <w:p w:rsidR="00D13D1E" w:rsidRDefault="00D13D1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1E" w:rsidRDefault="00D13D1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13D1E" w:rsidRPr="003C6C8D" w:rsidRDefault="00D13D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13D1E" w:rsidRPr="003C6C8D" w:rsidRDefault="00D13D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D13D1E" w:rsidRDefault="00D13D1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3D1E" w:rsidRPr="00C97596" w:rsidRDefault="00D13D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19.12.2018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13D1E" w:rsidRPr="00C97596" w:rsidRDefault="00D13D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19.12.2018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1E" w:rsidRDefault="00D13D1E">
    <w:pPr>
      <w:pStyle w:val="Nagwek"/>
    </w:pPr>
  </w:p>
  <w:p w:rsidR="00D13D1E" w:rsidRDefault="00D13D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1798"/>
    <w:rsid w:val="0004582E"/>
    <w:rsid w:val="000470AA"/>
    <w:rsid w:val="00047B35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6288"/>
    <w:rsid w:val="00087858"/>
    <w:rsid w:val="00092223"/>
    <w:rsid w:val="00096100"/>
    <w:rsid w:val="00097840"/>
    <w:rsid w:val="000A296E"/>
    <w:rsid w:val="000B0727"/>
    <w:rsid w:val="000B0D27"/>
    <w:rsid w:val="000B5253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264B7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63353"/>
    <w:rsid w:val="00181035"/>
    <w:rsid w:val="00181CBC"/>
    <w:rsid w:val="00183CE4"/>
    <w:rsid w:val="00192832"/>
    <w:rsid w:val="001951DA"/>
    <w:rsid w:val="00197987"/>
    <w:rsid w:val="00197B94"/>
    <w:rsid w:val="001A7D81"/>
    <w:rsid w:val="001C1E98"/>
    <w:rsid w:val="001C3269"/>
    <w:rsid w:val="001C42EB"/>
    <w:rsid w:val="001D1DB4"/>
    <w:rsid w:val="001D2AA0"/>
    <w:rsid w:val="001D5FC6"/>
    <w:rsid w:val="001D7E17"/>
    <w:rsid w:val="001F19A3"/>
    <w:rsid w:val="001F2A20"/>
    <w:rsid w:val="00210F89"/>
    <w:rsid w:val="002253F4"/>
    <w:rsid w:val="00227C24"/>
    <w:rsid w:val="002331F6"/>
    <w:rsid w:val="00255158"/>
    <w:rsid w:val="002570E8"/>
    <w:rsid w:val="002574F9"/>
    <w:rsid w:val="00262B61"/>
    <w:rsid w:val="00262E7F"/>
    <w:rsid w:val="00276811"/>
    <w:rsid w:val="00282699"/>
    <w:rsid w:val="002830B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C58BA"/>
    <w:rsid w:val="002D5918"/>
    <w:rsid w:val="002D77BE"/>
    <w:rsid w:val="002E0940"/>
    <w:rsid w:val="002E14C1"/>
    <w:rsid w:val="002E6140"/>
    <w:rsid w:val="002E6985"/>
    <w:rsid w:val="002E71B6"/>
    <w:rsid w:val="002F027A"/>
    <w:rsid w:val="002F22D2"/>
    <w:rsid w:val="002F5124"/>
    <w:rsid w:val="002F77C8"/>
    <w:rsid w:val="003013F7"/>
    <w:rsid w:val="0030476F"/>
    <w:rsid w:val="00304F22"/>
    <w:rsid w:val="00306C7C"/>
    <w:rsid w:val="00320B84"/>
    <w:rsid w:val="00322EDD"/>
    <w:rsid w:val="00332320"/>
    <w:rsid w:val="003346B1"/>
    <w:rsid w:val="003350E9"/>
    <w:rsid w:val="00341AC1"/>
    <w:rsid w:val="00345AB6"/>
    <w:rsid w:val="00347D72"/>
    <w:rsid w:val="00351316"/>
    <w:rsid w:val="0035420B"/>
    <w:rsid w:val="00357611"/>
    <w:rsid w:val="0036042D"/>
    <w:rsid w:val="00360663"/>
    <w:rsid w:val="00367237"/>
    <w:rsid w:val="003701DE"/>
    <w:rsid w:val="0037077F"/>
    <w:rsid w:val="00372411"/>
    <w:rsid w:val="00373882"/>
    <w:rsid w:val="00377B67"/>
    <w:rsid w:val="00380DFD"/>
    <w:rsid w:val="003843DB"/>
    <w:rsid w:val="00384F1C"/>
    <w:rsid w:val="00386E30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21E2"/>
    <w:rsid w:val="003D4D7F"/>
    <w:rsid w:val="003D4F95"/>
    <w:rsid w:val="003D57EF"/>
    <w:rsid w:val="003D5F42"/>
    <w:rsid w:val="003D60A9"/>
    <w:rsid w:val="003E5F73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1F2"/>
    <w:rsid w:val="00427BF8"/>
    <w:rsid w:val="00431318"/>
    <w:rsid w:val="00431C02"/>
    <w:rsid w:val="00434891"/>
    <w:rsid w:val="00437395"/>
    <w:rsid w:val="0044211B"/>
    <w:rsid w:val="00445047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BA8"/>
    <w:rsid w:val="00483BB4"/>
    <w:rsid w:val="00486E1D"/>
    <w:rsid w:val="0049621B"/>
    <w:rsid w:val="00496F49"/>
    <w:rsid w:val="0049754B"/>
    <w:rsid w:val="004A104D"/>
    <w:rsid w:val="004B0AE4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63FC"/>
    <w:rsid w:val="004F7BB4"/>
    <w:rsid w:val="00500308"/>
    <w:rsid w:val="00500D94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E43"/>
    <w:rsid w:val="00556CF1"/>
    <w:rsid w:val="00561BB7"/>
    <w:rsid w:val="00562F4D"/>
    <w:rsid w:val="0057036A"/>
    <w:rsid w:val="005762A7"/>
    <w:rsid w:val="00581651"/>
    <w:rsid w:val="00586EB0"/>
    <w:rsid w:val="005916D7"/>
    <w:rsid w:val="005930D9"/>
    <w:rsid w:val="00597C1D"/>
    <w:rsid w:val="005A36AA"/>
    <w:rsid w:val="005A3A95"/>
    <w:rsid w:val="005A653B"/>
    <w:rsid w:val="005A698C"/>
    <w:rsid w:val="005A730E"/>
    <w:rsid w:val="005B3A86"/>
    <w:rsid w:val="005B5D8A"/>
    <w:rsid w:val="005C433F"/>
    <w:rsid w:val="005E0799"/>
    <w:rsid w:val="005E0B91"/>
    <w:rsid w:val="005F0D73"/>
    <w:rsid w:val="005F4EA6"/>
    <w:rsid w:val="005F5A80"/>
    <w:rsid w:val="00600F7B"/>
    <w:rsid w:val="006044FF"/>
    <w:rsid w:val="0060556B"/>
    <w:rsid w:val="00607CC5"/>
    <w:rsid w:val="00617810"/>
    <w:rsid w:val="0062592E"/>
    <w:rsid w:val="006265B8"/>
    <w:rsid w:val="00633014"/>
    <w:rsid w:val="0063437B"/>
    <w:rsid w:val="006404CD"/>
    <w:rsid w:val="0064135C"/>
    <w:rsid w:val="006456D4"/>
    <w:rsid w:val="006508EE"/>
    <w:rsid w:val="00651FDC"/>
    <w:rsid w:val="00655E7E"/>
    <w:rsid w:val="00656AE2"/>
    <w:rsid w:val="00661ECB"/>
    <w:rsid w:val="006623F1"/>
    <w:rsid w:val="00663D48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A745A"/>
    <w:rsid w:val="006B0E9E"/>
    <w:rsid w:val="006B5AE4"/>
    <w:rsid w:val="006B60E1"/>
    <w:rsid w:val="006C105E"/>
    <w:rsid w:val="006C154F"/>
    <w:rsid w:val="006C4C37"/>
    <w:rsid w:val="006D1507"/>
    <w:rsid w:val="006D4054"/>
    <w:rsid w:val="006D6C0E"/>
    <w:rsid w:val="006E02EC"/>
    <w:rsid w:val="006F05D5"/>
    <w:rsid w:val="007004AD"/>
    <w:rsid w:val="00707207"/>
    <w:rsid w:val="00712B2A"/>
    <w:rsid w:val="0071553E"/>
    <w:rsid w:val="00715683"/>
    <w:rsid w:val="007211B1"/>
    <w:rsid w:val="00724C09"/>
    <w:rsid w:val="007316C5"/>
    <w:rsid w:val="00733E2E"/>
    <w:rsid w:val="00743028"/>
    <w:rsid w:val="007443DC"/>
    <w:rsid w:val="00744F8A"/>
    <w:rsid w:val="00745D81"/>
    <w:rsid w:val="00746187"/>
    <w:rsid w:val="0076254F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706E"/>
    <w:rsid w:val="007A2DC1"/>
    <w:rsid w:val="007A569D"/>
    <w:rsid w:val="007A7B28"/>
    <w:rsid w:val="007B7753"/>
    <w:rsid w:val="007D1F0E"/>
    <w:rsid w:val="007D3319"/>
    <w:rsid w:val="007D335D"/>
    <w:rsid w:val="007D6F6F"/>
    <w:rsid w:val="007E3314"/>
    <w:rsid w:val="007E4B03"/>
    <w:rsid w:val="007E58C7"/>
    <w:rsid w:val="007F324B"/>
    <w:rsid w:val="007F4E3D"/>
    <w:rsid w:val="00801B02"/>
    <w:rsid w:val="008024D9"/>
    <w:rsid w:val="0080553C"/>
    <w:rsid w:val="00805B46"/>
    <w:rsid w:val="008063C9"/>
    <w:rsid w:val="00812A08"/>
    <w:rsid w:val="0082137A"/>
    <w:rsid w:val="0082262A"/>
    <w:rsid w:val="0082543E"/>
    <w:rsid w:val="00825DC2"/>
    <w:rsid w:val="00834AD3"/>
    <w:rsid w:val="00843795"/>
    <w:rsid w:val="00847F0F"/>
    <w:rsid w:val="00852330"/>
    <w:rsid w:val="0085237B"/>
    <w:rsid w:val="00852448"/>
    <w:rsid w:val="00866947"/>
    <w:rsid w:val="008822CB"/>
    <w:rsid w:val="0088258A"/>
    <w:rsid w:val="00886332"/>
    <w:rsid w:val="00886CAB"/>
    <w:rsid w:val="00887A82"/>
    <w:rsid w:val="008908A3"/>
    <w:rsid w:val="00891FF7"/>
    <w:rsid w:val="00897772"/>
    <w:rsid w:val="008979AA"/>
    <w:rsid w:val="008A1D0D"/>
    <w:rsid w:val="008A26D9"/>
    <w:rsid w:val="008A2F86"/>
    <w:rsid w:val="008B2416"/>
    <w:rsid w:val="008B77C0"/>
    <w:rsid w:val="008C0C29"/>
    <w:rsid w:val="008C2B4B"/>
    <w:rsid w:val="008D61B1"/>
    <w:rsid w:val="008E39CE"/>
    <w:rsid w:val="008E75B8"/>
    <w:rsid w:val="008F3638"/>
    <w:rsid w:val="008F4441"/>
    <w:rsid w:val="008F6F31"/>
    <w:rsid w:val="008F74DF"/>
    <w:rsid w:val="0090176A"/>
    <w:rsid w:val="0090561C"/>
    <w:rsid w:val="00907522"/>
    <w:rsid w:val="009127BA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601C9"/>
    <w:rsid w:val="00967DF8"/>
    <w:rsid w:val="009705EE"/>
    <w:rsid w:val="00977927"/>
    <w:rsid w:val="0098135C"/>
    <w:rsid w:val="0098156A"/>
    <w:rsid w:val="00991BAC"/>
    <w:rsid w:val="009942D1"/>
    <w:rsid w:val="00997879"/>
    <w:rsid w:val="009A283D"/>
    <w:rsid w:val="009A2905"/>
    <w:rsid w:val="009A5A6D"/>
    <w:rsid w:val="009A6EA0"/>
    <w:rsid w:val="009B171E"/>
    <w:rsid w:val="009C1335"/>
    <w:rsid w:val="009C1AB2"/>
    <w:rsid w:val="009C7251"/>
    <w:rsid w:val="009D0AC9"/>
    <w:rsid w:val="009D10D8"/>
    <w:rsid w:val="009D207F"/>
    <w:rsid w:val="009D7CA8"/>
    <w:rsid w:val="009E2E91"/>
    <w:rsid w:val="009F096D"/>
    <w:rsid w:val="009F1339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7D09"/>
    <w:rsid w:val="00A47D80"/>
    <w:rsid w:val="00A53132"/>
    <w:rsid w:val="00A563F2"/>
    <w:rsid w:val="00A566E8"/>
    <w:rsid w:val="00A6713B"/>
    <w:rsid w:val="00A77879"/>
    <w:rsid w:val="00A810F9"/>
    <w:rsid w:val="00A81127"/>
    <w:rsid w:val="00A821F3"/>
    <w:rsid w:val="00A866F2"/>
    <w:rsid w:val="00A86ECC"/>
    <w:rsid w:val="00A86FCC"/>
    <w:rsid w:val="00A953B9"/>
    <w:rsid w:val="00AA5262"/>
    <w:rsid w:val="00AA57A3"/>
    <w:rsid w:val="00AA710D"/>
    <w:rsid w:val="00AB2C3E"/>
    <w:rsid w:val="00AB6D25"/>
    <w:rsid w:val="00AC2AC4"/>
    <w:rsid w:val="00AC5371"/>
    <w:rsid w:val="00AC77DC"/>
    <w:rsid w:val="00AD7676"/>
    <w:rsid w:val="00AE06C8"/>
    <w:rsid w:val="00AE2D4B"/>
    <w:rsid w:val="00AE4F99"/>
    <w:rsid w:val="00AE6789"/>
    <w:rsid w:val="00AF2F1E"/>
    <w:rsid w:val="00AF3780"/>
    <w:rsid w:val="00B00C09"/>
    <w:rsid w:val="00B11A49"/>
    <w:rsid w:val="00B11B69"/>
    <w:rsid w:val="00B12FBA"/>
    <w:rsid w:val="00B14952"/>
    <w:rsid w:val="00B217DB"/>
    <w:rsid w:val="00B27B18"/>
    <w:rsid w:val="00B27B58"/>
    <w:rsid w:val="00B31E5A"/>
    <w:rsid w:val="00B35A63"/>
    <w:rsid w:val="00B403A1"/>
    <w:rsid w:val="00B412A3"/>
    <w:rsid w:val="00B4483E"/>
    <w:rsid w:val="00B46A9F"/>
    <w:rsid w:val="00B6033B"/>
    <w:rsid w:val="00B61924"/>
    <w:rsid w:val="00B653AB"/>
    <w:rsid w:val="00B65F9E"/>
    <w:rsid w:val="00B66B19"/>
    <w:rsid w:val="00B7120E"/>
    <w:rsid w:val="00B722C7"/>
    <w:rsid w:val="00B72F68"/>
    <w:rsid w:val="00B733EE"/>
    <w:rsid w:val="00B77A19"/>
    <w:rsid w:val="00B81262"/>
    <w:rsid w:val="00B81EBE"/>
    <w:rsid w:val="00B85DBF"/>
    <w:rsid w:val="00B86BCA"/>
    <w:rsid w:val="00B914E9"/>
    <w:rsid w:val="00B9163F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F09"/>
    <w:rsid w:val="00BC2DDB"/>
    <w:rsid w:val="00BC44E4"/>
    <w:rsid w:val="00BD1E7E"/>
    <w:rsid w:val="00BD4E33"/>
    <w:rsid w:val="00BE54BD"/>
    <w:rsid w:val="00BF0508"/>
    <w:rsid w:val="00BF61D5"/>
    <w:rsid w:val="00C030DE"/>
    <w:rsid w:val="00C074FD"/>
    <w:rsid w:val="00C15772"/>
    <w:rsid w:val="00C16AEC"/>
    <w:rsid w:val="00C22105"/>
    <w:rsid w:val="00C244B6"/>
    <w:rsid w:val="00C25087"/>
    <w:rsid w:val="00C267CA"/>
    <w:rsid w:val="00C3702F"/>
    <w:rsid w:val="00C4500A"/>
    <w:rsid w:val="00C51D06"/>
    <w:rsid w:val="00C558C4"/>
    <w:rsid w:val="00C562B2"/>
    <w:rsid w:val="00C566A9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0641"/>
    <w:rsid w:val="00CA107B"/>
    <w:rsid w:val="00CA484D"/>
    <w:rsid w:val="00CA495C"/>
    <w:rsid w:val="00CA4FB6"/>
    <w:rsid w:val="00CA5C53"/>
    <w:rsid w:val="00CB1737"/>
    <w:rsid w:val="00CB1BA1"/>
    <w:rsid w:val="00CC28D0"/>
    <w:rsid w:val="00CC5415"/>
    <w:rsid w:val="00CC72A6"/>
    <w:rsid w:val="00CC739E"/>
    <w:rsid w:val="00CD178A"/>
    <w:rsid w:val="00CD217B"/>
    <w:rsid w:val="00CD49BB"/>
    <w:rsid w:val="00CD58B7"/>
    <w:rsid w:val="00CE5EF2"/>
    <w:rsid w:val="00CF4099"/>
    <w:rsid w:val="00CF6348"/>
    <w:rsid w:val="00D00796"/>
    <w:rsid w:val="00D029DF"/>
    <w:rsid w:val="00D05126"/>
    <w:rsid w:val="00D13D1E"/>
    <w:rsid w:val="00D16D48"/>
    <w:rsid w:val="00D21BB8"/>
    <w:rsid w:val="00D24390"/>
    <w:rsid w:val="00D24C05"/>
    <w:rsid w:val="00D261A2"/>
    <w:rsid w:val="00D54347"/>
    <w:rsid w:val="00D60211"/>
    <w:rsid w:val="00D616D2"/>
    <w:rsid w:val="00D62602"/>
    <w:rsid w:val="00D629CF"/>
    <w:rsid w:val="00D63B5F"/>
    <w:rsid w:val="00D70EF7"/>
    <w:rsid w:val="00D8019B"/>
    <w:rsid w:val="00D8397C"/>
    <w:rsid w:val="00D90CB4"/>
    <w:rsid w:val="00D94BFD"/>
    <w:rsid w:val="00D94EED"/>
    <w:rsid w:val="00D96026"/>
    <w:rsid w:val="00D96A34"/>
    <w:rsid w:val="00D97CB4"/>
    <w:rsid w:val="00DA0438"/>
    <w:rsid w:val="00DA70BC"/>
    <w:rsid w:val="00DA7C1C"/>
    <w:rsid w:val="00DB147A"/>
    <w:rsid w:val="00DB1B7A"/>
    <w:rsid w:val="00DC0BD7"/>
    <w:rsid w:val="00DC22C3"/>
    <w:rsid w:val="00DC6708"/>
    <w:rsid w:val="00DD01DA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3337"/>
    <w:rsid w:val="00E2483C"/>
    <w:rsid w:val="00E259EA"/>
    <w:rsid w:val="00E32061"/>
    <w:rsid w:val="00E37334"/>
    <w:rsid w:val="00E41497"/>
    <w:rsid w:val="00E42FF9"/>
    <w:rsid w:val="00E4714C"/>
    <w:rsid w:val="00E51AEB"/>
    <w:rsid w:val="00E522A7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A69E1"/>
    <w:rsid w:val="00EB1390"/>
    <w:rsid w:val="00EB2C71"/>
    <w:rsid w:val="00EB4340"/>
    <w:rsid w:val="00EB556D"/>
    <w:rsid w:val="00EB5A7D"/>
    <w:rsid w:val="00EC4951"/>
    <w:rsid w:val="00EC6435"/>
    <w:rsid w:val="00EC76B9"/>
    <w:rsid w:val="00ED3D10"/>
    <w:rsid w:val="00ED55C0"/>
    <w:rsid w:val="00ED682B"/>
    <w:rsid w:val="00EE41D5"/>
    <w:rsid w:val="00EE5223"/>
    <w:rsid w:val="00EE54DA"/>
    <w:rsid w:val="00EE6B7A"/>
    <w:rsid w:val="00EF6C6B"/>
    <w:rsid w:val="00F0121F"/>
    <w:rsid w:val="00F0170D"/>
    <w:rsid w:val="00F037A4"/>
    <w:rsid w:val="00F071AC"/>
    <w:rsid w:val="00F154DB"/>
    <w:rsid w:val="00F15F6E"/>
    <w:rsid w:val="00F27C8F"/>
    <w:rsid w:val="00F32323"/>
    <w:rsid w:val="00F32749"/>
    <w:rsid w:val="00F327B3"/>
    <w:rsid w:val="00F359FA"/>
    <w:rsid w:val="00F37172"/>
    <w:rsid w:val="00F40194"/>
    <w:rsid w:val="00F4477E"/>
    <w:rsid w:val="00F45AD8"/>
    <w:rsid w:val="00F46013"/>
    <w:rsid w:val="00F478EF"/>
    <w:rsid w:val="00F54466"/>
    <w:rsid w:val="00F65B91"/>
    <w:rsid w:val="00F6684A"/>
    <w:rsid w:val="00F6773E"/>
    <w:rsid w:val="00F67D8F"/>
    <w:rsid w:val="00F726A7"/>
    <w:rsid w:val="00F729F3"/>
    <w:rsid w:val="00F802BE"/>
    <w:rsid w:val="00F80E93"/>
    <w:rsid w:val="00F82CF5"/>
    <w:rsid w:val="00F86024"/>
    <w:rsid w:val="00F8611A"/>
    <w:rsid w:val="00F87A89"/>
    <w:rsid w:val="00FA0634"/>
    <w:rsid w:val="00FA5128"/>
    <w:rsid w:val="00FA5F62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4F5A"/>
    <w:rsid w:val="00FD5EA7"/>
    <w:rsid w:val="00FD69E9"/>
    <w:rsid w:val="00FD7BD2"/>
    <w:rsid w:val="00FE6DF6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102018,4,81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inne-opracowania/informacje-o-sytuacji-spoleczno-gospodarczej/biuletyn-statystyczny-nr-102018,4,8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koniunktura/koniunktura/koniunktura-w-przemysle-budownictwie-handlu-i-uslugach-listopad-2018-r-,3,72.html" TargetMode="External"/><Relationship Id="rId30" Type="http://schemas.openxmlformats.org/officeDocument/2006/relationships/hyperlink" Target="http://stat.gov.pl/obszary-tematyczne/koniunktura/koniunktura/koniunktura-w-przemysle-budownictwie-handlu-i-uslugach-listopad-2018-r-,3,72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8"/>
                <c:pt idx="0">
                  <c:v>-11.7</c:v>
                </c:pt>
                <c:pt idx="1">
                  <c:v>-16.600000000000001</c:v>
                </c:pt>
                <c:pt idx="2">
                  <c:v>-16.399999999999999</c:v>
                </c:pt>
                <c:pt idx="3">
                  <c:v>-10.9</c:v>
                </c:pt>
                <c:pt idx="4">
                  <c:v>-13.6</c:v>
                </c:pt>
                <c:pt idx="5">
                  <c:v>-10.4</c:v>
                </c:pt>
                <c:pt idx="6">
                  <c:v>-10.9</c:v>
                </c:pt>
                <c:pt idx="7">
                  <c:v>-7.9</c:v>
                </c:pt>
                <c:pt idx="8">
                  <c:v>-9.9</c:v>
                </c:pt>
                <c:pt idx="9">
                  <c:v>-9.4</c:v>
                </c:pt>
                <c:pt idx="10">
                  <c:v>-3.9</c:v>
                </c:pt>
                <c:pt idx="11">
                  <c:v>-9.3000000000000007</c:v>
                </c:pt>
                <c:pt idx="12">
                  <c:v>-7</c:v>
                </c:pt>
                <c:pt idx="13">
                  <c:v>-6.2</c:v>
                </c:pt>
                <c:pt idx="14">
                  <c:v>-9.3000000000000007</c:v>
                </c:pt>
                <c:pt idx="15">
                  <c:v>-4.7</c:v>
                </c:pt>
                <c:pt idx="16">
                  <c:v>-6.7</c:v>
                </c:pt>
                <c:pt idx="17">
                  <c:v>-6.5</c:v>
                </c:pt>
                <c:pt idx="18">
                  <c:v>-5.6</c:v>
                </c:pt>
                <c:pt idx="19">
                  <c:v>-3.8</c:v>
                </c:pt>
                <c:pt idx="20">
                  <c:v>-2.4</c:v>
                </c:pt>
                <c:pt idx="21">
                  <c:v>-3.7</c:v>
                </c:pt>
                <c:pt idx="22">
                  <c:v>-2.4</c:v>
                </c:pt>
                <c:pt idx="23">
                  <c:v>-3.7</c:v>
                </c:pt>
                <c:pt idx="24">
                  <c:v>-1.2</c:v>
                </c:pt>
                <c:pt idx="25">
                  <c:v>-1.9</c:v>
                </c:pt>
                <c:pt idx="26">
                  <c:v>-2</c:v>
                </c:pt>
                <c:pt idx="27">
                  <c:v>-0.8</c:v>
                </c:pt>
                <c:pt idx="28">
                  <c:v>3.1</c:v>
                </c:pt>
                <c:pt idx="29">
                  <c:v>4.8</c:v>
                </c:pt>
                <c:pt idx="30">
                  <c:v>4</c:v>
                </c:pt>
                <c:pt idx="31">
                  <c:v>5.7</c:v>
                </c:pt>
                <c:pt idx="32">
                  <c:v>5</c:v>
                </c:pt>
                <c:pt idx="33">
                  <c:v>4.5999999999999996</c:v>
                </c:pt>
                <c:pt idx="34">
                  <c:v>5.4</c:v>
                </c:pt>
                <c:pt idx="35">
                  <c:v>2.1</c:v>
                </c:pt>
                <c:pt idx="36">
                  <c:v>6.2</c:v>
                </c:pt>
                <c:pt idx="37">
                  <c:v>6.2</c:v>
                </c:pt>
                <c:pt idx="38" formatCode="0.0_)">
                  <c:v>5.4</c:v>
                </c:pt>
                <c:pt idx="39" formatCode="0.0_)">
                  <c:v>7.8</c:v>
                </c:pt>
                <c:pt idx="40">
                  <c:v>5.9</c:v>
                </c:pt>
                <c:pt idx="41">
                  <c:v>6.1</c:v>
                </c:pt>
                <c:pt idx="42">
                  <c:v>5.2</c:v>
                </c:pt>
                <c:pt idx="43">
                  <c:v>6.2</c:v>
                </c:pt>
                <c:pt idx="44">
                  <c:v>6.9</c:v>
                </c:pt>
                <c:pt idx="45">
                  <c:v>6.1</c:v>
                </c:pt>
                <c:pt idx="46">
                  <c:v>5.2</c:v>
                </c:pt>
                <c:pt idx="47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3895456"/>
        <c:axId val="200389600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8"/>
                <c:pt idx="0">
                  <c:v>-11.4</c:v>
                </c:pt>
                <c:pt idx="1">
                  <c:v>-14.3</c:v>
                </c:pt>
                <c:pt idx="2">
                  <c:v>-14.2</c:v>
                </c:pt>
                <c:pt idx="3">
                  <c:v>-9</c:v>
                </c:pt>
                <c:pt idx="4">
                  <c:v>-13</c:v>
                </c:pt>
                <c:pt idx="5">
                  <c:v>-11.6</c:v>
                </c:pt>
                <c:pt idx="6">
                  <c:v>-11.8</c:v>
                </c:pt>
                <c:pt idx="7">
                  <c:v>-8.1999999999999993</c:v>
                </c:pt>
                <c:pt idx="8">
                  <c:v>-10.6</c:v>
                </c:pt>
                <c:pt idx="9">
                  <c:v>-9.1999999999999993</c:v>
                </c:pt>
                <c:pt idx="10">
                  <c:v>-6.9</c:v>
                </c:pt>
                <c:pt idx="11">
                  <c:v>-8.1</c:v>
                </c:pt>
                <c:pt idx="12">
                  <c:v>-6.2</c:v>
                </c:pt>
                <c:pt idx="13">
                  <c:v>-5</c:v>
                </c:pt>
                <c:pt idx="14">
                  <c:v>-7.5</c:v>
                </c:pt>
                <c:pt idx="15">
                  <c:v>-5.6</c:v>
                </c:pt>
                <c:pt idx="16">
                  <c:v>-5</c:v>
                </c:pt>
                <c:pt idx="17">
                  <c:v>-2.4</c:v>
                </c:pt>
                <c:pt idx="18">
                  <c:v>-3.8</c:v>
                </c:pt>
                <c:pt idx="19">
                  <c:v>-4</c:v>
                </c:pt>
                <c:pt idx="20">
                  <c:v>-1.8</c:v>
                </c:pt>
                <c:pt idx="21">
                  <c:v>-2.7</c:v>
                </c:pt>
                <c:pt idx="22">
                  <c:v>0.4</c:v>
                </c:pt>
                <c:pt idx="23">
                  <c:v>-3.1</c:v>
                </c:pt>
                <c:pt idx="24">
                  <c:v>-1.2</c:v>
                </c:pt>
                <c:pt idx="25">
                  <c:v>-0.9</c:v>
                </c:pt>
                <c:pt idx="26">
                  <c:v>-0.2</c:v>
                </c:pt>
                <c:pt idx="27">
                  <c:v>0.5</c:v>
                </c:pt>
                <c:pt idx="28">
                  <c:v>0.8</c:v>
                </c:pt>
                <c:pt idx="29">
                  <c:v>2.2999999999999998</c:v>
                </c:pt>
                <c:pt idx="30">
                  <c:v>-0.3</c:v>
                </c:pt>
                <c:pt idx="31">
                  <c:v>2</c:v>
                </c:pt>
                <c:pt idx="32">
                  <c:v>0.6</c:v>
                </c:pt>
                <c:pt idx="33">
                  <c:v>-0.3</c:v>
                </c:pt>
                <c:pt idx="34">
                  <c:v>0.2</c:v>
                </c:pt>
                <c:pt idx="35">
                  <c:v>-2.4</c:v>
                </c:pt>
                <c:pt idx="36">
                  <c:v>1.5</c:v>
                </c:pt>
                <c:pt idx="37">
                  <c:v>0.1</c:v>
                </c:pt>
                <c:pt idx="38" formatCode="0.0_)">
                  <c:v>-2.9</c:v>
                </c:pt>
                <c:pt idx="39" formatCode="0.0_)">
                  <c:v>2.4</c:v>
                </c:pt>
                <c:pt idx="40">
                  <c:v>0.7</c:v>
                </c:pt>
                <c:pt idx="41">
                  <c:v>-0.6</c:v>
                </c:pt>
                <c:pt idx="42">
                  <c:v>1</c:v>
                </c:pt>
                <c:pt idx="43">
                  <c:v>2.9</c:v>
                </c:pt>
                <c:pt idx="44">
                  <c:v>1.2</c:v>
                </c:pt>
                <c:pt idx="45">
                  <c:v>-0.2</c:v>
                </c:pt>
                <c:pt idx="46">
                  <c:v>1.9</c:v>
                </c:pt>
                <c:pt idx="47">
                  <c:v>-1.3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8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 formatCode="0.0_)">
                  <c:v>4.2</c:v>
                </c:pt>
                <c:pt idx="39" formatCode="0.0_)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  <c:pt idx="43">
                  <c:v>4</c:v>
                </c:pt>
                <c:pt idx="44">
                  <c:v>3.1</c:v>
                </c:pt>
                <c:pt idx="45">
                  <c:v>4.7</c:v>
                </c:pt>
                <c:pt idx="46">
                  <c:v>4</c:v>
                </c:pt>
                <c:pt idx="47">
                  <c:v>-1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8"/>
                <c:pt idx="0">
                  <c:v>-23.2</c:v>
                </c:pt>
                <c:pt idx="1">
                  <c:v>-31.6</c:v>
                </c:pt>
                <c:pt idx="2">
                  <c:v>-28.8</c:v>
                </c:pt>
                <c:pt idx="3">
                  <c:v>-23.8</c:v>
                </c:pt>
                <c:pt idx="4">
                  <c:v>-24.9</c:v>
                </c:pt>
                <c:pt idx="5">
                  <c:v>-21.4</c:v>
                </c:pt>
                <c:pt idx="6">
                  <c:v>-22.2</c:v>
                </c:pt>
                <c:pt idx="7">
                  <c:v>-17.8</c:v>
                </c:pt>
                <c:pt idx="8">
                  <c:v>-18.8</c:v>
                </c:pt>
                <c:pt idx="9">
                  <c:v>-19.100000000000001</c:v>
                </c:pt>
                <c:pt idx="10">
                  <c:v>-10.4</c:v>
                </c:pt>
                <c:pt idx="11">
                  <c:v>-15.6</c:v>
                </c:pt>
                <c:pt idx="12">
                  <c:v>-14.4</c:v>
                </c:pt>
                <c:pt idx="13">
                  <c:v>-14.9</c:v>
                </c:pt>
                <c:pt idx="14">
                  <c:v>-16.7</c:v>
                </c:pt>
                <c:pt idx="15">
                  <c:v>-11.2</c:v>
                </c:pt>
                <c:pt idx="16">
                  <c:v>-15.4</c:v>
                </c:pt>
                <c:pt idx="17">
                  <c:v>-11.7</c:v>
                </c:pt>
                <c:pt idx="18">
                  <c:v>-9.6</c:v>
                </c:pt>
                <c:pt idx="19">
                  <c:v>-8.4</c:v>
                </c:pt>
                <c:pt idx="20">
                  <c:v>-5.9</c:v>
                </c:pt>
                <c:pt idx="21">
                  <c:v>-7.9</c:v>
                </c:pt>
                <c:pt idx="22">
                  <c:v>-6.9</c:v>
                </c:pt>
                <c:pt idx="23">
                  <c:v>-8.8000000000000007</c:v>
                </c:pt>
                <c:pt idx="24">
                  <c:v>-4.2</c:v>
                </c:pt>
                <c:pt idx="25">
                  <c:v>-4.8</c:v>
                </c:pt>
                <c:pt idx="26">
                  <c:v>-6.4</c:v>
                </c:pt>
                <c:pt idx="27">
                  <c:v>-3.8</c:v>
                </c:pt>
                <c:pt idx="28">
                  <c:v>0.2</c:v>
                </c:pt>
                <c:pt idx="29">
                  <c:v>3.8</c:v>
                </c:pt>
                <c:pt idx="30">
                  <c:v>4.5999999999999996</c:v>
                </c:pt>
                <c:pt idx="31">
                  <c:v>6.3</c:v>
                </c:pt>
                <c:pt idx="32">
                  <c:v>6.2</c:v>
                </c:pt>
                <c:pt idx="33">
                  <c:v>8.5</c:v>
                </c:pt>
                <c:pt idx="34">
                  <c:v>6.9</c:v>
                </c:pt>
                <c:pt idx="35">
                  <c:v>4</c:v>
                </c:pt>
                <c:pt idx="36">
                  <c:v>8.9</c:v>
                </c:pt>
                <c:pt idx="37">
                  <c:v>9</c:v>
                </c:pt>
                <c:pt idx="38" formatCode="0.0_)">
                  <c:v>9.5</c:v>
                </c:pt>
                <c:pt idx="39" formatCode="0.0_)">
                  <c:v>13.2</c:v>
                </c:pt>
                <c:pt idx="40">
                  <c:v>6.7</c:v>
                </c:pt>
                <c:pt idx="41">
                  <c:v>9.5</c:v>
                </c:pt>
                <c:pt idx="42">
                  <c:v>9.8000000000000007</c:v>
                </c:pt>
                <c:pt idx="43">
                  <c:v>8</c:v>
                </c:pt>
                <c:pt idx="44">
                  <c:v>10.8</c:v>
                </c:pt>
                <c:pt idx="45">
                  <c:v>7</c:v>
                </c:pt>
                <c:pt idx="46">
                  <c:v>6.7</c:v>
                </c:pt>
                <c:pt idx="47">
                  <c:v>4.9000000000000004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8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 formatCode="0.0_)">
                  <c:v>3.2</c:v>
                </c:pt>
                <c:pt idx="39" formatCode="0.0_)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  <c:pt idx="43">
                  <c:v>1.9</c:v>
                </c:pt>
                <c:pt idx="44">
                  <c:v>4.4000000000000004</c:v>
                </c:pt>
                <c:pt idx="45">
                  <c:v>1.5</c:v>
                </c:pt>
                <c:pt idx="46">
                  <c:v>2.7</c:v>
                </c:pt>
                <c:pt idx="47">
                  <c:v>-4.8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8"/>
                <c:pt idx="0">
                  <c:v>-8.3000000000000007</c:v>
                </c:pt>
                <c:pt idx="1">
                  <c:v>-11.6</c:v>
                </c:pt>
                <c:pt idx="2">
                  <c:v>-14.8</c:v>
                </c:pt>
                <c:pt idx="3">
                  <c:v>-7.4</c:v>
                </c:pt>
                <c:pt idx="4">
                  <c:v>-10.9</c:v>
                </c:pt>
                <c:pt idx="5">
                  <c:v>-11.5</c:v>
                </c:pt>
                <c:pt idx="6">
                  <c:v>-9.1</c:v>
                </c:pt>
                <c:pt idx="7">
                  <c:v>-8.1999999999999993</c:v>
                </c:pt>
                <c:pt idx="8">
                  <c:v>-3.9</c:v>
                </c:pt>
                <c:pt idx="9">
                  <c:v>-3.3</c:v>
                </c:pt>
                <c:pt idx="10">
                  <c:v>-4</c:v>
                </c:pt>
                <c:pt idx="11">
                  <c:v>-5.4</c:v>
                </c:pt>
                <c:pt idx="12">
                  <c:v>-5.7</c:v>
                </c:pt>
                <c:pt idx="13">
                  <c:v>-5.9</c:v>
                </c:pt>
                <c:pt idx="14">
                  <c:v>-8.6</c:v>
                </c:pt>
                <c:pt idx="15">
                  <c:v>-4.5</c:v>
                </c:pt>
                <c:pt idx="16">
                  <c:v>-2.6</c:v>
                </c:pt>
                <c:pt idx="17">
                  <c:v>-5.6</c:v>
                </c:pt>
                <c:pt idx="18">
                  <c:v>-5.0999999999999996</c:v>
                </c:pt>
                <c:pt idx="19">
                  <c:v>-0.3</c:v>
                </c:pt>
                <c:pt idx="20">
                  <c:v>2.2999999999999998</c:v>
                </c:pt>
                <c:pt idx="21">
                  <c:v>2.7</c:v>
                </c:pt>
                <c:pt idx="22">
                  <c:v>1.3</c:v>
                </c:pt>
                <c:pt idx="23">
                  <c:v>1.5</c:v>
                </c:pt>
                <c:pt idx="24">
                  <c:v>6.6</c:v>
                </c:pt>
                <c:pt idx="25">
                  <c:v>3.4</c:v>
                </c:pt>
                <c:pt idx="26">
                  <c:v>3.3</c:v>
                </c:pt>
                <c:pt idx="27">
                  <c:v>4.7</c:v>
                </c:pt>
                <c:pt idx="28">
                  <c:v>12.9</c:v>
                </c:pt>
                <c:pt idx="29">
                  <c:v>13.2</c:v>
                </c:pt>
                <c:pt idx="30">
                  <c:v>10.3</c:v>
                </c:pt>
                <c:pt idx="31">
                  <c:v>13</c:v>
                </c:pt>
                <c:pt idx="32">
                  <c:v>13.2</c:v>
                </c:pt>
                <c:pt idx="33">
                  <c:v>10</c:v>
                </c:pt>
                <c:pt idx="34">
                  <c:v>11</c:v>
                </c:pt>
                <c:pt idx="35">
                  <c:v>8.4</c:v>
                </c:pt>
                <c:pt idx="36">
                  <c:v>11.4</c:v>
                </c:pt>
                <c:pt idx="37">
                  <c:v>13</c:v>
                </c:pt>
                <c:pt idx="38">
                  <c:v>12.7</c:v>
                </c:pt>
                <c:pt idx="39">
                  <c:v>11.9</c:v>
                </c:pt>
                <c:pt idx="40">
                  <c:v>14.9</c:v>
                </c:pt>
                <c:pt idx="41">
                  <c:v>14.2</c:v>
                </c:pt>
                <c:pt idx="42">
                  <c:v>10.3</c:v>
                </c:pt>
                <c:pt idx="43">
                  <c:v>14.2</c:v>
                </c:pt>
                <c:pt idx="44">
                  <c:v>15.2</c:v>
                </c:pt>
                <c:pt idx="45">
                  <c:v>17.5</c:v>
                </c:pt>
                <c:pt idx="46">
                  <c:v>10.6</c:v>
                </c:pt>
                <c:pt idx="47">
                  <c:v>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3895456"/>
        <c:axId val="2003896000"/>
      </c:lineChart>
      <c:catAx>
        <c:axId val="20038954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3896000"/>
        <c:crossesAt val="0"/>
        <c:auto val="1"/>
        <c:lblAlgn val="ctr"/>
        <c:lblOffset val="100"/>
        <c:tickLblSkip val="1"/>
        <c:noMultiLvlLbl val="0"/>
      </c:catAx>
      <c:valAx>
        <c:axId val="2003896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3895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3899264"/>
        <c:axId val="200389219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3899264"/>
        <c:axId val="2003892192"/>
      </c:lineChart>
      <c:catAx>
        <c:axId val="20038992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3892192"/>
        <c:crossesAt val="0"/>
        <c:auto val="0"/>
        <c:lblAlgn val="ctr"/>
        <c:lblOffset val="100"/>
        <c:tickLblSkip val="1"/>
        <c:noMultiLvlLbl val="0"/>
      </c:catAx>
      <c:valAx>
        <c:axId val="2003892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389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8"/>
                <c:pt idx="0">
                  <c:v>-16.5</c:v>
                </c:pt>
                <c:pt idx="1">
                  <c:v>-21.7</c:v>
                </c:pt>
                <c:pt idx="2">
                  <c:v>-19.5</c:v>
                </c:pt>
                <c:pt idx="3">
                  <c:v>-14.2</c:v>
                </c:pt>
                <c:pt idx="4">
                  <c:v>-17.2</c:v>
                </c:pt>
                <c:pt idx="5">
                  <c:v>-11.7</c:v>
                </c:pt>
                <c:pt idx="6">
                  <c:v>-14.3</c:v>
                </c:pt>
                <c:pt idx="7">
                  <c:v>-13.2</c:v>
                </c:pt>
                <c:pt idx="8">
                  <c:v>-15.3</c:v>
                </c:pt>
                <c:pt idx="9">
                  <c:v>-15</c:v>
                </c:pt>
                <c:pt idx="10">
                  <c:v>-8.3000000000000007</c:v>
                </c:pt>
                <c:pt idx="11">
                  <c:v>-13.7</c:v>
                </c:pt>
                <c:pt idx="12">
                  <c:v>-10.9</c:v>
                </c:pt>
                <c:pt idx="13">
                  <c:v>-8.1999999999999993</c:v>
                </c:pt>
                <c:pt idx="14">
                  <c:v>-11.5</c:v>
                </c:pt>
                <c:pt idx="15">
                  <c:v>-7.2</c:v>
                </c:pt>
                <c:pt idx="16">
                  <c:v>-7.7</c:v>
                </c:pt>
                <c:pt idx="17">
                  <c:v>-9.6999999999999993</c:v>
                </c:pt>
                <c:pt idx="18">
                  <c:v>-10.6</c:v>
                </c:pt>
                <c:pt idx="19">
                  <c:v>-7.3</c:v>
                </c:pt>
                <c:pt idx="20">
                  <c:v>-7.5</c:v>
                </c:pt>
                <c:pt idx="21">
                  <c:v>-10.3</c:v>
                </c:pt>
                <c:pt idx="22">
                  <c:v>-5.4</c:v>
                </c:pt>
                <c:pt idx="23">
                  <c:v>-6.7</c:v>
                </c:pt>
                <c:pt idx="24">
                  <c:v>-4.4000000000000004</c:v>
                </c:pt>
                <c:pt idx="25">
                  <c:v>-3.6</c:v>
                </c:pt>
                <c:pt idx="26">
                  <c:v>-4.2</c:v>
                </c:pt>
                <c:pt idx="27">
                  <c:v>-3.1</c:v>
                </c:pt>
                <c:pt idx="28">
                  <c:v>0.6</c:v>
                </c:pt>
                <c:pt idx="29">
                  <c:v>1.8</c:v>
                </c:pt>
                <c:pt idx="30">
                  <c:v>1.3</c:v>
                </c:pt>
                <c:pt idx="31">
                  <c:v>2.7</c:v>
                </c:pt>
                <c:pt idx="32">
                  <c:v>0.8</c:v>
                </c:pt>
                <c:pt idx="33">
                  <c:v>1.6</c:v>
                </c:pt>
                <c:pt idx="34">
                  <c:v>3.4</c:v>
                </c:pt>
                <c:pt idx="35">
                  <c:v>-0.2</c:v>
                </c:pt>
                <c:pt idx="36">
                  <c:v>4.3</c:v>
                </c:pt>
                <c:pt idx="37">
                  <c:v>4.2</c:v>
                </c:pt>
                <c:pt idx="38">
                  <c:v>2.9</c:v>
                </c:pt>
                <c:pt idx="39">
                  <c:v>5.7</c:v>
                </c:pt>
                <c:pt idx="40">
                  <c:v>2.8</c:v>
                </c:pt>
                <c:pt idx="41">
                  <c:v>4</c:v>
                </c:pt>
                <c:pt idx="42">
                  <c:v>2.4</c:v>
                </c:pt>
                <c:pt idx="43">
                  <c:v>2.4</c:v>
                </c:pt>
                <c:pt idx="44">
                  <c:v>3.1</c:v>
                </c:pt>
                <c:pt idx="45">
                  <c:v>1.3</c:v>
                </c:pt>
                <c:pt idx="46">
                  <c:v>3.4</c:v>
                </c:pt>
                <c:pt idx="47">
                  <c:v>-1.8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3899808"/>
        <c:axId val="20038927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8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>
                  <c:v>4.2</c:v>
                </c:pt>
                <c:pt idx="39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  <c:pt idx="43">
                  <c:v>4</c:v>
                </c:pt>
                <c:pt idx="44">
                  <c:v>3.1</c:v>
                </c:pt>
                <c:pt idx="45">
                  <c:v>4.7</c:v>
                </c:pt>
                <c:pt idx="46">
                  <c:v>4</c:v>
                </c:pt>
                <c:pt idx="47">
                  <c:v>-1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8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>
                  <c:v>3.2</c:v>
                </c:pt>
                <c:pt idx="39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  <c:pt idx="43">
                  <c:v>1.9</c:v>
                </c:pt>
                <c:pt idx="44">
                  <c:v>4.4000000000000004</c:v>
                </c:pt>
                <c:pt idx="45">
                  <c:v>1.5</c:v>
                </c:pt>
                <c:pt idx="46">
                  <c:v>2.7</c:v>
                </c:pt>
                <c:pt idx="47">
                  <c:v>-4.8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8"/>
                <c:pt idx="0">
                  <c:v>-27.2</c:v>
                </c:pt>
                <c:pt idx="1">
                  <c:v>-31</c:v>
                </c:pt>
                <c:pt idx="2">
                  <c:v>-26.5</c:v>
                </c:pt>
                <c:pt idx="3">
                  <c:v>-16.8</c:v>
                </c:pt>
                <c:pt idx="4">
                  <c:v>-20.8</c:v>
                </c:pt>
                <c:pt idx="5">
                  <c:v>-11.4</c:v>
                </c:pt>
                <c:pt idx="6">
                  <c:v>-16.2</c:v>
                </c:pt>
                <c:pt idx="7">
                  <c:v>-20.100000000000001</c:v>
                </c:pt>
                <c:pt idx="8">
                  <c:v>-20.3</c:v>
                </c:pt>
                <c:pt idx="9">
                  <c:v>-20.100000000000001</c:v>
                </c:pt>
                <c:pt idx="10">
                  <c:v>-10</c:v>
                </c:pt>
                <c:pt idx="11">
                  <c:v>-16</c:v>
                </c:pt>
                <c:pt idx="12">
                  <c:v>-13.9</c:v>
                </c:pt>
                <c:pt idx="13">
                  <c:v>-9.6</c:v>
                </c:pt>
                <c:pt idx="14">
                  <c:v>-9.1</c:v>
                </c:pt>
                <c:pt idx="15">
                  <c:v>-7.7</c:v>
                </c:pt>
                <c:pt idx="16">
                  <c:v>-3.9</c:v>
                </c:pt>
                <c:pt idx="17">
                  <c:v>-5.3</c:v>
                </c:pt>
                <c:pt idx="18">
                  <c:v>-13.5</c:v>
                </c:pt>
                <c:pt idx="19">
                  <c:v>-7.1</c:v>
                </c:pt>
                <c:pt idx="20">
                  <c:v>-6.6</c:v>
                </c:pt>
                <c:pt idx="21">
                  <c:v>-11.7</c:v>
                </c:pt>
                <c:pt idx="22">
                  <c:v>-1.1000000000000001</c:v>
                </c:pt>
                <c:pt idx="23">
                  <c:v>-4.0999999999999996</c:v>
                </c:pt>
                <c:pt idx="24">
                  <c:v>-0.1</c:v>
                </c:pt>
                <c:pt idx="25">
                  <c:v>4.4000000000000004</c:v>
                </c:pt>
                <c:pt idx="26">
                  <c:v>4.9000000000000004</c:v>
                </c:pt>
                <c:pt idx="27">
                  <c:v>5.9</c:v>
                </c:pt>
                <c:pt idx="28">
                  <c:v>11</c:v>
                </c:pt>
                <c:pt idx="29">
                  <c:v>11.7</c:v>
                </c:pt>
                <c:pt idx="30">
                  <c:v>10.1</c:v>
                </c:pt>
                <c:pt idx="31">
                  <c:v>11</c:v>
                </c:pt>
                <c:pt idx="32">
                  <c:v>10.199999999999999</c:v>
                </c:pt>
                <c:pt idx="33">
                  <c:v>9.1999999999999993</c:v>
                </c:pt>
                <c:pt idx="34">
                  <c:v>13.5</c:v>
                </c:pt>
                <c:pt idx="35">
                  <c:v>10.8</c:v>
                </c:pt>
                <c:pt idx="36">
                  <c:v>13.6</c:v>
                </c:pt>
                <c:pt idx="37">
                  <c:v>14.1</c:v>
                </c:pt>
                <c:pt idx="38">
                  <c:v>13.4</c:v>
                </c:pt>
                <c:pt idx="39">
                  <c:v>18</c:v>
                </c:pt>
                <c:pt idx="40">
                  <c:v>14.2</c:v>
                </c:pt>
                <c:pt idx="41">
                  <c:v>13.7</c:v>
                </c:pt>
                <c:pt idx="42">
                  <c:v>14.1</c:v>
                </c:pt>
                <c:pt idx="43">
                  <c:v>12.3</c:v>
                </c:pt>
                <c:pt idx="44">
                  <c:v>11.9</c:v>
                </c:pt>
                <c:pt idx="45">
                  <c:v>8.3000000000000007</c:v>
                </c:pt>
                <c:pt idx="46">
                  <c:v>9.4</c:v>
                </c:pt>
                <c:pt idx="47">
                  <c:v>7.6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8"/>
                <c:pt idx="0">
                  <c:v>-22.8</c:v>
                </c:pt>
                <c:pt idx="1">
                  <c:v>-30.2</c:v>
                </c:pt>
                <c:pt idx="2">
                  <c:v>-27.3</c:v>
                </c:pt>
                <c:pt idx="3">
                  <c:v>-25.9</c:v>
                </c:pt>
                <c:pt idx="4">
                  <c:v>-28.7</c:v>
                </c:pt>
                <c:pt idx="5">
                  <c:v>-27.9</c:v>
                </c:pt>
                <c:pt idx="6">
                  <c:v>-29.6</c:v>
                </c:pt>
                <c:pt idx="7">
                  <c:v>-27.4</c:v>
                </c:pt>
                <c:pt idx="8">
                  <c:v>-24.3</c:v>
                </c:pt>
                <c:pt idx="9">
                  <c:v>-24.7</c:v>
                </c:pt>
                <c:pt idx="10">
                  <c:v>-25</c:v>
                </c:pt>
                <c:pt idx="11">
                  <c:v>-21.6</c:v>
                </c:pt>
                <c:pt idx="12">
                  <c:v>-20.8</c:v>
                </c:pt>
                <c:pt idx="13">
                  <c:v>-17.7</c:v>
                </c:pt>
                <c:pt idx="14">
                  <c:v>-22.9</c:v>
                </c:pt>
                <c:pt idx="15">
                  <c:v>-18.5</c:v>
                </c:pt>
                <c:pt idx="16">
                  <c:v>-16.399999999999999</c:v>
                </c:pt>
                <c:pt idx="17">
                  <c:v>-20.2</c:v>
                </c:pt>
                <c:pt idx="18">
                  <c:v>-19.2</c:v>
                </c:pt>
                <c:pt idx="19">
                  <c:v>-15.6</c:v>
                </c:pt>
                <c:pt idx="20">
                  <c:v>-16.8</c:v>
                </c:pt>
                <c:pt idx="21">
                  <c:v>-18.8</c:v>
                </c:pt>
                <c:pt idx="22">
                  <c:v>-13.8</c:v>
                </c:pt>
                <c:pt idx="23">
                  <c:v>-14.6</c:v>
                </c:pt>
                <c:pt idx="24">
                  <c:v>-10.1</c:v>
                </c:pt>
                <c:pt idx="25">
                  <c:v>-11.8</c:v>
                </c:pt>
                <c:pt idx="26">
                  <c:v>-15</c:v>
                </c:pt>
                <c:pt idx="27">
                  <c:v>-12.9</c:v>
                </c:pt>
                <c:pt idx="28">
                  <c:v>-10</c:v>
                </c:pt>
                <c:pt idx="29">
                  <c:v>-9.4</c:v>
                </c:pt>
                <c:pt idx="30">
                  <c:v>-10.5</c:v>
                </c:pt>
                <c:pt idx="31">
                  <c:v>-7.3</c:v>
                </c:pt>
                <c:pt idx="32">
                  <c:v>-11.7</c:v>
                </c:pt>
                <c:pt idx="33">
                  <c:v>-8</c:v>
                </c:pt>
                <c:pt idx="34">
                  <c:v>-8.8000000000000007</c:v>
                </c:pt>
                <c:pt idx="35">
                  <c:v>-12</c:v>
                </c:pt>
                <c:pt idx="36">
                  <c:v>-5.8</c:v>
                </c:pt>
                <c:pt idx="37">
                  <c:v>-6.4</c:v>
                </c:pt>
                <c:pt idx="38">
                  <c:v>-9.1999999999999993</c:v>
                </c:pt>
                <c:pt idx="39">
                  <c:v>-6.9</c:v>
                </c:pt>
                <c:pt idx="40">
                  <c:v>-10.199999999999999</c:v>
                </c:pt>
                <c:pt idx="41">
                  <c:v>-5.2</c:v>
                </c:pt>
                <c:pt idx="42">
                  <c:v>-9.4</c:v>
                </c:pt>
                <c:pt idx="43">
                  <c:v>-8.6999999999999993</c:v>
                </c:pt>
                <c:pt idx="44">
                  <c:v>-7.2</c:v>
                </c:pt>
                <c:pt idx="45">
                  <c:v>-9.3000000000000007</c:v>
                </c:pt>
                <c:pt idx="46">
                  <c:v>-2.6</c:v>
                </c:pt>
                <c:pt idx="47">
                  <c:v>-9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3899808"/>
        <c:axId val="2003892736"/>
      </c:lineChart>
      <c:catAx>
        <c:axId val="20038998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3892736"/>
        <c:crossesAt val="0"/>
        <c:auto val="1"/>
        <c:lblAlgn val="ctr"/>
        <c:lblOffset val="100"/>
        <c:tickLblSkip val="1"/>
        <c:noMultiLvlLbl val="0"/>
      </c:catAx>
      <c:valAx>
        <c:axId val="200389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3899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3888384"/>
        <c:axId val="20038938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3888384"/>
        <c:axId val="2003893824"/>
      </c:lineChart>
      <c:catAx>
        <c:axId val="20038883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3893824"/>
        <c:crossesAt val="0"/>
        <c:auto val="0"/>
        <c:lblAlgn val="ctr"/>
        <c:lblOffset val="100"/>
        <c:tickLblSkip val="1"/>
        <c:noMultiLvlLbl val="0"/>
      </c:catAx>
      <c:valAx>
        <c:axId val="2003893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3888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4D563F2-F882-4F04-8FAC-BBDC23BC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Drop Joanna</cp:lastModifiedBy>
  <cp:revision>2</cp:revision>
  <cp:lastPrinted>2018-12-18T11:58:00Z</cp:lastPrinted>
  <dcterms:created xsi:type="dcterms:W3CDTF">2018-12-18T13:42:00Z</dcterms:created>
  <dcterms:modified xsi:type="dcterms:W3CDTF">2018-12-18T13:42:00Z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