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:c="http://schemas.openxmlformats.org/drawingml/2006/chart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5A29A93F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Pr="008C4A3E" w:rsidR="00522C3B">
        <w:rPr>
          <w:lang w:val="en-GB"/>
        </w:rPr>
        <w:t>–</w:t>
      </w:r>
      <w:r w:rsidR="00CA4A5E">
        <w:rPr>
          <w:szCs w:val="32"/>
          <w:lang w:val="en-GB"/>
        </w:rPr>
        <w:t>February</w:t>
      </w:r>
      <w:r w:rsidR="008905A7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E560D7">
        <w:rPr>
          <w:szCs w:val="32"/>
          <w:lang w:val="en-GB"/>
        </w:rPr>
        <w:t>5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896EB9" w:rsidRDefault="00941380" w14:paraId="0EC0BCF7" w14:textId="04D48FC6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6E5805AB" wp14:anchorId="4F459519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2204085" cy="1269365"/>
                <wp:effectExtent l="0" t="0" r="5715" b="6985"/>
                <wp:wrapSquare wrapText="bothSides"/>
                <wp:docPr id="34" name="Pole tekstowe 2" descr="Decrease in the number of dwellings completed compared to the corresponding period of 2024 by 2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693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475828" w:rsidP="00A4625F" w:rsidRDefault="00475828" w14:paraId="0C77FD05" w14:textId="6FEFF7A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Pr="00E560D7" w:rsid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2</w:t>
                            </w:r>
                            <w:r w:rsidRP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.</w:t>
                            </w:r>
                            <w:r w:rsidRPr="00E560D7" w:rsid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1%</w:t>
                            </w:r>
                          </w:p>
                          <w:p w:rsidRPr="00A4625F" w:rsidR="00475828" w:rsidP="00941380" w:rsidRDefault="0048227E" w14:paraId="5EB37FDB" w14:textId="6164D6AD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Decrease in the</w:t>
                            </w:r>
                            <w:r w:rsidRPr="00A4625F" w:rsidR="00475828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A96DEB" w:rsidR="00475828">
                              <w:rPr>
                                <w:lang w:val="en-GB"/>
                              </w:rPr>
                              <w:t>number</w:t>
                            </w:r>
                            <w:r w:rsidRPr="00A4625F" w:rsidR="00475828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 w:rsidR="00475828">
                              <w:rPr>
                                <w:lang w:val="en-GB"/>
                              </w:rPr>
                              <w:t>dwellings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941380" w:rsidR="00475828">
                              <w:rPr>
                                <w:lang w:val="en-GB"/>
                              </w:rPr>
                              <w:t>completed</w:t>
                            </w:r>
                            <w:r w:rsidR="00522C3B">
                              <w:rPr>
                                <w:lang w:val="en-GB"/>
                              </w:rPr>
                              <w:t xml:space="preserve"> compared to the corresponding period of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Pole tekstowe 2" style="position:absolute;margin-left:-.25pt;margin-top:1.1pt;width:173.55pt;height:99.9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Decrease in the number of dwellings completed compared to the corresponding period of 2024 by 2.1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" arcsize="10923f" w14:anchorId="4F459519">
                <v:stroke joinstyle="miter"/>
                <v:textbox>
                  <w:txbxContent>
                    <w:p w:rsidRPr="00A4625F" w:rsidR="00475828" w:rsidP="00A4625F" w:rsidRDefault="00475828" w14:paraId="0C77FD05" w14:textId="6FEFF7A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Pr="00E560D7" w:rsid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2</w:t>
                      </w:r>
                      <w:r w:rsidRP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.</w:t>
                      </w:r>
                      <w:r w:rsidRPr="00E560D7" w:rsid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1%</w:t>
                      </w:r>
                    </w:p>
                    <w:p w:rsidRPr="00A4625F" w:rsidR="00475828" w:rsidP="00941380" w:rsidRDefault="0048227E" w14:paraId="5EB37FDB" w14:textId="6164D6AD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Decrease in the</w:t>
                      </w:r>
                      <w:r w:rsidRPr="00A4625F" w:rsidR="00475828">
                        <w:rPr>
                          <w:lang w:val="en-GB"/>
                        </w:rPr>
                        <w:t xml:space="preserve"> </w:t>
                      </w:r>
                      <w:r w:rsidRPr="00A96DEB" w:rsidR="00475828">
                        <w:rPr>
                          <w:lang w:val="en-GB"/>
                        </w:rPr>
                        <w:t>number</w:t>
                      </w:r>
                      <w:r w:rsidRPr="00A4625F" w:rsidR="00475828">
                        <w:rPr>
                          <w:lang w:val="en-GB"/>
                        </w:rPr>
                        <w:t xml:space="preserve"> of </w:t>
                      </w:r>
                      <w:r w:rsidRPr="00941380" w:rsidR="00475828">
                        <w:rPr>
                          <w:lang w:val="en-GB"/>
                        </w:rPr>
                        <w:t>dwellings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941380" w:rsidR="00475828">
                        <w:rPr>
                          <w:lang w:val="en-GB"/>
                        </w:rPr>
                        <w:t>completed</w:t>
                      </w:r>
                      <w:r w:rsidR="00522C3B">
                        <w:rPr>
                          <w:lang w:val="en-GB"/>
                        </w:rPr>
                        <w:t xml:space="preserve"> compared to the corresponding period of 2024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036C0" w:rsidR="00FF4E11">
        <w:rPr>
          <w:color w:val="000000" w:themeColor="text1"/>
          <w:lang w:val="en-GB"/>
        </w:rPr>
        <w:t xml:space="preserve">In </w:t>
      </w:r>
      <w:r w:rsidR="00924B73">
        <w:rPr>
          <w:color w:val="000000" w:themeColor="text1"/>
          <w:lang w:val="en-GB"/>
        </w:rPr>
        <w:t xml:space="preserve">the </w:t>
      </w:r>
      <w:r w:rsidR="008C4A3E">
        <w:rPr>
          <w:color w:val="000000" w:themeColor="text1"/>
          <w:lang w:val="en-GB"/>
        </w:rPr>
        <w:t>period January</w:t>
      </w:r>
      <w:r w:rsidRPr="00F24F7C" w:rsidR="008C4A3E">
        <w:rPr>
          <w:color w:val="000000" w:themeColor="text1"/>
          <w:lang w:val="en-GB"/>
        </w:rPr>
        <w:t>–</w:t>
      </w:r>
      <w:r w:rsidR="008C4A3E">
        <w:rPr>
          <w:color w:val="000000" w:themeColor="text1"/>
          <w:lang w:val="en-GB"/>
        </w:rPr>
        <w:t>February</w:t>
      </w:r>
      <w:r w:rsidR="00924B73">
        <w:rPr>
          <w:color w:val="000000" w:themeColor="text1"/>
          <w:lang w:val="en-GB"/>
        </w:rPr>
        <w:t xml:space="preserve"> </w:t>
      </w:r>
      <w:r w:rsidRPr="003036C0" w:rsidR="00BA2F78">
        <w:rPr>
          <w:color w:val="000000" w:themeColor="text1"/>
          <w:lang w:val="en-GB"/>
        </w:rPr>
        <w:t>202</w:t>
      </w:r>
      <w:r w:rsidR="00924B73">
        <w:rPr>
          <w:color w:val="000000" w:themeColor="text1"/>
          <w:lang w:val="en-GB"/>
        </w:rPr>
        <w:t>5</w:t>
      </w:r>
      <w:r w:rsidRPr="003036C0" w:rsidR="004829B9">
        <w:rPr>
          <w:color w:val="000000" w:themeColor="text1"/>
          <w:lang w:val="en-GB"/>
        </w:rPr>
        <w:t>,</w:t>
      </w:r>
      <w:r w:rsidRPr="003036C0" w:rsidR="00AD1492">
        <w:rPr>
          <w:color w:val="000000" w:themeColor="text1"/>
          <w:lang w:val="en-GB"/>
        </w:rPr>
        <w:t xml:space="preserve"> there were </w:t>
      </w:r>
      <w:r w:rsidRPr="003036C0" w:rsidR="001F4F53">
        <w:rPr>
          <w:color w:val="000000" w:themeColor="text1"/>
          <w:lang w:val="en-GB"/>
        </w:rPr>
        <w:t>less</w:t>
      </w:r>
      <w:r w:rsidRPr="003036C0" w:rsidR="00D860E0">
        <w:rPr>
          <w:color w:val="000000" w:themeColor="text1"/>
          <w:lang w:val="en-GB"/>
        </w:rPr>
        <w:t xml:space="preserve"> </w:t>
      </w:r>
      <w:r w:rsidR="00924B73">
        <w:rPr>
          <w:color w:val="000000" w:themeColor="text1"/>
          <w:lang w:val="en-GB"/>
        </w:rPr>
        <w:t xml:space="preserve">by 2.1% </w:t>
      </w:r>
      <w:r w:rsidRPr="003036C0" w:rsidR="00AD1492">
        <w:rPr>
          <w:color w:val="000000" w:themeColor="text1"/>
          <w:lang w:val="en-GB"/>
        </w:rPr>
        <w:t xml:space="preserve">dwellings completed than </w:t>
      </w:r>
      <w:r w:rsidR="00F24F7C">
        <w:rPr>
          <w:color w:val="000000" w:themeColor="text1"/>
          <w:lang w:val="en-GB"/>
        </w:rPr>
        <w:t xml:space="preserve">in </w:t>
      </w:r>
      <w:r w:rsidRPr="003036C0" w:rsidR="00AD1492">
        <w:rPr>
          <w:color w:val="000000" w:themeColor="text1"/>
          <w:lang w:val="en-GB"/>
        </w:rPr>
        <w:t xml:space="preserve">the </w:t>
      </w:r>
      <w:r w:rsidR="00F24F7C">
        <w:rPr>
          <w:color w:val="000000" w:themeColor="text1"/>
          <w:lang w:val="en-GB"/>
        </w:rPr>
        <w:t xml:space="preserve">corresponding period </w:t>
      </w:r>
      <w:r w:rsidRPr="00D67F74" w:rsidR="00F24F7C">
        <w:rPr>
          <w:color w:val="000000" w:themeColor="text1"/>
          <w:lang w:val="en-GB"/>
        </w:rPr>
        <w:t>of the previous year</w:t>
      </w:r>
      <w:r w:rsidRPr="003036C0" w:rsidR="00AD1492">
        <w:rPr>
          <w:color w:val="000000" w:themeColor="text1"/>
          <w:lang w:val="en-GB"/>
        </w:rPr>
        <w:t xml:space="preserve">. </w:t>
      </w:r>
      <w:r w:rsidR="00F24F7C">
        <w:rPr>
          <w:color w:val="000000" w:themeColor="text1"/>
          <w:lang w:val="en-GB"/>
        </w:rPr>
        <w:t>T</w:t>
      </w:r>
      <w:r w:rsidRPr="003036C0" w:rsidR="00D14E83">
        <w:rPr>
          <w:color w:val="000000" w:themeColor="text1"/>
          <w:lang w:val="en-GB"/>
        </w:rPr>
        <w:t xml:space="preserve">he </w:t>
      </w:r>
      <w:r w:rsidRPr="003036C0" w:rsidR="00D92898">
        <w:rPr>
          <w:color w:val="000000" w:themeColor="text1"/>
          <w:lang w:val="en-GB"/>
        </w:rPr>
        <w:t>number of dwellings for which permits have been granted or wh</w:t>
      </w:r>
      <w:r w:rsidRPr="003036C0" w:rsidR="007B36AE">
        <w:rPr>
          <w:color w:val="000000" w:themeColor="text1"/>
          <w:lang w:val="en-GB"/>
        </w:rPr>
        <w:t>ich have been registered with a </w:t>
      </w:r>
      <w:r w:rsidRPr="003036C0" w:rsidR="00D92898">
        <w:rPr>
          <w:color w:val="000000" w:themeColor="text1"/>
          <w:lang w:val="en-GB"/>
        </w:rPr>
        <w:t xml:space="preserve">construction project as well as </w:t>
      </w:r>
      <w:r w:rsidRPr="003036C0" w:rsidR="00D14E83">
        <w:rPr>
          <w:color w:val="000000" w:themeColor="text1"/>
          <w:lang w:val="en-GB"/>
        </w:rPr>
        <w:t>dwellings in which construction has begun</w:t>
      </w:r>
      <w:r w:rsidR="00F24F7C">
        <w:rPr>
          <w:color w:val="000000" w:themeColor="text1"/>
          <w:lang w:val="en-GB"/>
        </w:rPr>
        <w:t xml:space="preserve"> also decreased</w:t>
      </w:r>
      <w:r w:rsidR="0048227E">
        <w:rPr>
          <w:color w:val="000000" w:themeColor="text1"/>
          <w:lang w:val="en-GB"/>
        </w:rPr>
        <w:t xml:space="preserve"> (by 5.7% and 6.8%, respectively)</w:t>
      </w:r>
      <w:r w:rsidRPr="00875768" w:rsidR="00D9289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B0D66AF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3% and 36.8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475828" w:rsidP="00B93B71" w:rsidRDefault="00475828" w14:paraId="55217834" w14:textId="5603DA63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</w:t>
                            </w:r>
                            <w:r w:rsidR="000C5F2B">
                              <w:rPr>
                                <w:lang w:val="en-US"/>
                              </w:rPr>
                              <w:t>0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0C5F2B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0C5F2B">
                              <w:rPr>
                                <w:lang w:val="en-US"/>
                              </w:rPr>
                              <w:t>6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0C5F2B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0.3% and 36.8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CUHIzg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475828" w:rsidP="00B93B71" w:rsidRDefault="00475828" w14:paraId="55217834" w14:textId="5603DA63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</w:t>
                      </w:r>
                      <w:r w:rsidR="000C5F2B">
                        <w:rPr>
                          <w:lang w:val="en-US"/>
                        </w:rPr>
                        <w:t>0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0C5F2B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0C5F2B">
                        <w:rPr>
                          <w:lang w:val="en-US"/>
                        </w:rPr>
                        <w:t>6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0C5F2B"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  <w:bookmarkStart w:name="_GoBack" w:id="0"/>
      <w:bookmarkEnd w:id="0"/>
    </w:p>
    <w:p w:rsidRPr="00C63CD4" w:rsidR="0042048D" w:rsidP="009300BA" w:rsidRDefault="00AD1492" w14:paraId="573A2B99" w14:textId="3291538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0F3C6F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30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0F3C6F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</w:t>
      </w:r>
      <w:r w:rsidRPr="00030FF0"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the period January</w:t>
      </w:r>
      <w:r w:rsidRPr="00F24F7C" w:rsidR="008514F0">
        <w:rPr>
          <w:color w:val="000000" w:themeColor="text1"/>
          <w:lang w:val="en-GB"/>
        </w:rPr>
        <w:t>–</w:t>
      </w:r>
      <w:r w:rsidRPr="00030FF0"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February 2025</w:t>
      </w:r>
      <w:r w:rsidRPr="000F3C6F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0F3C6F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E65F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0F3C6F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0F3C6F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cor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r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esponding period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4716BB" w:rsidR="00B54555">
        <w:rPr>
          <w:bCs/>
          <w:spacing w:val="-2"/>
          <w:vertAlign w:val="superscript"/>
        </w:rPr>
        <w:footnoteReference w:id="2"/>
      </w:r>
      <w:r w:rsidRPr="00B54555" w:rsidR="00B54555">
        <w:rPr>
          <w:rFonts w:eastAsia="Times New Roman" w:cs="Times New Roman"/>
          <w:bCs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2F5BE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0F3C6F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0F3C6F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0F3C6F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0F3C6F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more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0F3C6F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0F3C6F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11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Pr="00C63CD4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C63CD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7E49F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C63CD4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new</w:t>
      </w:r>
      <w:r w:rsidRPr="00C63CD4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ere completed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 the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</w:t>
      </w:r>
      <w:r w:rsidRPr="00C63CD4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874</w:t>
      </w:r>
      <w:r w:rsidRPr="00C63CD4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Pr="00D67F74" w:rsidR="00D545C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compared to </w:t>
      </w:r>
      <w:r w:rsidRPr="00D67F74"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752</w:t>
      </w:r>
      <w:r w:rsidRPr="00D67F74" w:rsidR="0037159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D67F7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the </w:t>
      </w:r>
      <w:r w:rsidRPr="00D67F74" w:rsidR="0042548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="0042548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January-February 2024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C63CD4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054314" w:rsidP="009300BA" w:rsidRDefault="000A7C88" w14:paraId="6DA771CF" w14:textId="5CC1E6FB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94787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C63CD4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0C5F2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C5F2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6BE5D3B1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Pr="009A4851" w:rsidR="00F6493A" w:rsidTr="003F05B4" w14:paraId="13F2CC01" w14:textId="7F369CBE">
        <w:trPr>
          <w:trHeight w:val="255"/>
        </w:trPr>
        <w:tc>
          <w:tcPr>
            <w:tcW w:w="156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55755E" w:rsidRDefault="00F6493A" w14:paraId="3A6151F0" w14:textId="153D5C66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E560D7" w:rsidRDefault="00E560D7" w14:paraId="42912E84" w14:textId="753B05C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51199">
              <w:rPr>
                <w:color w:val="000000" w:themeColor="text1"/>
                <w:sz w:val="16"/>
                <w:szCs w:val="16"/>
              </w:rPr>
              <w:t>2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E560D7" w:rsidRDefault="00F6493A" w14:paraId="3C5C9CB9" w14:textId="093151D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E560D7">
              <w:rPr>
                <w:color w:val="000000" w:themeColor="text1"/>
                <w:sz w:val="16"/>
                <w:szCs w:val="16"/>
              </w:rPr>
              <w:t>0</w:t>
            </w:r>
            <w:r w:rsidR="00451199">
              <w:rPr>
                <w:color w:val="000000" w:themeColor="text1"/>
                <w:sz w:val="16"/>
                <w:szCs w:val="16"/>
              </w:rPr>
              <w:t>2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E560D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Pr="009A4851" w:rsidR="00F6493A" w:rsidTr="003F05B4" w14:paraId="2F027FA1" w14:textId="368546B3">
        <w:trPr>
          <w:trHeight w:val="255"/>
        </w:trPr>
        <w:tc>
          <w:tcPr>
            <w:tcW w:w="156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F6493A" w:rsidP="009A4851" w:rsidRDefault="00CD7B2F" w14:paraId="792E9E07" w14:textId="531C75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</w:t>
            </w:r>
            <w:r w:rsidRPr="00D860E0" w:rsidR="00F6493A">
              <w:rPr>
                <w:color w:val="000000" w:themeColor="text1"/>
                <w:sz w:val="16"/>
                <w:szCs w:val="16"/>
              </w:rPr>
              <w:t>umber</w:t>
            </w:r>
            <w:proofErr w:type="spellEnd"/>
            <w:r w:rsidRPr="00D860E0" w:rsidR="00F6493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 w:rsidR="00F6493A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 w:rsidR="00F6493A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63CD4" w:rsidR="00F6493A" w:rsidP="00CD7B2F" w:rsidRDefault="00CD7B2F" w14:paraId="0C716BDB" w14:textId="48C6857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01 2025=100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63CD4" w:rsidR="00F6493A" w:rsidP="00E560D7" w:rsidRDefault="00CD7B2F" w14:paraId="76436707" w14:textId="6A50B0C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02 2024=100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CD7B2F" w14:paraId="1C0C1AE4" w14:textId="0D8FB04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>umber</w:t>
            </w:r>
            <w:proofErr w:type="spellEnd"/>
          </w:p>
          <w:p w:rsidRPr="00C63CD4" w:rsidR="00F6493A" w:rsidP="00F6493A" w:rsidRDefault="00F6493A" w14:paraId="36A0A07F" w14:textId="17705D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E560D7" w:rsidRDefault="00F6493A" w14:paraId="27525798" w14:textId="64A8C6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E560D7">
              <w:rPr>
                <w:color w:val="000000" w:themeColor="text1"/>
                <w:sz w:val="16"/>
                <w:szCs w:val="16"/>
              </w:rPr>
              <w:t>0</w:t>
            </w:r>
            <w:r w:rsidR="00451199">
              <w:rPr>
                <w:color w:val="000000" w:themeColor="text1"/>
                <w:sz w:val="16"/>
                <w:szCs w:val="16"/>
              </w:rPr>
              <w:t>2</w:t>
            </w:r>
            <w:r w:rsidRPr="00C63CD4" w:rsidR="00B902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</w:t>
            </w:r>
            <w:r w:rsidR="00E560D7">
              <w:rPr>
                <w:color w:val="000000" w:themeColor="text1"/>
                <w:sz w:val="16"/>
                <w:szCs w:val="16"/>
              </w:rPr>
              <w:t>4</w:t>
            </w:r>
            <w:r w:rsidRPr="00C63CD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5D79D5" w:rsidTr="003F05B4" w14:paraId="74C961E1" w14:textId="489CD1E4">
        <w:trPr>
          <w:trHeight w:val="255"/>
        </w:trPr>
        <w:tc>
          <w:tcPr>
            <w:tcW w:w="1560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560D7" w:rsidRDefault="00E560D7" w14:paraId="74ED01BD" w14:textId="6B80A239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14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D7B2F" w:rsidRDefault="00CD7B2F" w14:paraId="4368A5D2" w14:textId="733A639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96.0</w:t>
            </w:r>
          </w:p>
        </w:tc>
        <w:tc>
          <w:tcPr>
            <w:tcW w:w="11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807E0" w:rsidRDefault="00CD7B2F" w14:paraId="20AE545D" w14:textId="527B80CC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b/>
                <w:color w:val="000000" w:themeColor="text1"/>
                <w:sz w:val="16"/>
                <w:szCs w:val="16"/>
                <w:lang w:val="en-GB"/>
              </w:rPr>
              <w:t>92.3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1D41CD" w14:paraId="0C593AC3" w14:textId="4A09DDF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30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345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7C117A" w14:paraId="4EDFB5A3" w14:textId="4B60CAC2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1D41C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1D41C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Pr="009A4851" w:rsidR="005D79D5" w:rsidTr="003F05B4" w14:paraId="1DBFB85F" w14:textId="2DE402E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560D7" w:rsidRDefault="00E560D7" w14:paraId="255032DB" w14:textId="01897AD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627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D7B2F" w:rsidRDefault="00CD7B2F" w14:paraId="10BBBDB9" w14:textId="5564FE3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101.5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560D7" w:rsidRDefault="00CD7B2F" w14:paraId="0D6A2499" w14:textId="7750D1B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96.0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1D41CD" w14:paraId="0AA69651" w14:textId="0F2DAC1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1D41CD" w14:paraId="21053749" w14:textId="564D824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92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9A4851" w:rsidR="005D79D5" w:rsidTr="003F05B4" w14:paraId="6E2F06BB" w14:textId="0D428574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560D7" w:rsidRDefault="00E560D7" w14:paraId="23EE99E7" w14:textId="120C52F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3B37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D7B2F" w:rsidRDefault="00CD7B2F" w14:paraId="1392F143" w14:textId="76B9537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94.9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560D7" w:rsidRDefault="00CD7B2F" w14:paraId="073E4F9D" w14:textId="1B54F54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89.8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0257B1" w14:paraId="669712AF" w14:textId="5B4BFD5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1D41C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1D41C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1D41CD" w14:paraId="48FE3CA6" w14:textId="643132C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EA67AF" w:rsidR="005D79D5" w:rsidTr="003F05B4" w14:paraId="24AD4DF0" w14:textId="2FE2E74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560D7" w:rsidRDefault="003B37EE" w14:paraId="43E0B857" w14:textId="5E248DF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E560D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D7B2F" w:rsidRDefault="00CD7B2F" w14:paraId="1F0CCA82" w14:textId="7F41376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136.0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975175" w:rsidRDefault="00CD7B2F" w14:paraId="48C19C17" w14:textId="50AE20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234.5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1D41CD" w14:paraId="49638D88" w14:textId="0F8361D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1D41CD" w14:paraId="55CADC71" w14:textId="3DBF49D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110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</w:tr>
      <w:tr w:rsidRPr="00EA67AF" w:rsidR="005D79D5" w:rsidTr="003F05B4" w14:paraId="4DBF5999" w14:textId="11BE27E6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EA67AF" w:rsidR="005D79D5" w:rsidP="005D79D5" w:rsidRDefault="005D79D5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560D7" w:rsidRDefault="003B37EE" w14:paraId="69E2D56C" w14:textId="7A00CD3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E560D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D7B2F" w:rsidRDefault="00CD7B2F" w14:paraId="3E22814D" w14:textId="5D16858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504.2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1D41CD" w:rsidRDefault="00CD7B2F" w14:paraId="4CC7447C" w14:textId="6C680D2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1D41CD" w14:paraId="361F0735" w14:textId="3B64483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145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1D41CD" w14:paraId="2796C727" w14:textId="5ACC7CD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402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Pr="00EA67AF" w:rsidR="005D79D5" w:rsidTr="003F05B4" w14:paraId="2FCEF9DB" w14:textId="64AD4DF5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B37EE" w:rsidRDefault="00E560D7" w14:paraId="7E5E83FB" w14:textId="4B58A6B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D7B2F" w:rsidRDefault="00CD7B2F" w14:paraId="0AFA2421" w14:textId="3226DB5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86.8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807E0" w:rsidRDefault="00CD7B2F" w14:paraId="3948C7DA" w14:textId="205A2BB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45.5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1D41CD" w14:paraId="248D27D2" w14:textId="2574C83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99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1D41CD" w14:paraId="162F4BCC" w14:textId="1EFCD62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34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3807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Pr="00BB7DC6" w:rsidR="005D79D5" w:rsidTr="003F05B4" w14:paraId="79AE12F9" w14:textId="4B0297EA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560D7" w:rsidRDefault="003B37EE" w14:paraId="60773A35" w14:textId="76A714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E560D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D7B2F" w:rsidRDefault="00CD7B2F" w14:paraId="5900F285" w14:textId="712306E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33.1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1D41CD" w:rsidRDefault="00CD7B2F" w14:paraId="1464CE68" w14:textId="68F772E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71.2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807E0" w:rsidRDefault="001D41CD" w14:paraId="0ABD88CD" w14:textId="63DA0D2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628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5D79D5" w14:paraId="344915BF" w14:textId="4237EC2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1D41C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1D41C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Pr="009A4851" w:rsidR="005D79D5" w:rsidTr="004E7833" w14:paraId="16EEE8B3" w14:textId="0E2B7AA6">
        <w:trPr>
          <w:trHeight w:val="445"/>
        </w:trPr>
        <w:tc>
          <w:tcPr>
            <w:tcW w:w="156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5D79D5" w:rsidP="005D79D5" w:rsidRDefault="005D79D5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E560D7" w14:paraId="6BBF9FB1" w14:textId="4A4C9A1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D7B2F" w:rsidRDefault="00CD7B2F" w14:paraId="315E4888" w14:textId="7DDF86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100.0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CD7B2F" w14:paraId="09114D5F" w14:textId="28A583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1D41CD" w14:paraId="3FB7C6F5" w14:textId="4C7412A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D41CD" w:rsidRDefault="005D79D5" w14:paraId="4C94C509" w14:textId="2F6AABB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1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65A65837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>Dwellings for which permits have been granted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3"/>
      </w:r>
    </w:p>
    <w:p w:rsidRPr="00C63CD4" w:rsidR="00C47CE4" w:rsidP="009300BA" w:rsidRDefault="002B15B7" w14:paraId="03705375" w14:textId="676D4389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Pr="00B54555" w:rsidR="00B54555">
        <w:rPr>
          <w:noProof/>
          <w:color w:val="000000" w:themeColor="text1"/>
          <w:lang w:val="en-GB"/>
        </w:rPr>
        <w:t>the first two months of 2025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="00B54555">
        <w:rPr>
          <w:noProof/>
          <w:color w:val="000000" w:themeColor="text1"/>
          <w:lang w:val="en-GB"/>
        </w:rPr>
        <w:t xml:space="preserve">building </w:t>
      </w:r>
      <w:r w:rsidRPr="00C63CD4" w:rsidR="00C47CE4">
        <w:rPr>
          <w:noProof/>
          <w:color w:val="000000" w:themeColor="text1"/>
          <w:lang w:val="en-GB"/>
        </w:rPr>
        <w:t>have been granted 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="00006864">
        <w:rPr>
          <w:noProof/>
          <w:color w:val="000000" w:themeColor="text1"/>
          <w:lang w:val="en-GB"/>
        </w:rPr>
        <w:t>39</w:t>
      </w:r>
      <w:r w:rsidRPr="00C63CD4" w:rsidR="00DE7DD4">
        <w:rPr>
          <w:noProof/>
          <w:color w:val="000000" w:themeColor="text1"/>
          <w:lang w:val="en-GB"/>
        </w:rPr>
        <w:t>.</w:t>
      </w:r>
      <w:r w:rsidR="00006864">
        <w:rPr>
          <w:noProof/>
          <w:color w:val="000000" w:themeColor="text1"/>
          <w:lang w:val="en-GB"/>
        </w:rPr>
        <w:t>7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="00006864">
        <w:rPr>
          <w:noProof/>
          <w:color w:val="000000" w:themeColor="text1"/>
          <w:lang w:val="en-GB"/>
        </w:rPr>
        <w:t>5</w:t>
      </w:r>
      <w:r w:rsidRPr="00C63CD4" w:rsidR="00E245E1">
        <w:rPr>
          <w:noProof/>
          <w:color w:val="000000" w:themeColor="text1"/>
          <w:lang w:val="en-GB"/>
        </w:rPr>
        <w:t>.</w:t>
      </w:r>
      <w:r w:rsidR="00B54555">
        <w:rPr>
          <w:noProof/>
          <w:color w:val="000000" w:themeColor="text1"/>
          <w:lang w:val="en-GB"/>
        </w:rPr>
        <w:t>7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="00B54555">
        <w:rPr>
          <w:noProof/>
          <w:color w:val="000000" w:themeColor="text1"/>
          <w:lang w:val="en-GB"/>
        </w:rPr>
        <w:t>less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="00B54555">
        <w:rPr>
          <w:noProof/>
          <w:color w:val="000000" w:themeColor="text1"/>
          <w:lang w:val="en-GB"/>
        </w:rPr>
        <w:t xml:space="preserve">, of which </w:t>
      </w:r>
      <w:r w:rsidR="00006864">
        <w:rPr>
          <w:noProof/>
          <w:color w:val="000000" w:themeColor="text1"/>
          <w:lang w:val="en-GB"/>
        </w:rPr>
        <w:t>26</w:t>
      </w:r>
      <w:r w:rsidR="00B54555">
        <w:rPr>
          <w:noProof/>
          <w:color w:val="000000" w:themeColor="text1"/>
          <w:lang w:val="en-GB"/>
        </w:rPr>
        <w:t>.</w:t>
      </w:r>
      <w:r w:rsidR="00006864">
        <w:rPr>
          <w:noProof/>
          <w:color w:val="000000" w:themeColor="text1"/>
          <w:lang w:val="en-GB"/>
        </w:rPr>
        <w:t>5</w:t>
      </w:r>
      <w:r w:rsidR="00B54555">
        <w:rPr>
          <w:noProof/>
          <w:color w:val="000000" w:themeColor="text1"/>
          <w:lang w:val="en-GB"/>
        </w:rPr>
        <w:t xml:space="preserve"> thousand were issued to</w:t>
      </w:r>
      <w:r w:rsidRPr="00C63CD4" w:rsidR="006851E8">
        <w:rPr>
          <w:noProof/>
          <w:color w:val="000000" w:themeColor="text1"/>
          <w:lang w:val="en-GB"/>
        </w:rPr>
        <w:t xml:space="preserve"> </w:t>
      </w:r>
      <w:r w:rsidRPr="00C63CD4" w:rsidR="00435283">
        <w:rPr>
          <w:noProof/>
          <w:color w:val="000000" w:themeColor="text1"/>
          <w:lang w:val="en-GB"/>
        </w:rPr>
        <w:t xml:space="preserve">developers </w:t>
      </w:r>
      <w:r w:rsidRPr="00C63CD4" w:rsidR="00BD1D77">
        <w:rPr>
          <w:noProof/>
          <w:color w:val="000000" w:themeColor="text1"/>
          <w:lang w:val="en-GB"/>
        </w:rPr>
        <w:t>(</w:t>
      </w:r>
      <w:r w:rsidRPr="00C63CD4" w:rsidR="00FF4261">
        <w:rPr>
          <w:noProof/>
          <w:color w:val="000000" w:themeColor="text1"/>
          <w:lang w:val="en-GB"/>
        </w:rPr>
        <w:t>a</w:t>
      </w:r>
      <w:r w:rsidRPr="00C63CD4" w:rsidR="009A6AFF">
        <w:rPr>
          <w:noProof/>
          <w:color w:val="000000" w:themeColor="text1"/>
          <w:lang w:val="en-GB"/>
        </w:rPr>
        <w:t> </w:t>
      </w:r>
      <w:r w:rsidR="00006864">
        <w:rPr>
          <w:noProof/>
          <w:color w:val="000000" w:themeColor="text1"/>
          <w:lang w:val="en-GB"/>
        </w:rPr>
        <w:t>de</w:t>
      </w:r>
      <w:r w:rsidRPr="00C63CD4" w:rsidR="00FB5B75">
        <w:rPr>
          <w:noProof/>
          <w:color w:val="000000" w:themeColor="text1"/>
          <w:lang w:val="en-GB"/>
        </w:rPr>
        <w:t xml:space="preserve">crease of </w:t>
      </w:r>
      <w:r w:rsidR="00006864">
        <w:rPr>
          <w:noProof/>
          <w:color w:val="000000" w:themeColor="text1"/>
          <w:lang w:val="en-GB"/>
        </w:rPr>
        <w:t>1</w:t>
      </w:r>
      <w:r w:rsidR="00CB2FED">
        <w:rPr>
          <w:noProof/>
          <w:color w:val="000000" w:themeColor="text1"/>
          <w:lang w:val="en-GB"/>
        </w:rPr>
        <w:t>2</w:t>
      </w:r>
      <w:r w:rsidRPr="00C63CD4" w:rsidR="00FB5B75">
        <w:rPr>
          <w:noProof/>
          <w:color w:val="000000" w:themeColor="text1"/>
          <w:lang w:val="en-GB"/>
        </w:rPr>
        <w:t>.</w:t>
      </w:r>
      <w:r w:rsidR="00006864">
        <w:rPr>
          <w:noProof/>
          <w:color w:val="000000" w:themeColor="text1"/>
          <w:lang w:val="en-GB"/>
        </w:rPr>
        <w:t>4</w:t>
      </w:r>
      <w:r w:rsidRPr="00C63CD4" w:rsidR="008A130C">
        <w:rPr>
          <w:noProof/>
          <w:color w:val="000000" w:themeColor="text1"/>
          <w:lang w:val="en-GB"/>
        </w:rPr>
        <w:t>%</w:t>
      </w:r>
      <w:r w:rsidRPr="00C63CD4" w:rsidR="00FE3A83">
        <w:rPr>
          <w:noProof/>
          <w:color w:val="000000" w:themeColor="text1"/>
          <w:lang w:val="en-GB"/>
        </w:rPr>
        <w:t xml:space="preserve"> y/y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47CE4">
        <w:rPr>
          <w:noProof/>
          <w:color w:val="000000" w:themeColor="text1"/>
          <w:lang w:val="en-GB"/>
        </w:rPr>
        <w:t xml:space="preserve"> and </w:t>
      </w:r>
      <w:r w:rsidR="00006864">
        <w:rPr>
          <w:noProof/>
          <w:color w:val="000000" w:themeColor="text1"/>
          <w:lang w:val="en-GB"/>
        </w:rPr>
        <w:t>11</w:t>
      </w:r>
      <w:r w:rsidRPr="00006864" w:rsidR="00006864">
        <w:rPr>
          <w:noProof/>
          <w:color w:val="000000" w:themeColor="text1"/>
          <w:lang w:val="en-GB"/>
        </w:rPr>
        <w:t>.</w:t>
      </w:r>
      <w:r w:rsidR="00006864">
        <w:rPr>
          <w:noProof/>
          <w:color w:val="000000" w:themeColor="text1"/>
          <w:lang w:val="en-GB"/>
        </w:rPr>
        <w:t>2</w:t>
      </w:r>
      <w:r w:rsidRPr="00006864" w:rsidR="00006864">
        <w:rPr>
          <w:noProof/>
          <w:color w:val="000000" w:themeColor="text1"/>
          <w:lang w:val="en-GB"/>
        </w:rPr>
        <w:t xml:space="preserve"> thousand </w:t>
      </w:r>
      <w:r w:rsidRPr="00C63CD4" w:rsidR="00C47CE4">
        <w:rPr>
          <w:noProof/>
          <w:color w:val="000000" w:themeColor="text1"/>
          <w:lang w:val="en-GB"/>
        </w:rPr>
        <w:t>to private investors</w:t>
      </w:r>
      <w:r w:rsidRPr="00C63CD4" w:rsidR="00BD1D77">
        <w:rPr>
          <w:noProof/>
          <w:color w:val="000000" w:themeColor="text1"/>
          <w:lang w:val="en-GB"/>
        </w:rPr>
        <w:t xml:space="preserve"> (</w:t>
      </w:r>
      <w:r w:rsidRPr="00C63CD4" w:rsidR="006851E8">
        <w:rPr>
          <w:noProof/>
          <w:color w:val="000000" w:themeColor="text1"/>
          <w:lang w:val="en-GB"/>
        </w:rPr>
        <w:t>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6851E8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D02E4">
        <w:rPr>
          <w:noProof/>
          <w:color w:val="000000" w:themeColor="text1"/>
          <w:lang w:val="en-GB"/>
        </w:rPr>
        <w:t xml:space="preserve">crease of </w:t>
      </w:r>
      <w:r w:rsidR="00006864">
        <w:rPr>
          <w:noProof/>
          <w:color w:val="000000" w:themeColor="text1"/>
          <w:lang w:val="en-GB"/>
        </w:rPr>
        <w:t>2</w:t>
      </w:r>
      <w:r w:rsidRPr="00C63CD4" w:rsidR="00FB5B75">
        <w:rPr>
          <w:noProof/>
          <w:color w:val="000000" w:themeColor="text1"/>
          <w:lang w:val="en-GB"/>
        </w:rPr>
        <w:t>.</w:t>
      </w:r>
      <w:r w:rsidR="00274BD6">
        <w:rPr>
          <w:noProof/>
          <w:color w:val="000000" w:themeColor="text1"/>
          <w:lang w:val="en-GB"/>
        </w:rPr>
        <w:t>3</w:t>
      </w:r>
      <w:r w:rsidRPr="00C63CD4" w:rsidR="00FE3A83">
        <w:rPr>
          <w:noProof/>
          <w:color w:val="000000" w:themeColor="text1"/>
          <w:lang w:val="en-GB"/>
        </w:rPr>
        <w:t>%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F36C5">
        <w:rPr>
          <w:noProof/>
          <w:color w:val="000000" w:themeColor="text1"/>
          <w:lang w:val="en-GB"/>
        </w:rPr>
        <w:t xml:space="preserve">. </w:t>
      </w:r>
      <w:r w:rsidRPr="00C63CD4" w:rsidR="000A40DF">
        <w:rPr>
          <w:noProof/>
          <w:color w:val="000000" w:themeColor="text1"/>
          <w:lang w:val="en-GB"/>
        </w:rPr>
        <w:t>W</w:t>
      </w:r>
      <w:r w:rsidRPr="00C63CD4" w:rsidR="003B05CF">
        <w:rPr>
          <w:noProof/>
          <w:color w:val="000000" w:themeColor="text1"/>
          <w:lang w:val="en-GB"/>
        </w:rPr>
        <w:t>ithin</w:t>
      </w:r>
      <w:r w:rsidRPr="00C63CD4" w:rsidR="00507D43">
        <w:rPr>
          <w:noProof/>
          <w:color w:val="000000" w:themeColor="text1"/>
          <w:lang w:val="en-GB"/>
        </w:rPr>
        <w:t xml:space="preserve"> </w:t>
      </w:r>
      <w:r w:rsidRPr="00C63CD4" w:rsidR="000A7C88">
        <w:rPr>
          <w:noProof/>
          <w:color w:val="000000" w:themeColor="text1"/>
          <w:lang w:val="en-GB"/>
        </w:rPr>
        <w:t>these</w:t>
      </w:r>
      <w:r w:rsidR="00006864">
        <w:rPr>
          <w:noProof/>
          <w:color w:val="000000" w:themeColor="text1"/>
          <w:lang w:val="en-GB"/>
        </w:rPr>
        <w:t xml:space="preserve"> two</w:t>
      </w:r>
      <w:r w:rsidRPr="00C63CD4" w:rsidR="000A7C88">
        <w:rPr>
          <w:noProof/>
          <w:color w:val="000000" w:themeColor="text1"/>
          <w:lang w:val="en-GB"/>
        </w:rPr>
        <w:t xml:space="preserve"> forms </w:t>
      </w:r>
      <w:r w:rsidRPr="00C63CD4" w:rsidR="003D5833">
        <w:rPr>
          <w:noProof/>
          <w:color w:val="000000" w:themeColor="text1"/>
          <w:lang w:val="en-GB"/>
        </w:rPr>
        <w:t>of construction</w:t>
      </w:r>
      <w:r w:rsidRPr="00C63CD4" w:rsidR="000A40DF">
        <w:rPr>
          <w:noProof/>
          <w:color w:val="000000" w:themeColor="text1"/>
          <w:lang w:val="en-GB"/>
        </w:rPr>
        <w:t xml:space="preserve">, </w:t>
      </w:r>
      <w:r w:rsidRPr="00C63CD4" w:rsidR="00AE2B3C">
        <w:rPr>
          <w:noProof/>
          <w:color w:val="000000" w:themeColor="text1"/>
          <w:lang w:val="en-GB"/>
        </w:rPr>
        <w:t xml:space="preserve">permits have been granted </w:t>
      </w:r>
      <w:r w:rsidRPr="00C63CD4" w:rsidR="000A40DF">
        <w:rPr>
          <w:noProof/>
          <w:color w:val="000000" w:themeColor="text1"/>
          <w:lang w:val="en-GB"/>
        </w:rPr>
        <w:t>for</w:t>
      </w:r>
      <w:r w:rsidRPr="00C63CD4" w:rsidR="00FB5B75">
        <w:rPr>
          <w:noProof/>
          <w:color w:val="000000" w:themeColor="text1"/>
          <w:lang w:val="en-GB"/>
        </w:rPr>
        <w:t xml:space="preserve"> 9</w:t>
      </w:r>
      <w:r w:rsidR="00006864">
        <w:rPr>
          <w:noProof/>
          <w:color w:val="000000" w:themeColor="text1"/>
          <w:lang w:val="en-GB"/>
        </w:rPr>
        <w:t>5</w:t>
      </w:r>
      <w:r w:rsidRPr="00C63CD4" w:rsidR="001A1F89">
        <w:rPr>
          <w:noProof/>
          <w:color w:val="000000" w:themeColor="text1"/>
          <w:lang w:val="en-GB"/>
        </w:rPr>
        <w:t>.</w:t>
      </w:r>
      <w:r w:rsidR="00006864">
        <w:rPr>
          <w:noProof/>
          <w:color w:val="000000" w:themeColor="text1"/>
          <w:lang w:val="en-GB"/>
        </w:rPr>
        <w:t>0</w:t>
      </w:r>
      <w:r w:rsidRPr="00C63CD4" w:rsidR="000A7C88">
        <w:rPr>
          <w:noProof/>
          <w:color w:val="000000" w:themeColor="text1"/>
          <w:lang w:val="en-GB"/>
        </w:rPr>
        <w:t>% of dwellings</w:t>
      </w:r>
      <w:r w:rsidRPr="00C63CD4" w:rsidR="000A40DF">
        <w:rPr>
          <w:noProof/>
          <w:color w:val="000000" w:themeColor="text1"/>
          <w:lang w:val="en-GB"/>
        </w:rPr>
        <w:t xml:space="preserve"> in total</w:t>
      </w:r>
      <w:r w:rsidRPr="00C63CD4" w:rsidR="00507D43">
        <w:rPr>
          <w:noProof/>
          <w:color w:val="000000" w:themeColor="text1"/>
          <w:lang w:val="en-GB"/>
        </w:rPr>
        <w:t xml:space="preserve">. </w:t>
      </w:r>
      <w:r w:rsidRPr="00C63CD4" w:rsidR="00A7208C">
        <w:rPr>
          <w:noProof/>
          <w:color w:val="000000" w:themeColor="text1"/>
          <w:lang w:val="en-GB"/>
        </w:rPr>
        <w:t>In</w:t>
      </w:r>
      <w:r w:rsidRPr="00C63CD4" w:rsidR="00C214E1">
        <w:rPr>
          <w:noProof/>
          <w:color w:val="000000" w:themeColor="text1"/>
          <w:lang w:val="en-GB"/>
        </w:rPr>
        <w:t xml:space="preserve"> </w:t>
      </w:r>
      <w:r w:rsidRPr="00C63CD4" w:rsidR="00B64363">
        <w:rPr>
          <w:noProof/>
          <w:color w:val="000000" w:themeColor="text1"/>
          <w:lang w:val="en-GB"/>
        </w:rPr>
        <w:t xml:space="preserve">other forms of construction </w:t>
      </w:r>
      <w:r w:rsidR="00006864">
        <w:rPr>
          <w:noProof/>
          <w:color w:val="000000" w:themeColor="text1"/>
          <w:lang w:val="en-GB"/>
        </w:rPr>
        <w:t>2</w:t>
      </w:r>
      <w:r w:rsidRPr="00C63CD4" w:rsidR="00164E82">
        <w:rPr>
          <w:noProof/>
          <w:color w:val="000000" w:themeColor="text1"/>
          <w:lang w:val="en-GB"/>
        </w:rPr>
        <w:t>.</w:t>
      </w:r>
      <w:r w:rsidR="00006864">
        <w:rPr>
          <w:noProof/>
          <w:color w:val="000000" w:themeColor="text1"/>
          <w:lang w:val="en-GB"/>
        </w:rPr>
        <w:t>0</w:t>
      </w:r>
      <w:r w:rsidRPr="00C63CD4" w:rsidR="00155948">
        <w:rPr>
          <w:noProof/>
          <w:color w:val="000000" w:themeColor="text1"/>
          <w:lang w:val="en-GB"/>
        </w:rPr>
        <w:t> </w:t>
      </w:r>
      <w:r w:rsidRPr="00C63CD4" w:rsidR="00DE2F35">
        <w:rPr>
          <w:noProof/>
          <w:color w:val="000000" w:themeColor="text1"/>
          <w:lang w:val="en-GB"/>
        </w:rPr>
        <w:t xml:space="preserve">thousand </w:t>
      </w:r>
      <w:r w:rsidRPr="00C63CD4" w:rsidR="00B64363">
        <w:rPr>
          <w:noProof/>
          <w:color w:val="000000" w:themeColor="text1"/>
          <w:lang w:val="en-GB"/>
        </w:rPr>
        <w:t xml:space="preserve">dwellings </w:t>
      </w:r>
      <w:r w:rsidRPr="00006864" w:rsidR="00006864">
        <w:rPr>
          <w:noProof/>
          <w:color w:val="000000" w:themeColor="text1"/>
          <w:lang w:val="en-GB"/>
        </w:rPr>
        <w:t>covered by issued building permits were noted in the analysed period (</w:t>
      </w:r>
      <w:r w:rsidR="00006864">
        <w:rPr>
          <w:noProof/>
          <w:color w:val="000000" w:themeColor="text1"/>
          <w:lang w:val="en-GB"/>
        </w:rPr>
        <w:t>846</w:t>
      </w:r>
      <w:r w:rsidRPr="00006864" w:rsidR="00006864">
        <w:rPr>
          <w:noProof/>
          <w:color w:val="000000" w:themeColor="text1"/>
          <w:lang w:val="en-GB"/>
        </w:rPr>
        <w:t xml:space="preserve"> in the previous year).</w:t>
      </w:r>
    </w:p>
    <w:p w:rsidRPr="007E02D8" w:rsidR="00896EB9" w:rsidP="005A76A5" w:rsidRDefault="0059068B" w14:paraId="073E70B2" w14:textId="0DCD985E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</w:t>
      </w:r>
      <w:r w:rsidR="00EF51F2">
        <w:rPr>
          <w:lang w:val="en-GB"/>
        </w:rPr>
        <w:t>which permits have been granted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0B3EDC" w:rsidTr="005A76A5" w14:paraId="3982B774" w14:textId="0E209FB0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0B3EDC" w:rsidP="0055755E" w:rsidRDefault="000B3EDC" w14:paraId="5F11A2AC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0B3EDC" w:rsidP="003C786D" w:rsidRDefault="003C786D" w14:paraId="429A8244" w14:textId="1F56422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09690C">
              <w:rPr>
                <w:color w:val="000000" w:themeColor="text1"/>
                <w:sz w:val="15"/>
                <w:szCs w:val="15"/>
              </w:rPr>
              <w:t>2</w:t>
            </w:r>
            <w:r w:rsidRPr="0044795F" w:rsidR="000B3EDC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0B3EDC" w:rsidP="00356D8E" w:rsidRDefault="000B3EDC" w14:paraId="149AD6B7" w14:textId="164D1E9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356D8E">
              <w:rPr>
                <w:color w:val="000000" w:themeColor="text1"/>
                <w:sz w:val="15"/>
                <w:szCs w:val="15"/>
              </w:rPr>
              <w:t>0</w:t>
            </w:r>
            <w:r w:rsidR="0009690C">
              <w:rPr>
                <w:color w:val="000000" w:themeColor="text1"/>
                <w:sz w:val="15"/>
                <w:szCs w:val="15"/>
              </w:rPr>
              <w:t>2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356D8E">
              <w:rPr>
                <w:color w:val="000000" w:themeColor="text1"/>
                <w:sz w:val="15"/>
                <w:szCs w:val="15"/>
              </w:rPr>
              <w:t>5</w:t>
            </w:r>
          </w:p>
        </w:tc>
      </w:tr>
      <w:tr w:rsidRPr="00F97C1E" w:rsidR="00F0150C" w:rsidTr="005D79D5" w14:paraId="40010199" w14:textId="132BF1AA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405F5D" w14:paraId="2222BE93" w14:textId="724F7D3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</w:rPr>
              <w:t>n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>umber</w:t>
            </w:r>
            <w:proofErr w:type="spellEnd"/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 w:rsidR="00F0150C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E40BF7" w:rsidRDefault="00E40BF7" w14:paraId="29F5DBEE" w14:textId="60C3FC9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E40BF7">
              <w:rPr>
                <w:color w:val="000000" w:themeColor="text1"/>
                <w:sz w:val="15"/>
                <w:szCs w:val="15"/>
              </w:rPr>
              <w:t>01 2025=100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3C786D" w:rsidRDefault="00E40BF7" w14:paraId="5802FAB9" w14:textId="6AB21EA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E40BF7">
              <w:rPr>
                <w:color w:val="000000" w:themeColor="text1"/>
                <w:sz w:val="15"/>
                <w:szCs w:val="15"/>
              </w:rPr>
              <w:t>02 2024=100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0150C" w:rsidP="005A76A5" w:rsidRDefault="00405F5D" w14:paraId="2595C1D8" w14:textId="26EB5DF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</w:rPr>
              <w:t>n</w:t>
            </w:r>
            <w:r w:rsidRPr="00C63CD4" w:rsidR="000B3EDC">
              <w:rPr>
                <w:color w:val="000000" w:themeColor="text1"/>
                <w:sz w:val="15"/>
                <w:szCs w:val="15"/>
              </w:rPr>
              <w:t>umber</w:t>
            </w:r>
            <w:proofErr w:type="spellEnd"/>
            <w:r w:rsidRPr="00C63CD4" w:rsidR="000B3EDC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 w:rsidR="000B3EDC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 w:rsidR="000B3EDC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3C786D" w:rsidRDefault="000B3EDC" w14:paraId="17E2CFAA" w14:textId="393FC23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3C786D">
              <w:rPr>
                <w:color w:val="000000" w:themeColor="text1"/>
                <w:sz w:val="15"/>
                <w:szCs w:val="15"/>
              </w:rPr>
              <w:t>0</w:t>
            </w:r>
            <w:r w:rsidR="0009690C">
              <w:rPr>
                <w:color w:val="000000" w:themeColor="text1"/>
                <w:sz w:val="15"/>
                <w:szCs w:val="15"/>
              </w:rPr>
              <w:t>2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3C786D">
              <w:rPr>
                <w:color w:val="000000" w:themeColor="text1"/>
                <w:sz w:val="15"/>
                <w:szCs w:val="15"/>
              </w:rPr>
              <w:t>4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A4851" w:rsidR="005D79D5" w:rsidTr="005D79D5" w14:paraId="4960FBEE" w14:textId="73457C7B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01A71A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C786D" w:rsidRDefault="005D79D5" w14:paraId="02B1A5FB" w14:textId="02D39A1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3C786D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C786D">
              <w:rPr>
                <w:rFonts w:cs="Arial"/>
                <w:b/>
                <w:color w:val="000000" w:themeColor="text1"/>
                <w:sz w:val="16"/>
                <w:szCs w:val="16"/>
              </w:rPr>
              <w:t>051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40BF7" w:rsidRDefault="00E40BF7" w14:paraId="7439481A" w14:textId="49BE2035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102.3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C786D" w:rsidRDefault="00E40BF7" w14:paraId="54900271" w14:textId="032B610E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b/>
                <w:color w:val="000000" w:themeColor="text1"/>
                <w:sz w:val="15"/>
                <w:szCs w:val="15"/>
                <w:lang w:val="en-GB"/>
              </w:rPr>
              <w:t>93.4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3C786D" w14:paraId="40693A92" w14:textId="26626B7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39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09690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09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3C786D" w14:paraId="4BC55EB6" w14:textId="18B6B431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94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9A4851" w:rsidR="005D79D5" w:rsidTr="005D79D5" w14:paraId="1DF47858" w14:textId="6DCF58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28ADC19D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C786D" w:rsidRDefault="008C79AB" w14:paraId="2CE969F2" w14:textId="39EED49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3C786D">
              <w:rPr>
                <w:rFonts w:cs="Arial"/>
                <w:color w:val="000000" w:themeColor="text1"/>
                <w:sz w:val="16"/>
                <w:szCs w:val="16"/>
              </w:rPr>
              <w:t>639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40BF7" w:rsidRDefault="00E40BF7" w14:paraId="11922E73" w14:textId="7CEB181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C786D" w:rsidRDefault="00E40BF7" w14:paraId="300CBAD5" w14:textId="4CF9D51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101.3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3C786D" w14:paraId="2870D30C" w14:textId="33E20A0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5D79D5" w14:paraId="468FF916" w14:textId="62A207D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3C78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9A4851" w:rsidR="005D79D5" w:rsidTr="005D79D5" w14:paraId="0D1B9431" w14:textId="1C5397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6B989E8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C786D" w:rsidRDefault="005D79D5" w14:paraId="56EC5D20" w14:textId="60EB589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3C78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C78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40BF7" w:rsidRDefault="00E40BF7" w14:paraId="44BD7848" w14:textId="743F016A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C786D" w:rsidRDefault="00E40BF7" w14:paraId="33BC2BF6" w14:textId="1F7AEE5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85.8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09690C" w14:paraId="13E080CA" w14:textId="2098EA6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3C78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C786D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9690C" w:rsidRDefault="003C786D" w14:paraId="4DF4B439" w14:textId="6BEEFB4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87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09690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9A4851" w:rsidR="005D79D5" w:rsidTr="005D79D5" w14:paraId="50E23A83" w14:textId="3FB2D37C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A77B5C6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09690C" w14:paraId="6D853C93" w14:textId="6BC749C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09690C" w:rsidRDefault="005D79D5" w14:paraId="2B71D6D4" w14:textId="71C632F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D6EC0" w:rsidRDefault="005D79D5" w14:paraId="494B4D92" w14:textId="20F62E2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0F0A94" w:rsidRDefault="003C786D" w14:paraId="37CDFA05" w14:textId="055B4F1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5D79D5" w14:paraId="4A6821A6" w14:textId="60332D4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8C79AB" w:rsidR="005D79D5" w:rsidTr="005D79D5" w14:paraId="67CD548E" w14:textId="17DFC2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11EB9B38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C786D" w:rsidRDefault="0009690C" w14:paraId="16AE6ED7" w14:textId="09409A3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3C78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40BF7" w:rsidRDefault="00E40BF7" w14:paraId="3CDEEA20" w14:textId="3A2D33D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82.1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3C786D" w:rsidRDefault="00E40BF7" w14:paraId="4EC8940F" w14:textId="771A095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492.0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5D79D5" w14:paraId="5CC455F1" w14:textId="5874957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1 </w:t>
            </w:r>
            <w:r w:rsidR="003C786D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091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3C786D" w14:paraId="7E4243EF" w14:textId="2526497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484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9</w:t>
            </w:r>
          </w:p>
        </w:tc>
      </w:tr>
      <w:tr w:rsidRPr="008C79AB" w:rsidR="005D79D5" w:rsidTr="005D79D5" w14:paraId="10BA3CE7" w14:textId="4F3530DE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B31C30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3C786D" w:rsidRDefault="003C786D" w14:paraId="4F13852F" w14:textId="4E40775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529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40BF7" w:rsidRDefault="00E40BF7" w14:paraId="3AE94B45" w14:textId="3713035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185.0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09690C" w:rsidRDefault="00E40BF7" w14:paraId="22F95ED3" w14:textId="1D7C79F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274.1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5D79D5" w14:paraId="779C21C9" w14:textId="30EC491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</w:t>
            </w:r>
            <w:r w:rsidR="003C786D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815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3C786D" w14:paraId="46A09707" w14:textId="21DBA57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132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1</w:t>
            </w:r>
          </w:p>
        </w:tc>
      </w:tr>
      <w:tr w:rsidRPr="008C79AB" w:rsidR="005D79D5" w:rsidTr="005D79D5" w14:paraId="5A330376" w14:textId="19CED45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3C786D" w14:paraId="6913581D" w14:textId="4EEFDB6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62852B0" w14:textId="7C3B9E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73F8F0F7" w14:textId="3C0D75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3C786D" w14:paraId="2CCE0E25" w14:textId="3E6C6E5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3C786D" w:rsidRDefault="00276BEB" w14:paraId="2EB4DD8E" w14:textId="7A13837A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26D685DE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="007A185C">
        <w:rPr>
          <w:noProof/>
          <w:color w:val="000000" w:themeColor="text1"/>
          <w:spacing w:val="-2"/>
          <w:lang w:val="en-GB"/>
        </w:rPr>
        <w:t>the period January</w:t>
      </w:r>
      <w:r w:rsidRPr="00F24F7C" w:rsidR="008514F0">
        <w:rPr>
          <w:color w:val="000000" w:themeColor="text1"/>
          <w:lang w:val="en-GB"/>
        </w:rPr>
        <w:t>–</w:t>
      </w:r>
      <w:r w:rsidR="007A185C">
        <w:rPr>
          <w:noProof/>
          <w:color w:val="000000" w:themeColor="text1"/>
          <w:spacing w:val="-2"/>
          <w:lang w:val="en-GB"/>
        </w:rPr>
        <w:t xml:space="preserve">February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="007A185C">
        <w:rPr>
          <w:noProof/>
          <w:color w:val="000000" w:themeColor="text1"/>
          <w:spacing w:val="-2"/>
          <w:lang w:val="en-GB"/>
        </w:rPr>
        <w:t>5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C63CD4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C63CD4" w:rsidR="00A76D03">
        <w:rPr>
          <w:noProof/>
          <w:color w:val="000000" w:themeColor="text1"/>
          <w:spacing w:val="-2"/>
          <w:lang w:val="en-GB"/>
        </w:rPr>
        <w:t> 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C63CD4" w:rsidR="00610B5E">
        <w:rPr>
          <w:noProof/>
          <w:color w:val="000000" w:themeColor="text1"/>
          <w:spacing w:val="-2"/>
          <w:lang w:val="en-GB"/>
        </w:rPr>
        <w:t xml:space="preserve">was </w:t>
      </w:r>
      <w:r w:rsidR="00BA6D98">
        <w:rPr>
          <w:noProof/>
          <w:color w:val="000000" w:themeColor="text1"/>
          <w:spacing w:val="-2"/>
          <w:lang w:val="en-GB"/>
        </w:rPr>
        <w:t>33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8</w:t>
      </w:r>
      <w:r w:rsidRPr="00C63CD4" w:rsidR="004A3A9A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2B15B7">
        <w:rPr>
          <w:noProof/>
          <w:color w:val="000000" w:themeColor="text1"/>
          <w:spacing w:val="-2"/>
          <w:lang w:val="en-GB"/>
        </w:rPr>
        <w:t>, i.e.</w:t>
      </w:r>
      <w:r w:rsidR="002518FA">
        <w:rPr>
          <w:noProof/>
          <w:color w:val="000000" w:themeColor="text1"/>
          <w:spacing w:val="-2"/>
          <w:lang w:val="en-GB"/>
        </w:rPr>
        <w:t> </w:t>
      </w:r>
      <w:r w:rsidRPr="00C63CD4" w:rsidR="002B15B7">
        <w:rPr>
          <w:noProof/>
          <w:color w:val="000000" w:themeColor="text1"/>
          <w:spacing w:val="-2"/>
          <w:lang w:val="en-GB"/>
        </w:rPr>
        <w:t>by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="007A185C">
        <w:rPr>
          <w:noProof/>
          <w:color w:val="000000" w:themeColor="text1"/>
          <w:spacing w:val="-2"/>
          <w:lang w:val="en-GB"/>
        </w:rPr>
        <w:t>6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7A185C">
        <w:rPr>
          <w:noProof/>
          <w:color w:val="000000" w:themeColor="text1"/>
          <w:spacing w:val="-2"/>
          <w:lang w:val="en-GB"/>
        </w:rPr>
        <w:t>8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="007A185C">
        <w:rPr>
          <w:noProof/>
          <w:color w:val="000000" w:themeColor="text1"/>
          <w:spacing w:val="-2"/>
          <w:lang w:val="en-GB"/>
        </w:rPr>
        <w:t>less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BA6D98">
        <w:rPr>
          <w:noProof/>
          <w:color w:val="000000" w:themeColor="text1"/>
          <w:spacing w:val="-2"/>
          <w:lang w:val="en-GB"/>
        </w:rPr>
        <w:t>2</w:t>
      </w:r>
      <w:r w:rsidR="006B1475">
        <w:rPr>
          <w:noProof/>
          <w:color w:val="000000" w:themeColor="text1"/>
          <w:spacing w:val="-2"/>
          <w:lang w:val="en-GB"/>
        </w:rPr>
        <w:t>3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5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="006B1475">
        <w:rPr>
          <w:noProof/>
          <w:color w:val="000000" w:themeColor="text1"/>
          <w:spacing w:val="-2"/>
          <w:lang w:val="en-GB"/>
        </w:rPr>
        <w:t>10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2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="006B1475">
        <w:rPr>
          <w:noProof/>
          <w:color w:val="000000" w:themeColor="text1"/>
          <w:spacing w:val="-2"/>
          <w:lang w:val="en-GB"/>
        </w:rPr>
        <w:t>less than in the previous year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="006B1475">
        <w:rPr>
          <w:noProof/>
          <w:color w:val="000000" w:themeColor="text1"/>
          <w:spacing w:val="-2"/>
          <w:lang w:val="en-GB"/>
        </w:rPr>
        <w:t>9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6B1475">
        <w:rPr>
          <w:noProof/>
          <w:color w:val="000000" w:themeColor="text1"/>
          <w:spacing w:val="-2"/>
          <w:lang w:val="en-GB"/>
        </w:rPr>
        <w:t>6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6B1475">
        <w:rPr>
          <w:noProof/>
          <w:color w:val="000000" w:themeColor="text1"/>
          <w:spacing w:val="-2"/>
          <w:lang w:val="en-GB"/>
        </w:rPr>
        <w:t>2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BA6D98">
        <w:rPr>
          <w:noProof/>
          <w:color w:val="000000" w:themeColor="text1"/>
          <w:spacing w:val="-2"/>
          <w:lang w:val="en-GB"/>
        </w:rPr>
        <w:t>3</w:t>
      </w:r>
      <w:r w:rsidRPr="00C63CD4" w:rsidR="00854717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Pr="00C63CD4" w:rsidR="00832B40">
        <w:rPr>
          <w:noProof/>
          <w:color w:val="000000" w:themeColor="text1"/>
          <w:spacing w:val="-2"/>
          <w:lang w:val="en-GB"/>
        </w:rPr>
        <w:t>m</w:t>
      </w:r>
      <w:r w:rsidRPr="00C63CD4" w:rsidR="00F70B4D">
        <w:rPr>
          <w:noProof/>
          <w:color w:val="000000" w:themeColor="text1"/>
          <w:spacing w:val="-2"/>
          <w:lang w:val="en-GB"/>
        </w:rPr>
        <w:t>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029E3">
        <w:rPr>
          <w:noProof/>
          <w:color w:val="000000" w:themeColor="text1"/>
          <w:spacing w:val="-2"/>
          <w:lang w:val="en-GB"/>
        </w:rPr>
        <w:t>was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Pr="00C63CD4" w:rsidR="00F70B4D">
        <w:rPr>
          <w:noProof/>
          <w:color w:val="000000" w:themeColor="text1"/>
          <w:spacing w:val="-2"/>
          <w:lang w:val="en-GB"/>
        </w:rPr>
        <w:t>8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6B1475">
        <w:rPr>
          <w:noProof/>
          <w:color w:val="000000" w:themeColor="text1"/>
          <w:spacing w:val="-2"/>
          <w:lang w:val="en-GB"/>
        </w:rPr>
        <w:t>1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6B1475">
        <w:rPr>
          <w:noProof/>
          <w:color w:val="000000" w:themeColor="text1"/>
          <w:spacing w:val="-2"/>
          <w:lang w:val="en-GB"/>
        </w:rPr>
        <w:t>655</w:t>
      </w:r>
      <w:r w:rsidRPr="00C63CD4" w:rsidR="00DE2F35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77EC9">
        <w:rPr>
          <w:noProof/>
          <w:color w:val="000000" w:themeColor="text1"/>
          <w:spacing w:val="-2"/>
          <w:lang w:val="en-GB"/>
        </w:rPr>
        <w:t>(</w:t>
      </w:r>
      <w:r w:rsidR="006B1475">
        <w:rPr>
          <w:noProof/>
          <w:color w:val="000000" w:themeColor="text1"/>
          <w:spacing w:val="-2"/>
          <w:lang w:val="en-GB"/>
        </w:rPr>
        <w:t>638</w:t>
      </w:r>
      <w:r w:rsidRPr="003E0E01" w:rsidR="00CC181D">
        <w:rPr>
          <w:noProof/>
          <w:color w:val="000000" w:themeColor="text1"/>
          <w:spacing w:val="-2"/>
          <w:lang w:val="en-GB"/>
        </w:rPr>
        <w:t xml:space="preserve"> in the previous year</w:t>
      </w:r>
      <w:r w:rsidRPr="003E0E01" w:rsidR="001D6AE2">
        <w:rPr>
          <w:noProof/>
          <w:color w:val="000000" w:themeColor="text1"/>
          <w:spacing w:val="-2"/>
          <w:lang w:val="en-GB"/>
        </w:rPr>
        <w:t>)</w:t>
      </w:r>
      <w:r w:rsidRPr="00C63CD4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1B18AF2E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Pr="00944940" w:rsidR="00F70B4D" w:rsidTr="00B1100B" w14:paraId="34F47625" w14:textId="7CE938A2">
        <w:trPr>
          <w:trHeight w:val="255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55755E" w:rsidRDefault="00F70B4D" w14:paraId="545A0477" w14:textId="77777777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1A5B0A" w:rsidRDefault="001A5B0A" w14:paraId="1C6A1AC1" w14:textId="017ED43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736E7B">
              <w:rPr>
                <w:color w:val="000000" w:themeColor="text1"/>
                <w:sz w:val="15"/>
                <w:szCs w:val="15"/>
              </w:rPr>
              <w:t>2</w:t>
            </w:r>
            <w:r w:rsidRPr="0044795F" w:rsidR="00F70B4D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1A5B0A" w:rsidRDefault="00F70B4D" w14:paraId="1A2E8847" w14:textId="75593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A5B0A">
              <w:rPr>
                <w:color w:val="000000" w:themeColor="text1"/>
                <w:sz w:val="15"/>
                <w:szCs w:val="15"/>
              </w:rPr>
              <w:t>0</w:t>
            </w:r>
            <w:r w:rsidR="00736E7B">
              <w:rPr>
                <w:color w:val="000000" w:themeColor="text1"/>
                <w:sz w:val="15"/>
                <w:szCs w:val="15"/>
              </w:rPr>
              <w:t>2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</w:t>
            </w:r>
            <w:r w:rsidR="00B1100B">
              <w:rPr>
                <w:color w:val="000000" w:themeColor="text1"/>
                <w:sz w:val="15"/>
                <w:szCs w:val="15"/>
              </w:rPr>
              <w:t>2</w:t>
            </w:r>
            <w:r w:rsidR="001A5B0A">
              <w:rPr>
                <w:color w:val="000000" w:themeColor="text1"/>
                <w:sz w:val="15"/>
                <w:szCs w:val="15"/>
              </w:rPr>
              <w:t>5</w:t>
            </w:r>
          </w:p>
        </w:tc>
      </w:tr>
      <w:tr w:rsidRPr="00944940" w:rsidR="00F70B4D" w:rsidTr="00B1100B" w14:paraId="57BC7BB1" w14:textId="062ED527">
        <w:trPr>
          <w:trHeight w:val="255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405F5D" w14:paraId="4299CC6F" w14:textId="6813DAB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</w:rPr>
              <w:t>n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t>umber</w:t>
            </w:r>
            <w:proofErr w:type="spellEnd"/>
            <w:r w:rsidRPr="00C63CD4" w:rsidR="00F70B4D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 w:rsidR="00F70B4D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C3278C" w:rsidRDefault="00C3278C" w14:paraId="2144A20E" w14:textId="259FAA6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3278C">
              <w:rPr>
                <w:color w:val="000000" w:themeColor="text1"/>
                <w:sz w:val="15"/>
                <w:szCs w:val="15"/>
              </w:rPr>
              <w:t>01 2025=100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1A5B0A" w:rsidRDefault="00C3278C" w14:paraId="6109C3DB" w14:textId="30C307A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3278C">
              <w:rPr>
                <w:color w:val="000000" w:themeColor="text1"/>
                <w:sz w:val="15"/>
                <w:szCs w:val="15"/>
              </w:rPr>
              <w:t>02 2024=100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405F5D" w14:paraId="7D6A240E" w14:textId="4EA8840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</w:rPr>
              <w:t>n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t>umber</w:t>
            </w:r>
            <w:proofErr w:type="spellEnd"/>
            <w:r w:rsidRPr="00C63CD4" w:rsidR="00F70B4D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 w:rsidR="00F70B4D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1A5B0A" w:rsidRDefault="00F70B4D" w14:paraId="4DB3E5F9" w14:textId="767686D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A5B0A">
              <w:rPr>
                <w:color w:val="000000" w:themeColor="text1"/>
                <w:sz w:val="15"/>
                <w:szCs w:val="15"/>
              </w:rPr>
              <w:t>0</w:t>
            </w:r>
            <w:r w:rsidR="00736E7B">
              <w:rPr>
                <w:color w:val="000000" w:themeColor="text1"/>
                <w:sz w:val="15"/>
                <w:szCs w:val="15"/>
              </w:rPr>
              <w:t>2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1A5B0A">
              <w:rPr>
                <w:color w:val="000000" w:themeColor="text1"/>
                <w:sz w:val="15"/>
                <w:szCs w:val="15"/>
              </w:rPr>
              <w:t>4</w:t>
            </w:r>
            <w:r w:rsidRPr="00C63CD4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44940" w:rsidR="005D79D5" w:rsidTr="00B1100B" w14:paraId="0E4114AC" w14:textId="098A7320">
        <w:trPr>
          <w:trHeight w:val="227"/>
        </w:trPr>
        <w:tc>
          <w:tcPr>
            <w:tcW w:w="1985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4E22B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81279F" w:rsidRDefault="00384DC5" w14:paraId="23AD18BD" w14:textId="777AFCA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1A5B0A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  <w:r w:rsidRPr="005D12AC" w:rsidR="00961BE7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736E7B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58</w:t>
            </w:r>
            <w:r w:rsidR="0081279F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C3278C" w:rsidRDefault="00C3278C" w14:paraId="429AC8C7" w14:textId="7245665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96.2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25964" w:rsidRDefault="00C3278C" w14:paraId="47154406" w14:textId="63EF0D47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b/>
                <w:color w:val="000000" w:themeColor="text1"/>
                <w:sz w:val="15"/>
                <w:szCs w:val="15"/>
                <w:lang w:val="en-GB"/>
              </w:rPr>
              <w:t>80.7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55AC9" w:rsidRDefault="007B6BFD" w14:paraId="5D3D0CC0" w14:textId="37D83207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33</w:t>
            </w:r>
            <w:r w:rsidRPr="005D12AC" w:rsidR="005D79D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8</w:t>
            </w:r>
            <w:r w:rsidR="00355AC9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01571F" w:rsidRDefault="0001571F" w14:paraId="1F6F5B28" w14:textId="34C510F1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  <w:r w:rsidR="007B6BF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3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.2</w:t>
            </w:r>
          </w:p>
        </w:tc>
      </w:tr>
      <w:tr w:rsidRPr="00944940" w:rsidR="005D79D5" w:rsidTr="00B1100B" w14:paraId="1FF029D5" w14:textId="0E08E0C8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1C2CC1E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81279F" w:rsidRDefault="0081279F" w14:paraId="591D9F98" w14:textId="661DB70A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  <w:r w:rsidRPr="005D12AC" w:rsidR="00961BE7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736E7B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47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C3278C" w:rsidRDefault="00C3278C" w14:paraId="60807E6E" w14:textId="2DD83F7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132.0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25964" w:rsidRDefault="00C3278C" w14:paraId="3C7F3799" w14:textId="5D3864F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93.2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55AC9" w:rsidRDefault="00355AC9" w14:paraId="6402465E" w14:textId="2192A77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620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01571F" w:rsidRDefault="005D79D5" w14:paraId="05A40491" w14:textId="2103DB8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  <w:r w:rsidR="0001571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7B6BFD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</w:tr>
      <w:tr w:rsidRPr="003F05B4" w:rsidR="005D79D5" w:rsidTr="00B1100B" w14:paraId="304B4633" w14:textId="004FF31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B8199F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81279F" w:rsidRDefault="0081279F" w14:paraId="15FC3415" w14:textId="5EFD5D6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10</w:t>
            </w:r>
            <w:r w:rsidRPr="005D12AC" w:rsidR="00961BE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cs="Arial"/>
                <w:color w:val="000000" w:themeColor="text1"/>
                <w:sz w:val="15"/>
                <w:szCs w:val="15"/>
              </w:rPr>
              <w:t>925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C3278C" w:rsidRDefault="00C3278C" w14:paraId="0766C893" w14:textId="46809C6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86.6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325964" w:rsidRDefault="00C3278C" w14:paraId="0D2952B2" w14:textId="2E4EE00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77.1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55AC9" w:rsidRDefault="007B6BFD" w14:paraId="6364E821" w14:textId="32B2178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355AC9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  <w:r w:rsidR="00355AC9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01571F" w:rsidRDefault="0001571F" w14:paraId="162D669D" w14:textId="6B45D31A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89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</w:tr>
      <w:tr w:rsidRPr="00944940" w:rsidR="005D79D5" w:rsidTr="00B1100B" w14:paraId="04BD52CD" w14:textId="66C663C9">
        <w:trPr>
          <w:trHeight w:val="5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2D0D7AF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81279F" w14:paraId="30EF4784" w14:textId="02A0B36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C3278C" w:rsidRDefault="00C3278C" w14:paraId="66975EDA" w14:textId="51C00D9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13.2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C3278C" w:rsidRDefault="00C3278C" w14:paraId="581ED179" w14:textId="4118776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over 10-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br/>
            </w: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fold less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355AC9" w14:paraId="3852A627" w14:textId="167AC39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01571F" w:rsidRDefault="0001571F" w14:paraId="63EEFA8D" w14:textId="7893C63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</w:tr>
      <w:tr w:rsidRPr="004E70CF" w:rsidR="005D79D5" w:rsidTr="00B1100B" w14:paraId="22E5F8B5" w14:textId="620EF226">
        <w:trPr>
          <w:trHeight w:val="300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E1E246A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81279F" w14:paraId="1567DB37" w14:textId="4DF5C947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C3278C" w:rsidR="005D79D5" w:rsidP="00C3278C" w:rsidRDefault="00C3278C" w14:paraId="4C518540" w14:textId="3C997998">
            <w:pPr>
              <w:keepNext/>
              <w:keepLines/>
              <w:spacing w:before="10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62-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br/>
            </w:r>
            <w:proofErr w:type="spellStart"/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fold</w:t>
            </w:r>
            <w:proofErr w:type="spellEnd"/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more</w:t>
            </w:r>
            <w:proofErr w:type="spellEnd"/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E70CF" w:rsidRDefault="00C3278C" w14:paraId="6E71D1E5" w14:textId="1B94AEA6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76.5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355AC9" w14:paraId="4B7A43A5" w14:textId="3B3CADD2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01571F" w:rsidRDefault="0001571F" w14:paraId="726C9077" w14:textId="4C296733">
            <w:pPr>
              <w:keepNext/>
              <w:keepLines/>
              <w:spacing w:before="10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60</w:t>
            </w:r>
            <w:r w:rsidRPr="004E70CF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6</w:t>
            </w:r>
          </w:p>
        </w:tc>
      </w:tr>
      <w:tr w:rsidRPr="004E70CF" w:rsidR="005D79D5" w:rsidTr="00B1100B" w14:paraId="4820AC1A" w14:textId="49EF1E50">
        <w:trPr>
          <w:trHeight w:val="306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B82F13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81279F" w:rsidRDefault="0081279F" w14:paraId="196CFDC3" w14:textId="6ABECAEF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C3278C" w:rsidRDefault="00C3278C" w14:paraId="054FE49B" w14:textId="53AA2B5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44.3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7B6BFD" w:rsidRDefault="00C3278C" w14:paraId="6501BBB7" w14:textId="5591F267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159.4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355AC9" w14:paraId="0EAB913F" w14:textId="4577F5BF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332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01571F" w:rsidRDefault="0001571F" w14:paraId="756AD147" w14:textId="0CFFB29C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404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</w:p>
        </w:tc>
      </w:tr>
      <w:tr w:rsidRPr="00C3278C" w:rsidR="005D79D5" w:rsidTr="00B1100B" w14:paraId="347BB134" w14:textId="1DEB986A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28773DE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81279F" w:rsidRDefault="00384DC5" w14:paraId="018ECCAB" w14:textId="49771871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81279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EB506C" w:rsidRDefault="00EB506C" w14:paraId="5E4E785D" w14:textId="0F46FC2E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B506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almost </w:t>
            </w:r>
            <w:r w:rsidRPr="00C3278C" w:rsidR="00C3278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13 –</w:t>
            </w:r>
            <w:r w:rsidR="00C3278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</w:r>
            <w:r w:rsidRPr="00C3278C" w:rsidR="00C3278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fold less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C3278C" w:rsidRDefault="00EB506C" w14:paraId="036C6321" w14:textId="4AD4EC08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B506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over </w:t>
            </w:r>
            <w:r w:rsidRPr="00C3278C" w:rsid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 –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br/>
            </w:r>
            <w:r w:rsidRPr="00C3278C" w:rsid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fold less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B6BFD" w:rsidRDefault="00355AC9" w14:paraId="19A729CE" w14:textId="35A562BA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255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01571F" w:rsidRDefault="0001571F" w14:paraId="7242EBA7" w14:textId="5FF31136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56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7</w:t>
            </w:r>
          </w:p>
        </w:tc>
      </w:tr>
      <w:tr w:rsidRPr="00C3278C" w:rsidR="005D79D5" w:rsidTr="00B1100B" w14:paraId="104777EA" w14:textId="0C575B02">
        <w:trPr>
          <w:trHeight w:val="384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5D12AC" w:rsidR="005D79D5" w:rsidP="00ED6EC0" w:rsidRDefault="005D79D5" w14:paraId="0849E479" w14:textId="43F33BB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81279F" w14:paraId="15CE9B80" w14:textId="635AC2F7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C3278C" w14:paraId="3230310D" w14:textId="1709225B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C3278C" w14:paraId="7DD6985C" w14:textId="3323C72A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250.0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355AC9" w14:paraId="16CF41B8" w14:textId="5B694B1E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01571F" w14:paraId="0E4B2097" w14:textId="260D3805">
            <w:pPr>
              <w:spacing w:before="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250.0</w:t>
            </w:r>
          </w:p>
        </w:tc>
      </w:tr>
    </w:tbl>
    <w:p w:rsidRPr="00C63CD4" w:rsidR="00154AC9" w:rsidP="0059068B" w:rsidRDefault="005D23AA" w14:paraId="34D75009" w14:textId="7A0493E5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February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5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3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7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="00364A97">
        <w:rPr>
          <w:color w:val="000000" w:themeColor="text1"/>
          <w:szCs w:val="19"/>
          <w:shd w:val="clear" w:color="auto" w:fill="FFFFFF"/>
          <w:lang w:val="en-GB"/>
        </w:rPr>
        <w:t>8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9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C63CD4"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="00185C4C" w:rsidP="00FB08D0" w:rsidRDefault="003036C0" w14:paraId="051C1979" w14:textId="7FFE5519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0C45774" wp14:anchorId="50036E1A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February 2025, compared to the previous month, the number of dwellings in which construction has begun as well as the number of dwellings completed decreased (by 3.8% and 4.0%, respectively), whereas the number of dwellings for which permits have been granted increased (by 2.3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475828" w:rsidP="00903A58" w:rsidRDefault="00475828" w14:paraId="58FBF1C9" w14:textId="2B4A6321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0D3F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162FC5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0F0D3F" w:rsidR="00CF2F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Pr="00750631"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well as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750631"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750631"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</w:t>
                            </w:r>
                            <w:r w:rsidRPr="00750631"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750631"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750631"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750631"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</w:t>
                            </w:r>
                            <w:r w:rsidRPr="00750631"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%, respectively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Pr="005B3628" w:rsidR="005B36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whereas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e number of dwellings for which permits have been granted </w:t>
                            </w:r>
                            <w:r w:rsidR="002F79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B36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February 2025, compared to the previous month, the number of dwellings in which construction has begun as well as the number of dwellings completed decreased (by 3.8% and 4.0%, respectively), whereas the number of dwellings for which permits have been granted increased (by 2.3%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" w14:anchorId="50036E1A">
                <v:textbox>
                  <w:txbxContent>
                    <w:p w:rsidRPr="000F0D3F" w:rsidR="00475828" w:rsidP="00903A58" w:rsidRDefault="00475828" w14:paraId="58FBF1C9" w14:textId="2B4A6321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0D3F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162FC5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0F0D3F" w:rsidR="00CF2F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Pr="00750631"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well as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750631"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750631"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</w:t>
                      </w:r>
                      <w:r w:rsidRPr="00750631"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750631"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750631"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750631"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</w:t>
                      </w:r>
                      <w:r w:rsidRPr="00750631"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%, respectively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Pr="005B3628" w:rsidR="005B36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whereas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e number of dwellings for which permits have been granted </w:t>
                      </w:r>
                      <w:r w:rsidR="002F79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B36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="00185C4C" w:rsidP="009300BA" w:rsidRDefault="00FB3E38" w14:paraId="486E7974" w14:textId="31654C37">
      <w:pPr>
        <w:spacing w:after="0" w:line="288" w:lineRule="auto"/>
        <w:rPr>
          <w:noProof/>
          <w:spacing w:val="-2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editId="57B005EF" wp14:anchorId="0E8471B9">
            <wp:simplePos x="0" y="0"/>
            <wp:positionH relativeFrom="column">
              <wp:posOffset>32033</wp:posOffset>
            </wp:positionH>
            <wp:positionV relativeFrom="paragraph">
              <wp:posOffset>106813</wp:posOffset>
            </wp:positionV>
            <wp:extent cx="4928870" cy="2457641"/>
            <wp:effectExtent l="0" t="0" r="5080" b="0"/>
            <wp:wrapNone/>
            <wp:docPr id="3" name="Wykres 3" descr="Chart 1. Number of dwellings completed, number of dwellings for which permits have been granted or which have been registered with a construction project and number of dwellings in which construction has begun in particular months of year 2021, 2022, 2023, 2024 and 202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C4C" w:rsidP="009300BA" w:rsidRDefault="00185C4C" w14:paraId="513644D6" w14:textId="627EB151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11C63B43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7CDC302F" w14:textId="594941D2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6A6F017C" w14:textId="3F98D6FA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657C01FF" w14:textId="616570EC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0BA9ED0C" w14:textId="10F79AA3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05F41850" w14:textId="00557847">
      <w:pPr>
        <w:spacing w:after="0" w:line="288" w:lineRule="auto"/>
        <w:rPr>
          <w:noProof/>
          <w:spacing w:val="-2"/>
          <w:lang w:val="en-GB"/>
        </w:rPr>
      </w:pPr>
    </w:p>
    <w:p w:rsidR="009F0AA9" w:rsidP="009300BA" w:rsidRDefault="009F0AA9" w14:paraId="67DBEF43" w14:textId="379E2849">
      <w:pPr>
        <w:spacing w:after="0" w:line="288" w:lineRule="auto"/>
        <w:rPr>
          <w:noProof/>
          <w:spacing w:val="-2"/>
          <w:lang w:val="en-GB"/>
        </w:rPr>
      </w:pPr>
    </w:p>
    <w:p w:rsidR="00FB3E38" w:rsidP="009300BA" w:rsidRDefault="00FB3E38" w14:paraId="47BCB90C" w14:textId="77777777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:rsidR="00FB3E38" w:rsidP="009300BA" w:rsidRDefault="00FB3E38" w14:paraId="620A3370" w14:textId="77777777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:rsidRPr="00642A6D" w:rsidR="00CB6084" w:rsidP="009300BA" w:rsidRDefault="005702F8" w14:paraId="6B2C5EA1" w14:textId="1F728441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F85B3E" w:rsidR="00F85B3E">
        <w:rPr>
          <w:noProof/>
          <w:color w:val="000000" w:themeColor="text1"/>
          <w:spacing w:val="-2"/>
          <w:lang w:val="en-GB"/>
        </w:rPr>
        <w:t>the period January</w:t>
      </w:r>
      <w:r w:rsidR="000926F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-</w:t>
      </w:r>
      <w:r w:rsidRPr="00F85B3E" w:rsidR="00F85B3E">
        <w:rPr>
          <w:noProof/>
          <w:color w:val="000000" w:themeColor="text1"/>
          <w:spacing w:val="-2"/>
          <w:lang w:val="en-GB"/>
        </w:rPr>
        <w:t>February 2025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C63CD4" w:rsidR="00223182">
        <w:rPr>
          <w:noProof/>
          <w:color w:val="000000" w:themeColor="text1"/>
          <w:spacing w:val="-2"/>
          <w:lang w:val="en-GB"/>
        </w:rPr>
        <w:t>in 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C63CD4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Pr="00C63CD4" w:rsidR="002D01F4">
        <w:rPr>
          <w:noProof/>
          <w:color w:val="000000" w:themeColor="text1"/>
          <w:spacing w:val="-2"/>
          <w:lang w:val="en-GB"/>
        </w:rPr>
        <w:t>d</w:t>
      </w:r>
      <w:r w:rsidRPr="00C63CD4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2A29A6">
        <w:rPr>
          <w:noProof/>
          <w:color w:val="000000" w:themeColor="text1"/>
          <w:spacing w:val="-2"/>
          <w:lang w:val="en-GB"/>
        </w:rPr>
        <w:t>were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563BBC">
        <w:rPr>
          <w:noProof/>
          <w:color w:val="000000" w:themeColor="text1"/>
          <w:spacing w:val="-2"/>
          <w:lang w:val="en-GB"/>
        </w:rPr>
        <w:t>6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9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="00563BBC">
        <w:rPr>
          <w:noProof/>
          <w:color w:val="000000" w:themeColor="text1"/>
          <w:spacing w:val="-2"/>
          <w:lang w:val="en-GB"/>
        </w:rPr>
        <w:t>6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4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="00563BBC">
        <w:rPr>
          <w:noProof/>
          <w:color w:val="000000" w:themeColor="text1"/>
          <w:spacing w:val="-2"/>
          <w:lang w:val="en-GB"/>
        </w:rPr>
        <w:t>7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9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 respectively</w:t>
      </w:r>
      <w:r w:rsidR="000926F9">
        <w:rPr>
          <w:noProof/>
          <w:color w:val="000000" w:themeColor="text1"/>
          <w:spacing w:val="-2"/>
          <w:lang w:val="en-GB"/>
        </w:rPr>
        <w:t>)</w:t>
      </w:r>
      <w:r w:rsidR="00563BBC">
        <w:rPr>
          <w:noProof/>
          <w:color w:val="000000" w:themeColor="text1"/>
          <w:spacing w:val="-2"/>
          <w:lang w:val="en-GB"/>
        </w:rPr>
        <w:t xml:space="preserve"> </w:t>
      </w:r>
      <w:r w:rsidRPr="000926F9" w:rsidR="00563BBC">
        <w:rPr>
          <w:noProof/>
          <w:color w:val="000000" w:themeColor="text1"/>
          <w:spacing w:val="-2"/>
          <w:lang w:val="en-GB"/>
        </w:rPr>
        <w:t xml:space="preserve">and </w:t>
      </w:r>
      <w:r w:rsidRPr="000926F9" w:rsidR="000926F9">
        <w:rPr>
          <w:noProof/>
          <w:color w:val="000000" w:themeColor="text1"/>
          <w:spacing w:val="-2"/>
          <w:lang w:val="en-GB"/>
        </w:rPr>
        <w:t>in</w:t>
      </w:r>
      <w:r w:rsidRPr="000926F9" w:rsidR="00563BBC">
        <w:rPr>
          <w:noProof/>
          <w:color w:val="000000" w:themeColor="text1"/>
          <w:spacing w:val="-2"/>
          <w:lang w:val="en-GB"/>
        </w:rPr>
        <w:t xml:space="preserve"> the following voivodeship</w:t>
      </w:r>
      <w:r w:rsidR="00563BBC">
        <w:rPr>
          <w:noProof/>
          <w:color w:val="000000" w:themeColor="text1"/>
          <w:spacing w:val="-2"/>
          <w:lang w:val="en-GB"/>
        </w:rPr>
        <w:t>s</w:t>
      </w:r>
      <w:r w:rsidRPr="00C63CD4" w:rsidR="004A5D74">
        <w:rPr>
          <w:noProof/>
          <w:color w:val="000000" w:themeColor="text1"/>
          <w:spacing w:val="-2"/>
          <w:lang w:val="en-GB"/>
        </w:rPr>
        <w:t>: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</w:t>
      </w:r>
      <w:r w:rsidRPr="00201D86" w:rsidR="00201D86">
        <w:rPr>
          <w:noProof/>
          <w:color w:val="000000" w:themeColor="text1"/>
          <w:spacing w:val="-2"/>
          <w:lang w:val="en-GB"/>
        </w:rPr>
        <w:t>Małopolskie (</w:t>
      </w:r>
      <w:r w:rsidR="00563BBC">
        <w:rPr>
          <w:noProof/>
          <w:color w:val="000000" w:themeColor="text1"/>
          <w:spacing w:val="-2"/>
          <w:lang w:val="en-GB"/>
        </w:rPr>
        <w:t>3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0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thousand, </w:t>
      </w:r>
      <w:r w:rsidR="00563BBC">
        <w:rPr>
          <w:noProof/>
          <w:color w:val="000000" w:themeColor="text1"/>
          <w:spacing w:val="-2"/>
          <w:lang w:val="en-GB"/>
        </w:rPr>
        <w:t>3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9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 and </w:t>
      </w:r>
      <w:r w:rsidR="00563BBC">
        <w:rPr>
          <w:noProof/>
          <w:color w:val="000000" w:themeColor="text1"/>
          <w:spacing w:val="-2"/>
          <w:lang w:val="en-GB"/>
        </w:rPr>
        <w:t>3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8</w:t>
      </w:r>
      <w:r w:rsidR="0026357D">
        <w:rPr>
          <w:noProof/>
          <w:color w:val="000000" w:themeColor="text1"/>
          <w:spacing w:val="-2"/>
          <w:lang w:val="en-GB"/>
        </w:rPr>
        <w:t> </w:t>
      </w:r>
      <w:r w:rsidRPr="00201D86" w:rsidR="00201D86">
        <w:rPr>
          <w:noProof/>
          <w:color w:val="000000" w:themeColor="text1"/>
          <w:spacing w:val="-2"/>
          <w:lang w:val="en-GB"/>
        </w:rPr>
        <w:t>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 </w:t>
      </w:r>
      <w:r w:rsidR="00563BBC">
        <w:rPr>
          <w:noProof/>
          <w:color w:val="000000" w:themeColor="text1"/>
          <w:spacing w:val="-2"/>
          <w:lang w:val="en-GB"/>
        </w:rPr>
        <w:t xml:space="preserve">Pomorskie </w:t>
      </w:r>
      <w:r w:rsidRPr="00563BBC" w:rsidR="00563BBC">
        <w:rPr>
          <w:noProof/>
          <w:color w:val="000000" w:themeColor="text1"/>
          <w:spacing w:val="-2"/>
          <w:lang w:val="en-GB"/>
        </w:rPr>
        <w:t>(</w:t>
      </w:r>
      <w:r w:rsidR="00563BBC">
        <w:rPr>
          <w:noProof/>
          <w:color w:val="000000" w:themeColor="text1"/>
          <w:spacing w:val="-2"/>
          <w:lang w:val="en-GB"/>
        </w:rPr>
        <w:t>2</w:t>
      </w:r>
      <w:r w:rsidRPr="00563BBC" w:rsidR="00563BBC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5</w:t>
      </w:r>
      <w:r w:rsidRPr="00563BBC" w:rsidR="00563BBC">
        <w:rPr>
          <w:noProof/>
          <w:color w:val="000000" w:themeColor="text1"/>
          <w:spacing w:val="-2"/>
          <w:lang w:val="en-GB"/>
        </w:rPr>
        <w:t xml:space="preserve"> thousand, </w:t>
      </w:r>
      <w:r w:rsidR="00563BBC">
        <w:rPr>
          <w:noProof/>
          <w:color w:val="000000" w:themeColor="text1"/>
          <w:spacing w:val="-2"/>
          <w:lang w:val="en-GB"/>
        </w:rPr>
        <w:t>4.0 thousand and 3.8</w:t>
      </w:r>
      <w:r w:rsidR="008D2528">
        <w:rPr>
          <w:noProof/>
          <w:color w:val="000000" w:themeColor="text1"/>
          <w:spacing w:val="-2"/>
          <w:lang w:val="en-GB"/>
        </w:rPr>
        <w:t> </w:t>
      </w:r>
      <w:r w:rsidR="00563BBC">
        <w:rPr>
          <w:noProof/>
          <w:color w:val="000000" w:themeColor="text1"/>
          <w:spacing w:val="-2"/>
          <w:lang w:val="en-GB"/>
        </w:rPr>
        <w:t xml:space="preserve">thousand), </w:t>
      </w:r>
      <w:r w:rsidRPr="00563BBC" w:rsidR="00563BBC">
        <w:rPr>
          <w:noProof/>
          <w:color w:val="000000" w:themeColor="text1"/>
          <w:spacing w:val="-2"/>
          <w:lang w:val="en-GB"/>
        </w:rPr>
        <w:t xml:space="preserve">Wielkopolskie </w:t>
      </w:r>
      <w:r w:rsidRPr="00C87EEB" w:rsidR="00BD287C">
        <w:rPr>
          <w:noProof/>
          <w:color w:val="000000" w:themeColor="text1"/>
          <w:spacing w:val="-2"/>
          <w:lang w:val="en-GB"/>
        </w:rPr>
        <w:t>(</w:t>
      </w:r>
      <w:r w:rsidR="00563BBC">
        <w:rPr>
          <w:noProof/>
          <w:color w:val="000000" w:themeColor="text1"/>
          <w:spacing w:val="-2"/>
          <w:lang w:val="en-GB"/>
        </w:rPr>
        <w:t>3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1</w:t>
      </w:r>
      <w:r w:rsidR="00567DE5">
        <w:rPr>
          <w:noProof/>
          <w:color w:val="000000" w:themeColor="text1"/>
          <w:spacing w:val="-2"/>
          <w:lang w:val="en-GB"/>
        </w:rPr>
        <w:t>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thousand, </w:t>
      </w:r>
      <w:r w:rsidR="00576D21">
        <w:rPr>
          <w:noProof/>
          <w:color w:val="000000" w:themeColor="text1"/>
          <w:spacing w:val="-2"/>
          <w:lang w:val="en-GB"/>
        </w:rPr>
        <w:t>2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8</w:t>
      </w:r>
      <w:r w:rsidR="00BD287C">
        <w:rPr>
          <w:noProof/>
          <w:color w:val="000000" w:themeColor="text1"/>
          <w:spacing w:val="-2"/>
          <w:lang w:val="en-GB"/>
        </w:rPr>
        <w:t>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 and </w:t>
      </w:r>
      <w:r w:rsidR="00563BBC">
        <w:rPr>
          <w:noProof/>
          <w:color w:val="000000" w:themeColor="text1"/>
          <w:spacing w:val="-2"/>
          <w:lang w:val="en-GB"/>
        </w:rPr>
        <w:t>3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4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 thousand)</w:t>
      </w:r>
      <w:r w:rsidR="00BD287C">
        <w:rPr>
          <w:noProof/>
          <w:color w:val="000000" w:themeColor="text1"/>
          <w:spacing w:val="-2"/>
          <w:lang w:val="en-GB"/>
        </w:rPr>
        <w:t xml:space="preserve"> and </w:t>
      </w:r>
      <w:r w:rsidR="00563BBC">
        <w:rPr>
          <w:noProof/>
          <w:color w:val="000000" w:themeColor="text1"/>
          <w:spacing w:val="-2"/>
          <w:lang w:val="en-GB"/>
        </w:rPr>
        <w:t>Ś</w:t>
      </w:r>
      <w:r w:rsidRPr="00563BBC" w:rsidR="00563BBC">
        <w:rPr>
          <w:noProof/>
          <w:color w:val="000000" w:themeColor="text1"/>
          <w:spacing w:val="-2"/>
          <w:lang w:val="en-GB"/>
        </w:rPr>
        <w:t xml:space="preserve">ląskie </w:t>
      </w:r>
      <w:r w:rsidRPr="00C87EEB" w:rsidR="00C87EEB">
        <w:rPr>
          <w:noProof/>
          <w:color w:val="000000" w:themeColor="text1"/>
          <w:spacing w:val="-2"/>
          <w:lang w:val="en-GB"/>
        </w:rPr>
        <w:t>(</w:t>
      </w:r>
      <w:r w:rsidR="00563BBC">
        <w:rPr>
          <w:noProof/>
          <w:color w:val="000000" w:themeColor="text1"/>
          <w:spacing w:val="-2"/>
          <w:lang w:val="en-GB"/>
        </w:rPr>
        <w:t>2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6422C">
        <w:rPr>
          <w:noProof/>
          <w:color w:val="000000" w:themeColor="text1"/>
          <w:spacing w:val="-2"/>
          <w:lang w:val="en-GB"/>
        </w:rPr>
        <w:t>3</w:t>
      </w:r>
      <w:r w:rsidR="008D2528">
        <w:rPr>
          <w:noProof/>
          <w:color w:val="000000" w:themeColor="text1"/>
          <w:spacing w:val="-2"/>
          <w:lang w:val="en-GB"/>
        </w:rPr>
        <w:t> 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thousand, </w:t>
      </w:r>
      <w:r w:rsidR="00C97D02">
        <w:rPr>
          <w:noProof/>
          <w:color w:val="000000" w:themeColor="text1"/>
          <w:spacing w:val="-2"/>
          <w:lang w:val="en-GB"/>
        </w:rPr>
        <w:t>2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4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thousand and </w:t>
      </w:r>
      <w:r w:rsidR="00563BBC">
        <w:rPr>
          <w:noProof/>
          <w:color w:val="000000" w:themeColor="text1"/>
          <w:spacing w:val="-2"/>
          <w:lang w:val="en-GB"/>
        </w:rPr>
        <w:t>4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63BBC">
        <w:rPr>
          <w:noProof/>
          <w:color w:val="000000" w:themeColor="text1"/>
          <w:spacing w:val="-2"/>
          <w:lang w:val="en-GB"/>
        </w:rPr>
        <w:t>6 </w:t>
      </w:r>
      <w:r w:rsidRPr="00C87EEB" w:rsidR="00C87EEB">
        <w:rPr>
          <w:noProof/>
          <w:color w:val="000000" w:themeColor="text1"/>
          <w:spacing w:val="-2"/>
          <w:lang w:val="en-GB"/>
        </w:rPr>
        <w:t>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:rsidR="00903A58" w:rsidP="006D194B" w:rsidRDefault="001C1808" w14:paraId="73CBA65A" w14:textId="2D4A1898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 xml:space="preserve">January-February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>5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FB3E38" w14:paraId="49452228" w14:textId="0E9E3852">
      <w:pPr>
        <w:rPr>
          <w:lang w:val="en-GB" w:eastAsia="pl-PL"/>
        </w:rPr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editId="3A937FB9" wp14:anchorId="361DCD8C">
            <wp:simplePos x="0" y="0"/>
            <wp:positionH relativeFrom="margin">
              <wp:align>left</wp:align>
            </wp:positionH>
            <wp:positionV relativeFrom="paragraph">
              <wp:posOffset>166314</wp:posOffset>
            </wp:positionV>
            <wp:extent cx="5122545" cy="3463316"/>
            <wp:effectExtent l="0" t="0" r="1905" b="3810"/>
            <wp:wrapNone/>
            <wp:docPr id="5" name="Wykres 5" descr="Chart 2. Number of dwellings completed, number of dwellings for which permits have been granted or which have been registered with a construction project and number of dwellings in which construction has begun in January-February 2025 in particular voivodships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61A3E" w:rsidR="00F97C1E" w:rsidP="00FE1642" w:rsidRDefault="00F97C1E" w14:paraId="4C3CD6AB" w14:textId="54B521F6">
      <w:pPr>
        <w:rPr>
          <w:lang w:val="en-GB"/>
        </w:rPr>
      </w:pPr>
    </w:p>
    <w:p w:rsidRPr="00FE1642" w:rsidR="00FE1642" w:rsidP="00FE1642" w:rsidRDefault="00FE1642" w14:paraId="6E5E8C6F" w14:textId="3BA7DFB6">
      <w:pPr>
        <w:rPr>
          <w:lang w:val="en-GB" w:eastAsia="pl-PL"/>
        </w:rPr>
      </w:pPr>
    </w:p>
    <w:p w:rsidR="007A22DD" w:rsidP="00A76D03" w:rsidRDefault="007A22DD" w14:paraId="7C86092F" w14:textId="60D421AF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03D632DC">
      <w:pPr>
        <w:spacing w:after="0" w:line="288" w:lineRule="auto"/>
        <w:rPr>
          <w:shd w:val="clear" w:color="auto" w:fill="FFFFFF"/>
          <w:lang w:val="en-GB"/>
        </w:rPr>
      </w:pPr>
    </w:p>
    <w:p w:rsidR="007A22DD" w:rsidP="00486AC7" w:rsidRDefault="00486AC7" w14:paraId="59068671" w14:textId="340AF9B8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="007A22DD" w:rsidP="00A76D03" w:rsidRDefault="007A22DD" w14:paraId="6A608580" w14:textId="559CEA84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B833328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Pr="005D6A64" w:rsidR="00F81A53" w:rsidP="009541EC" w:rsidRDefault="00F81A53" w14:paraId="526B3FB7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9541EC" w:rsidRDefault="00FB3E38" w14:paraId="6F360221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9541EC" w:rsidRDefault="00FB3E38" w14:paraId="05FCAA65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9541EC" w:rsidRDefault="00FB3E38" w14:paraId="4921A8A7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9541EC" w:rsidRDefault="00FB3E38" w14:paraId="2B4FDED8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9541EC" w:rsidRDefault="00FB3E38" w14:paraId="3224C595" w14:textId="77777777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:rsidR="00FB3E38" w:rsidP="00FB3E38" w:rsidRDefault="00F81A53" w14:paraId="3F7D20DC" w14:textId="445D191F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 w:rsidRPr="005D6A64">
        <w:rPr>
          <w:b/>
          <w:color w:val="001D77"/>
          <w:spacing w:val="-4"/>
          <w:shd w:val="clear" w:color="auto" w:fill="FFFFFF"/>
          <w:lang w:val="en-GB"/>
        </w:rPr>
        <w:t>Meaning of symbols:</w:t>
      </w:r>
      <w:r w:rsidRPr="00F81A53">
        <w:rPr>
          <w:shd w:val="clear" w:color="auto" w:fill="FFFFFF"/>
          <w:lang w:val="en-GB"/>
        </w:rPr>
        <w:t xml:space="preserve"> </w:t>
      </w:r>
      <w:r w:rsidR="005D6A64">
        <w:rPr>
          <w:shd w:val="clear" w:color="auto" w:fill="FFFFFF"/>
          <w:lang w:val="en-GB"/>
        </w:rPr>
        <w:br/>
        <w:t>D</w:t>
      </w:r>
      <w:r w:rsidRPr="005D6A64" w:rsidR="005D6A64">
        <w:rPr>
          <w:shd w:val="clear" w:color="auto" w:fill="FFFFFF"/>
          <w:lang w:val="en-GB"/>
        </w:rPr>
        <w:t>ash (</w:t>
      </w:r>
      <w:r w:rsidRPr="00B367C8" w:rsidR="00B367C8">
        <w:rPr>
          <w:shd w:val="clear" w:color="auto" w:fill="FFFFFF"/>
          <w:lang w:val="en-GB"/>
        </w:rPr>
        <w:t>–</w:t>
      </w:r>
      <w:r w:rsidRPr="005D6A64" w:rsidR="005D6A64">
        <w:rPr>
          <w:shd w:val="clear" w:color="auto" w:fill="FFFFFF"/>
          <w:lang w:val="en-GB"/>
        </w:rPr>
        <w:t>)</w:t>
      </w:r>
      <w:r w:rsidR="00B367C8">
        <w:rPr>
          <w:shd w:val="clear" w:color="auto" w:fill="FFFFFF"/>
          <w:lang w:val="en-GB"/>
        </w:rPr>
        <w:t xml:space="preserve"> </w:t>
      </w:r>
      <w:r w:rsidRPr="00B367C8" w:rsid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 </w:t>
      </w:r>
      <w:r w:rsidRPr="005D6A64" w:rsidR="005D6A64">
        <w:rPr>
          <w:shd w:val="clear" w:color="auto" w:fill="FFFFFF"/>
          <w:lang w:val="en-GB"/>
        </w:rPr>
        <w:t>magnitude zero.</w:t>
      </w:r>
      <w:r w:rsidR="005D6A64">
        <w:rPr>
          <w:shd w:val="clear" w:color="auto" w:fill="FFFFFF"/>
          <w:lang w:val="en-GB"/>
        </w:rPr>
        <w:br/>
        <w:t>D</w:t>
      </w:r>
      <w:r w:rsidRPr="00F81A53">
        <w:rPr>
          <w:shd w:val="clear" w:color="auto" w:fill="FFFFFF"/>
          <w:lang w:val="en-GB"/>
        </w:rPr>
        <w:t xml:space="preserve">ot ( . ) </w:t>
      </w:r>
      <w:r w:rsidRPr="00B367C8" w:rsid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means: </w:t>
      </w:r>
      <w:r w:rsidRPr="00F81A53">
        <w:rPr>
          <w:shd w:val="clear" w:color="auto" w:fill="FFFFFF"/>
          <w:lang w:val="en-GB"/>
        </w:rPr>
        <w:t>data not available, classified data (statistical confidentiality) or providing data impossible or purposeless</w:t>
      </w:r>
      <w:r w:rsidR="005D6A64">
        <w:rPr>
          <w:shd w:val="clear" w:color="auto" w:fill="FFFFFF"/>
          <w:lang w:val="en-GB"/>
        </w:rPr>
        <w:t>.</w:t>
      </w:r>
      <w:r w:rsidR="009541EC">
        <w:rPr>
          <w:shd w:val="clear" w:color="auto" w:fill="FFFFFF"/>
          <w:lang w:val="en-GB"/>
        </w:rPr>
        <w:tab/>
      </w:r>
    </w:p>
    <w:p w:rsidR="00FB3E38" w:rsidP="00FB3E38" w:rsidRDefault="00FB3E38" w14:paraId="5E68DD67" w14:textId="7777777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FB3E38" w:rsidRDefault="00257306" w14:paraId="47844B4F" w14:textId="3E625BCF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FB3E38"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9C10A5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B75FA8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348F76E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:rsidRPr="00764A7B" w:rsidR="00764A7B" w:rsidP="00764A7B" w:rsidRDefault="00764A7B" w14:paraId="7F3DD76A" w14:textId="00B5752D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Pr="00B75FA8" w:rsidR="00764A7B" w:rsidP="006D17B1" w:rsidRDefault="00764A7B" w14:paraId="205CFE14" w14:textId="636513B9">
            <w:pPr>
              <w:rPr>
                <w:sz w:val="18"/>
                <w:lang w:val="en-GB"/>
              </w:rPr>
            </w:pPr>
          </w:p>
        </w:tc>
      </w:tr>
      <w:tr w:rsidRPr="00FB3E38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F84939F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 descr="service 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r w:rsidRPr="00DE1D0A" w:rsidR="007E02D8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9C10A5" w14:paraId="169B323E" w14:textId="2E904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2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9C10A5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26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9C10A5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27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9C10A5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9C10A5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9C10A5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1"/>
          </w:p>
          <w:p w:rsidRPr="005E4843" w:rsidR="0045506B" w:rsidP="0045506B" w:rsidRDefault="009C10A5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CB1E81C">
      <w:pPr>
        <w:rPr>
          <w:sz w:val="18"/>
          <w:lang w:val="en-GB"/>
        </w:rPr>
      </w:pPr>
    </w:p>
    <w:sectPr w:rsidRPr="004829B9" w:rsidR="00D261A2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4E377" w14:textId="77777777" w:rsidR="009C10A5" w:rsidRDefault="009C10A5" w:rsidP="000662E2">
      <w:pPr>
        <w:spacing w:after="0" w:line="240" w:lineRule="auto"/>
      </w:pPr>
      <w:r>
        <w:separator/>
      </w:r>
    </w:p>
  </w:endnote>
  <w:endnote w:type="continuationSeparator" w:id="0">
    <w:p w14:paraId="4AE29EE2" w14:textId="77777777" w:rsidR="009C10A5" w:rsidRDefault="009C10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7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E4E8CE" w14:textId="77777777" w:rsidR="00475828" w:rsidRPr="007B4F73" w:rsidRDefault="00475828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7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19558" w14:textId="77777777" w:rsidR="009C10A5" w:rsidRDefault="009C10A5" w:rsidP="000662E2">
      <w:pPr>
        <w:spacing w:after="0" w:line="240" w:lineRule="auto"/>
      </w:pPr>
      <w:r>
        <w:separator/>
      </w:r>
    </w:p>
  </w:footnote>
  <w:footnote w:type="continuationSeparator" w:id="0">
    <w:p w14:paraId="198CA0B3" w14:textId="77777777" w:rsidR="009C10A5" w:rsidRDefault="009C10A5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475828" w:rsidRPr="008C48C6" w:rsidRDefault="00475828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73AF30BA" w14:textId="5612F46F" w:rsidR="00B54555" w:rsidRPr="006B09C6" w:rsidRDefault="00B54555" w:rsidP="00B54555">
      <w:pPr>
        <w:pStyle w:val="Tekstprzypisudolnego"/>
        <w:rPr>
          <w:sz w:val="19"/>
          <w:szCs w:val="19"/>
          <w:lang w:val="en-US"/>
        </w:rPr>
      </w:pPr>
      <w:r w:rsidRPr="00912473">
        <w:rPr>
          <w:rStyle w:val="Odwoanieprzypisudolnego"/>
          <w:sz w:val="19"/>
          <w:szCs w:val="19"/>
        </w:rPr>
        <w:footnoteRef/>
      </w:r>
      <w:r w:rsidRPr="006B09C6">
        <w:rPr>
          <w:sz w:val="19"/>
          <w:szCs w:val="19"/>
          <w:lang w:val="en-US"/>
        </w:rPr>
        <w:t xml:space="preserve"> </w:t>
      </w:r>
      <w:r w:rsidR="006B09C6" w:rsidRPr="006B09C6">
        <w:rPr>
          <w:sz w:val="19"/>
          <w:szCs w:val="19"/>
          <w:lang w:val="en-US"/>
        </w:rPr>
        <w:t xml:space="preserve">Whenever the note mentions developers, it refers to the form of construction </w:t>
      </w:r>
      <w:r w:rsidR="006B09C6">
        <w:rPr>
          <w:sz w:val="19"/>
          <w:szCs w:val="19"/>
          <w:lang w:val="en-US"/>
        </w:rPr>
        <w:t>“For sale or rent”</w:t>
      </w:r>
      <w:r w:rsidRPr="006B09C6">
        <w:rPr>
          <w:rFonts w:eastAsia="Calibri" w:cs="Times New Roman"/>
          <w:sz w:val="19"/>
          <w:szCs w:val="19"/>
          <w:lang w:val="en-US"/>
        </w:rPr>
        <w:t>.</w:t>
      </w:r>
    </w:p>
  </w:footnote>
  <w:footnote w:id="3">
    <w:p w14:paraId="0FDD16B5" w14:textId="1D9BC3E9" w:rsidR="00475828" w:rsidRPr="000D79F7" w:rsidRDefault="00475828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</w:t>
      </w:r>
      <w:r w:rsidR="000F1219">
        <w:rPr>
          <w:sz w:val="19"/>
          <w:szCs w:val="19"/>
          <w:lang w:val="en-GB"/>
        </w:rPr>
        <w:t xml:space="preserve">Whenever the text mentions buildings permits, this should be understood as building permits issued and registrations with a </w:t>
      </w:r>
      <w:r w:rsidR="00EF51F2">
        <w:rPr>
          <w:sz w:val="19"/>
          <w:szCs w:val="19"/>
          <w:lang w:val="en-GB"/>
        </w:rPr>
        <w:t>co</w:t>
      </w:r>
      <w:r w:rsidR="00010334">
        <w:rPr>
          <w:sz w:val="19"/>
          <w:szCs w:val="19"/>
          <w:lang w:val="en-GB"/>
        </w:rPr>
        <w:t>n</w:t>
      </w:r>
      <w:r w:rsidR="00EF51F2">
        <w:rPr>
          <w:sz w:val="19"/>
          <w:szCs w:val="19"/>
          <w:lang w:val="en-GB"/>
        </w:rPr>
        <w:t>struction</w:t>
      </w:r>
      <w:r w:rsidR="00010334">
        <w:rPr>
          <w:sz w:val="19"/>
          <w:szCs w:val="19"/>
          <w:lang w:val="en-GB"/>
        </w:rPr>
        <w:t xml:space="preserve"> </w:t>
      </w:r>
      <w:r w:rsidR="000F1219">
        <w:rPr>
          <w:sz w:val="19"/>
          <w:szCs w:val="19"/>
          <w:lang w:val="en-GB"/>
        </w:rPr>
        <w:t>project – also covered by</w:t>
      </w:r>
      <w:r w:rsidRPr="000D79F7">
        <w:rPr>
          <w:sz w:val="19"/>
          <w:szCs w:val="19"/>
          <w:lang w:val="en-GB"/>
        </w:rPr>
        <w:t xml:space="preserve">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475828" w:rsidRDefault="004758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475828" w:rsidRDefault="0047582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F584290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0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A501B62" w:rsidR="00475828" w:rsidRPr="00C97596" w:rsidRDefault="00467E6A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A4A5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47582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CA4A5E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475828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0.03.2025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" filled="f" stroked="f">
              <v:textbox>
                <w:txbxContent>
                  <w:p w14:paraId="2046DC43" w14:textId="2A501B62" w:rsidR="00475828" w:rsidRPr="00C97596" w:rsidRDefault="00467E6A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A4A5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47582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CA4A5E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475828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75828" w:rsidRPr="003C6C8D" w:rsidRDefault="00475828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75828" w:rsidRPr="003C6C8D" w:rsidRDefault="00475828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475828" w:rsidRDefault="00475828">
    <w:pPr>
      <w:pStyle w:val="Nagwek"/>
    </w:pPr>
  </w:p>
  <w:p w14:paraId="77A82982" w14:textId="77777777" w:rsidR="00475828" w:rsidRDefault="004758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2" type="#_x0000_t75" style="width:123.8pt;height:125.2pt;visibility:visible;mso-wrap-style:square" o:bullet="t">
        <v:imagedata r:id="rId1" o:title=""/>
      </v:shape>
    </w:pict>
  </w:numPicBullet>
  <w:numPicBullet w:numPicBulletId="1">
    <w:pict>
      <v:shape id="_x0000_i1323" type="#_x0000_t75" style="width:123.8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43B"/>
    <w:rsid w:val="0000355C"/>
    <w:rsid w:val="00005167"/>
    <w:rsid w:val="00006864"/>
    <w:rsid w:val="0000709F"/>
    <w:rsid w:val="000075DE"/>
    <w:rsid w:val="00007996"/>
    <w:rsid w:val="00007BF9"/>
    <w:rsid w:val="00010334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1F"/>
    <w:rsid w:val="000157DD"/>
    <w:rsid w:val="00015947"/>
    <w:rsid w:val="00016549"/>
    <w:rsid w:val="000169EB"/>
    <w:rsid w:val="000221EC"/>
    <w:rsid w:val="000227DE"/>
    <w:rsid w:val="00024626"/>
    <w:rsid w:val="00024871"/>
    <w:rsid w:val="000257B1"/>
    <w:rsid w:val="000271FB"/>
    <w:rsid w:val="00027A3B"/>
    <w:rsid w:val="00030FF0"/>
    <w:rsid w:val="0003236F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1AC4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83F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26F9"/>
    <w:rsid w:val="00093BAC"/>
    <w:rsid w:val="00095A18"/>
    <w:rsid w:val="00095AA3"/>
    <w:rsid w:val="0009690C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5F2B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3BD4"/>
    <w:rsid w:val="000D5B6E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A94"/>
    <w:rsid w:val="000F0D3F"/>
    <w:rsid w:val="000F1219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0A5E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47A24"/>
    <w:rsid w:val="00147F94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900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5B0A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0DF5"/>
    <w:rsid w:val="001D112D"/>
    <w:rsid w:val="001D1DB4"/>
    <w:rsid w:val="001D270F"/>
    <w:rsid w:val="001D279C"/>
    <w:rsid w:val="001D2AD6"/>
    <w:rsid w:val="001D41CD"/>
    <w:rsid w:val="001D508C"/>
    <w:rsid w:val="001D5A70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6F21"/>
    <w:rsid w:val="00217D5E"/>
    <w:rsid w:val="00220E61"/>
    <w:rsid w:val="00221C28"/>
    <w:rsid w:val="00223182"/>
    <w:rsid w:val="00223849"/>
    <w:rsid w:val="002243DD"/>
    <w:rsid w:val="00224A09"/>
    <w:rsid w:val="00224D54"/>
    <w:rsid w:val="00226F57"/>
    <w:rsid w:val="00230C46"/>
    <w:rsid w:val="00230C84"/>
    <w:rsid w:val="0023341D"/>
    <w:rsid w:val="00235276"/>
    <w:rsid w:val="00235DA8"/>
    <w:rsid w:val="00236490"/>
    <w:rsid w:val="00237220"/>
    <w:rsid w:val="00237A99"/>
    <w:rsid w:val="00243185"/>
    <w:rsid w:val="00243A60"/>
    <w:rsid w:val="00243E01"/>
    <w:rsid w:val="00244842"/>
    <w:rsid w:val="002452B8"/>
    <w:rsid w:val="002455BA"/>
    <w:rsid w:val="00246441"/>
    <w:rsid w:val="00247F97"/>
    <w:rsid w:val="00251416"/>
    <w:rsid w:val="00251496"/>
    <w:rsid w:val="002518FA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357D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4BD6"/>
    <w:rsid w:val="0027606C"/>
    <w:rsid w:val="00276811"/>
    <w:rsid w:val="00276BEB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B44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99B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33E4"/>
    <w:rsid w:val="002D424E"/>
    <w:rsid w:val="002D52E5"/>
    <w:rsid w:val="002D5BFE"/>
    <w:rsid w:val="002D6990"/>
    <w:rsid w:val="002D6C7A"/>
    <w:rsid w:val="002E10D1"/>
    <w:rsid w:val="002E13A8"/>
    <w:rsid w:val="002E1526"/>
    <w:rsid w:val="002E1568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914"/>
    <w:rsid w:val="002F1F42"/>
    <w:rsid w:val="002F2C84"/>
    <w:rsid w:val="002F2E8D"/>
    <w:rsid w:val="002F339C"/>
    <w:rsid w:val="002F4618"/>
    <w:rsid w:val="002F5BEB"/>
    <w:rsid w:val="002F77C8"/>
    <w:rsid w:val="002F797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964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5AC9"/>
    <w:rsid w:val="0035602F"/>
    <w:rsid w:val="003563AE"/>
    <w:rsid w:val="00356D8E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6B3"/>
    <w:rsid w:val="00364A97"/>
    <w:rsid w:val="00364F7D"/>
    <w:rsid w:val="00365663"/>
    <w:rsid w:val="00365F22"/>
    <w:rsid w:val="00367237"/>
    <w:rsid w:val="003674D8"/>
    <w:rsid w:val="0037077F"/>
    <w:rsid w:val="00371590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7E0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4DC5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6D50"/>
    <w:rsid w:val="003A716C"/>
    <w:rsid w:val="003A7E95"/>
    <w:rsid w:val="003B05CF"/>
    <w:rsid w:val="003B1454"/>
    <w:rsid w:val="003B24CF"/>
    <w:rsid w:val="003B37EE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C786D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E75AF"/>
    <w:rsid w:val="003F0199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5F5D"/>
    <w:rsid w:val="004066F3"/>
    <w:rsid w:val="00406BFF"/>
    <w:rsid w:val="00406CE3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5484"/>
    <w:rsid w:val="00425BFA"/>
    <w:rsid w:val="00427281"/>
    <w:rsid w:val="00427BF8"/>
    <w:rsid w:val="004308EF"/>
    <w:rsid w:val="00430A65"/>
    <w:rsid w:val="00431A3E"/>
    <w:rsid w:val="00431C02"/>
    <w:rsid w:val="0043307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1199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BB3"/>
    <w:rsid w:val="00467E6A"/>
    <w:rsid w:val="00467EFF"/>
    <w:rsid w:val="0047027C"/>
    <w:rsid w:val="00471D34"/>
    <w:rsid w:val="004733F6"/>
    <w:rsid w:val="00474753"/>
    <w:rsid w:val="00474E69"/>
    <w:rsid w:val="00475828"/>
    <w:rsid w:val="00477CFF"/>
    <w:rsid w:val="00477DD8"/>
    <w:rsid w:val="0048107C"/>
    <w:rsid w:val="0048227E"/>
    <w:rsid w:val="004829B9"/>
    <w:rsid w:val="00482C65"/>
    <w:rsid w:val="004838C0"/>
    <w:rsid w:val="0048505D"/>
    <w:rsid w:val="00485619"/>
    <w:rsid w:val="00485E73"/>
    <w:rsid w:val="004862A6"/>
    <w:rsid w:val="004862B6"/>
    <w:rsid w:val="00486AC7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14DB"/>
    <w:rsid w:val="004B3EDB"/>
    <w:rsid w:val="004B5230"/>
    <w:rsid w:val="004B638F"/>
    <w:rsid w:val="004B68FC"/>
    <w:rsid w:val="004B6918"/>
    <w:rsid w:val="004C012E"/>
    <w:rsid w:val="004C0707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EE7"/>
    <w:rsid w:val="004D65F8"/>
    <w:rsid w:val="004D665D"/>
    <w:rsid w:val="004D6D43"/>
    <w:rsid w:val="004D7F75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0CF"/>
    <w:rsid w:val="004E7833"/>
    <w:rsid w:val="004F0C3C"/>
    <w:rsid w:val="004F1A02"/>
    <w:rsid w:val="004F2A2A"/>
    <w:rsid w:val="004F33FB"/>
    <w:rsid w:val="004F4B17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2C3B"/>
    <w:rsid w:val="005240A3"/>
    <w:rsid w:val="0052510F"/>
    <w:rsid w:val="00525CAC"/>
    <w:rsid w:val="00526927"/>
    <w:rsid w:val="005274BE"/>
    <w:rsid w:val="00527B0C"/>
    <w:rsid w:val="00527BA1"/>
    <w:rsid w:val="005303D3"/>
    <w:rsid w:val="00532256"/>
    <w:rsid w:val="00533632"/>
    <w:rsid w:val="00534311"/>
    <w:rsid w:val="00534730"/>
    <w:rsid w:val="005352B1"/>
    <w:rsid w:val="00536E29"/>
    <w:rsid w:val="0053774D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55E"/>
    <w:rsid w:val="0055770D"/>
    <w:rsid w:val="00561AEB"/>
    <w:rsid w:val="005629FF"/>
    <w:rsid w:val="00562C74"/>
    <w:rsid w:val="0056331F"/>
    <w:rsid w:val="00563BBC"/>
    <w:rsid w:val="00564219"/>
    <w:rsid w:val="0056422C"/>
    <w:rsid w:val="00566BB8"/>
    <w:rsid w:val="005676B0"/>
    <w:rsid w:val="00567DE5"/>
    <w:rsid w:val="005702F8"/>
    <w:rsid w:val="00573181"/>
    <w:rsid w:val="0057418D"/>
    <w:rsid w:val="005744C0"/>
    <w:rsid w:val="00574E89"/>
    <w:rsid w:val="005751A6"/>
    <w:rsid w:val="00575C63"/>
    <w:rsid w:val="005762A7"/>
    <w:rsid w:val="00576D21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1F28"/>
    <w:rsid w:val="005B2080"/>
    <w:rsid w:val="005B3628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2AC"/>
    <w:rsid w:val="005D1C24"/>
    <w:rsid w:val="005D1DE2"/>
    <w:rsid w:val="005D23AA"/>
    <w:rsid w:val="005D25AB"/>
    <w:rsid w:val="005D2782"/>
    <w:rsid w:val="005D2FB0"/>
    <w:rsid w:val="005D46FD"/>
    <w:rsid w:val="005D6A64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595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452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37836"/>
    <w:rsid w:val="00642327"/>
    <w:rsid w:val="00642778"/>
    <w:rsid w:val="00642A2B"/>
    <w:rsid w:val="00642A6D"/>
    <w:rsid w:val="00645CCC"/>
    <w:rsid w:val="0064694B"/>
    <w:rsid w:val="00646D6F"/>
    <w:rsid w:val="00647DE3"/>
    <w:rsid w:val="00651722"/>
    <w:rsid w:val="00651D40"/>
    <w:rsid w:val="00652E3E"/>
    <w:rsid w:val="006541B9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140"/>
    <w:rsid w:val="006673CA"/>
    <w:rsid w:val="00667932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97D79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1C8"/>
    <w:rsid w:val="006B09C6"/>
    <w:rsid w:val="006B0E9E"/>
    <w:rsid w:val="006B1475"/>
    <w:rsid w:val="006B2C7B"/>
    <w:rsid w:val="006B5AE4"/>
    <w:rsid w:val="006B6187"/>
    <w:rsid w:val="006B6263"/>
    <w:rsid w:val="006B6B03"/>
    <w:rsid w:val="006B6D5F"/>
    <w:rsid w:val="006B720A"/>
    <w:rsid w:val="006B7276"/>
    <w:rsid w:val="006B7B25"/>
    <w:rsid w:val="006C530F"/>
    <w:rsid w:val="006C645A"/>
    <w:rsid w:val="006C7411"/>
    <w:rsid w:val="006C7637"/>
    <w:rsid w:val="006D1208"/>
    <w:rsid w:val="006D17B1"/>
    <w:rsid w:val="006D17B3"/>
    <w:rsid w:val="006D194B"/>
    <w:rsid w:val="006D3CE0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2AD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25259"/>
    <w:rsid w:val="007317DF"/>
    <w:rsid w:val="00731815"/>
    <w:rsid w:val="00734063"/>
    <w:rsid w:val="00734857"/>
    <w:rsid w:val="00734924"/>
    <w:rsid w:val="00734C04"/>
    <w:rsid w:val="00736E7B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631"/>
    <w:rsid w:val="00750BCA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85C"/>
    <w:rsid w:val="007A1E42"/>
    <w:rsid w:val="007A22DD"/>
    <w:rsid w:val="007A2C85"/>
    <w:rsid w:val="007A2DC1"/>
    <w:rsid w:val="007A3C34"/>
    <w:rsid w:val="007A5E03"/>
    <w:rsid w:val="007A7D7B"/>
    <w:rsid w:val="007B0D5E"/>
    <w:rsid w:val="007B0E35"/>
    <w:rsid w:val="007B2590"/>
    <w:rsid w:val="007B36AE"/>
    <w:rsid w:val="007B3C3F"/>
    <w:rsid w:val="007B3DB7"/>
    <w:rsid w:val="007B4391"/>
    <w:rsid w:val="007B4E2B"/>
    <w:rsid w:val="007B4F73"/>
    <w:rsid w:val="007B5D10"/>
    <w:rsid w:val="007B6BFD"/>
    <w:rsid w:val="007C117A"/>
    <w:rsid w:val="007C14FA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0B5E"/>
    <w:rsid w:val="007E1643"/>
    <w:rsid w:val="007E2E60"/>
    <w:rsid w:val="007E3314"/>
    <w:rsid w:val="007E3AAA"/>
    <w:rsid w:val="007E3D86"/>
    <w:rsid w:val="007E4736"/>
    <w:rsid w:val="007E49F1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2246"/>
    <w:rsid w:val="00802DF1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186C"/>
    <w:rsid w:val="0081279F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14F0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77094"/>
    <w:rsid w:val="00880153"/>
    <w:rsid w:val="0088258A"/>
    <w:rsid w:val="00882FBF"/>
    <w:rsid w:val="00883234"/>
    <w:rsid w:val="0088355D"/>
    <w:rsid w:val="008843BB"/>
    <w:rsid w:val="00885775"/>
    <w:rsid w:val="008857DD"/>
    <w:rsid w:val="00885B26"/>
    <w:rsid w:val="00885F42"/>
    <w:rsid w:val="00886332"/>
    <w:rsid w:val="008873C9"/>
    <w:rsid w:val="0088754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A3E"/>
    <w:rsid w:val="008C4E2B"/>
    <w:rsid w:val="008C57FA"/>
    <w:rsid w:val="008C79AB"/>
    <w:rsid w:val="008D133F"/>
    <w:rsid w:val="008D2074"/>
    <w:rsid w:val="008D2290"/>
    <w:rsid w:val="008D2528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39E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266"/>
    <w:rsid w:val="0090079C"/>
    <w:rsid w:val="00900955"/>
    <w:rsid w:val="00901350"/>
    <w:rsid w:val="009025F7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0234"/>
    <w:rsid w:val="00910EC7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4B73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0A9"/>
    <w:rsid w:val="00936145"/>
    <w:rsid w:val="00941380"/>
    <w:rsid w:val="00944262"/>
    <w:rsid w:val="00944940"/>
    <w:rsid w:val="0094496C"/>
    <w:rsid w:val="00945C11"/>
    <w:rsid w:val="00945CEE"/>
    <w:rsid w:val="0094787A"/>
    <w:rsid w:val="00947FA6"/>
    <w:rsid w:val="0095094E"/>
    <w:rsid w:val="009510F1"/>
    <w:rsid w:val="00952B54"/>
    <w:rsid w:val="009530DB"/>
    <w:rsid w:val="00953676"/>
    <w:rsid w:val="009541EC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175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2B7"/>
    <w:rsid w:val="00996309"/>
    <w:rsid w:val="00997B2E"/>
    <w:rsid w:val="009A112C"/>
    <w:rsid w:val="009A36EC"/>
    <w:rsid w:val="009A4851"/>
    <w:rsid w:val="009A5771"/>
    <w:rsid w:val="009A5E48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058"/>
    <w:rsid w:val="009B6361"/>
    <w:rsid w:val="009B7341"/>
    <w:rsid w:val="009B7D46"/>
    <w:rsid w:val="009C0CCF"/>
    <w:rsid w:val="009C0D40"/>
    <w:rsid w:val="009C10A5"/>
    <w:rsid w:val="009C1335"/>
    <w:rsid w:val="009C1AB2"/>
    <w:rsid w:val="009C2B30"/>
    <w:rsid w:val="009C36F0"/>
    <w:rsid w:val="009C3A98"/>
    <w:rsid w:val="009C3E99"/>
    <w:rsid w:val="009C53E0"/>
    <w:rsid w:val="009C7251"/>
    <w:rsid w:val="009D1506"/>
    <w:rsid w:val="009D2F59"/>
    <w:rsid w:val="009D3D10"/>
    <w:rsid w:val="009D3E91"/>
    <w:rsid w:val="009D3EF7"/>
    <w:rsid w:val="009D4061"/>
    <w:rsid w:val="009D5DFA"/>
    <w:rsid w:val="009D785B"/>
    <w:rsid w:val="009E13F6"/>
    <w:rsid w:val="009E15F4"/>
    <w:rsid w:val="009E18FF"/>
    <w:rsid w:val="009E19F6"/>
    <w:rsid w:val="009E1F94"/>
    <w:rsid w:val="009E2578"/>
    <w:rsid w:val="009E29C3"/>
    <w:rsid w:val="009E2E91"/>
    <w:rsid w:val="009E3371"/>
    <w:rsid w:val="009E384C"/>
    <w:rsid w:val="009E48FE"/>
    <w:rsid w:val="009E6202"/>
    <w:rsid w:val="009F0127"/>
    <w:rsid w:val="009F0AA9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45E1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5D4"/>
    <w:rsid w:val="00A20421"/>
    <w:rsid w:val="00A21861"/>
    <w:rsid w:val="00A21E4A"/>
    <w:rsid w:val="00A253D9"/>
    <w:rsid w:val="00A25901"/>
    <w:rsid w:val="00A25990"/>
    <w:rsid w:val="00A2721C"/>
    <w:rsid w:val="00A274FD"/>
    <w:rsid w:val="00A27763"/>
    <w:rsid w:val="00A27CE8"/>
    <w:rsid w:val="00A309AB"/>
    <w:rsid w:val="00A311AB"/>
    <w:rsid w:val="00A31D21"/>
    <w:rsid w:val="00A31F52"/>
    <w:rsid w:val="00A32DA4"/>
    <w:rsid w:val="00A33759"/>
    <w:rsid w:val="00A339F1"/>
    <w:rsid w:val="00A342B4"/>
    <w:rsid w:val="00A365F4"/>
    <w:rsid w:val="00A3775D"/>
    <w:rsid w:val="00A40176"/>
    <w:rsid w:val="00A406A2"/>
    <w:rsid w:val="00A40D16"/>
    <w:rsid w:val="00A4219B"/>
    <w:rsid w:val="00A4223C"/>
    <w:rsid w:val="00A4247D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07ED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990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217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597"/>
    <w:rsid w:val="00AC3686"/>
    <w:rsid w:val="00AC37B3"/>
    <w:rsid w:val="00AC658C"/>
    <w:rsid w:val="00AC7ADB"/>
    <w:rsid w:val="00AD0A03"/>
    <w:rsid w:val="00AD1492"/>
    <w:rsid w:val="00AD2EA0"/>
    <w:rsid w:val="00AD301F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57EF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06984"/>
    <w:rsid w:val="00B106B0"/>
    <w:rsid w:val="00B1100B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27461"/>
    <w:rsid w:val="00B30CCF"/>
    <w:rsid w:val="00B30E2E"/>
    <w:rsid w:val="00B31E5A"/>
    <w:rsid w:val="00B34C4C"/>
    <w:rsid w:val="00B35857"/>
    <w:rsid w:val="00B3644A"/>
    <w:rsid w:val="00B367C8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4555"/>
    <w:rsid w:val="00B55DAB"/>
    <w:rsid w:val="00B55F47"/>
    <w:rsid w:val="00B56724"/>
    <w:rsid w:val="00B56EEF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5B2B"/>
    <w:rsid w:val="00B86655"/>
    <w:rsid w:val="00B90250"/>
    <w:rsid w:val="00B914E9"/>
    <w:rsid w:val="00B93B71"/>
    <w:rsid w:val="00B956EE"/>
    <w:rsid w:val="00B9574A"/>
    <w:rsid w:val="00B95FA8"/>
    <w:rsid w:val="00B963B0"/>
    <w:rsid w:val="00B967DE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0F7"/>
    <w:rsid w:val="00BA44CD"/>
    <w:rsid w:val="00BA5050"/>
    <w:rsid w:val="00BA5BC7"/>
    <w:rsid w:val="00BA6291"/>
    <w:rsid w:val="00BA6BF5"/>
    <w:rsid w:val="00BA6D98"/>
    <w:rsid w:val="00BA7C6A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40C0"/>
    <w:rsid w:val="00BD4E33"/>
    <w:rsid w:val="00BD5740"/>
    <w:rsid w:val="00BD5F7F"/>
    <w:rsid w:val="00BD5FC6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1DA"/>
    <w:rsid w:val="00C01905"/>
    <w:rsid w:val="00C01DE4"/>
    <w:rsid w:val="00C021FE"/>
    <w:rsid w:val="00C028F7"/>
    <w:rsid w:val="00C03049"/>
    <w:rsid w:val="00C030DE"/>
    <w:rsid w:val="00C0397D"/>
    <w:rsid w:val="00C04039"/>
    <w:rsid w:val="00C04FD3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1051"/>
    <w:rsid w:val="00C3278C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02FB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280"/>
    <w:rsid w:val="00C7158E"/>
    <w:rsid w:val="00C7250B"/>
    <w:rsid w:val="00C733A3"/>
    <w:rsid w:val="00C7346B"/>
    <w:rsid w:val="00C73A45"/>
    <w:rsid w:val="00C74E74"/>
    <w:rsid w:val="00C75905"/>
    <w:rsid w:val="00C7630D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5A23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4ED7"/>
    <w:rsid w:val="00C96F23"/>
    <w:rsid w:val="00C96FAA"/>
    <w:rsid w:val="00C97A04"/>
    <w:rsid w:val="00C97D02"/>
    <w:rsid w:val="00CA0BF2"/>
    <w:rsid w:val="00CA107B"/>
    <w:rsid w:val="00CA2606"/>
    <w:rsid w:val="00CA3423"/>
    <w:rsid w:val="00CA38D1"/>
    <w:rsid w:val="00CA484D"/>
    <w:rsid w:val="00CA4A5E"/>
    <w:rsid w:val="00CA5899"/>
    <w:rsid w:val="00CA6109"/>
    <w:rsid w:val="00CA7767"/>
    <w:rsid w:val="00CA7A9B"/>
    <w:rsid w:val="00CA7DBD"/>
    <w:rsid w:val="00CB09AF"/>
    <w:rsid w:val="00CB0BB2"/>
    <w:rsid w:val="00CB10F3"/>
    <w:rsid w:val="00CB1178"/>
    <w:rsid w:val="00CB1329"/>
    <w:rsid w:val="00CB1634"/>
    <w:rsid w:val="00CB1B4D"/>
    <w:rsid w:val="00CB2FE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2F"/>
    <w:rsid w:val="00CD7B5E"/>
    <w:rsid w:val="00CE0F21"/>
    <w:rsid w:val="00CE124B"/>
    <w:rsid w:val="00CE18B8"/>
    <w:rsid w:val="00CE19CB"/>
    <w:rsid w:val="00CE50E3"/>
    <w:rsid w:val="00CE53E0"/>
    <w:rsid w:val="00CE6039"/>
    <w:rsid w:val="00CE66F6"/>
    <w:rsid w:val="00CE6745"/>
    <w:rsid w:val="00CE7816"/>
    <w:rsid w:val="00CE7F38"/>
    <w:rsid w:val="00CF0172"/>
    <w:rsid w:val="00CF140B"/>
    <w:rsid w:val="00CF2564"/>
    <w:rsid w:val="00CF2F68"/>
    <w:rsid w:val="00CF36C5"/>
    <w:rsid w:val="00CF3753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5C9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67F7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40FE"/>
    <w:rsid w:val="00DC4291"/>
    <w:rsid w:val="00DC6665"/>
    <w:rsid w:val="00DC6708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1D2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1BAF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0BF7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FBA"/>
    <w:rsid w:val="00E54452"/>
    <w:rsid w:val="00E55DC7"/>
    <w:rsid w:val="00E560D7"/>
    <w:rsid w:val="00E561AD"/>
    <w:rsid w:val="00E57D4D"/>
    <w:rsid w:val="00E60048"/>
    <w:rsid w:val="00E6094A"/>
    <w:rsid w:val="00E62FCE"/>
    <w:rsid w:val="00E641D0"/>
    <w:rsid w:val="00E64AFF"/>
    <w:rsid w:val="00E64D3B"/>
    <w:rsid w:val="00E64DB6"/>
    <w:rsid w:val="00E65DA1"/>
    <w:rsid w:val="00E65F25"/>
    <w:rsid w:val="00E6602E"/>
    <w:rsid w:val="00E661E4"/>
    <w:rsid w:val="00E664C5"/>
    <w:rsid w:val="00E66576"/>
    <w:rsid w:val="00E66E03"/>
    <w:rsid w:val="00E671A2"/>
    <w:rsid w:val="00E67A9D"/>
    <w:rsid w:val="00E67FD9"/>
    <w:rsid w:val="00E7020E"/>
    <w:rsid w:val="00E71068"/>
    <w:rsid w:val="00E717AF"/>
    <w:rsid w:val="00E7231F"/>
    <w:rsid w:val="00E724BA"/>
    <w:rsid w:val="00E72B39"/>
    <w:rsid w:val="00E736D7"/>
    <w:rsid w:val="00E7517E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40F"/>
    <w:rsid w:val="00EA16EC"/>
    <w:rsid w:val="00EA185F"/>
    <w:rsid w:val="00EA1F22"/>
    <w:rsid w:val="00EA20F6"/>
    <w:rsid w:val="00EA5D60"/>
    <w:rsid w:val="00EA644B"/>
    <w:rsid w:val="00EA67AF"/>
    <w:rsid w:val="00EA7044"/>
    <w:rsid w:val="00EA7A6B"/>
    <w:rsid w:val="00EB03D8"/>
    <w:rsid w:val="00EB082D"/>
    <w:rsid w:val="00EB0E40"/>
    <w:rsid w:val="00EB12F3"/>
    <w:rsid w:val="00EB1390"/>
    <w:rsid w:val="00EB1C36"/>
    <w:rsid w:val="00EB20CA"/>
    <w:rsid w:val="00EB2C71"/>
    <w:rsid w:val="00EB3907"/>
    <w:rsid w:val="00EB4340"/>
    <w:rsid w:val="00EB4571"/>
    <w:rsid w:val="00EB506C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4C86"/>
    <w:rsid w:val="00EF51F2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4F7C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158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51"/>
    <w:rsid w:val="00F426E9"/>
    <w:rsid w:val="00F43705"/>
    <w:rsid w:val="00F43757"/>
    <w:rsid w:val="00F438E2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A9F"/>
    <w:rsid w:val="00F70B4D"/>
    <w:rsid w:val="00F70D19"/>
    <w:rsid w:val="00F70DFA"/>
    <w:rsid w:val="00F729F6"/>
    <w:rsid w:val="00F7319C"/>
    <w:rsid w:val="00F74AF8"/>
    <w:rsid w:val="00F75655"/>
    <w:rsid w:val="00F802BE"/>
    <w:rsid w:val="00F81A53"/>
    <w:rsid w:val="00F81BF6"/>
    <w:rsid w:val="00F81CDA"/>
    <w:rsid w:val="00F829A9"/>
    <w:rsid w:val="00F830BE"/>
    <w:rsid w:val="00F83A4F"/>
    <w:rsid w:val="00F84A50"/>
    <w:rsid w:val="00F84FEA"/>
    <w:rsid w:val="00F85B3E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3E38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C5B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9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LUB02\wydzialy\04_OSB\pok%2041\Piotr\Residential_construction_in_the_period_of_January_February_2025_table_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LUB02\wydzialy\04_OSB\pok%2041\Piotr\Residential_construction_in_the_period_of_January_February_2025_table_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38540882595808E-2"/>
          <c:y val="9.2389121572569399E-2"/>
          <c:w val="0.92124482893644999"/>
          <c:h val="0.54020006558131006"/>
        </c:manualLayout>
      </c:layout>
      <c:lineChart>
        <c:grouping val="standard"/>
        <c:varyColors val="0"/>
        <c:ser>
          <c:idx val="0"/>
          <c:order val="0"/>
          <c:tx>
            <c:strRef>
              <c:f>'chart 1'!$A$4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'chart 1'!$B$2:$AY$3</c:f>
              <c:multiLvlStrCache>
                <c:ptCount val="5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'chart 1'!$B$4:$AY$4</c:f>
              <c:numCache>
                <c:formatCode>#,##0</c:formatCode>
                <c:ptCount val="50"/>
                <c:pt idx="0">
                  <c:v>17462</c:v>
                </c:pt>
                <c:pt idx="1">
                  <c:v>16322</c:v>
                </c:pt>
                <c:pt idx="2">
                  <c:v>19282</c:v>
                </c:pt>
                <c:pt idx="3">
                  <c:v>19019</c:v>
                </c:pt>
                <c:pt idx="4">
                  <c:v>15772</c:v>
                </c:pt>
                <c:pt idx="5">
                  <c:v>17587</c:v>
                </c:pt>
                <c:pt idx="6">
                  <c:v>18952</c:v>
                </c:pt>
                <c:pt idx="7">
                  <c:v>18583</c:v>
                </c:pt>
                <c:pt idx="8">
                  <c:v>21117</c:v>
                </c:pt>
                <c:pt idx="9">
                  <c:v>22097</c:v>
                </c:pt>
                <c:pt idx="10">
                  <c:v>24463</c:v>
                </c:pt>
                <c:pt idx="11">
                  <c:v>24024</c:v>
                </c:pt>
                <c:pt idx="12">
                  <c:v>16739</c:v>
                </c:pt>
                <c:pt idx="13">
                  <c:v>18387</c:v>
                </c:pt>
                <c:pt idx="14">
                  <c:v>19541</c:v>
                </c:pt>
                <c:pt idx="15">
                  <c:v>18631</c:v>
                </c:pt>
                <c:pt idx="16">
                  <c:v>18109</c:v>
                </c:pt>
                <c:pt idx="17">
                  <c:v>17788</c:v>
                </c:pt>
                <c:pt idx="18">
                  <c:v>17435</c:v>
                </c:pt>
                <c:pt idx="19">
                  <c:v>18677</c:v>
                </c:pt>
                <c:pt idx="20">
                  <c:v>21696</c:v>
                </c:pt>
                <c:pt idx="21">
                  <c:v>22046</c:v>
                </c:pt>
                <c:pt idx="22">
                  <c:v>25913</c:v>
                </c:pt>
                <c:pt idx="23">
                  <c:v>23528</c:v>
                </c:pt>
                <c:pt idx="24">
                  <c:v>19043</c:v>
                </c:pt>
                <c:pt idx="25">
                  <c:v>15875</c:v>
                </c:pt>
                <c:pt idx="26">
                  <c:v>20133</c:v>
                </c:pt>
                <c:pt idx="27">
                  <c:v>20822</c:v>
                </c:pt>
                <c:pt idx="28">
                  <c:v>17721</c:v>
                </c:pt>
                <c:pt idx="29">
                  <c:v>18266</c:v>
                </c:pt>
                <c:pt idx="30">
                  <c:v>14925</c:v>
                </c:pt>
                <c:pt idx="31">
                  <c:v>17781</c:v>
                </c:pt>
                <c:pt idx="32">
                  <c:v>16277</c:v>
                </c:pt>
                <c:pt idx="33">
                  <c:v>20726</c:v>
                </c:pt>
                <c:pt idx="34">
                  <c:v>18388</c:v>
                </c:pt>
                <c:pt idx="35">
                  <c:v>21302</c:v>
                </c:pt>
                <c:pt idx="36">
                  <c:v>14909</c:v>
                </c:pt>
                <c:pt idx="37">
                  <c:v>16102</c:v>
                </c:pt>
                <c:pt idx="38">
                  <c:v>17275</c:v>
                </c:pt>
                <c:pt idx="39">
                  <c:v>15957</c:v>
                </c:pt>
                <c:pt idx="40">
                  <c:v>14921</c:v>
                </c:pt>
                <c:pt idx="41">
                  <c:v>16451</c:v>
                </c:pt>
                <c:pt idx="42">
                  <c:v>19171</c:v>
                </c:pt>
                <c:pt idx="43">
                  <c:v>14584</c:v>
                </c:pt>
                <c:pt idx="44">
                  <c:v>15744</c:v>
                </c:pt>
                <c:pt idx="45">
                  <c:v>17592</c:v>
                </c:pt>
                <c:pt idx="46">
                  <c:v>16313</c:v>
                </c:pt>
                <c:pt idx="47">
                  <c:v>21390</c:v>
                </c:pt>
                <c:pt idx="48">
                  <c:v>15482</c:v>
                </c:pt>
                <c:pt idx="49">
                  <c:v>14863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59B-47EB-815F-7173B739702D}"/>
            </c:ext>
          </c:extLst>
        </c:ser>
        <c:ser>
          <c:idx val="4"/>
          <c:order val="1"/>
          <c:tx>
            <c:strRef>
              <c:f>'chart 1'!$A$16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none"/>
          </c:marker>
          <c:cat>
            <c:multiLvlStrRef>
              <c:f>'chart 1'!$B$2:$AY$3</c:f>
              <c:multiLvlStrCache>
                <c:ptCount val="5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'chart 1'!$B$16:$AY$16</c:f>
              <c:numCache>
                <c:formatCode>#,##0</c:formatCode>
                <c:ptCount val="50"/>
                <c:pt idx="0">
                  <c:v>23485</c:v>
                </c:pt>
                <c:pt idx="1">
                  <c:v>27222</c:v>
                </c:pt>
                <c:pt idx="2">
                  <c:v>33901</c:v>
                </c:pt>
                <c:pt idx="3">
                  <c:v>27163</c:v>
                </c:pt>
                <c:pt idx="4">
                  <c:v>29768</c:v>
                </c:pt>
                <c:pt idx="5">
                  <c:v>30170</c:v>
                </c:pt>
                <c:pt idx="6">
                  <c:v>28922</c:v>
                </c:pt>
                <c:pt idx="7">
                  <c:v>27204</c:v>
                </c:pt>
                <c:pt idx="8">
                  <c:v>27397</c:v>
                </c:pt>
                <c:pt idx="9">
                  <c:v>28821</c:v>
                </c:pt>
                <c:pt idx="10">
                  <c:v>23947</c:v>
                </c:pt>
                <c:pt idx="11">
                  <c:v>33041</c:v>
                </c:pt>
                <c:pt idx="12">
                  <c:v>22490</c:v>
                </c:pt>
                <c:pt idx="13">
                  <c:v>25271</c:v>
                </c:pt>
                <c:pt idx="14">
                  <c:v>30215</c:v>
                </c:pt>
                <c:pt idx="15">
                  <c:v>28017</c:v>
                </c:pt>
                <c:pt idx="16">
                  <c:v>30360</c:v>
                </c:pt>
                <c:pt idx="17">
                  <c:v>34918</c:v>
                </c:pt>
                <c:pt idx="18">
                  <c:v>22363</c:v>
                </c:pt>
                <c:pt idx="19">
                  <c:v>21617</c:v>
                </c:pt>
                <c:pt idx="20">
                  <c:v>22236</c:v>
                </c:pt>
                <c:pt idx="21">
                  <c:v>20610</c:v>
                </c:pt>
                <c:pt idx="22">
                  <c:v>19431</c:v>
                </c:pt>
                <c:pt idx="23">
                  <c:v>20457</c:v>
                </c:pt>
                <c:pt idx="24">
                  <c:v>15309</c:v>
                </c:pt>
                <c:pt idx="25">
                  <c:v>16282</c:v>
                </c:pt>
                <c:pt idx="26">
                  <c:v>20377</c:v>
                </c:pt>
                <c:pt idx="27">
                  <c:v>20472</c:v>
                </c:pt>
                <c:pt idx="28">
                  <c:v>18591</c:v>
                </c:pt>
                <c:pt idx="29">
                  <c:v>20918</c:v>
                </c:pt>
                <c:pt idx="30">
                  <c:v>19227</c:v>
                </c:pt>
                <c:pt idx="31">
                  <c:v>19985</c:v>
                </c:pt>
                <c:pt idx="32">
                  <c:v>23090</c:v>
                </c:pt>
                <c:pt idx="33">
                  <c:v>23979</c:v>
                </c:pt>
                <c:pt idx="34">
                  <c:v>21018</c:v>
                </c:pt>
                <c:pt idx="35">
                  <c:v>22321</c:v>
                </c:pt>
                <c:pt idx="36">
                  <c:v>20571</c:v>
                </c:pt>
                <c:pt idx="37">
                  <c:v>21465</c:v>
                </c:pt>
                <c:pt idx="38">
                  <c:v>27931</c:v>
                </c:pt>
                <c:pt idx="39">
                  <c:v>24868</c:v>
                </c:pt>
                <c:pt idx="40">
                  <c:v>24769</c:v>
                </c:pt>
                <c:pt idx="41">
                  <c:v>24600</c:v>
                </c:pt>
                <c:pt idx="42">
                  <c:v>26791</c:v>
                </c:pt>
                <c:pt idx="43">
                  <c:v>26217</c:v>
                </c:pt>
                <c:pt idx="44">
                  <c:v>23291</c:v>
                </c:pt>
                <c:pt idx="45">
                  <c:v>24724</c:v>
                </c:pt>
                <c:pt idx="46">
                  <c:v>22786</c:v>
                </c:pt>
                <c:pt idx="47">
                  <c:v>23267</c:v>
                </c:pt>
                <c:pt idx="48">
                  <c:v>19606</c:v>
                </c:pt>
                <c:pt idx="49">
                  <c:v>20051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59B-47EB-815F-7173B739702D}"/>
            </c:ext>
          </c:extLst>
        </c:ser>
        <c:ser>
          <c:idx val="2"/>
          <c:order val="2"/>
          <c:tx>
            <c:strRef>
              <c:f>'chart 1'!$A$10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none"/>
          </c:marker>
          <c:cat>
            <c:multiLvlStrRef>
              <c:f>'chart 1'!$B$2:$AY$3</c:f>
              <c:multiLvlStrCache>
                <c:ptCount val="5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'chart 1'!$B$10:$AY$10</c:f>
              <c:numCache>
                <c:formatCode>#,##0</c:formatCode>
                <c:ptCount val="50"/>
                <c:pt idx="0">
                  <c:v>17419</c:v>
                </c:pt>
                <c:pt idx="1">
                  <c:v>16116</c:v>
                </c:pt>
                <c:pt idx="2">
                  <c:v>30143</c:v>
                </c:pt>
                <c:pt idx="3">
                  <c:v>26261</c:v>
                </c:pt>
                <c:pt idx="4">
                  <c:v>28878</c:v>
                </c:pt>
                <c:pt idx="5">
                  <c:v>25744</c:v>
                </c:pt>
                <c:pt idx="6">
                  <c:v>25837</c:v>
                </c:pt>
                <c:pt idx="7">
                  <c:v>23971</c:v>
                </c:pt>
                <c:pt idx="8">
                  <c:v>21959</c:v>
                </c:pt>
                <c:pt idx="9">
                  <c:v>22533</c:v>
                </c:pt>
                <c:pt idx="10">
                  <c:v>21200</c:v>
                </c:pt>
                <c:pt idx="11">
                  <c:v>17364</c:v>
                </c:pt>
                <c:pt idx="12">
                  <c:v>11800</c:v>
                </c:pt>
                <c:pt idx="13">
                  <c:v>17855</c:v>
                </c:pt>
                <c:pt idx="14">
                  <c:v>23632</c:v>
                </c:pt>
                <c:pt idx="15">
                  <c:v>20173</c:v>
                </c:pt>
                <c:pt idx="16">
                  <c:v>22226</c:v>
                </c:pt>
                <c:pt idx="17">
                  <c:v>24021</c:v>
                </c:pt>
                <c:pt idx="18">
                  <c:v>16277</c:v>
                </c:pt>
                <c:pt idx="19">
                  <c:v>12913</c:v>
                </c:pt>
                <c:pt idx="20">
                  <c:v>15861</c:v>
                </c:pt>
                <c:pt idx="21">
                  <c:v>13569</c:v>
                </c:pt>
                <c:pt idx="22">
                  <c:v>12117</c:v>
                </c:pt>
                <c:pt idx="23">
                  <c:v>9844</c:v>
                </c:pt>
                <c:pt idx="24">
                  <c:v>9446</c:v>
                </c:pt>
                <c:pt idx="25">
                  <c:v>10817</c:v>
                </c:pt>
                <c:pt idx="26">
                  <c:v>18310</c:v>
                </c:pt>
                <c:pt idx="27">
                  <c:v>14513</c:v>
                </c:pt>
                <c:pt idx="28">
                  <c:v>16372</c:v>
                </c:pt>
                <c:pt idx="29">
                  <c:v>16140</c:v>
                </c:pt>
                <c:pt idx="30">
                  <c:v>16195</c:v>
                </c:pt>
                <c:pt idx="31">
                  <c:v>17999</c:v>
                </c:pt>
                <c:pt idx="32">
                  <c:v>19092</c:v>
                </c:pt>
                <c:pt idx="33">
                  <c:v>19721</c:v>
                </c:pt>
                <c:pt idx="34">
                  <c:v>16107</c:v>
                </c:pt>
                <c:pt idx="35">
                  <c:v>14381</c:v>
                </c:pt>
                <c:pt idx="36">
                  <c:v>15720</c:v>
                </c:pt>
                <c:pt idx="37">
                  <c:v>20551</c:v>
                </c:pt>
                <c:pt idx="38">
                  <c:v>23807</c:v>
                </c:pt>
                <c:pt idx="39">
                  <c:v>21239</c:v>
                </c:pt>
                <c:pt idx="40">
                  <c:v>19826</c:v>
                </c:pt>
                <c:pt idx="41">
                  <c:v>21229</c:v>
                </c:pt>
                <c:pt idx="42">
                  <c:v>19974</c:v>
                </c:pt>
                <c:pt idx="43">
                  <c:v>19899</c:v>
                </c:pt>
                <c:pt idx="44">
                  <c:v>19241</c:v>
                </c:pt>
                <c:pt idx="45">
                  <c:v>23352</c:v>
                </c:pt>
                <c:pt idx="46">
                  <c:v>16411</c:v>
                </c:pt>
                <c:pt idx="47">
                  <c:v>12583</c:v>
                </c:pt>
                <c:pt idx="48">
                  <c:v>17233</c:v>
                </c:pt>
                <c:pt idx="49">
                  <c:v>16585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59B-47EB-815F-7173B73970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1128408"/>
        <c:axId val="611120960"/>
      </c:lineChart>
      <c:catAx>
        <c:axId val="61112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1120960"/>
        <c:crosses val="autoZero"/>
        <c:auto val="1"/>
        <c:lblAlgn val="ctr"/>
        <c:lblOffset val="100"/>
        <c:tickLblSkip val="3"/>
        <c:tickMarkSkip val="1"/>
        <c:noMultiLvlLbl val="1"/>
      </c:catAx>
      <c:valAx>
        <c:axId val="611120960"/>
        <c:scaling>
          <c:orientation val="minMax"/>
          <c:max val="35000"/>
          <c:min val="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1128408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1.4977063708314479E-3"/>
                <c:y val="4.6260105337300123E-3"/>
              </c:manualLayout>
            </c:layout>
            <c:tx>
              <c:rich>
                <a:bodyPr rot="0" spcFirstLastPara="1" vertOverflow="ellipsis" wrap="square" anchor="ctr" anchorCtr="1"/>
                <a:lstStyle/>
                <a:p>
                  <a:pPr>
                    <a:defRPr sz="700" b="0" i="0" u="none" strike="noStrike" kern="1200" baseline="0">
                      <a:solidFill>
                        <a:schemeClr val="tx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r>
                    <a:rPr lang="pl-PL" sz="700" baseline="0"/>
                    <a:t>thousand</a:t>
                  </a: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</c:legendEntry>
      <c:layout>
        <c:manualLayout>
          <c:xMode val="edge"/>
          <c:yMode val="edge"/>
          <c:x val="1.8036588508116465E-2"/>
          <c:y val="0.78284920983038286"/>
          <c:w val="0.937477149934975"/>
          <c:h val="0.197699118059133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045343137254903"/>
          <c:y val="9.2825177290707262E-3"/>
          <c:w val="0.77771356209150322"/>
          <c:h val="0.78113210271158351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'chart 2'!$I$35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'chart 2'!$G$36:$G$51</c:f>
              <c:strCache>
                <c:ptCount val="16"/>
                <c:pt idx="0">
                  <c:v>Opolskie</c:v>
                </c:pt>
                <c:pt idx="1">
                  <c:v>Świętokrzyskie </c:v>
                </c:pt>
                <c:pt idx="2">
                  <c:v>Lubuskie</c:v>
                </c:pt>
                <c:pt idx="3">
                  <c:v>Warmińsko-mazurskie  </c:v>
                </c:pt>
                <c:pt idx="4">
                  <c:v>Zachodniopomorskie </c:v>
                </c:pt>
                <c:pt idx="5">
                  <c:v>Kujawsko-pomorskie </c:v>
                </c:pt>
                <c:pt idx="6">
                  <c:v>Podlaskie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  </c:v>
                </c:pt>
                <c:pt idx="11">
                  <c:v>Pomorskie </c:v>
                </c:pt>
                <c:pt idx="12">
                  <c:v>Dolnośląskie</c:v>
                </c:pt>
                <c:pt idx="13">
                  <c:v>Małopolskie 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'chart 2'!$I$36:$I$51</c:f>
              <c:numCache>
                <c:formatCode>#,##0</c:formatCode>
                <c:ptCount val="16"/>
                <c:pt idx="0">
                  <c:v>420</c:v>
                </c:pt>
                <c:pt idx="1">
                  <c:v>580</c:v>
                </c:pt>
                <c:pt idx="2">
                  <c:v>542</c:v>
                </c:pt>
                <c:pt idx="3">
                  <c:v>805</c:v>
                </c:pt>
                <c:pt idx="4">
                  <c:v>1466</c:v>
                </c:pt>
                <c:pt idx="5">
                  <c:v>1389</c:v>
                </c:pt>
                <c:pt idx="6">
                  <c:v>987</c:v>
                </c:pt>
                <c:pt idx="7">
                  <c:v>1054</c:v>
                </c:pt>
                <c:pt idx="8">
                  <c:v>1403</c:v>
                </c:pt>
                <c:pt idx="9">
                  <c:v>3564</c:v>
                </c:pt>
                <c:pt idx="10">
                  <c:v>2413</c:v>
                </c:pt>
                <c:pt idx="11">
                  <c:v>4032</c:v>
                </c:pt>
                <c:pt idx="12">
                  <c:v>2172</c:v>
                </c:pt>
                <c:pt idx="13">
                  <c:v>3853</c:v>
                </c:pt>
                <c:pt idx="14">
                  <c:v>2779</c:v>
                </c:pt>
                <c:pt idx="15">
                  <c:v>6359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6D-41BD-841C-B0E834705738}"/>
            </c:ext>
          </c:extLst>
        </c:ser>
        <c:ser>
          <c:idx val="1"/>
          <c:order val="1"/>
          <c:tx>
            <c:strRef>
              <c:f>'chart 2'!$H$35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'chart 2'!$G$36:$G$51</c:f>
              <c:strCache>
                <c:ptCount val="16"/>
                <c:pt idx="0">
                  <c:v>Opolskie</c:v>
                </c:pt>
                <c:pt idx="1">
                  <c:v>Świętokrzyskie </c:v>
                </c:pt>
                <c:pt idx="2">
                  <c:v>Lubuskie</c:v>
                </c:pt>
                <c:pt idx="3">
                  <c:v>Warmińsko-mazurskie  </c:v>
                </c:pt>
                <c:pt idx="4">
                  <c:v>Zachodniopomorskie </c:v>
                </c:pt>
                <c:pt idx="5">
                  <c:v>Kujawsko-pomorskie </c:v>
                </c:pt>
                <c:pt idx="6">
                  <c:v>Podlaskie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  </c:v>
                </c:pt>
                <c:pt idx="11">
                  <c:v>Pomorskie </c:v>
                </c:pt>
                <c:pt idx="12">
                  <c:v>Dolnośląskie</c:v>
                </c:pt>
                <c:pt idx="13">
                  <c:v>Małopolskie 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'chart 2'!$H$36:$H$51</c:f>
              <c:numCache>
                <c:formatCode>#,##0</c:formatCode>
                <c:ptCount val="16"/>
                <c:pt idx="0">
                  <c:v>733</c:v>
                </c:pt>
                <c:pt idx="1">
                  <c:v>457</c:v>
                </c:pt>
                <c:pt idx="2">
                  <c:v>804</c:v>
                </c:pt>
                <c:pt idx="3">
                  <c:v>849</c:v>
                </c:pt>
                <c:pt idx="4">
                  <c:v>1933</c:v>
                </c:pt>
                <c:pt idx="5">
                  <c:v>1775</c:v>
                </c:pt>
                <c:pt idx="6">
                  <c:v>925</c:v>
                </c:pt>
                <c:pt idx="7">
                  <c:v>1194</c:v>
                </c:pt>
                <c:pt idx="8">
                  <c:v>1585</c:v>
                </c:pt>
                <c:pt idx="9">
                  <c:v>1928</c:v>
                </c:pt>
                <c:pt idx="10">
                  <c:v>4609</c:v>
                </c:pt>
                <c:pt idx="11">
                  <c:v>3822</c:v>
                </c:pt>
                <c:pt idx="12">
                  <c:v>3957</c:v>
                </c:pt>
                <c:pt idx="13">
                  <c:v>3787</c:v>
                </c:pt>
                <c:pt idx="14">
                  <c:v>3427</c:v>
                </c:pt>
                <c:pt idx="15">
                  <c:v>7872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6D-41BD-841C-B0E834705738}"/>
            </c:ext>
          </c:extLst>
        </c:ser>
        <c:ser>
          <c:idx val="0"/>
          <c:order val="2"/>
          <c:tx>
            <c:strRef>
              <c:f>'chart 2'!$J$35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'chart 2'!$G$36:$G$51</c:f>
              <c:strCache>
                <c:ptCount val="16"/>
                <c:pt idx="0">
                  <c:v>Opolskie</c:v>
                </c:pt>
                <c:pt idx="1">
                  <c:v>Świętokrzyskie </c:v>
                </c:pt>
                <c:pt idx="2">
                  <c:v>Lubuskie</c:v>
                </c:pt>
                <c:pt idx="3">
                  <c:v>Warmińsko-mazurskie  </c:v>
                </c:pt>
                <c:pt idx="4">
                  <c:v>Zachodniopomorskie </c:v>
                </c:pt>
                <c:pt idx="5">
                  <c:v>Kujawsko-pomorskie </c:v>
                </c:pt>
                <c:pt idx="6">
                  <c:v>Podlaskie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  </c:v>
                </c:pt>
                <c:pt idx="11">
                  <c:v>Pomorskie </c:v>
                </c:pt>
                <c:pt idx="12">
                  <c:v>Dolnośląskie</c:v>
                </c:pt>
                <c:pt idx="13">
                  <c:v>Małopolskie 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'chart 2'!$J$36:$J$51</c:f>
              <c:numCache>
                <c:formatCode>#,##0</c:formatCode>
                <c:ptCount val="16"/>
                <c:pt idx="0">
                  <c:v>514</c:v>
                </c:pt>
                <c:pt idx="1">
                  <c:v>634</c:v>
                </c:pt>
                <c:pt idx="2">
                  <c:v>796</c:v>
                </c:pt>
                <c:pt idx="3">
                  <c:v>815</c:v>
                </c:pt>
                <c:pt idx="4">
                  <c:v>824</c:v>
                </c:pt>
                <c:pt idx="5">
                  <c:v>951</c:v>
                </c:pt>
                <c:pt idx="6">
                  <c:v>1016</c:v>
                </c:pt>
                <c:pt idx="7">
                  <c:v>1219</c:v>
                </c:pt>
                <c:pt idx="8">
                  <c:v>1595</c:v>
                </c:pt>
                <c:pt idx="9">
                  <c:v>1735</c:v>
                </c:pt>
                <c:pt idx="10">
                  <c:v>2301</c:v>
                </c:pt>
                <c:pt idx="11">
                  <c:v>2454</c:v>
                </c:pt>
                <c:pt idx="12">
                  <c:v>2499</c:v>
                </c:pt>
                <c:pt idx="13">
                  <c:v>2979</c:v>
                </c:pt>
                <c:pt idx="14">
                  <c:v>3133</c:v>
                </c:pt>
                <c:pt idx="15">
                  <c:v>6880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D6D-41BD-841C-B0E834705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axId val="611122920"/>
        <c:axId val="611124096"/>
      </c:barChart>
      <c:catAx>
        <c:axId val="611122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1124096"/>
        <c:crosses val="autoZero"/>
        <c:auto val="1"/>
        <c:lblAlgn val="ctr"/>
        <c:lblOffset val="100"/>
        <c:noMultiLvlLbl val="0"/>
      </c:catAx>
      <c:valAx>
        <c:axId val="611124096"/>
        <c:scaling>
          <c:orientation val="minMax"/>
          <c:max val="8000"/>
          <c:min val="0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11122920"/>
        <c:crosses val="autoZero"/>
        <c:crossBetween val="between"/>
        <c:majorUnit val="500"/>
        <c:min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654434465680636E-2"/>
          <c:y val="0.83847122245032901"/>
          <c:w val="0.96697305733771011"/>
          <c:h val="0.143653866699005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5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STAT\slomkak</Osoba>
    <NazwaPliku xmlns="1E9983FF-DC4B-4F4E-A072-0441E2B88E6D">residential_construction_in_the_period_of_january-november_2024.docx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71D31-5B48-4157-B579-ECC954E9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1081</Words>
  <Characters>6489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2024-04-18T10:32:00Z</cp:lastPrinted>
  <dcterms:created xsi:type="dcterms:W3CDTF">2025-01-17T09:20:00Z</dcterms:created>
  <dcterms:modified xsi:type="dcterms:W3CDTF">2025-03-19T14:30:00Z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LUB-OSB.6360.2.2025.5</vt:lpwstr>
  </op:property>
  <op:property fmtid="{D5CDD505-2E9C-101B-9397-08002B2CF9AE}" pid="4" name="UNPPisma">
    <vt:lpwstr>2025-54567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19 marca 2025</vt:lpwstr>
  </op:property>
  <op:property fmtid="{D5CDD505-2E9C-101B-9397-08002B2CF9AE}" pid="8" name="ZnakSprawyPrzedPrzeniesieniem">
    <vt:lpwstr/>
  </op:property>
  <op:property fmtid="{D5CDD505-2E9C-101B-9397-08002B2CF9AE}" pid="9" name="Autor">
    <vt:lpwstr>Słomka Katarzyna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KS</vt:lpwstr>
  </op:property>
  <op:property fmtid="{D5CDD505-2E9C-101B-9397-08002B2CF9AE}" pid="13" name="AutorNrTelefonu">
    <vt:lpwstr>815332051 wew.121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"Budownictwo mieszkaniowe w okresie styczeń-luty 2025r." Data publikacji: 20.03.2025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2025-03-19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/>
  </op:property>
  <op:property fmtid="{D5CDD505-2E9C-101B-9397-08002B2CF9AE}" pid="31" name="adresUlica">
    <vt:lpwstr/>
  </op:property>
  <op:property fmtid="{D5CDD505-2E9C-101B-9397-08002B2CF9AE}" pid="32" name="adresNrDomu">
    <vt:lpwstr/>
  </op:property>
  <op:property fmtid="{D5CDD505-2E9C-101B-9397-08002B2CF9AE}" pid="33" name="adresNrLokalu">
    <vt:lpwstr/>
  </op:property>
  <op:property fmtid="{D5CDD505-2E9C-101B-9397-08002B2CF9AE}" pid="34" name="adresKodPocztowy">
    <vt:lpwstr/>
  </op:property>
  <op:property fmtid="{D5CDD505-2E9C-101B-9397-08002B2CF9AE}" pid="35" name="adresMiejscowosc">
    <vt:lpwstr/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2025-03-19 15:52:13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