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550CB" w14:textId="2BEB5888" w:rsidR="004F3CD5" w:rsidRPr="00C76936" w:rsidRDefault="00C1037A" w:rsidP="004F3CD5">
      <w:pPr>
        <w:suppressAutoHyphens/>
        <w:spacing w:after="600" w:line="240" w:lineRule="auto"/>
        <w:outlineLvl w:val="0"/>
        <w:rPr>
          <w:rFonts w:ascii="Fira Sans Extra Condensed SemiB" w:hAnsi="Fira Sans Extra Condensed SemiB"/>
          <w:sz w:val="40"/>
          <w:szCs w:val="26"/>
          <w:shd w:val="clear" w:color="auto" w:fill="FFFFFF"/>
          <w:vertAlign w:val="superscript"/>
          <w:lang w:val="en-GB"/>
        </w:rPr>
      </w:pPr>
      <w:bookmarkStart w:id="0" w:name="_GoBack"/>
      <w:bookmarkEnd w:id="0"/>
      <w:r w:rsidRPr="00161DE5">
        <w:rPr>
          <w:rFonts w:ascii="Fira Sans Extra Condensed SemiB" w:hAnsi="Fira Sans Extra Condensed SemiB"/>
          <w:sz w:val="40"/>
          <w:szCs w:val="26"/>
          <w:shd w:val="clear" w:color="auto" w:fill="FFFFFF"/>
          <w:lang w:val="en-GB"/>
        </w:rPr>
        <w:t>Culture</w:t>
      </w:r>
      <w:r w:rsidRPr="00161DE5">
        <w:rPr>
          <w:rFonts w:ascii="Fira Sans Extra Condensed SemiB" w:hAnsi="Fira Sans Extra Condensed SemiB"/>
          <w:noProof/>
          <w:sz w:val="40"/>
          <w:szCs w:val="26"/>
          <w:shd w:val="clear" w:color="auto" w:fill="FFFFFF"/>
          <w:lang w:val="en-GB" w:eastAsia="pl-PL"/>
        </w:rPr>
        <w:t xml:space="preserve"> </w:t>
      </w:r>
      <w:r w:rsidR="004F3CD5" w:rsidRPr="00161DE5">
        <w:rPr>
          <w:rFonts w:ascii="Fira Sans Extra Condensed SemiB" w:hAnsi="Fira Sans Extra Condensed SemiB"/>
          <w:noProof/>
          <w:sz w:val="40"/>
          <w:szCs w:val="26"/>
          <w:shd w:val="clear" w:color="auto" w:fill="FFFFFF"/>
          <w:lang w:eastAsia="pl-PL"/>
        </w:rPr>
        <mc:AlternateContent>
          <mc:Choice Requires="wps">
            <w:drawing>
              <wp:anchor distT="45720" distB="45720" distL="114300" distR="114300" simplePos="0" relativeHeight="251659264" behindDoc="0" locked="0" layoutInCell="1" allowOverlap="1" wp14:anchorId="6594BCA3" wp14:editId="05120614">
                <wp:simplePos x="0" y="0"/>
                <wp:positionH relativeFrom="margin">
                  <wp:posOffset>-8890</wp:posOffset>
                </wp:positionH>
                <wp:positionV relativeFrom="paragraph">
                  <wp:posOffset>771525</wp:posOffset>
                </wp:positionV>
                <wp:extent cx="2204085" cy="1405890"/>
                <wp:effectExtent l="0" t="0" r="5715" b="3810"/>
                <wp:wrapSquare wrapText="bothSides"/>
                <wp:docPr id="6" name="Pole tekstowe 2" descr="2.9% share of culture in the creation of gross value added and global production in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05890"/>
                        </a:xfrm>
                        <a:prstGeom prst="roundRect">
                          <a:avLst/>
                        </a:prstGeom>
                        <a:solidFill>
                          <a:srgbClr val="001D77"/>
                        </a:solidFill>
                        <a:ln w="9525">
                          <a:noFill/>
                          <a:miter lim="800000"/>
                          <a:headEnd/>
                          <a:tailEnd/>
                        </a:ln>
                      </wps:spPr>
                      <wps:txbx>
                        <w:txbxContent>
                          <w:p w14:paraId="55D12059" w14:textId="14786A10" w:rsidR="006F1AF5" w:rsidRPr="00161DE5" w:rsidRDefault="006F1AF5" w:rsidP="004F3CD5">
                            <w:pPr>
                              <w:autoSpaceDE w:val="0"/>
                              <w:autoSpaceDN w:val="0"/>
                              <w:adjustRightInd w:val="0"/>
                              <w:spacing w:before="0" w:after="0" w:line="240" w:lineRule="auto"/>
                              <w:jc w:val="center"/>
                              <w:rPr>
                                <w:rFonts w:ascii="Fira Sans SemiBold" w:hAnsi="Fira Sans SemiBold"/>
                                <w:color w:val="FFFFFF" w:themeColor="background1"/>
                                <w:sz w:val="72"/>
                                <w:szCs w:val="72"/>
                                <w:lang w:val="en-GB"/>
                              </w:rPr>
                            </w:pPr>
                            <w:r w:rsidRPr="00161DE5">
                              <w:rPr>
                                <w:rStyle w:val="WartowskanikaZnak"/>
                                <w:sz w:val="72"/>
                                <w:szCs w:val="72"/>
                                <w:lang w:val="en-GB"/>
                              </w:rPr>
                              <w:t>2.9%</w:t>
                            </w:r>
                          </w:p>
                          <w:p w14:paraId="52D2E7D9" w14:textId="77777777" w:rsidR="006F1AF5" w:rsidRPr="00161DE5" w:rsidRDefault="006F1AF5" w:rsidP="004F3CD5">
                            <w:pPr>
                              <w:pStyle w:val="Opiswskanika"/>
                              <w:spacing w:before="120"/>
                              <w:rPr>
                                <w:sz w:val="18"/>
                                <w:szCs w:val="20"/>
                                <w:lang w:val="en-GB"/>
                              </w:rPr>
                            </w:pPr>
                            <w:r w:rsidRPr="00161DE5">
                              <w:rPr>
                                <w:lang w:val="en-GB"/>
                              </w:rPr>
                              <w:t xml:space="preserve">Contribution of the area of culture to the creation of gross value added in 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594BCA3" id="Pole tekstowe 2" o:spid="_x0000_s1026" alt="2.9% share of culture in the creation of gross value added and global production in 2020" style="position:absolute;margin-left:-.7pt;margin-top:60.75pt;width:173.55pt;height:11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" fillcolor="#001d77" stroked="f">
                <v:stroke joinstyle="miter"/>
                <v:textbox>
                  <w:txbxContent>
                    <w:p w14:paraId="55D12059" w14:textId="14786A10" w:rsidR="006F1AF5" w:rsidRPr="00161DE5" w:rsidRDefault="006F1AF5" w:rsidP="004F3CD5">
                      <w:pPr>
                        <w:autoSpaceDE w:val="0"/>
                        <w:autoSpaceDN w:val="0"/>
                        <w:adjustRightInd w:val="0"/>
                        <w:spacing w:before="0" w:after="0" w:line="240" w:lineRule="auto"/>
                        <w:jc w:val="center"/>
                        <w:rPr>
                          <w:rFonts w:ascii="Fira Sans SemiBold" w:hAnsi="Fira Sans SemiBold"/>
                          <w:color w:val="FFFFFF" w:themeColor="background1"/>
                          <w:sz w:val="72"/>
                          <w:szCs w:val="72"/>
                          <w:lang w:val="en-GB"/>
                        </w:rPr>
                      </w:pPr>
                      <w:r w:rsidRPr="00161DE5">
                        <w:rPr>
                          <w:rStyle w:val="WartowskanikaZnak"/>
                          <w:sz w:val="72"/>
                          <w:szCs w:val="72"/>
                          <w:lang w:val="en-GB"/>
                        </w:rPr>
                        <w:t>2.9%</w:t>
                      </w:r>
                    </w:p>
                    <w:p w14:paraId="52D2E7D9" w14:textId="77777777" w:rsidR="006F1AF5" w:rsidRPr="00161DE5" w:rsidRDefault="006F1AF5" w:rsidP="004F3CD5">
                      <w:pPr>
                        <w:pStyle w:val="Opiswskanika"/>
                        <w:spacing w:before="120"/>
                        <w:rPr>
                          <w:sz w:val="18"/>
                          <w:szCs w:val="20"/>
                          <w:lang w:val="en-GB"/>
                        </w:rPr>
                      </w:pPr>
                      <w:r w:rsidRPr="00161DE5">
                        <w:rPr>
                          <w:lang w:val="en-GB"/>
                        </w:rPr>
                        <w:t xml:space="preserve">Contribution of the area of culture to the creation of gross value added in 2020 </w:t>
                      </w:r>
                    </w:p>
                  </w:txbxContent>
                </v:textbox>
                <w10:wrap type="square" anchorx="margin"/>
              </v:roundrect>
            </w:pict>
          </mc:Fallback>
        </mc:AlternateContent>
      </w:r>
      <w:r w:rsidR="004F3CD5" w:rsidRPr="00161DE5">
        <w:rPr>
          <w:rFonts w:ascii="Fira Sans Extra Condensed SemiB" w:hAnsi="Fira Sans Extra Condensed SemiB"/>
          <w:sz w:val="40"/>
          <w:szCs w:val="26"/>
          <w:shd w:val="clear" w:color="auto" w:fill="FFFFFF"/>
          <w:lang w:val="en-GB"/>
        </w:rPr>
        <w:t xml:space="preserve">Satellite Account </w:t>
      </w:r>
      <w:r w:rsidR="007F2069" w:rsidRPr="00161DE5">
        <w:rPr>
          <w:rFonts w:ascii="Fira Sans Extra Condensed SemiB" w:hAnsi="Fira Sans Extra Condensed SemiB"/>
          <w:sz w:val="40"/>
          <w:szCs w:val="26"/>
          <w:shd w:val="clear" w:color="auto" w:fill="FFFFFF"/>
          <w:lang w:val="en-GB"/>
        </w:rPr>
        <w:t>for</w:t>
      </w:r>
      <w:r w:rsidR="00C76936">
        <w:rPr>
          <w:rFonts w:ascii="Fira Sans Extra Condensed SemiB" w:hAnsi="Fira Sans Extra Condensed SemiB"/>
          <w:sz w:val="40"/>
          <w:szCs w:val="26"/>
          <w:shd w:val="clear" w:color="auto" w:fill="FFFFFF"/>
          <w:lang w:val="en-GB"/>
        </w:rPr>
        <w:t xml:space="preserve"> 2020</w:t>
      </w:r>
      <w:r w:rsidR="00C76936">
        <w:rPr>
          <w:rStyle w:val="Odwoanieprzypisudolnego"/>
          <w:rFonts w:ascii="Fira Sans Extra Condensed SemiB" w:hAnsi="Fira Sans Extra Condensed SemiB"/>
          <w:sz w:val="40"/>
          <w:szCs w:val="26"/>
          <w:shd w:val="clear" w:color="auto" w:fill="FFFFFF"/>
          <w:lang w:val="en-GB"/>
        </w:rPr>
        <w:footnoteReference w:id="1"/>
      </w:r>
    </w:p>
    <w:p w14:paraId="5D64AC89" w14:textId="05770B5F" w:rsidR="004F3CD5" w:rsidRPr="006C3D9E" w:rsidRDefault="00D408A5" w:rsidP="00B44934">
      <w:pPr>
        <w:pStyle w:val="LID"/>
        <w:spacing w:after="1080"/>
        <w:rPr>
          <w:lang w:val="en-GB"/>
        </w:rPr>
      </w:pPr>
      <w:r>
        <w:rPr>
          <w:lang w:val="en-GB"/>
        </w:rPr>
        <w:t xml:space="preserve">Gross value added created by </w:t>
      </w:r>
      <w:r w:rsidR="00940019" w:rsidRPr="00940019">
        <w:rPr>
          <w:lang w:val="en-GB"/>
        </w:rPr>
        <w:t>the area of culture</w:t>
      </w:r>
      <w:r w:rsidR="00940019" w:rsidRPr="00940019" w:rsidDel="00940019">
        <w:rPr>
          <w:lang w:val="en-GB"/>
        </w:rPr>
        <w:t xml:space="preserve"> </w:t>
      </w:r>
      <w:r>
        <w:rPr>
          <w:lang w:val="en-GB"/>
        </w:rPr>
        <w:t>amounted to PLN 60 billion.</w:t>
      </w:r>
      <w:r w:rsidR="004F3CD5" w:rsidRPr="006C3D9E">
        <w:rPr>
          <w:lang w:val="en-GB"/>
        </w:rPr>
        <w:t xml:space="preserve"> Three </w:t>
      </w:r>
      <w:r w:rsidR="00A64716">
        <w:rPr>
          <w:lang w:val="en-GB"/>
        </w:rPr>
        <w:t xml:space="preserve">domains </w:t>
      </w:r>
      <w:r w:rsidR="004F3CD5" w:rsidRPr="006C3D9E">
        <w:rPr>
          <w:lang w:val="en-GB"/>
        </w:rPr>
        <w:t xml:space="preserve">dominated in the majority of transactions that make up the </w:t>
      </w:r>
      <w:r w:rsidR="00092ECB" w:rsidRPr="006C3D9E">
        <w:rPr>
          <w:lang w:val="en-GB"/>
        </w:rPr>
        <w:t>cultur</w:t>
      </w:r>
      <w:r w:rsidR="00CE3094">
        <w:rPr>
          <w:lang w:val="en-GB"/>
        </w:rPr>
        <w:t>e</w:t>
      </w:r>
      <w:r w:rsidR="00092ECB" w:rsidRPr="006C3D9E">
        <w:rPr>
          <w:lang w:val="en-GB"/>
        </w:rPr>
        <w:t xml:space="preserve"> </w:t>
      </w:r>
      <w:r w:rsidR="004F3CD5" w:rsidRPr="006C3D9E">
        <w:rPr>
          <w:lang w:val="en-GB"/>
        </w:rPr>
        <w:t xml:space="preserve">satellite account: </w:t>
      </w:r>
      <w:r w:rsidR="004F3CD5" w:rsidRPr="006C3D9E">
        <w:rPr>
          <w:i/>
          <w:lang w:val="en-GB"/>
        </w:rPr>
        <w:t>Advertising</w:t>
      </w:r>
      <w:r w:rsidR="004F3CD5" w:rsidRPr="006C3D9E">
        <w:rPr>
          <w:lang w:val="en-GB"/>
        </w:rPr>
        <w:t xml:space="preserve">, </w:t>
      </w:r>
      <w:r w:rsidR="004F3CD5" w:rsidRPr="006C3D9E">
        <w:rPr>
          <w:i/>
          <w:lang w:val="en-GB"/>
        </w:rPr>
        <w:t>Audio</w:t>
      </w:r>
      <w:r w:rsidR="00092ECB" w:rsidRPr="006C3D9E">
        <w:rPr>
          <w:i/>
          <w:lang w:val="en-GB"/>
        </w:rPr>
        <w:t>-</w:t>
      </w:r>
      <w:r w:rsidR="004F3CD5" w:rsidRPr="006C3D9E">
        <w:rPr>
          <w:i/>
          <w:lang w:val="en-GB"/>
        </w:rPr>
        <w:t xml:space="preserve">visual arts and multimedia </w:t>
      </w:r>
      <w:r w:rsidR="004F3CD5" w:rsidRPr="006C3D9E">
        <w:rPr>
          <w:lang w:val="en-GB"/>
        </w:rPr>
        <w:t xml:space="preserve">and </w:t>
      </w:r>
      <w:r w:rsidR="004F3CD5" w:rsidRPr="006C3D9E">
        <w:rPr>
          <w:i/>
          <w:lang w:val="en-GB"/>
        </w:rPr>
        <w:t xml:space="preserve">Books and </w:t>
      </w:r>
      <w:r w:rsidR="00092ECB" w:rsidRPr="006C3D9E">
        <w:rPr>
          <w:i/>
          <w:lang w:val="en-GB"/>
        </w:rPr>
        <w:t>P</w:t>
      </w:r>
      <w:r w:rsidR="004F3CD5" w:rsidRPr="006C3D9E">
        <w:rPr>
          <w:i/>
          <w:lang w:val="en-GB"/>
        </w:rPr>
        <w:t>ress</w:t>
      </w:r>
      <w:r w:rsidR="004F3CD5" w:rsidRPr="006C3D9E">
        <w:rPr>
          <w:lang w:val="en-GB"/>
        </w:rPr>
        <w:t>.</w:t>
      </w:r>
    </w:p>
    <w:p w14:paraId="7743882C" w14:textId="0DC681D7" w:rsidR="004F3CD5" w:rsidRPr="00161DE5" w:rsidRDefault="004F3CD5" w:rsidP="004F3CD5">
      <w:pPr>
        <w:suppressAutoHyphens/>
        <w:spacing w:line="288" w:lineRule="auto"/>
        <w:rPr>
          <w:rFonts w:eastAsia="Times New Roman" w:cs="Times New Roman"/>
          <w:szCs w:val="19"/>
          <w:lang w:val="en-GB" w:eastAsia="pl-PL"/>
        </w:rPr>
      </w:pPr>
      <w:r w:rsidRPr="00161DE5">
        <w:rPr>
          <w:rFonts w:eastAsia="Times New Roman" w:cs="Times New Roman"/>
          <w:szCs w:val="19"/>
          <w:lang w:val="en-GB" w:eastAsia="pl-PL"/>
        </w:rPr>
        <w:t>In connection with the announcement of the state of epidemic threat in Poland, from March</w:t>
      </w:r>
      <w:r w:rsidR="00527B78">
        <w:rPr>
          <w:rFonts w:eastAsia="Times New Roman" w:cs="Times New Roman"/>
          <w:szCs w:val="19"/>
          <w:lang w:val="en-GB" w:eastAsia="pl-PL"/>
        </w:rPr>
        <w:t xml:space="preserve"> 12,</w:t>
      </w:r>
      <w:r w:rsidRPr="00161DE5">
        <w:rPr>
          <w:rFonts w:eastAsia="Times New Roman" w:cs="Times New Roman"/>
          <w:szCs w:val="19"/>
          <w:lang w:val="en-GB" w:eastAsia="pl-PL"/>
        </w:rPr>
        <w:t xml:space="preserve"> 2020, the possibility of conducting </w:t>
      </w:r>
      <w:r w:rsidR="009914EA">
        <w:rPr>
          <w:rFonts w:eastAsia="Times New Roman" w:cs="Times New Roman"/>
          <w:szCs w:val="19"/>
          <w:lang w:val="en-GB" w:eastAsia="pl-PL"/>
        </w:rPr>
        <w:t xml:space="preserve">business </w:t>
      </w:r>
      <w:r w:rsidRPr="00161DE5">
        <w:rPr>
          <w:rFonts w:eastAsia="Times New Roman" w:cs="Times New Roman"/>
          <w:szCs w:val="19"/>
          <w:lang w:val="en-GB" w:eastAsia="pl-PL"/>
        </w:rPr>
        <w:t xml:space="preserve">activities </w:t>
      </w:r>
      <w:r w:rsidR="009914EA">
        <w:rPr>
          <w:rFonts w:eastAsia="Times New Roman" w:cs="Times New Roman"/>
          <w:szCs w:val="19"/>
          <w:lang w:val="en-GB" w:eastAsia="pl-PL"/>
        </w:rPr>
        <w:t xml:space="preserve">has been limited, among others by </w:t>
      </w:r>
      <w:r w:rsidRPr="00161DE5">
        <w:rPr>
          <w:rFonts w:eastAsia="Times New Roman" w:cs="Times New Roman"/>
          <w:szCs w:val="19"/>
          <w:lang w:val="en-GB" w:eastAsia="pl-PL"/>
        </w:rPr>
        <w:t>cultural entities</w:t>
      </w:r>
      <w:r w:rsidR="009914EA">
        <w:rPr>
          <w:rFonts w:eastAsia="Times New Roman" w:cs="Times New Roman"/>
          <w:szCs w:val="19"/>
          <w:lang w:val="en-GB" w:eastAsia="pl-PL"/>
        </w:rPr>
        <w:t>, that</w:t>
      </w:r>
      <w:r w:rsidRPr="00161DE5">
        <w:rPr>
          <w:rFonts w:eastAsia="Times New Roman" w:cs="Times New Roman"/>
          <w:szCs w:val="19"/>
          <w:lang w:val="en-GB" w:eastAsia="pl-PL"/>
        </w:rPr>
        <w:t xml:space="preserve"> had to </w:t>
      </w:r>
      <w:r w:rsidR="00020D68">
        <w:rPr>
          <w:rFonts w:eastAsia="Times New Roman" w:cs="Times New Roman"/>
          <w:szCs w:val="19"/>
          <w:lang w:val="en-GB" w:eastAsia="pl-PL"/>
        </w:rPr>
        <w:t>close their facilities suddenly</w:t>
      </w:r>
      <w:r w:rsidRPr="00161DE5">
        <w:rPr>
          <w:rFonts w:eastAsia="Times New Roman" w:cs="Times New Roman"/>
          <w:szCs w:val="19"/>
          <w:lang w:val="en-GB" w:eastAsia="pl-PL"/>
        </w:rPr>
        <w:t xml:space="preserve">. The </w:t>
      </w:r>
      <w:r w:rsidR="009914EA" w:rsidRPr="00161DE5">
        <w:rPr>
          <w:rFonts w:eastAsia="Times New Roman" w:cs="Times New Roman"/>
          <w:szCs w:val="19"/>
          <w:lang w:val="en-GB" w:eastAsia="pl-PL"/>
        </w:rPr>
        <w:t xml:space="preserve">introduced </w:t>
      </w:r>
      <w:r w:rsidRPr="00161DE5">
        <w:rPr>
          <w:rFonts w:eastAsia="Times New Roman" w:cs="Times New Roman"/>
          <w:szCs w:val="19"/>
          <w:lang w:val="en-GB" w:eastAsia="pl-PL"/>
        </w:rPr>
        <w:t xml:space="preserve">temporary restrictions </w:t>
      </w:r>
      <w:r w:rsidR="009914EA">
        <w:rPr>
          <w:rFonts w:eastAsia="Times New Roman" w:cs="Times New Roman"/>
          <w:szCs w:val="19"/>
          <w:lang w:val="en-GB" w:eastAsia="pl-PL"/>
        </w:rPr>
        <w:t>resulted in</w:t>
      </w:r>
      <w:r w:rsidRPr="00161DE5">
        <w:rPr>
          <w:rFonts w:eastAsia="Times New Roman" w:cs="Times New Roman"/>
          <w:szCs w:val="19"/>
          <w:lang w:val="en-GB" w:eastAsia="pl-PL"/>
        </w:rPr>
        <w:t xml:space="preserve"> changes in the functioning of entities operating in the </w:t>
      </w:r>
      <w:r w:rsidR="00A64716">
        <w:rPr>
          <w:rFonts w:eastAsia="Times New Roman" w:cs="Times New Roman"/>
          <w:szCs w:val="19"/>
          <w:lang w:val="en-GB" w:eastAsia="pl-PL"/>
        </w:rPr>
        <w:t xml:space="preserve">area </w:t>
      </w:r>
      <w:r w:rsidRPr="00161DE5">
        <w:rPr>
          <w:rFonts w:eastAsia="Times New Roman" w:cs="Times New Roman"/>
          <w:szCs w:val="19"/>
          <w:lang w:val="en-GB" w:eastAsia="pl-PL"/>
        </w:rPr>
        <w:t xml:space="preserve">of culture. At that time, some units did not undertake any activities related to the preparation and sharing of cultural offer, and some tried to reach the public by making their offer available on the </w:t>
      </w:r>
      <w:r w:rsidRPr="00D408A5">
        <w:rPr>
          <w:rFonts w:eastAsia="Times New Roman" w:cs="Times New Roman"/>
          <w:szCs w:val="19"/>
          <w:lang w:val="en-GB" w:eastAsia="pl-PL"/>
        </w:rPr>
        <w:t>Internet. Restrictions</w:t>
      </w:r>
      <w:r w:rsidRPr="00161DE5">
        <w:rPr>
          <w:rFonts w:eastAsia="Times New Roman" w:cs="Times New Roman"/>
          <w:szCs w:val="19"/>
          <w:lang w:val="en-GB" w:eastAsia="pl-PL"/>
        </w:rPr>
        <w:t xml:space="preserve"> on the activities of cultural entities in individual months had different scope and forms, depending on the current epidemic situation in the country. Some entities received financial support. This had an impact on the transactions calculated as part of the </w:t>
      </w:r>
      <w:r w:rsidR="007816C0" w:rsidRPr="00161DE5">
        <w:rPr>
          <w:rFonts w:eastAsia="Times New Roman" w:cs="Times New Roman"/>
          <w:szCs w:val="19"/>
          <w:lang w:val="en-GB" w:eastAsia="pl-PL"/>
        </w:rPr>
        <w:t>cultur</w:t>
      </w:r>
      <w:r w:rsidR="00CE3094">
        <w:rPr>
          <w:rFonts w:eastAsia="Times New Roman" w:cs="Times New Roman"/>
          <w:szCs w:val="19"/>
          <w:lang w:val="en-GB" w:eastAsia="pl-PL"/>
        </w:rPr>
        <w:t>e</w:t>
      </w:r>
      <w:r w:rsidR="007816C0" w:rsidRPr="00161DE5">
        <w:rPr>
          <w:rFonts w:eastAsia="Times New Roman" w:cs="Times New Roman"/>
          <w:szCs w:val="19"/>
          <w:lang w:val="en-GB" w:eastAsia="pl-PL"/>
        </w:rPr>
        <w:t xml:space="preserve"> </w:t>
      </w:r>
      <w:r w:rsidRPr="00161DE5">
        <w:rPr>
          <w:rFonts w:eastAsia="Times New Roman" w:cs="Times New Roman"/>
          <w:szCs w:val="19"/>
          <w:lang w:val="en-GB" w:eastAsia="pl-PL"/>
        </w:rPr>
        <w:t xml:space="preserve">satellite account. </w:t>
      </w:r>
    </w:p>
    <w:p w14:paraId="74CBFDB6" w14:textId="77777777" w:rsidR="004F3CD5" w:rsidRPr="00161DE5" w:rsidRDefault="004F3CD5" w:rsidP="004F3CD5">
      <w:pPr>
        <w:suppressAutoHyphens/>
        <w:spacing w:before="0" w:line="240" w:lineRule="auto"/>
        <w:outlineLvl w:val="1"/>
        <w:rPr>
          <w:rFonts w:eastAsia="Times New Roman" w:cs="Times New Roman"/>
          <w:b/>
          <w:bCs/>
          <w:color w:val="001D77"/>
          <w:szCs w:val="19"/>
          <w:lang w:val="en-GB" w:eastAsia="pl-PL"/>
        </w:rPr>
      </w:pPr>
      <w:r w:rsidRPr="00161DE5">
        <w:rPr>
          <w:rFonts w:eastAsia="Times New Roman" w:cs="Times New Roman"/>
          <w:b/>
          <w:bCs/>
          <w:color w:val="001D77"/>
          <w:szCs w:val="19"/>
          <w:lang w:val="en-GB" w:eastAsia="pl-PL"/>
        </w:rPr>
        <w:t>The share of the area of culture in the national economy</w:t>
      </w:r>
    </w:p>
    <w:p w14:paraId="50D132EA" w14:textId="06D14F90" w:rsidR="004F3CD5" w:rsidRPr="00161DE5" w:rsidRDefault="004F3CD5" w:rsidP="004F3CD5">
      <w:pPr>
        <w:suppressAutoHyphens/>
        <w:spacing w:line="288" w:lineRule="auto"/>
        <w:rPr>
          <w:lang w:val="en-GB"/>
        </w:rPr>
      </w:pPr>
      <w:r w:rsidRPr="00161DE5">
        <w:rPr>
          <w:rFonts w:eastAsia="Times New Roman" w:cs="Times New Roman"/>
          <w:szCs w:val="19"/>
          <w:lang w:val="en-GB" w:eastAsia="pl-PL"/>
        </w:rPr>
        <w:t>The</w:t>
      </w:r>
      <w:r w:rsidR="007816C0" w:rsidRPr="00161DE5">
        <w:rPr>
          <w:rFonts w:eastAsia="Times New Roman" w:cs="Times New Roman"/>
          <w:szCs w:val="19"/>
          <w:lang w:val="en-GB" w:eastAsia="pl-PL"/>
        </w:rPr>
        <w:t xml:space="preserve"> culture</w:t>
      </w:r>
      <w:r w:rsidRPr="00161DE5">
        <w:rPr>
          <w:rFonts w:eastAsia="Times New Roman" w:cs="Times New Roman"/>
          <w:szCs w:val="19"/>
          <w:lang w:val="en-GB" w:eastAsia="pl-PL"/>
        </w:rPr>
        <w:t xml:space="preserve"> satellite account allows to estimate the contribution of the area of culture, understood as the activities of local and state cultural institutions, non-governmental organi</w:t>
      </w:r>
      <w:r w:rsidR="00A503D7">
        <w:rPr>
          <w:rFonts w:eastAsia="Times New Roman" w:cs="Times New Roman"/>
          <w:szCs w:val="19"/>
          <w:lang w:val="en-GB" w:eastAsia="pl-PL"/>
        </w:rPr>
        <w:t>s</w:t>
      </w:r>
      <w:r w:rsidRPr="00161DE5">
        <w:rPr>
          <w:rFonts w:eastAsia="Times New Roman" w:cs="Times New Roman"/>
          <w:szCs w:val="19"/>
          <w:lang w:val="en-GB" w:eastAsia="pl-PL"/>
        </w:rPr>
        <w:t xml:space="preserve">ations operating in the </w:t>
      </w:r>
      <w:r w:rsidR="007145BC" w:rsidRPr="00161DE5">
        <w:rPr>
          <w:lang w:val="en-GB"/>
        </w:rPr>
        <w:t>area of</w:t>
      </w:r>
      <w:r w:rsidRPr="00161DE5">
        <w:rPr>
          <w:rFonts w:eastAsia="Times New Roman" w:cs="Times New Roman"/>
          <w:szCs w:val="19"/>
          <w:lang w:val="en-GB" w:eastAsia="pl-PL"/>
        </w:rPr>
        <w:t xml:space="preserve"> culture and entities classified as cultural and creative industries, to the national economy. The share of </w:t>
      </w:r>
      <w:r w:rsidR="00940019" w:rsidRPr="00940019">
        <w:rPr>
          <w:rFonts w:eastAsia="Times New Roman" w:cs="Times New Roman"/>
          <w:szCs w:val="19"/>
          <w:lang w:val="en-GB" w:eastAsia="pl-PL"/>
        </w:rPr>
        <w:t>the area of culture</w:t>
      </w:r>
      <w:r w:rsidR="00940019" w:rsidRPr="00940019" w:rsidDel="00940019">
        <w:rPr>
          <w:rFonts w:eastAsia="Times New Roman" w:cs="Times New Roman"/>
          <w:szCs w:val="19"/>
          <w:lang w:val="en-GB" w:eastAsia="pl-PL"/>
        </w:rPr>
        <w:t xml:space="preserve"> </w:t>
      </w:r>
      <w:r w:rsidRPr="00161DE5">
        <w:rPr>
          <w:rFonts w:eastAsia="Times New Roman" w:cs="Times New Roman"/>
          <w:szCs w:val="19"/>
          <w:lang w:val="en-GB" w:eastAsia="pl-PL"/>
        </w:rPr>
        <w:t xml:space="preserve">in the national economy is best determined by the gross value added of </w:t>
      </w:r>
      <w:r w:rsidR="00940019" w:rsidRPr="00940019">
        <w:rPr>
          <w:rFonts w:eastAsia="Times New Roman" w:cs="Times New Roman"/>
          <w:szCs w:val="19"/>
          <w:lang w:val="en-GB" w:eastAsia="pl-PL"/>
        </w:rPr>
        <w:t>the area of culture</w:t>
      </w:r>
      <w:r w:rsidR="00940019" w:rsidRPr="00940019" w:rsidDel="00940019">
        <w:rPr>
          <w:rFonts w:eastAsia="Times New Roman" w:cs="Times New Roman"/>
          <w:szCs w:val="19"/>
          <w:lang w:val="en-GB" w:eastAsia="pl-PL"/>
        </w:rPr>
        <w:t xml:space="preserve"> </w:t>
      </w:r>
      <w:r w:rsidRPr="00161DE5">
        <w:rPr>
          <w:rFonts w:eastAsia="Times New Roman" w:cs="Times New Roman"/>
          <w:szCs w:val="19"/>
          <w:lang w:val="en-GB" w:eastAsia="pl-PL"/>
        </w:rPr>
        <w:t xml:space="preserve">in relation to the gross value added of the entire economy. This share in 2020 increased compared to previous years (by 0.1 percentage points) and amounted to 2.9%. The gross value added generated by the area of culture </w:t>
      </w:r>
      <w:r w:rsidRPr="00161DE5">
        <w:rPr>
          <w:lang w:val="en-GB"/>
        </w:rPr>
        <w:t xml:space="preserve">reached almost PLN 60 billion in 2020. </w:t>
      </w:r>
    </w:p>
    <w:p w14:paraId="61EA9033" w14:textId="1AF2B845" w:rsidR="004F3CD5" w:rsidRPr="00161DE5" w:rsidRDefault="004F3CD5" w:rsidP="004F3CD5">
      <w:pPr>
        <w:suppressAutoHyphens/>
        <w:spacing w:line="288" w:lineRule="auto"/>
        <w:rPr>
          <w:lang w:val="en-GB"/>
        </w:rPr>
      </w:pPr>
      <w:r w:rsidRPr="00161DE5">
        <w:rPr>
          <w:lang w:val="en-GB"/>
        </w:rPr>
        <w:t xml:space="preserve">The largest share in the creation of gross value added in the area of culture in 2020 </w:t>
      </w:r>
      <w:r w:rsidR="000E567C">
        <w:rPr>
          <w:lang w:val="en-GB"/>
        </w:rPr>
        <w:t>had</w:t>
      </w:r>
      <w:r w:rsidRPr="00161DE5">
        <w:rPr>
          <w:lang w:val="en-GB"/>
        </w:rPr>
        <w:t xml:space="preserve"> entities </w:t>
      </w:r>
      <w:r w:rsidR="000E567C">
        <w:rPr>
          <w:lang w:val="en-GB"/>
        </w:rPr>
        <w:t xml:space="preserve">belonging to </w:t>
      </w:r>
      <w:r w:rsidRPr="00161DE5">
        <w:rPr>
          <w:i/>
          <w:lang w:val="en-GB"/>
        </w:rPr>
        <w:t>Advertising</w:t>
      </w:r>
      <w:r w:rsidRPr="00161DE5">
        <w:rPr>
          <w:lang w:val="en-GB"/>
        </w:rPr>
        <w:t xml:space="preserve"> </w:t>
      </w:r>
      <w:r w:rsidR="00481DDE">
        <w:rPr>
          <w:lang w:val="en-GB"/>
        </w:rPr>
        <w:t xml:space="preserve">domain </w:t>
      </w:r>
      <w:r w:rsidRPr="00161DE5">
        <w:rPr>
          <w:lang w:val="en-GB"/>
        </w:rPr>
        <w:t xml:space="preserve">(17.8%). </w:t>
      </w:r>
      <w:r w:rsidRPr="00161DE5">
        <w:rPr>
          <w:i/>
          <w:lang w:val="en-GB"/>
        </w:rPr>
        <w:t>Audio</w:t>
      </w:r>
      <w:r w:rsidR="007816C0" w:rsidRPr="00161DE5">
        <w:rPr>
          <w:i/>
          <w:lang w:val="en-GB"/>
        </w:rPr>
        <w:t>-</w:t>
      </w:r>
      <w:r w:rsidRPr="00161DE5">
        <w:rPr>
          <w:i/>
          <w:lang w:val="en-GB"/>
        </w:rPr>
        <w:t>visual arts and multimedia</w:t>
      </w:r>
      <w:r w:rsidRPr="00161DE5">
        <w:rPr>
          <w:lang w:val="en-GB"/>
        </w:rPr>
        <w:t xml:space="preserve"> (17.3%), </w:t>
      </w:r>
      <w:r w:rsidRPr="00161DE5">
        <w:rPr>
          <w:i/>
          <w:lang w:val="en-GB"/>
        </w:rPr>
        <w:t>Artistic education</w:t>
      </w:r>
      <w:r w:rsidRPr="00161DE5">
        <w:rPr>
          <w:lang w:val="en-GB"/>
        </w:rPr>
        <w:t xml:space="preserve"> (14.5%), </w:t>
      </w:r>
      <w:r w:rsidRPr="00161DE5">
        <w:rPr>
          <w:i/>
          <w:lang w:val="en-GB"/>
        </w:rPr>
        <w:t>Books and press</w:t>
      </w:r>
      <w:r w:rsidRPr="00161DE5">
        <w:rPr>
          <w:lang w:val="en-GB"/>
        </w:rPr>
        <w:t xml:space="preserve"> (10.8%) had </w:t>
      </w:r>
      <w:r w:rsidR="006A7CB5" w:rsidRPr="00161DE5">
        <w:rPr>
          <w:lang w:val="en-GB"/>
        </w:rPr>
        <w:t xml:space="preserve">also </w:t>
      </w:r>
      <w:r w:rsidRPr="00161DE5">
        <w:rPr>
          <w:lang w:val="en-GB"/>
        </w:rPr>
        <w:t xml:space="preserve">a significant share. The share </w:t>
      </w:r>
      <w:r w:rsidRPr="00237288">
        <w:rPr>
          <w:lang w:val="en-GB"/>
        </w:rPr>
        <w:t>of</w:t>
      </w:r>
      <w:r w:rsidRPr="00161DE5">
        <w:rPr>
          <w:i/>
          <w:lang w:val="en-GB"/>
        </w:rPr>
        <w:t xml:space="preserve"> Advertising</w:t>
      </w:r>
      <w:r w:rsidRPr="00161DE5">
        <w:rPr>
          <w:lang w:val="en-GB"/>
        </w:rPr>
        <w:t xml:space="preserve"> </w:t>
      </w:r>
      <w:r w:rsidR="00CE3094">
        <w:rPr>
          <w:lang w:val="en-GB"/>
        </w:rPr>
        <w:t xml:space="preserve">domain </w:t>
      </w:r>
      <w:r w:rsidRPr="00161DE5">
        <w:rPr>
          <w:lang w:val="en-GB"/>
        </w:rPr>
        <w:t xml:space="preserve">in the creation of gross value added has been steadily </w:t>
      </w:r>
      <w:r w:rsidR="002C645D">
        <w:rPr>
          <w:lang w:val="en-GB"/>
        </w:rPr>
        <w:t>decreasing – in 2018 amounted to</w:t>
      </w:r>
      <w:r w:rsidRPr="00161DE5">
        <w:rPr>
          <w:lang w:val="en-GB"/>
        </w:rPr>
        <w:t xml:space="preserve"> 20</w:t>
      </w:r>
      <w:r w:rsidR="002C645D">
        <w:rPr>
          <w:lang w:val="en-GB"/>
        </w:rPr>
        <w:t>.9</w:t>
      </w:r>
      <w:r w:rsidRPr="00161DE5">
        <w:rPr>
          <w:lang w:val="en-GB"/>
        </w:rPr>
        <w:t xml:space="preserve">%, in the following year it was already 1.5 p.p. lower (19.4%), and in 2020 it decreased by 1.6 p.p. (17.8%). Compared to 2019, the share of entities from the </w:t>
      </w:r>
      <w:r w:rsidRPr="00CE3094">
        <w:rPr>
          <w:i/>
          <w:lang w:val="en-GB"/>
        </w:rPr>
        <w:t xml:space="preserve">Book </w:t>
      </w:r>
      <w:r w:rsidRPr="00161DE5">
        <w:rPr>
          <w:i/>
          <w:lang w:val="en-GB"/>
        </w:rPr>
        <w:t xml:space="preserve">and Press </w:t>
      </w:r>
      <w:r w:rsidR="006A7CB5" w:rsidRPr="00CE3094">
        <w:rPr>
          <w:lang w:val="en-GB"/>
        </w:rPr>
        <w:t>domain</w:t>
      </w:r>
      <w:r w:rsidRPr="00161DE5">
        <w:rPr>
          <w:i/>
          <w:lang w:val="en-GB"/>
        </w:rPr>
        <w:t xml:space="preserve"> </w:t>
      </w:r>
      <w:r w:rsidRPr="00161DE5">
        <w:rPr>
          <w:lang w:val="en-GB"/>
        </w:rPr>
        <w:t>in the creation of gross value added also decreased (by 2.8 p</w:t>
      </w:r>
      <w:r w:rsidR="006A7CB5">
        <w:rPr>
          <w:lang w:val="en-GB"/>
        </w:rPr>
        <w:t>.</w:t>
      </w:r>
      <w:r w:rsidRPr="00161DE5">
        <w:rPr>
          <w:lang w:val="en-GB"/>
        </w:rPr>
        <w:t>p</w:t>
      </w:r>
      <w:r w:rsidR="006A7CB5">
        <w:rPr>
          <w:lang w:val="en-GB"/>
        </w:rPr>
        <w:t>.</w:t>
      </w:r>
      <w:r w:rsidRPr="00161DE5">
        <w:rPr>
          <w:lang w:val="en-GB"/>
        </w:rPr>
        <w:t>). The largest i</w:t>
      </w:r>
      <w:r w:rsidR="00C76936">
        <w:rPr>
          <w:lang w:val="en-GB"/>
        </w:rPr>
        <w:t>ncrease was observed in the domain</w:t>
      </w:r>
      <w:r w:rsidRPr="00161DE5">
        <w:rPr>
          <w:i/>
          <w:lang w:val="en-GB"/>
        </w:rPr>
        <w:t xml:space="preserve"> </w:t>
      </w:r>
      <w:r w:rsidRPr="00CE3094">
        <w:rPr>
          <w:lang w:val="en-GB"/>
        </w:rPr>
        <w:t>of</w:t>
      </w:r>
      <w:r w:rsidRPr="00161DE5">
        <w:rPr>
          <w:i/>
          <w:lang w:val="en-GB"/>
        </w:rPr>
        <w:t xml:space="preserve"> Artistic education</w:t>
      </w:r>
      <w:r w:rsidRPr="00161DE5">
        <w:rPr>
          <w:lang w:val="en-GB"/>
        </w:rPr>
        <w:t xml:space="preserve"> (by 5.6 p</w:t>
      </w:r>
      <w:r w:rsidR="006A7CB5">
        <w:rPr>
          <w:lang w:val="en-GB"/>
        </w:rPr>
        <w:t>.p.</w:t>
      </w:r>
      <w:r w:rsidRPr="00161DE5">
        <w:rPr>
          <w:lang w:val="en-GB"/>
        </w:rPr>
        <w:t xml:space="preserve"> compared to 2019). The share</w:t>
      </w:r>
      <w:r w:rsidR="002C645D">
        <w:rPr>
          <w:lang w:val="en-GB"/>
        </w:rPr>
        <w:t xml:space="preserve"> of</w:t>
      </w:r>
      <w:r w:rsidRPr="00161DE5">
        <w:rPr>
          <w:lang w:val="en-GB"/>
        </w:rPr>
        <w:t xml:space="preserve"> </w:t>
      </w:r>
      <w:r w:rsidR="002C645D" w:rsidRPr="00161DE5">
        <w:rPr>
          <w:i/>
          <w:lang w:val="en-GB"/>
        </w:rPr>
        <w:t xml:space="preserve">Cultural </w:t>
      </w:r>
      <w:r w:rsidR="002C645D">
        <w:rPr>
          <w:i/>
          <w:lang w:val="en-GB"/>
        </w:rPr>
        <w:t>h</w:t>
      </w:r>
      <w:r w:rsidR="002C645D" w:rsidRPr="00161DE5">
        <w:rPr>
          <w:i/>
          <w:lang w:val="en-GB"/>
        </w:rPr>
        <w:t>eritage</w:t>
      </w:r>
      <w:r w:rsidR="002C645D" w:rsidRPr="00161DE5">
        <w:rPr>
          <w:lang w:val="en-GB"/>
        </w:rPr>
        <w:t xml:space="preserve"> (2.9%)</w:t>
      </w:r>
      <w:r w:rsidR="002C645D">
        <w:rPr>
          <w:lang w:val="en-GB"/>
        </w:rPr>
        <w:t xml:space="preserve">, </w:t>
      </w:r>
      <w:r w:rsidR="002C645D" w:rsidRPr="00161DE5">
        <w:rPr>
          <w:i/>
          <w:lang w:val="en-GB"/>
        </w:rPr>
        <w:t>Librar</w:t>
      </w:r>
      <w:r w:rsidR="002C645D">
        <w:rPr>
          <w:i/>
          <w:lang w:val="en-GB"/>
        </w:rPr>
        <w:t>ies</w:t>
      </w:r>
      <w:r w:rsidR="002C645D" w:rsidRPr="00161DE5">
        <w:rPr>
          <w:i/>
          <w:lang w:val="en-GB"/>
        </w:rPr>
        <w:t xml:space="preserve"> and </w:t>
      </w:r>
      <w:r w:rsidR="002C645D">
        <w:rPr>
          <w:i/>
          <w:lang w:val="en-GB"/>
        </w:rPr>
        <w:t>a</w:t>
      </w:r>
      <w:r w:rsidR="002C645D" w:rsidRPr="00161DE5">
        <w:rPr>
          <w:i/>
          <w:lang w:val="en-GB"/>
        </w:rPr>
        <w:t>rchives</w:t>
      </w:r>
      <w:r w:rsidR="002C645D">
        <w:rPr>
          <w:lang w:val="en-GB"/>
        </w:rPr>
        <w:t xml:space="preserve"> (2.9%) and </w:t>
      </w:r>
      <w:r w:rsidRPr="00161DE5">
        <w:rPr>
          <w:i/>
          <w:lang w:val="en-GB"/>
        </w:rPr>
        <w:t>Cultur</w:t>
      </w:r>
      <w:r w:rsidR="000E70A4">
        <w:rPr>
          <w:i/>
          <w:lang w:val="en-GB"/>
        </w:rPr>
        <w:t>e</w:t>
      </w:r>
      <w:r w:rsidRPr="00161DE5">
        <w:rPr>
          <w:i/>
          <w:lang w:val="en-GB"/>
        </w:rPr>
        <w:t xml:space="preserve"> </w:t>
      </w:r>
      <w:r w:rsidR="002448FA">
        <w:rPr>
          <w:i/>
          <w:lang w:val="en-GB"/>
        </w:rPr>
        <w:t>m</w:t>
      </w:r>
      <w:r w:rsidRPr="00161DE5">
        <w:rPr>
          <w:i/>
          <w:lang w:val="en-GB"/>
        </w:rPr>
        <w:t xml:space="preserve">anagement and </w:t>
      </w:r>
      <w:r w:rsidR="002448FA">
        <w:rPr>
          <w:i/>
          <w:lang w:val="en-GB"/>
        </w:rPr>
        <w:t>a</w:t>
      </w:r>
      <w:r w:rsidRPr="00161DE5">
        <w:rPr>
          <w:i/>
          <w:lang w:val="en-GB"/>
        </w:rPr>
        <w:t>dministration</w:t>
      </w:r>
      <w:r w:rsidRPr="00161DE5">
        <w:rPr>
          <w:lang w:val="en-GB"/>
        </w:rPr>
        <w:t xml:space="preserve"> (0.4%) did not change.</w:t>
      </w:r>
    </w:p>
    <w:p w14:paraId="7EAAD089" w14:textId="7A600657" w:rsidR="004F3CD5" w:rsidRPr="007E2342" w:rsidRDefault="004F3CD5" w:rsidP="007E2342">
      <w:pPr>
        <w:pStyle w:val="tytuwykresu"/>
        <w:rPr>
          <w:noProof/>
          <w:sz w:val="19"/>
          <w:szCs w:val="19"/>
          <w:lang w:val="en-GB"/>
        </w:rPr>
      </w:pPr>
      <w:r w:rsidRPr="007E2342">
        <w:rPr>
          <w:noProof/>
          <w:sz w:val="19"/>
          <w:szCs w:val="19"/>
          <w:lang w:eastAsia="pl-PL"/>
        </w:rPr>
        <w:lastRenderedPageBreak/>
        <mc:AlternateContent>
          <mc:Choice Requires="wps">
            <w:drawing>
              <wp:anchor distT="45720" distB="45720" distL="114300" distR="114300" simplePos="0" relativeHeight="251661312" behindDoc="1" locked="0" layoutInCell="1" allowOverlap="1" wp14:anchorId="006FCE2B" wp14:editId="4163DA39">
                <wp:simplePos x="0" y="0"/>
                <wp:positionH relativeFrom="page">
                  <wp:posOffset>5742305</wp:posOffset>
                </wp:positionH>
                <wp:positionV relativeFrom="paragraph">
                  <wp:posOffset>1294130</wp:posOffset>
                </wp:positionV>
                <wp:extent cx="1725295" cy="1045845"/>
                <wp:effectExtent l="0" t="0" r="0" b="1905"/>
                <wp:wrapTight wrapText="bothSides">
                  <wp:wrapPolygon edited="0">
                    <wp:start x="715" y="0"/>
                    <wp:lineTo x="715" y="21246"/>
                    <wp:lineTo x="20749" y="21246"/>
                    <wp:lineTo x="20749" y="0"/>
                    <wp:lineTo x="715" y="0"/>
                  </wp:wrapPolygon>
                </wp:wrapTight>
                <wp:docPr id="578548238" name="Pole tekstowe 578548238" descr="The largest share in the creation of gross value added in the area of culture was held by entities belonging to the Advertising domain  (17.8%)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5845"/>
                        </a:xfrm>
                        <a:prstGeom prst="rect">
                          <a:avLst/>
                        </a:prstGeom>
                        <a:noFill/>
                        <a:ln w="9525">
                          <a:noFill/>
                          <a:miter lim="800000"/>
                          <a:headEnd/>
                          <a:tailEnd/>
                        </a:ln>
                      </wps:spPr>
                      <wps:txbx>
                        <w:txbxContent>
                          <w:p w14:paraId="6473C336" w14:textId="56EE7EB6" w:rsidR="006F1AF5" w:rsidRPr="00161DE5" w:rsidRDefault="006F1AF5" w:rsidP="004F3CD5">
                            <w:pPr>
                              <w:pStyle w:val="tekstzboku"/>
                              <w:spacing w:before="0"/>
                              <w:rPr>
                                <w:bCs w:val="0"/>
                                <w:iCs/>
                                <w:lang w:val="en-GB"/>
                              </w:rPr>
                            </w:pPr>
                            <w:r w:rsidRPr="00161DE5">
                              <w:rPr>
                                <w:lang w:val="en-GB"/>
                              </w:rPr>
                              <w:t xml:space="preserve">The largest share in the creation of gross value added in the area of culture was held by entities belonging to the </w:t>
                            </w:r>
                            <w:r w:rsidRPr="00CE3094">
                              <w:rPr>
                                <w:i/>
                                <w:lang w:val="en-GB"/>
                              </w:rPr>
                              <w:t>Advertising</w:t>
                            </w:r>
                            <w:r w:rsidRPr="00161DE5">
                              <w:rPr>
                                <w:lang w:val="en-GB"/>
                              </w:rPr>
                              <w:t xml:space="preserve"> domain</w:t>
                            </w:r>
                            <w:r w:rsidRPr="00161DE5">
                              <w:rPr>
                                <w:i/>
                                <w:lang w:val="en-GB"/>
                              </w:rPr>
                              <w:t xml:space="preserve"> </w:t>
                            </w:r>
                            <w:r w:rsidRPr="00161DE5">
                              <w:rPr>
                                <w:iCs/>
                                <w:lang w:val="en-GB"/>
                              </w:rPr>
                              <w:t xml:space="preserve">(17.8%)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FCE2B" id="_x0000_t202" coordsize="21600,21600" o:spt="202" path="m,l,21600r21600,l21600,xe">
                <v:stroke joinstyle="miter"/>
                <v:path gradientshapeok="t" o:connecttype="rect"/>
              </v:shapetype>
              <v:shape id="Pole tekstowe 578548238" o:spid="_x0000_s1027" type="#_x0000_t202" alt="The largest share in the creation of gross value added in the area of culture was held by entities belonging to the Advertising domain  (17.8%) " style="position:absolute;margin-left:452.15pt;margin-top:101.9pt;width:135.85pt;height:82.3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" filled="f" stroked="f">
                <v:textbox>
                  <w:txbxContent>
                    <w:p w14:paraId="6473C336" w14:textId="56EE7EB6" w:rsidR="006F1AF5" w:rsidRPr="00161DE5" w:rsidRDefault="006F1AF5" w:rsidP="004F3CD5">
                      <w:pPr>
                        <w:pStyle w:val="tekstzboku"/>
                        <w:spacing w:before="0"/>
                        <w:rPr>
                          <w:bCs w:val="0"/>
                          <w:iCs/>
                          <w:lang w:val="en-GB"/>
                        </w:rPr>
                      </w:pPr>
                      <w:r w:rsidRPr="00161DE5">
                        <w:rPr>
                          <w:lang w:val="en-GB"/>
                        </w:rPr>
                        <w:t xml:space="preserve">The largest share in the creation of gross value added in the area of culture was held by entities belonging to the </w:t>
                      </w:r>
                      <w:r w:rsidRPr="00CE3094">
                        <w:rPr>
                          <w:i/>
                          <w:lang w:val="en-GB"/>
                        </w:rPr>
                        <w:t>Advertising</w:t>
                      </w:r>
                      <w:r w:rsidRPr="00161DE5">
                        <w:rPr>
                          <w:lang w:val="en-GB"/>
                        </w:rPr>
                        <w:t xml:space="preserve"> domain</w:t>
                      </w:r>
                      <w:r w:rsidRPr="00161DE5">
                        <w:rPr>
                          <w:i/>
                          <w:lang w:val="en-GB"/>
                        </w:rPr>
                        <w:t xml:space="preserve"> </w:t>
                      </w:r>
                      <w:r w:rsidRPr="00161DE5">
                        <w:rPr>
                          <w:iCs/>
                          <w:lang w:val="en-GB"/>
                        </w:rPr>
                        <w:t xml:space="preserve">(17.8%) </w:t>
                      </w:r>
                    </w:p>
                  </w:txbxContent>
                </v:textbox>
                <w10:wrap type="tight" anchorx="page"/>
              </v:shape>
            </w:pict>
          </mc:Fallback>
        </mc:AlternateContent>
      </w:r>
      <w:bookmarkStart w:id="1" w:name="_Hlk188447694"/>
      <w:r w:rsidRPr="007E2342">
        <w:rPr>
          <w:iCs/>
          <w:noProof/>
          <w:sz w:val="19"/>
          <w:szCs w:val="19"/>
          <w:lang w:val="en-GB"/>
        </w:rPr>
        <w:t xml:space="preserve">Chart </w:t>
      </w:r>
      <w:r w:rsidR="00EE665E" w:rsidRPr="007E2342">
        <w:rPr>
          <w:iCs/>
          <w:noProof/>
          <w:sz w:val="19"/>
          <w:szCs w:val="19"/>
          <w:lang w:val="en-GB"/>
        </w:rPr>
        <w:t>1</w:t>
      </w:r>
      <w:r w:rsidRPr="007E2342">
        <w:rPr>
          <w:iCs/>
          <w:noProof/>
          <w:sz w:val="19"/>
          <w:szCs w:val="19"/>
          <w:lang w:val="en-GB"/>
        </w:rPr>
        <w:t>. Gross value</w:t>
      </w:r>
      <w:r w:rsidRPr="007E2342">
        <w:rPr>
          <w:noProof/>
          <w:sz w:val="19"/>
          <w:szCs w:val="19"/>
          <w:lang w:val="en-GB"/>
        </w:rPr>
        <w:t xml:space="preserve"> added of </w:t>
      </w:r>
      <w:r w:rsidR="00D541D7">
        <w:rPr>
          <w:noProof/>
          <w:sz w:val="19"/>
          <w:szCs w:val="19"/>
          <w:lang w:val="en-GB"/>
        </w:rPr>
        <w:t xml:space="preserve">the </w:t>
      </w:r>
      <w:r w:rsidR="002137DE" w:rsidRPr="007E2342">
        <w:rPr>
          <w:noProof/>
          <w:sz w:val="19"/>
          <w:szCs w:val="19"/>
          <w:lang w:val="en-GB" w:eastAsia="pl-PL"/>
        </w:rPr>
        <w:t xml:space="preserve">area of </w:t>
      </w:r>
      <w:r w:rsidRPr="007E2342">
        <w:rPr>
          <w:noProof/>
          <w:sz w:val="19"/>
          <w:szCs w:val="19"/>
          <w:lang w:val="en-GB"/>
        </w:rPr>
        <w:t>culture by cultural</w:t>
      </w:r>
      <w:r w:rsidR="006A7CB5" w:rsidRPr="007E2342">
        <w:rPr>
          <w:noProof/>
          <w:sz w:val="19"/>
          <w:szCs w:val="19"/>
          <w:lang w:val="en-GB"/>
        </w:rPr>
        <w:t xml:space="preserve"> domains</w:t>
      </w:r>
      <w:r w:rsidRPr="007E2342">
        <w:rPr>
          <w:noProof/>
          <w:sz w:val="19"/>
          <w:szCs w:val="19"/>
          <w:lang w:val="en-GB"/>
        </w:rPr>
        <w:t xml:space="preserve"> in 2020</w:t>
      </w:r>
      <w:bookmarkEnd w:id="1"/>
    </w:p>
    <w:p w14:paraId="7145EE54" w14:textId="77777777" w:rsidR="002540B1" w:rsidRDefault="002540B1" w:rsidP="00E54772">
      <w:pPr>
        <w:spacing w:before="360" w:line="288" w:lineRule="auto"/>
        <w:rPr>
          <w:lang w:val="en-GB"/>
        </w:rPr>
      </w:pPr>
      <w:r>
        <w:rPr>
          <w:noProof/>
          <w:lang w:eastAsia="pl-PL"/>
        </w:rPr>
        <w:drawing>
          <wp:inline distT="0" distB="0" distL="0" distR="0" wp14:anchorId="364391C4" wp14:editId="08399441">
            <wp:extent cx="5025796" cy="3303917"/>
            <wp:effectExtent l="0" t="0" r="0" b="0"/>
            <wp:docPr id="7" name="Obraz 7" descr="Chart 1. Pie chart presenting gross value added of area of culture by cultural domains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0964" cy="3307315"/>
                    </a:xfrm>
                    <a:prstGeom prst="rect">
                      <a:avLst/>
                    </a:prstGeom>
                    <a:noFill/>
                  </pic:spPr>
                </pic:pic>
              </a:graphicData>
            </a:graphic>
          </wp:inline>
        </w:drawing>
      </w:r>
    </w:p>
    <w:p w14:paraId="7514C2B4" w14:textId="22D4F93D" w:rsidR="004F3CD5" w:rsidRPr="00161DE5" w:rsidRDefault="006A7CB5" w:rsidP="00E54772">
      <w:pPr>
        <w:spacing w:before="360" w:line="288" w:lineRule="auto"/>
        <w:rPr>
          <w:lang w:val="en-GB"/>
        </w:rPr>
      </w:pPr>
      <w:r>
        <w:rPr>
          <w:lang w:val="en-GB"/>
        </w:rPr>
        <w:t>C</w:t>
      </w:r>
      <w:r w:rsidR="004F3CD5" w:rsidRPr="00161DE5">
        <w:rPr>
          <w:lang w:val="en-GB"/>
        </w:rPr>
        <w:t xml:space="preserve">omparison of the area of culture with other sectors of the national economy, taking into account the </w:t>
      </w:r>
      <w:r>
        <w:rPr>
          <w:lang w:val="en-GB"/>
        </w:rPr>
        <w:t>Polish Classification of Activities (</w:t>
      </w:r>
      <w:r w:rsidR="004F3CD5" w:rsidRPr="00161DE5">
        <w:rPr>
          <w:lang w:val="en-GB"/>
        </w:rPr>
        <w:t>PKD</w:t>
      </w:r>
      <w:r>
        <w:rPr>
          <w:lang w:val="en-GB"/>
        </w:rPr>
        <w:t>)</w:t>
      </w:r>
      <w:r w:rsidR="004F3CD5" w:rsidRPr="00161DE5">
        <w:rPr>
          <w:rStyle w:val="Odwoanieprzypisudolnego"/>
          <w:rFonts w:eastAsia="Times New Roman" w:cs="Times New Roman"/>
          <w:szCs w:val="19"/>
          <w:lang w:val="en-GB" w:eastAsia="pl-PL"/>
        </w:rPr>
        <w:footnoteReference w:id="2"/>
      </w:r>
      <w:r w:rsidR="004F3CD5" w:rsidRPr="00161DE5">
        <w:rPr>
          <w:lang w:val="en-GB"/>
        </w:rPr>
        <w:t xml:space="preserve">, shows the real role of the area of culture in the national economy, and therefore the contribution of the area of culture to the creation of the Gross Domestic Product (GDP) of Poland. The share of gross value added generated by entities operating within the PKD classes classified as </w:t>
      </w:r>
      <w:r w:rsidR="00B0673B">
        <w:rPr>
          <w:lang w:val="en-GB"/>
        </w:rPr>
        <w:t xml:space="preserve">belonging to the area of </w:t>
      </w:r>
      <w:r w:rsidR="004F3CD5" w:rsidRPr="00161DE5">
        <w:rPr>
          <w:lang w:val="en-GB"/>
        </w:rPr>
        <w:t>cultur</w:t>
      </w:r>
      <w:r w:rsidR="00B0673B">
        <w:rPr>
          <w:lang w:val="en-GB"/>
        </w:rPr>
        <w:t>e</w:t>
      </w:r>
      <w:r w:rsidR="004F3CD5" w:rsidRPr="00161DE5">
        <w:rPr>
          <w:lang w:val="en-GB"/>
        </w:rPr>
        <w:t xml:space="preserve"> in 2020 was higher than the share of value added generated by entities from section B - </w:t>
      </w:r>
      <w:r w:rsidR="004F3CD5" w:rsidRPr="006A7CB5">
        <w:rPr>
          <w:i/>
          <w:lang w:val="en-GB"/>
        </w:rPr>
        <w:t>mining and quarrying</w:t>
      </w:r>
      <w:r w:rsidR="004F3CD5" w:rsidRPr="00161DE5">
        <w:rPr>
          <w:lang w:val="en-GB"/>
        </w:rPr>
        <w:t xml:space="preserve"> (by 1.4 p</w:t>
      </w:r>
      <w:r>
        <w:rPr>
          <w:lang w:val="en-GB"/>
        </w:rPr>
        <w:t>.</w:t>
      </w:r>
      <w:r w:rsidR="004F3CD5" w:rsidRPr="00161DE5">
        <w:rPr>
          <w:lang w:val="en-GB"/>
        </w:rPr>
        <w:t>p</w:t>
      </w:r>
      <w:r>
        <w:rPr>
          <w:lang w:val="en-GB"/>
        </w:rPr>
        <w:t>.</w:t>
      </w:r>
      <w:r w:rsidR="004F3CD5" w:rsidRPr="00161DE5">
        <w:rPr>
          <w:lang w:val="en-GB"/>
        </w:rPr>
        <w:t xml:space="preserve">) and similar to the share of entities included in section A - </w:t>
      </w:r>
      <w:r w:rsidR="004F3CD5" w:rsidRPr="006A7CB5">
        <w:rPr>
          <w:i/>
          <w:lang w:val="en-GB"/>
        </w:rPr>
        <w:t>agriculture, forestry, hunting and</w:t>
      </w:r>
      <w:r w:rsidR="004F3CD5" w:rsidRPr="00161DE5">
        <w:rPr>
          <w:lang w:val="en-GB"/>
        </w:rPr>
        <w:t xml:space="preserve"> </w:t>
      </w:r>
      <w:r w:rsidR="004F3CD5" w:rsidRPr="00161DE5">
        <w:rPr>
          <w:i/>
          <w:lang w:val="en-GB"/>
        </w:rPr>
        <w:t>fishing</w:t>
      </w:r>
      <w:r w:rsidR="004F3CD5" w:rsidRPr="00161DE5">
        <w:rPr>
          <w:lang w:val="en-GB"/>
        </w:rPr>
        <w:t xml:space="preserve"> (2.9%), and slightly lower than entities from section D - </w:t>
      </w:r>
      <w:r w:rsidR="004F3CD5" w:rsidRPr="00161DE5">
        <w:rPr>
          <w:i/>
          <w:lang w:val="en-GB"/>
        </w:rPr>
        <w:t>production and supply of electricity, gas, steam and hot water</w:t>
      </w:r>
      <w:r w:rsidR="004F3CD5" w:rsidRPr="00161DE5">
        <w:rPr>
          <w:lang w:val="en-GB"/>
        </w:rPr>
        <w:t xml:space="preserve"> (3.1%) and section N - </w:t>
      </w:r>
      <w:r w:rsidR="004F3CD5" w:rsidRPr="00161DE5">
        <w:rPr>
          <w:i/>
          <w:lang w:val="en-GB"/>
        </w:rPr>
        <w:t>administration and support activities</w:t>
      </w:r>
      <w:r w:rsidR="004F3CD5" w:rsidRPr="00161DE5">
        <w:rPr>
          <w:lang w:val="en-GB"/>
        </w:rPr>
        <w:t xml:space="preserve"> (3.1%).</w:t>
      </w:r>
    </w:p>
    <w:p w14:paraId="798CB100" w14:textId="45ECD3D6" w:rsidR="008B0817" w:rsidRDefault="007D2D48" w:rsidP="007D2D48">
      <w:pPr>
        <w:pStyle w:val="tytuwykresu"/>
        <w:spacing w:before="4200"/>
        <w:ind w:left="709" w:hanging="709"/>
        <w:rPr>
          <w:noProof/>
          <w:sz w:val="19"/>
          <w:szCs w:val="19"/>
          <w:lang w:val="en-GB" w:eastAsia="pl-PL"/>
        </w:rPr>
      </w:pPr>
      <w:r>
        <w:rPr>
          <w:noProof/>
          <w:sz w:val="19"/>
          <w:szCs w:val="19"/>
          <w:lang w:eastAsia="pl-PL"/>
        </w:rPr>
        <w:lastRenderedPageBreak/>
        <w:drawing>
          <wp:anchor distT="0" distB="0" distL="114300" distR="114300" simplePos="0" relativeHeight="251697152" behindDoc="0" locked="0" layoutInCell="1" allowOverlap="1" wp14:anchorId="30CDDD27" wp14:editId="1656263D">
            <wp:simplePos x="0" y="0"/>
            <wp:positionH relativeFrom="column">
              <wp:posOffset>182880</wp:posOffset>
            </wp:positionH>
            <wp:positionV relativeFrom="paragraph">
              <wp:posOffset>353060</wp:posOffset>
            </wp:positionV>
            <wp:extent cx="4621530" cy="8919845"/>
            <wp:effectExtent l="0" t="0" r="0" b="0"/>
            <wp:wrapTopAndBottom/>
            <wp:docPr id="13" name="Obraz 13" descr="Chart 2. Bar chart presenting the share of the area of culture in the creation of gross value added as compared to other sections of national economy in 2020 (according to PKD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1530" cy="8919845"/>
                    </a:xfrm>
                    <a:prstGeom prst="rect">
                      <a:avLst/>
                    </a:prstGeom>
                    <a:noFill/>
                  </pic:spPr>
                </pic:pic>
              </a:graphicData>
            </a:graphic>
            <wp14:sizeRelH relativeFrom="margin">
              <wp14:pctWidth>0</wp14:pctWidth>
            </wp14:sizeRelH>
            <wp14:sizeRelV relativeFrom="margin">
              <wp14:pctHeight>0</wp14:pctHeight>
            </wp14:sizeRelV>
          </wp:anchor>
        </w:drawing>
      </w:r>
      <w:r w:rsidR="004F3CD5" w:rsidRPr="007E2342">
        <w:rPr>
          <w:noProof/>
          <w:sz w:val="19"/>
          <w:szCs w:val="19"/>
          <w:lang w:val="en-GB" w:eastAsia="pl-PL"/>
        </w:rPr>
        <w:t xml:space="preserve">Chart </w:t>
      </w:r>
      <w:r w:rsidR="00EE665E" w:rsidRPr="007E2342">
        <w:rPr>
          <w:noProof/>
          <w:sz w:val="19"/>
          <w:szCs w:val="19"/>
          <w:lang w:val="en-GB" w:eastAsia="pl-PL"/>
        </w:rPr>
        <w:t>2</w:t>
      </w:r>
      <w:r w:rsidR="004F3CD5" w:rsidRPr="007E2342">
        <w:rPr>
          <w:noProof/>
          <w:sz w:val="19"/>
          <w:szCs w:val="19"/>
          <w:lang w:val="en-GB" w:eastAsia="pl-PL"/>
        </w:rPr>
        <w:t>. The share of the area of culture in the creation of gross</w:t>
      </w:r>
      <w:r w:rsidR="004F3CD5" w:rsidRPr="007E2342">
        <w:rPr>
          <w:sz w:val="19"/>
          <w:szCs w:val="19"/>
          <w:lang w:val="en-GB"/>
        </w:rPr>
        <w:t xml:space="preserve"> </w:t>
      </w:r>
      <w:r w:rsidR="008B0817" w:rsidRPr="007E2342">
        <w:rPr>
          <w:noProof/>
          <w:sz w:val="19"/>
          <w:szCs w:val="19"/>
          <w:lang w:val="en-GB" w:eastAsia="pl-PL"/>
        </w:rPr>
        <w:t>value added</w:t>
      </w:r>
      <w:r w:rsidR="00192CA3" w:rsidRPr="007E2342">
        <w:rPr>
          <w:noProof/>
          <w:sz w:val="19"/>
          <w:szCs w:val="19"/>
          <w:lang w:val="en-GB" w:eastAsia="pl-PL"/>
        </w:rPr>
        <w:t xml:space="preserve"> as compared to other sections of national economy in 2020 (according to PKD 2007)</w:t>
      </w:r>
    </w:p>
    <w:p w14:paraId="213D6E00" w14:textId="2D557618" w:rsidR="004F3CD5" w:rsidRPr="00161DE5" w:rsidRDefault="004F3CD5" w:rsidP="004F3CD5">
      <w:pPr>
        <w:pStyle w:val="Nagwek2"/>
        <w:rPr>
          <w:rFonts w:ascii="Fira Sans" w:eastAsia="Times New Roman" w:hAnsi="Fira Sans" w:cs="Times New Roman"/>
          <w:b/>
          <w:bCs/>
          <w:color w:val="001D77"/>
          <w:sz w:val="19"/>
          <w:szCs w:val="19"/>
          <w:lang w:val="en-GB" w:eastAsia="pl-PL"/>
        </w:rPr>
      </w:pPr>
      <w:r w:rsidRPr="00161DE5">
        <w:rPr>
          <w:rFonts w:ascii="Fira Sans" w:eastAsia="Times New Roman" w:hAnsi="Fira Sans" w:cs="Times New Roman"/>
          <w:b/>
          <w:bCs/>
          <w:color w:val="001D77"/>
          <w:sz w:val="19"/>
          <w:szCs w:val="19"/>
          <w:lang w:val="en-GB" w:eastAsia="pl-PL"/>
        </w:rPr>
        <w:lastRenderedPageBreak/>
        <w:t xml:space="preserve">Transactions in the </w:t>
      </w:r>
      <w:r w:rsidR="00CE3094" w:rsidRPr="00161DE5">
        <w:rPr>
          <w:rFonts w:ascii="Fira Sans" w:eastAsia="Times New Roman" w:hAnsi="Fira Sans" w:cs="Times New Roman"/>
          <w:b/>
          <w:bCs/>
          <w:color w:val="001D77"/>
          <w:sz w:val="19"/>
          <w:szCs w:val="19"/>
          <w:lang w:val="en-GB" w:eastAsia="pl-PL"/>
        </w:rPr>
        <w:t>cultur</w:t>
      </w:r>
      <w:r w:rsidR="00CE3094">
        <w:rPr>
          <w:rFonts w:ascii="Fira Sans" w:eastAsia="Times New Roman" w:hAnsi="Fira Sans" w:cs="Times New Roman"/>
          <w:b/>
          <w:bCs/>
          <w:color w:val="001D77"/>
          <w:sz w:val="19"/>
          <w:szCs w:val="19"/>
          <w:lang w:val="en-GB" w:eastAsia="pl-PL"/>
        </w:rPr>
        <w:t>e</w:t>
      </w:r>
      <w:r w:rsidR="00CE3094" w:rsidRPr="00161DE5">
        <w:rPr>
          <w:rFonts w:ascii="Fira Sans" w:eastAsia="Times New Roman" w:hAnsi="Fira Sans" w:cs="Times New Roman"/>
          <w:b/>
          <w:bCs/>
          <w:color w:val="001D77"/>
          <w:sz w:val="19"/>
          <w:szCs w:val="19"/>
          <w:lang w:val="en-GB" w:eastAsia="pl-PL"/>
        </w:rPr>
        <w:t xml:space="preserve"> </w:t>
      </w:r>
      <w:r w:rsidRPr="00161DE5">
        <w:rPr>
          <w:rFonts w:ascii="Fira Sans" w:eastAsia="Times New Roman" w:hAnsi="Fira Sans" w:cs="Times New Roman"/>
          <w:b/>
          <w:bCs/>
          <w:color w:val="001D77"/>
          <w:sz w:val="19"/>
          <w:szCs w:val="19"/>
          <w:lang w:val="en-GB" w:eastAsia="pl-PL"/>
        </w:rPr>
        <w:t>satellite account</w:t>
      </w:r>
    </w:p>
    <w:p w14:paraId="4CB1C460" w14:textId="1E93036A" w:rsidR="004F3CD5" w:rsidRPr="00161DE5" w:rsidRDefault="004F3CD5" w:rsidP="004F3CD5">
      <w:pPr>
        <w:suppressAutoHyphens/>
        <w:spacing w:line="288" w:lineRule="auto"/>
        <w:rPr>
          <w:rFonts w:eastAsia="Times New Roman" w:cs="Times New Roman"/>
          <w:szCs w:val="19"/>
          <w:lang w:val="en-GB" w:eastAsia="pl-PL"/>
        </w:rPr>
      </w:pPr>
      <w:r w:rsidRPr="00161DE5">
        <w:rPr>
          <w:noProof/>
          <w:lang w:eastAsia="pl-PL"/>
        </w:rPr>
        <mc:AlternateContent>
          <mc:Choice Requires="wps">
            <w:drawing>
              <wp:anchor distT="45720" distB="45720" distL="114300" distR="114300" simplePos="0" relativeHeight="251668480" behindDoc="1" locked="0" layoutInCell="1" allowOverlap="1" wp14:anchorId="108ECA02" wp14:editId="0603AD6D">
                <wp:simplePos x="0" y="0"/>
                <wp:positionH relativeFrom="column">
                  <wp:posOffset>5227320</wp:posOffset>
                </wp:positionH>
                <wp:positionV relativeFrom="paragraph">
                  <wp:posOffset>60325</wp:posOffset>
                </wp:positionV>
                <wp:extent cx="1854200" cy="1379855"/>
                <wp:effectExtent l="0" t="0" r="0" b="0"/>
                <wp:wrapTight wrapText="bothSides">
                  <wp:wrapPolygon edited="0">
                    <wp:start x="666" y="0"/>
                    <wp:lineTo x="666" y="21173"/>
                    <wp:lineTo x="20860" y="21173"/>
                    <wp:lineTo x="20860" y="0"/>
                    <wp:lineTo x="666" y="0"/>
                  </wp:wrapPolygon>
                </wp:wrapTight>
                <wp:docPr id="4" name="Pole tekstowe 4" descr="In the area of culture, 65.2% of total gross output was generated by four areas: Advertising, Audio-visual arts and multimedia, Books and press, and Related to cul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379855"/>
                        </a:xfrm>
                        <a:prstGeom prst="rect">
                          <a:avLst/>
                        </a:prstGeom>
                        <a:noFill/>
                        <a:ln w="9525">
                          <a:noFill/>
                          <a:miter lim="800000"/>
                          <a:headEnd/>
                          <a:tailEnd/>
                        </a:ln>
                      </wps:spPr>
                      <wps:txbx>
                        <w:txbxContent>
                          <w:p w14:paraId="6A12D87F" w14:textId="7FB504FF" w:rsidR="006F1AF5" w:rsidRPr="00161DE5" w:rsidRDefault="006F1AF5" w:rsidP="004F3CD5">
                            <w:pPr>
                              <w:pStyle w:val="tekstzboku"/>
                              <w:rPr>
                                <w:i/>
                                <w:iCs/>
                                <w:lang w:val="en-GB"/>
                              </w:rPr>
                            </w:pPr>
                            <w:r w:rsidRPr="00161DE5">
                              <w:rPr>
                                <w:szCs w:val="19"/>
                                <w:lang w:val="en-GB"/>
                              </w:rPr>
                              <w:t xml:space="preserve">In the area of culture, 65.2% of total gross output was generated by four </w:t>
                            </w:r>
                            <w:r w:rsidR="00A64716">
                              <w:rPr>
                                <w:szCs w:val="19"/>
                                <w:lang w:val="en-GB"/>
                              </w:rPr>
                              <w:t>domains</w:t>
                            </w:r>
                            <w:r w:rsidRPr="00161DE5">
                              <w:rPr>
                                <w:szCs w:val="19"/>
                                <w:lang w:val="en-GB"/>
                              </w:rPr>
                              <w:t xml:space="preserve">: </w:t>
                            </w:r>
                            <w:r w:rsidRPr="00161DE5">
                              <w:rPr>
                                <w:i/>
                                <w:szCs w:val="19"/>
                                <w:lang w:val="en-GB"/>
                              </w:rPr>
                              <w:t xml:space="preserve">Advertising, Audio-visual arts and multimedia, Books and press, </w:t>
                            </w:r>
                            <w:r w:rsidRPr="00161DE5">
                              <w:rPr>
                                <w:szCs w:val="19"/>
                                <w:lang w:val="en-GB"/>
                              </w:rPr>
                              <w:t>and</w:t>
                            </w:r>
                            <w:r w:rsidRPr="00161DE5">
                              <w:rPr>
                                <w:i/>
                                <w:iCs/>
                                <w:szCs w:val="19"/>
                                <w:lang w:val="en-GB"/>
                              </w:rPr>
                              <w:t xml:space="preserve"> Related to 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ECA02" id="Pole tekstowe 4" o:spid="_x0000_s1028" type="#_x0000_t202" alt="In the area of culture, 65.2% of total gross output was generated by four areas: Advertising, Audio-visual arts and multimedia, Books and press, and Related to culture" style="position:absolute;margin-left:411.6pt;margin-top:4.75pt;width:146pt;height:108.6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" filled="f" stroked="f">
                <v:textbox>
                  <w:txbxContent>
                    <w:p w14:paraId="6A12D87F" w14:textId="7FB504FF" w:rsidR="006F1AF5" w:rsidRPr="00161DE5" w:rsidRDefault="006F1AF5" w:rsidP="004F3CD5">
                      <w:pPr>
                        <w:pStyle w:val="tekstzboku"/>
                        <w:rPr>
                          <w:i/>
                          <w:iCs/>
                          <w:lang w:val="en-GB"/>
                        </w:rPr>
                      </w:pPr>
                      <w:r w:rsidRPr="00161DE5">
                        <w:rPr>
                          <w:szCs w:val="19"/>
                          <w:lang w:val="en-GB"/>
                        </w:rPr>
                        <w:t xml:space="preserve">In the area of culture, 65.2% of total gross output was generated by four </w:t>
                      </w:r>
                      <w:r w:rsidR="00A64716">
                        <w:rPr>
                          <w:szCs w:val="19"/>
                          <w:lang w:val="en-GB"/>
                        </w:rPr>
                        <w:t>domains</w:t>
                      </w:r>
                      <w:r w:rsidRPr="00161DE5">
                        <w:rPr>
                          <w:szCs w:val="19"/>
                          <w:lang w:val="en-GB"/>
                        </w:rPr>
                        <w:t xml:space="preserve">: </w:t>
                      </w:r>
                      <w:r w:rsidRPr="00161DE5">
                        <w:rPr>
                          <w:i/>
                          <w:szCs w:val="19"/>
                          <w:lang w:val="en-GB"/>
                        </w:rPr>
                        <w:t xml:space="preserve">Advertising, Audio-visual arts and multimedia, Books and press, </w:t>
                      </w:r>
                      <w:r w:rsidRPr="00161DE5">
                        <w:rPr>
                          <w:szCs w:val="19"/>
                          <w:lang w:val="en-GB"/>
                        </w:rPr>
                        <w:t>and</w:t>
                      </w:r>
                      <w:r w:rsidRPr="00161DE5">
                        <w:rPr>
                          <w:i/>
                          <w:iCs/>
                          <w:szCs w:val="19"/>
                          <w:lang w:val="en-GB"/>
                        </w:rPr>
                        <w:t xml:space="preserve"> Related to culture</w:t>
                      </w:r>
                    </w:p>
                  </w:txbxContent>
                </v:textbox>
                <w10:wrap type="tight"/>
              </v:shape>
            </w:pict>
          </mc:Fallback>
        </mc:AlternateContent>
      </w:r>
      <w:r w:rsidRPr="00161DE5">
        <w:rPr>
          <w:rFonts w:eastAsia="Times New Roman" w:cs="Times New Roman"/>
          <w:szCs w:val="19"/>
          <w:lang w:val="en-GB" w:eastAsia="pl-PL"/>
        </w:rPr>
        <w:t xml:space="preserve">In the area of culture, the value of </w:t>
      </w:r>
      <w:r w:rsidR="00B0673B">
        <w:rPr>
          <w:rFonts w:eastAsia="Times New Roman" w:cs="Times New Roman"/>
          <w:szCs w:val="19"/>
          <w:lang w:val="en-GB" w:eastAsia="pl-PL"/>
        </w:rPr>
        <w:t>gross output</w:t>
      </w:r>
      <w:r w:rsidRPr="00161DE5">
        <w:rPr>
          <w:rFonts w:eastAsia="Times New Roman" w:cs="Times New Roman"/>
          <w:szCs w:val="19"/>
          <w:lang w:val="en-GB" w:eastAsia="pl-PL"/>
        </w:rPr>
        <w:t xml:space="preserve"> in 2020 decreased by 1.5% (i.e. by PLN</w:t>
      </w:r>
      <w:r w:rsidR="00E54772">
        <w:rPr>
          <w:rFonts w:eastAsia="Times New Roman" w:cs="Times New Roman"/>
          <w:szCs w:val="19"/>
          <w:lang w:val="en-GB" w:eastAsia="pl-PL"/>
        </w:rPr>
        <w:t> </w:t>
      </w:r>
      <w:r w:rsidRPr="00161DE5">
        <w:rPr>
          <w:rFonts w:eastAsia="Times New Roman" w:cs="Times New Roman"/>
          <w:szCs w:val="19"/>
          <w:lang w:val="en-GB" w:eastAsia="pl-PL"/>
        </w:rPr>
        <w:t>2,016.0</w:t>
      </w:r>
      <w:r w:rsidR="00E54772">
        <w:rPr>
          <w:rFonts w:eastAsia="Times New Roman" w:cs="Times New Roman"/>
          <w:szCs w:val="19"/>
          <w:lang w:val="en-GB" w:eastAsia="pl-PL"/>
        </w:rPr>
        <w:t> </w:t>
      </w:r>
      <w:r w:rsidRPr="00161DE5">
        <w:rPr>
          <w:rFonts w:eastAsia="Times New Roman" w:cs="Times New Roman"/>
          <w:szCs w:val="19"/>
          <w:lang w:val="en-GB" w:eastAsia="pl-PL"/>
        </w:rPr>
        <w:t>million) compared to 2019 and amounted to PLN 128,694.5 million. The highest value of g</w:t>
      </w:r>
      <w:r w:rsidR="00F0570B" w:rsidRPr="00161DE5">
        <w:rPr>
          <w:rFonts w:eastAsia="Times New Roman" w:cs="Times New Roman"/>
          <w:szCs w:val="19"/>
          <w:lang w:val="en-GB" w:eastAsia="pl-PL"/>
        </w:rPr>
        <w:t>ross output</w:t>
      </w:r>
      <w:r w:rsidRPr="00161DE5">
        <w:rPr>
          <w:rFonts w:eastAsia="Times New Roman" w:cs="Times New Roman"/>
          <w:szCs w:val="19"/>
          <w:lang w:val="en-GB" w:eastAsia="pl-PL"/>
        </w:rPr>
        <w:t xml:space="preserve"> was recorded in the </w:t>
      </w:r>
      <w:r w:rsidRPr="00161DE5">
        <w:rPr>
          <w:rFonts w:eastAsia="Times New Roman" w:cs="Times New Roman"/>
          <w:i/>
          <w:iCs/>
          <w:szCs w:val="19"/>
          <w:lang w:val="en-GB" w:eastAsia="pl-PL"/>
        </w:rPr>
        <w:t>Advertising</w:t>
      </w:r>
      <w:r w:rsidRPr="00161DE5">
        <w:rPr>
          <w:rFonts w:eastAsia="Times New Roman" w:cs="Times New Roman"/>
          <w:szCs w:val="19"/>
          <w:lang w:val="en-GB" w:eastAsia="pl-PL"/>
        </w:rPr>
        <w:t xml:space="preserve"> </w:t>
      </w:r>
      <w:r w:rsidR="00B0673B">
        <w:rPr>
          <w:rFonts w:eastAsia="Times New Roman" w:cs="Times New Roman"/>
          <w:szCs w:val="19"/>
          <w:lang w:val="en-GB" w:eastAsia="pl-PL"/>
        </w:rPr>
        <w:t>domain</w:t>
      </w:r>
      <w:r w:rsidRPr="00161DE5">
        <w:rPr>
          <w:rFonts w:eastAsia="Times New Roman" w:cs="Times New Roman"/>
          <w:szCs w:val="19"/>
          <w:lang w:val="en-GB" w:eastAsia="pl-PL"/>
        </w:rPr>
        <w:t xml:space="preserve"> </w:t>
      </w:r>
      <w:r w:rsidRPr="00161DE5">
        <w:rPr>
          <w:rFonts w:eastAsia="Times New Roman" w:cs="Times New Roman"/>
          <w:iCs/>
          <w:szCs w:val="19"/>
          <w:lang w:val="en-GB" w:eastAsia="pl-PL"/>
        </w:rPr>
        <w:t xml:space="preserve">(PLN 30,637.6 million, i.e. 23.8% of the </w:t>
      </w:r>
      <w:r w:rsidR="00B0673B">
        <w:rPr>
          <w:rFonts w:eastAsia="Times New Roman" w:cs="Times New Roman"/>
          <w:iCs/>
          <w:szCs w:val="19"/>
          <w:lang w:val="en-GB" w:eastAsia="pl-PL"/>
        </w:rPr>
        <w:t>gross output</w:t>
      </w:r>
      <w:r w:rsidRPr="00161DE5">
        <w:rPr>
          <w:rFonts w:eastAsia="Times New Roman" w:cs="Times New Roman"/>
          <w:iCs/>
          <w:szCs w:val="19"/>
          <w:lang w:val="en-GB" w:eastAsia="pl-PL"/>
        </w:rPr>
        <w:t xml:space="preserve"> for the entire </w:t>
      </w:r>
      <w:r w:rsidR="00B0673B">
        <w:rPr>
          <w:rFonts w:eastAsia="Times New Roman" w:cs="Times New Roman"/>
          <w:iCs/>
          <w:szCs w:val="19"/>
          <w:lang w:val="en-GB" w:eastAsia="pl-PL"/>
        </w:rPr>
        <w:t xml:space="preserve">area of </w:t>
      </w:r>
      <w:r w:rsidRPr="00161DE5">
        <w:rPr>
          <w:rFonts w:eastAsia="Times New Roman" w:cs="Times New Roman"/>
          <w:iCs/>
          <w:szCs w:val="19"/>
          <w:lang w:val="en-GB" w:eastAsia="pl-PL"/>
        </w:rPr>
        <w:t>cultur</w:t>
      </w:r>
      <w:r w:rsidR="00B0673B">
        <w:rPr>
          <w:rFonts w:eastAsia="Times New Roman" w:cs="Times New Roman"/>
          <w:iCs/>
          <w:szCs w:val="19"/>
          <w:lang w:val="en-GB" w:eastAsia="pl-PL"/>
        </w:rPr>
        <w:t>e</w:t>
      </w:r>
      <w:r w:rsidRPr="00161DE5">
        <w:rPr>
          <w:rFonts w:eastAsia="Times New Roman" w:cs="Times New Roman"/>
          <w:iCs/>
          <w:szCs w:val="19"/>
          <w:lang w:val="en-GB" w:eastAsia="pl-PL"/>
        </w:rPr>
        <w:t xml:space="preserve">). </w:t>
      </w:r>
      <w:r w:rsidR="00E948A5">
        <w:rPr>
          <w:rFonts w:eastAsia="Times New Roman" w:cs="Times New Roman"/>
          <w:iCs/>
          <w:szCs w:val="19"/>
          <w:lang w:val="en-GB" w:eastAsia="pl-PL"/>
        </w:rPr>
        <w:t xml:space="preserve">Domains </w:t>
      </w:r>
      <w:r w:rsidRPr="00161DE5">
        <w:rPr>
          <w:rFonts w:eastAsia="Times New Roman" w:cs="Times New Roman"/>
          <w:i/>
          <w:iCs/>
          <w:szCs w:val="19"/>
          <w:lang w:val="en-GB" w:eastAsia="pl-PL"/>
        </w:rPr>
        <w:t>Audio</w:t>
      </w:r>
      <w:r w:rsidR="004E607F" w:rsidRPr="00161DE5">
        <w:rPr>
          <w:rFonts w:eastAsia="Times New Roman" w:cs="Times New Roman"/>
          <w:i/>
          <w:iCs/>
          <w:szCs w:val="19"/>
          <w:lang w:val="en-GB" w:eastAsia="pl-PL"/>
        </w:rPr>
        <w:t>-</w:t>
      </w:r>
      <w:r w:rsidRPr="00161DE5">
        <w:rPr>
          <w:rFonts w:eastAsia="Times New Roman" w:cs="Times New Roman"/>
          <w:i/>
          <w:iCs/>
          <w:szCs w:val="19"/>
          <w:lang w:val="en-GB" w:eastAsia="pl-PL"/>
        </w:rPr>
        <w:t xml:space="preserve">visual arts and multimedia </w:t>
      </w:r>
      <w:r w:rsidRPr="00161DE5">
        <w:rPr>
          <w:rFonts w:eastAsia="Times New Roman" w:cs="Times New Roman"/>
          <w:szCs w:val="19"/>
          <w:lang w:val="en-GB" w:eastAsia="pl-PL"/>
        </w:rPr>
        <w:t>(19.7%),</w:t>
      </w:r>
      <w:r w:rsidRPr="00161DE5">
        <w:rPr>
          <w:rFonts w:eastAsia="Times New Roman" w:cs="Times New Roman"/>
          <w:i/>
          <w:szCs w:val="19"/>
          <w:lang w:val="en-GB" w:eastAsia="pl-PL"/>
        </w:rPr>
        <w:t xml:space="preserve"> </w:t>
      </w:r>
      <w:r w:rsidR="004E607F" w:rsidRPr="00161DE5">
        <w:rPr>
          <w:rFonts w:eastAsia="Times New Roman" w:cs="Times New Roman"/>
          <w:i/>
          <w:iCs/>
          <w:szCs w:val="19"/>
          <w:lang w:val="en-GB" w:eastAsia="pl-PL"/>
        </w:rPr>
        <w:t>Related to culture</w:t>
      </w:r>
      <w:r w:rsidRPr="00161DE5">
        <w:rPr>
          <w:rFonts w:eastAsia="Times New Roman" w:cs="Times New Roman"/>
          <w:szCs w:val="19"/>
          <w:lang w:val="en-GB" w:eastAsia="pl-PL"/>
        </w:rPr>
        <w:t xml:space="preserve"> (11.4%)</w:t>
      </w:r>
      <w:r w:rsidRPr="00161DE5">
        <w:rPr>
          <w:rFonts w:eastAsia="Times New Roman" w:cs="Times New Roman"/>
          <w:i/>
          <w:iCs/>
          <w:szCs w:val="19"/>
          <w:lang w:val="en-GB" w:eastAsia="pl-PL"/>
        </w:rPr>
        <w:t xml:space="preserve"> </w:t>
      </w:r>
      <w:r w:rsidRPr="00161DE5">
        <w:rPr>
          <w:rFonts w:eastAsia="Times New Roman" w:cs="Times New Roman"/>
          <w:szCs w:val="19"/>
          <w:lang w:val="en-GB" w:eastAsia="pl-PL"/>
        </w:rPr>
        <w:t>and</w:t>
      </w:r>
      <w:r w:rsidRPr="00161DE5">
        <w:rPr>
          <w:rFonts w:eastAsia="Times New Roman" w:cs="Times New Roman"/>
          <w:i/>
          <w:iCs/>
          <w:szCs w:val="19"/>
          <w:lang w:val="en-GB" w:eastAsia="pl-PL"/>
        </w:rPr>
        <w:t xml:space="preserve"> Books and press</w:t>
      </w:r>
      <w:r w:rsidRPr="00161DE5">
        <w:rPr>
          <w:rFonts w:eastAsia="Times New Roman" w:cs="Times New Roman"/>
          <w:szCs w:val="19"/>
          <w:lang w:val="en-GB" w:eastAsia="pl-PL"/>
        </w:rPr>
        <w:t xml:space="preserve"> </w:t>
      </w:r>
      <w:r w:rsidRPr="00161DE5">
        <w:rPr>
          <w:rFonts w:eastAsia="Times New Roman" w:cs="Times New Roman"/>
          <w:iCs/>
          <w:szCs w:val="19"/>
          <w:lang w:val="en-GB" w:eastAsia="pl-PL"/>
        </w:rPr>
        <w:t>(10.3%) also accounted for a</w:t>
      </w:r>
      <w:r w:rsidR="00E54772">
        <w:rPr>
          <w:rFonts w:eastAsia="Times New Roman" w:cs="Times New Roman"/>
          <w:iCs/>
          <w:szCs w:val="19"/>
          <w:lang w:val="en-GB" w:eastAsia="pl-PL"/>
        </w:rPr>
        <w:t> </w:t>
      </w:r>
      <w:r w:rsidRPr="00161DE5">
        <w:rPr>
          <w:rFonts w:eastAsia="Times New Roman" w:cs="Times New Roman"/>
          <w:iCs/>
          <w:szCs w:val="19"/>
          <w:lang w:val="en-GB" w:eastAsia="pl-PL"/>
        </w:rPr>
        <w:t xml:space="preserve">significant share. </w:t>
      </w:r>
      <w:r w:rsidRPr="00161DE5">
        <w:rPr>
          <w:rFonts w:eastAsia="Times New Roman" w:cs="Times New Roman"/>
          <w:szCs w:val="19"/>
          <w:lang w:val="en-GB" w:eastAsia="pl-PL"/>
        </w:rPr>
        <w:t>The total share of g</w:t>
      </w:r>
      <w:r w:rsidR="00F0570B" w:rsidRPr="00161DE5">
        <w:rPr>
          <w:rFonts w:eastAsia="Times New Roman" w:cs="Times New Roman"/>
          <w:szCs w:val="19"/>
          <w:lang w:val="en-GB" w:eastAsia="pl-PL"/>
        </w:rPr>
        <w:t>ross</w:t>
      </w:r>
      <w:r w:rsidRPr="00161DE5">
        <w:rPr>
          <w:rFonts w:eastAsia="Times New Roman" w:cs="Times New Roman"/>
          <w:szCs w:val="19"/>
          <w:lang w:val="en-GB" w:eastAsia="pl-PL"/>
        </w:rPr>
        <w:t xml:space="preserve"> output generated by these four </w:t>
      </w:r>
      <w:r w:rsidR="00CE3094">
        <w:rPr>
          <w:rFonts w:eastAsia="Times New Roman" w:cs="Times New Roman"/>
          <w:szCs w:val="19"/>
          <w:lang w:val="en-GB" w:eastAsia="pl-PL"/>
        </w:rPr>
        <w:t>domains</w:t>
      </w:r>
      <w:r w:rsidRPr="00161DE5">
        <w:rPr>
          <w:rFonts w:eastAsia="Times New Roman" w:cs="Times New Roman"/>
          <w:szCs w:val="19"/>
          <w:lang w:val="en-GB" w:eastAsia="pl-PL"/>
        </w:rPr>
        <w:t xml:space="preserve"> amounted to 65.2% of total </w:t>
      </w:r>
      <w:r w:rsidR="00F0570B" w:rsidRPr="00161DE5">
        <w:rPr>
          <w:rFonts w:eastAsia="Times New Roman" w:cs="Times New Roman"/>
          <w:szCs w:val="19"/>
          <w:lang w:val="en-GB" w:eastAsia="pl-PL"/>
        </w:rPr>
        <w:t>gross output</w:t>
      </w:r>
      <w:r w:rsidRPr="00161DE5">
        <w:rPr>
          <w:rFonts w:eastAsia="Times New Roman" w:cs="Times New Roman"/>
          <w:szCs w:val="19"/>
          <w:lang w:val="en-GB" w:eastAsia="pl-PL"/>
        </w:rPr>
        <w:t xml:space="preserve"> in th</w:t>
      </w:r>
      <w:r w:rsidR="007C5DE3">
        <w:rPr>
          <w:rFonts w:eastAsia="Times New Roman" w:cs="Times New Roman"/>
          <w:szCs w:val="19"/>
          <w:lang w:val="en-GB" w:eastAsia="pl-PL"/>
        </w:rPr>
        <w:t>e area of culture</w:t>
      </w:r>
      <w:r w:rsidRPr="00161DE5">
        <w:rPr>
          <w:rFonts w:eastAsia="Times New Roman" w:cs="Times New Roman"/>
          <w:szCs w:val="19"/>
          <w:lang w:val="en-GB" w:eastAsia="pl-PL"/>
        </w:rPr>
        <w:t xml:space="preserve">. The smallest contribution to the </w:t>
      </w:r>
      <w:r w:rsidR="00F0570B" w:rsidRPr="00161DE5">
        <w:rPr>
          <w:rFonts w:eastAsia="Times New Roman" w:cs="Times New Roman"/>
          <w:szCs w:val="19"/>
          <w:lang w:val="en-GB" w:eastAsia="pl-PL"/>
        </w:rPr>
        <w:t>gross output</w:t>
      </w:r>
      <w:r w:rsidRPr="00161DE5">
        <w:rPr>
          <w:rFonts w:eastAsia="Times New Roman" w:cs="Times New Roman"/>
          <w:szCs w:val="19"/>
          <w:lang w:val="en-GB" w:eastAsia="pl-PL"/>
        </w:rPr>
        <w:t xml:space="preserve"> of the area </w:t>
      </w:r>
      <w:r w:rsidR="00A755A6">
        <w:rPr>
          <w:rFonts w:eastAsia="Times New Roman" w:cs="Times New Roman"/>
          <w:szCs w:val="19"/>
          <w:lang w:val="en-GB" w:eastAsia="pl-PL"/>
        </w:rPr>
        <w:t xml:space="preserve">of culture </w:t>
      </w:r>
      <w:r w:rsidRPr="00161DE5">
        <w:rPr>
          <w:rFonts w:eastAsia="Times New Roman" w:cs="Times New Roman"/>
          <w:szCs w:val="19"/>
          <w:lang w:val="en-GB" w:eastAsia="pl-PL"/>
        </w:rPr>
        <w:t xml:space="preserve">was made by entities from </w:t>
      </w:r>
      <w:r w:rsidRPr="00161DE5">
        <w:rPr>
          <w:rFonts w:eastAsia="Times New Roman" w:cs="Times New Roman"/>
          <w:i/>
          <w:szCs w:val="19"/>
          <w:lang w:val="en-GB" w:eastAsia="pl-PL"/>
        </w:rPr>
        <w:t>Cultur</w:t>
      </w:r>
      <w:r w:rsidR="007C5DE3">
        <w:rPr>
          <w:rFonts w:eastAsia="Times New Roman" w:cs="Times New Roman"/>
          <w:i/>
          <w:szCs w:val="19"/>
          <w:lang w:val="en-GB" w:eastAsia="pl-PL"/>
        </w:rPr>
        <w:t>e</w:t>
      </w:r>
      <w:r w:rsidRPr="00161DE5">
        <w:rPr>
          <w:rFonts w:eastAsia="Times New Roman" w:cs="Times New Roman"/>
          <w:i/>
          <w:szCs w:val="19"/>
          <w:lang w:val="en-GB" w:eastAsia="pl-PL"/>
        </w:rPr>
        <w:t xml:space="preserve"> </w:t>
      </w:r>
      <w:r w:rsidR="002448FA">
        <w:rPr>
          <w:rFonts w:eastAsia="Times New Roman" w:cs="Times New Roman"/>
          <w:i/>
          <w:szCs w:val="19"/>
          <w:lang w:val="en-GB" w:eastAsia="pl-PL"/>
        </w:rPr>
        <w:t>m</w:t>
      </w:r>
      <w:r w:rsidRPr="00161DE5">
        <w:rPr>
          <w:rFonts w:eastAsia="Times New Roman" w:cs="Times New Roman"/>
          <w:i/>
          <w:szCs w:val="19"/>
          <w:lang w:val="en-GB" w:eastAsia="pl-PL"/>
        </w:rPr>
        <w:t xml:space="preserve">anagement and </w:t>
      </w:r>
      <w:r w:rsidR="002448FA">
        <w:rPr>
          <w:rFonts w:eastAsia="Times New Roman" w:cs="Times New Roman"/>
          <w:i/>
          <w:szCs w:val="19"/>
          <w:lang w:val="en-GB" w:eastAsia="pl-PL"/>
        </w:rPr>
        <w:t>a</w:t>
      </w:r>
      <w:r w:rsidRPr="00161DE5">
        <w:rPr>
          <w:rFonts w:eastAsia="Times New Roman" w:cs="Times New Roman"/>
          <w:i/>
          <w:szCs w:val="19"/>
          <w:lang w:val="en-GB" w:eastAsia="pl-PL"/>
        </w:rPr>
        <w:t>dministration</w:t>
      </w:r>
      <w:r w:rsidRPr="00161DE5">
        <w:rPr>
          <w:rFonts w:eastAsia="Times New Roman" w:cs="Times New Roman"/>
          <w:szCs w:val="19"/>
          <w:lang w:val="en-GB" w:eastAsia="pl-PL"/>
        </w:rPr>
        <w:t xml:space="preserve"> (0.4%)</w:t>
      </w:r>
      <w:r w:rsidR="007C5DE3">
        <w:rPr>
          <w:rFonts w:eastAsia="Times New Roman" w:cs="Times New Roman"/>
          <w:szCs w:val="19"/>
          <w:lang w:val="en-GB" w:eastAsia="pl-PL"/>
        </w:rPr>
        <w:t xml:space="preserve"> domain</w:t>
      </w:r>
      <w:r w:rsidRPr="00161DE5">
        <w:rPr>
          <w:rFonts w:eastAsia="Times New Roman" w:cs="Times New Roman"/>
          <w:szCs w:val="19"/>
          <w:lang w:val="en-GB" w:eastAsia="pl-PL"/>
        </w:rPr>
        <w:t xml:space="preserve">. The largest increase in the </w:t>
      </w:r>
      <w:r w:rsidR="007C5DE3">
        <w:rPr>
          <w:rFonts w:eastAsia="Times New Roman" w:cs="Times New Roman"/>
          <w:szCs w:val="19"/>
          <w:lang w:val="en-GB" w:eastAsia="pl-PL"/>
        </w:rPr>
        <w:t xml:space="preserve">gross output </w:t>
      </w:r>
      <w:r w:rsidRPr="00161DE5">
        <w:rPr>
          <w:rFonts w:eastAsia="Times New Roman" w:cs="Times New Roman"/>
          <w:szCs w:val="19"/>
          <w:lang w:val="en-GB" w:eastAsia="pl-PL"/>
        </w:rPr>
        <w:t xml:space="preserve">compared to 2019 was recorded in the </w:t>
      </w:r>
      <w:r w:rsidRPr="00161DE5">
        <w:rPr>
          <w:rFonts w:eastAsia="Times New Roman" w:cs="Times New Roman"/>
          <w:i/>
          <w:iCs/>
          <w:szCs w:val="19"/>
          <w:lang w:val="en-GB" w:eastAsia="pl-PL"/>
        </w:rPr>
        <w:t>Artistic education</w:t>
      </w:r>
      <w:r w:rsidR="007C5DE3">
        <w:rPr>
          <w:rFonts w:eastAsia="Times New Roman" w:cs="Times New Roman"/>
          <w:i/>
          <w:iCs/>
          <w:szCs w:val="19"/>
          <w:lang w:val="en-GB" w:eastAsia="pl-PL"/>
        </w:rPr>
        <w:t xml:space="preserve"> </w:t>
      </w:r>
      <w:r w:rsidR="007C5DE3" w:rsidRPr="007C5DE3">
        <w:rPr>
          <w:rFonts w:eastAsia="Times New Roman" w:cs="Times New Roman"/>
          <w:iCs/>
          <w:szCs w:val="19"/>
          <w:lang w:val="en-GB" w:eastAsia="pl-PL"/>
        </w:rPr>
        <w:t>domain</w:t>
      </w:r>
      <w:r w:rsidRPr="00161DE5">
        <w:rPr>
          <w:rFonts w:eastAsia="Times New Roman" w:cs="Times New Roman"/>
          <w:szCs w:val="19"/>
          <w:lang w:val="en-GB" w:eastAsia="pl-PL"/>
        </w:rPr>
        <w:t xml:space="preserve"> (by 61.1%). The share of most cultural </w:t>
      </w:r>
      <w:r w:rsidR="00A755A6">
        <w:rPr>
          <w:rFonts w:eastAsia="Times New Roman" w:cs="Times New Roman"/>
          <w:szCs w:val="19"/>
          <w:lang w:val="en-GB" w:eastAsia="pl-PL"/>
        </w:rPr>
        <w:t>domains</w:t>
      </w:r>
      <w:r w:rsidRPr="00161DE5">
        <w:rPr>
          <w:rFonts w:eastAsia="Times New Roman" w:cs="Times New Roman"/>
          <w:szCs w:val="19"/>
          <w:lang w:val="en-GB" w:eastAsia="pl-PL"/>
        </w:rPr>
        <w:t xml:space="preserve"> in </w:t>
      </w:r>
      <w:r w:rsidR="00F0570B" w:rsidRPr="00161DE5">
        <w:rPr>
          <w:rFonts w:eastAsia="Times New Roman" w:cs="Times New Roman"/>
          <w:szCs w:val="19"/>
          <w:lang w:val="en-GB" w:eastAsia="pl-PL"/>
        </w:rPr>
        <w:t>gross output</w:t>
      </w:r>
      <w:r w:rsidRPr="00161DE5">
        <w:rPr>
          <w:rFonts w:eastAsia="Times New Roman" w:cs="Times New Roman"/>
          <w:szCs w:val="19"/>
          <w:lang w:val="en-GB" w:eastAsia="pl-PL"/>
        </w:rPr>
        <w:t xml:space="preserve"> did not change significantly compared to 2019, with the exception </w:t>
      </w:r>
      <w:r w:rsidRPr="007C5DE3">
        <w:rPr>
          <w:rFonts w:eastAsia="Times New Roman" w:cs="Times New Roman"/>
          <w:szCs w:val="19"/>
          <w:lang w:val="en-GB" w:eastAsia="pl-PL"/>
        </w:rPr>
        <w:t>of</w:t>
      </w:r>
      <w:r w:rsidRPr="00161DE5">
        <w:rPr>
          <w:rFonts w:eastAsia="Times New Roman" w:cs="Times New Roman"/>
          <w:i/>
          <w:szCs w:val="19"/>
          <w:lang w:val="en-GB" w:eastAsia="pl-PL"/>
        </w:rPr>
        <w:t xml:space="preserve"> Artistic </w:t>
      </w:r>
      <w:r w:rsidR="000302A2">
        <w:rPr>
          <w:rFonts w:eastAsia="Times New Roman" w:cs="Times New Roman"/>
          <w:i/>
          <w:szCs w:val="19"/>
          <w:lang w:val="en-GB" w:eastAsia="pl-PL"/>
        </w:rPr>
        <w:t>e</w:t>
      </w:r>
      <w:r w:rsidRPr="00161DE5">
        <w:rPr>
          <w:rFonts w:eastAsia="Times New Roman" w:cs="Times New Roman"/>
          <w:i/>
          <w:szCs w:val="19"/>
          <w:lang w:val="en-GB" w:eastAsia="pl-PL"/>
        </w:rPr>
        <w:t>ducation</w:t>
      </w:r>
      <w:r w:rsidRPr="00161DE5">
        <w:rPr>
          <w:rFonts w:eastAsia="Times New Roman" w:cs="Times New Roman"/>
          <w:szCs w:val="19"/>
          <w:lang w:val="en-GB" w:eastAsia="pl-PL"/>
        </w:rPr>
        <w:t xml:space="preserve"> (</w:t>
      </w:r>
      <w:r w:rsidR="007C5DE3">
        <w:rPr>
          <w:rFonts w:eastAsia="Times New Roman" w:cs="Times New Roman"/>
          <w:szCs w:val="19"/>
          <w:lang w:val="en-GB" w:eastAsia="pl-PL"/>
        </w:rPr>
        <w:t xml:space="preserve">an increase of </w:t>
      </w:r>
      <w:r w:rsidRPr="00161DE5">
        <w:rPr>
          <w:rFonts w:eastAsia="Times New Roman" w:cs="Times New Roman"/>
          <w:szCs w:val="19"/>
          <w:lang w:val="en-GB" w:eastAsia="pl-PL"/>
        </w:rPr>
        <w:t>3.9 p</w:t>
      </w:r>
      <w:r w:rsidR="007C5DE3">
        <w:rPr>
          <w:rFonts w:eastAsia="Times New Roman" w:cs="Times New Roman"/>
          <w:szCs w:val="19"/>
          <w:lang w:val="en-GB" w:eastAsia="pl-PL"/>
        </w:rPr>
        <w:t>.</w:t>
      </w:r>
      <w:r w:rsidRPr="00161DE5">
        <w:rPr>
          <w:rFonts w:eastAsia="Times New Roman" w:cs="Times New Roman"/>
          <w:szCs w:val="19"/>
          <w:lang w:val="en-GB" w:eastAsia="pl-PL"/>
        </w:rPr>
        <w:t>p</w:t>
      </w:r>
      <w:r w:rsidR="007C5DE3">
        <w:rPr>
          <w:rFonts w:eastAsia="Times New Roman" w:cs="Times New Roman"/>
          <w:szCs w:val="19"/>
          <w:lang w:val="en-GB" w:eastAsia="pl-PL"/>
        </w:rPr>
        <w:t>.</w:t>
      </w:r>
      <w:r w:rsidRPr="00161DE5">
        <w:rPr>
          <w:rFonts w:eastAsia="Times New Roman" w:cs="Times New Roman"/>
          <w:szCs w:val="19"/>
          <w:lang w:val="en-GB" w:eastAsia="pl-PL"/>
        </w:rPr>
        <w:t xml:space="preserve">) and </w:t>
      </w:r>
      <w:r w:rsidRPr="00161DE5">
        <w:rPr>
          <w:rFonts w:eastAsia="Times New Roman" w:cs="Times New Roman"/>
          <w:i/>
          <w:szCs w:val="19"/>
          <w:lang w:val="en-GB" w:eastAsia="pl-PL"/>
        </w:rPr>
        <w:t>Advertising</w:t>
      </w:r>
      <w:r w:rsidRPr="00161DE5">
        <w:rPr>
          <w:rFonts w:eastAsia="Times New Roman" w:cs="Times New Roman"/>
          <w:szCs w:val="19"/>
          <w:lang w:val="en-GB" w:eastAsia="pl-PL"/>
        </w:rPr>
        <w:t xml:space="preserve"> </w:t>
      </w:r>
      <w:r w:rsidR="007C5DE3">
        <w:rPr>
          <w:rFonts w:eastAsia="Times New Roman" w:cs="Times New Roman"/>
          <w:szCs w:val="19"/>
          <w:lang w:val="en-GB" w:eastAsia="pl-PL"/>
        </w:rPr>
        <w:t xml:space="preserve">domain </w:t>
      </w:r>
      <w:r w:rsidRPr="00161DE5">
        <w:rPr>
          <w:rFonts w:eastAsia="Times New Roman" w:cs="Times New Roman"/>
          <w:szCs w:val="19"/>
          <w:lang w:val="en-GB" w:eastAsia="pl-PL"/>
        </w:rPr>
        <w:t>(</w:t>
      </w:r>
      <w:r w:rsidR="007C5DE3">
        <w:rPr>
          <w:rFonts w:eastAsia="Times New Roman" w:cs="Times New Roman"/>
          <w:szCs w:val="19"/>
          <w:lang w:val="en-GB" w:eastAsia="pl-PL"/>
        </w:rPr>
        <w:t>a decrease of</w:t>
      </w:r>
      <w:r w:rsidRPr="00161DE5">
        <w:rPr>
          <w:rFonts w:eastAsia="Times New Roman" w:cs="Times New Roman"/>
          <w:szCs w:val="19"/>
          <w:lang w:val="en-GB" w:eastAsia="pl-PL"/>
        </w:rPr>
        <w:t xml:space="preserve"> 2.5 p</w:t>
      </w:r>
      <w:r w:rsidR="007C5DE3">
        <w:rPr>
          <w:rFonts w:eastAsia="Times New Roman" w:cs="Times New Roman"/>
          <w:szCs w:val="19"/>
          <w:lang w:val="en-GB" w:eastAsia="pl-PL"/>
        </w:rPr>
        <w:t>.</w:t>
      </w:r>
      <w:r w:rsidRPr="00161DE5">
        <w:rPr>
          <w:rFonts w:eastAsia="Times New Roman" w:cs="Times New Roman"/>
          <w:szCs w:val="19"/>
          <w:lang w:val="en-GB" w:eastAsia="pl-PL"/>
        </w:rPr>
        <w:t>p</w:t>
      </w:r>
      <w:r w:rsidR="007C5DE3">
        <w:rPr>
          <w:rFonts w:eastAsia="Times New Roman" w:cs="Times New Roman"/>
          <w:szCs w:val="19"/>
          <w:lang w:val="en-GB" w:eastAsia="pl-PL"/>
        </w:rPr>
        <w:t>.</w:t>
      </w:r>
      <w:r w:rsidRPr="00161DE5">
        <w:rPr>
          <w:rFonts w:eastAsia="Times New Roman" w:cs="Times New Roman"/>
          <w:szCs w:val="19"/>
          <w:lang w:val="en-GB" w:eastAsia="pl-PL"/>
        </w:rPr>
        <w:t xml:space="preserve">) and </w:t>
      </w:r>
      <w:r w:rsidRPr="00161DE5">
        <w:rPr>
          <w:rFonts w:eastAsia="Times New Roman" w:cs="Times New Roman"/>
          <w:i/>
          <w:szCs w:val="19"/>
          <w:lang w:val="en-GB" w:eastAsia="pl-PL"/>
        </w:rPr>
        <w:t xml:space="preserve">Books and </w:t>
      </w:r>
      <w:r w:rsidR="002448FA">
        <w:rPr>
          <w:rFonts w:eastAsia="Times New Roman" w:cs="Times New Roman"/>
          <w:i/>
          <w:szCs w:val="19"/>
          <w:lang w:val="en-GB" w:eastAsia="pl-PL"/>
        </w:rPr>
        <w:t>p</w:t>
      </w:r>
      <w:r w:rsidRPr="00161DE5">
        <w:rPr>
          <w:rFonts w:eastAsia="Times New Roman" w:cs="Times New Roman"/>
          <w:i/>
          <w:szCs w:val="19"/>
          <w:lang w:val="en-GB" w:eastAsia="pl-PL"/>
        </w:rPr>
        <w:t>ress (</w:t>
      </w:r>
      <w:r w:rsidR="007C5DE3" w:rsidRPr="007C5DE3">
        <w:rPr>
          <w:rFonts w:eastAsia="Times New Roman" w:cs="Times New Roman"/>
          <w:szCs w:val="19"/>
          <w:lang w:val="en-GB" w:eastAsia="pl-PL"/>
        </w:rPr>
        <w:t>a</w:t>
      </w:r>
      <w:r w:rsidR="00E54772">
        <w:rPr>
          <w:rFonts w:eastAsia="Times New Roman" w:cs="Times New Roman"/>
          <w:szCs w:val="19"/>
          <w:lang w:val="en-GB" w:eastAsia="pl-PL"/>
        </w:rPr>
        <w:t> </w:t>
      </w:r>
      <w:r w:rsidR="007C5DE3" w:rsidRPr="007C5DE3">
        <w:rPr>
          <w:rFonts w:eastAsia="Times New Roman" w:cs="Times New Roman"/>
          <w:szCs w:val="19"/>
          <w:lang w:val="en-GB" w:eastAsia="pl-PL"/>
        </w:rPr>
        <w:t>decrease of</w:t>
      </w:r>
      <w:r w:rsidR="007C5DE3">
        <w:rPr>
          <w:rFonts w:eastAsia="Times New Roman" w:cs="Times New Roman"/>
          <w:i/>
          <w:szCs w:val="19"/>
          <w:lang w:val="en-GB" w:eastAsia="pl-PL"/>
        </w:rPr>
        <w:t xml:space="preserve"> </w:t>
      </w:r>
      <w:r w:rsidRPr="00161DE5">
        <w:rPr>
          <w:rFonts w:eastAsia="Times New Roman" w:cs="Times New Roman"/>
          <w:szCs w:val="19"/>
          <w:lang w:val="en-GB" w:eastAsia="pl-PL"/>
        </w:rPr>
        <w:t>1.6 p</w:t>
      </w:r>
      <w:r w:rsidR="007C5DE3">
        <w:rPr>
          <w:rFonts w:eastAsia="Times New Roman" w:cs="Times New Roman"/>
          <w:szCs w:val="19"/>
          <w:lang w:val="en-GB" w:eastAsia="pl-PL"/>
        </w:rPr>
        <w:t>.</w:t>
      </w:r>
      <w:r w:rsidRPr="00161DE5">
        <w:rPr>
          <w:rFonts w:eastAsia="Times New Roman" w:cs="Times New Roman"/>
          <w:szCs w:val="19"/>
          <w:lang w:val="en-GB" w:eastAsia="pl-PL"/>
        </w:rPr>
        <w:t>p</w:t>
      </w:r>
      <w:r w:rsidR="007C5DE3">
        <w:rPr>
          <w:rFonts w:eastAsia="Times New Roman" w:cs="Times New Roman"/>
          <w:szCs w:val="19"/>
          <w:lang w:val="en-GB" w:eastAsia="pl-PL"/>
        </w:rPr>
        <w:t>.</w:t>
      </w:r>
      <w:r w:rsidRPr="00161DE5">
        <w:rPr>
          <w:rFonts w:eastAsia="Times New Roman" w:cs="Times New Roman"/>
          <w:szCs w:val="19"/>
          <w:lang w:val="en-GB" w:eastAsia="pl-PL"/>
        </w:rPr>
        <w:t xml:space="preserve">). </w:t>
      </w:r>
    </w:p>
    <w:p w14:paraId="5AC77090" w14:textId="7C066236" w:rsidR="004F3CD5" w:rsidRPr="00161DE5" w:rsidRDefault="00AD0F56" w:rsidP="004F3CD5">
      <w:pPr>
        <w:suppressAutoHyphens/>
        <w:spacing w:line="288" w:lineRule="auto"/>
        <w:rPr>
          <w:rFonts w:eastAsia="Times New Roman" w:cs="Times New Roman"/>
          <w:szCs w:val="19"/>
          <w:lang w:val="en-GB" w:eastAsia="pl-PL"/>
        </w:rPr>
      </w:pPr>
      <w:r w:rsidRPr="00161DE5">
        <w:rPr>
          <w:noProof/>
          <w:lang w:eastAsia="pl-PL"/>
        </w:rPr>
        <mc:AlternateContent>
          <mc:Choice Requires="wps">
            <w:drawing>
              <wp:anchor distT="45720" distB="45720" distL="114300" distR="114300" simplePos="0" relativeHeight="251670528" behindDoc="1" locked="0" layoutInCell="1" allowOverlap="1" wp14:anchorId="7D3A6000" wp14:editId="2F70690A">
                <wp:simplePos x="0" y="0"/>
                <wp:positionH relativeFrom="page">
                  <wp:posOffset>5745480</wp:posOffset>
                </wp:positionH>
                <wp:positionV relativeFrom="paragraph">
                  <wp:posOffset>6985</wp:posOffset>
                </wp:positionV>
                <wp:extent cx="1778000" cy="1356360"/>
                <wp:effectExtent l="0" t="0" r="0" b="0"/>
                <wp:wrapTight wrapText="bothSides">
                  <wp:wrapPolygon edited="0">
                    <wp:start x="694" y="0"/>
                    <wp:lineTo x="694" y="21236"/>
                    <wp:lineTo x="20829" y="21236"/>
                    <wp:lineTo x="20829" y="0"/>
                    <wp:lineTo x="694" y="0"/>
                  </wp:wrapPolygon>
                </wp:wrapTight>
                <wp:docPr id="1432730770" name="Pole tekstowe 1432730770" descr="Intermediate consumption of entities operating within the domains of Advertising and Audio-visual arts and multimedia constituted 50.7% of the value of intermediate consumption of the area of cul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56360"/>
                        </a:xfrm>
                        <a:prstGeom prst="rect">
                          <a:avLst/>
                        </a:prstGeom>
                        <a:noFill/>
                        <a:ln w="9525">
                          <a:noFill/>
                          <a:miter lim="800000"/>
                          <a:headEnd/>
                          <a:tailEnd/>
                        </a:ln>
                      </wps:spPr>
                      <wps:txbx>
                        <w:txbxContent>
                          <w:p w14:paraId="0C6212A2" w14:textId="22786EF8" w:rsidR="006F1AF5" w:rsidRPr="00161DE5" w:rsidRDefault="006F1AF5" w:rsidP="007D2D48">
                            <w:pPr>
                              <w:pStyle w:val="Tekstzbokuwramcenaszarympolu"/>
                            </w:pPr>
                            <w:r>
                              <w:t xml:space="preserve">Intermediate consumption of entities operating within the domains </w:t>
                            </w:r>
                            <w:r w:rsidRPr="002442A2">
                              <w:rPr>
                                <w:i/>
                                <w:iCs/>
                              </w:rPr>
                              <w:t xml:space="preserve">of Advertising </w:t>
                            </w:r>
                            <w:r w:rsidRPr="006C3D9E">
                              <w:rPr>
                                <w:iCs/>
                              </w:rPr>
                              <w:t>and</w:t>
                            </w:r>
                            <w:r w:rsidRPr="002442A2">
                              <w:rPr>
                                <w:i/>
                                <w:iCs/>
                              </w:rPr>
                              <w:t xml:space="preserve"> Audio</w:t>
                            </w:r>
                            <w:r>
                              <w:rPr>
                                <w:i/>
                                <w:iCs/>
                              </w:rPr>
                              <w:t>-</w:t>
                            </w:r>
                            <w:r w:rsidRPr="002442A2">
                              <w:rPr>
                                <w:i/>
                                <w:iCs/>
                              </w:rPr>
                              <w:t>visual</w:t>
                            </w:r>
                            <w:r w:rsidR="00F477E1">
                              <w:rPr>
                                <w:i/>
                                <w:iCs/>
                              </w:rPr>
                              <w:t xml:space="preserve"> arts</w:t>
                            </w:r>
                            <w:r w:rsidRPr="002442A2">
                              <w:rPr>
                                <w:i/>
                                <w:iCs/>
                              </w:rPr>
                              <w:t xml:space="preserve"> and multimedia </w:t>
                            </w:r>
                            <w:r>
                              <w:t>constituted 50.7% of the value of intermediate consumption of the area of 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A6000" id="Pole tekstowe 1432730770" o:spid="_x0000_s1029" type="#_x0000_t202" alt="Intermediate consumption of entities operating within the domains of Advertising and Audio-visual arts and multimedia constituted 50.7% of the value of intermediate consumption of the area of culture" style="position:absolute;margin-left:452.4pt;margin-top:.55pt;width:140pt;height:106.8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" filled="f" stroked="f">
                <v:textbox>
                  <w:txbxContent>
                    <w:p w14:paraId="0C6212A2" w14:textId="22786EF8" w:rsidR="006F1AF5" w:rsidRPr="00161DE5" w:rsidRDefault="006F1AF5" w:rsidP="007D2D48">
                      <w:pPr>
                        <w:pStyle w:val="Tekstzbokuwramcenaszarympolu"/>
                      </w:pPr>
                      <w:r>
                        <w:t xml:space="preserve">Intermediate consumption of entities operating within the domains </w:t>
                      </w:r>
                      <w:r w:rsidRPr="002442A2">
                        <w:rPr>
                          <w:i/>
                          <w:iCs/>
                        </w:rPr>
                        <w:t xml:space="preserve">of Advertising </w:t>
                      </w:r>
                      <w:r w:rsidRPr="006C3D9E">
                        <w:rPr>
                          <w:iCs/>
                        </w:rPr>
                        <w:t>and</w:t>
                      </w:r>
                      <w:r w:rsidRPr="002442A2">
                        <w:rPr>
                          <w:i/>
                          <w:iCs/>
                        </w:rPr>
                        <w:t xml:space="preserve"> Audio</w:t>
                      </w:r>
                      <w:r>
                        <w:rPr>
                          <w:i/>
                          <w:iCs/>
                        </w:rPr>
                        <w:t>-</w:t>
                      </w:r>
                      <w:r w:rsidRPr="002442A2">
                        <w:rPr>
                          <w:i/>
                          <w:iCs/>
                        </w:rPr>
                        <w:t>visual</w:t>
                      </w:r>
                      <w:r w:rsidR="00F477E1">
                        <w:rPr>
                          <w:i/>
                          <w:iCs/>
                        </w:rPr>
                        <w:t xml:space="preserve"> arts</w:t>
                      </w:r>
                      <w:r w:rsidRPr="002442A2">
                        <w:rPr>
                          <w:i/>
                          <w:iCs/>
                        </w:rPr>
                        <w:t xml:space="preserve"> and multimedia </w:t>
                      </w:r>
                      <w:r>
                        <w:t>constituted 50.7% of the value of intermediate consumption of the area of culture</w:t>
                      </w:r>
                    </w:p>
                  </w:txbxContent>
                </v:textbox>
                <w10:wrap type="tight" anchorx="page"/>
              </v:shape>
            </w:pict>
          </mc:Fallback>
        </mc:AlternateContent>
      </w:r>
      <w:r w:rsidR="004F3CD5" w:rsidRPr="00161DE5">
        <w:rPr>
          <w:rFonts w:eastAsia="Times New Roman" w:cs="Times New Roman"/>
          <w:szCs w:val="19"/>
          <w:lang w:val="en-GB" w:eastAsia="pl-PL"/>
        </w:rPr>
        <w:t xml:space="preserve">The value of intermediate consumption, measuring the value of goods and services consumed as inputs in the production process, </w:t>
      </w:r>
      <w:r w:rsidR="00A755A6" w:rsidRPr="00161DE5">
        <w:rPr>
          <w:rFonts w:eastAsia="Times New Roman" w:cs="Times New Roman"/>
          <w:szCs w:val="19"/>
          <w:lang w:val="en-GB" w:eastAsia="pl-PL"/>
        </w:rPr>
        <w:t xml:space="preserve">compared to 2019 </w:t>
      </w:r>
      <w:r w:rsidR="004F3CD5" w:rsidRPr="00161DE5">
        <w:rPr>
          <w:rFonts w:eastAsia="Times New Roman" w:cs="Times New Roman"/>
          <w:szCs w:val="19"/>
          <w:lang w:val="en-GB" w:eastAsia="pl-PL"/>
        </w:rPr>
        <w:t xml:space="preserve">decreased by 5.3% (i.e. by PLN 3,870.9 million) to PLN 69,600.9 million. Total gross value added for the entire area of culture reached PLN 59,093.6 million (3.2% more than in 2019). In the case of cultural </w:t>
      </w:r>
      <w:r w:rsidR="00A755A6">
        <w:rPr>
          <w:rFonts w:eastAsia="Times New Roman" w:cs="Times New Roman"/>
          <w:szCs w:val="19"/>
          <w:lang w:val="en-GB" w:eastAsia="pl-PL"/>
        </w:rPr>
        <w:t>domains</w:t>
      </w:r>
      <w:r w:rsidR="004F3CD5" w:rsidRPr="00161DE5">
        <w:rPr>
          <w:rFonts w:eastAsia="Times New Roman" w:cs="Times New Roman"/>
          <w:szCs w:val="19"/>
          <w:lang w:val="en-GB" w:eastAsia="pl-PL"/>
        </w:rPr>
        <w:t xml:space="preserve"> such as </w:t>
      </w:r>
      <w:r w:rsidR="002C645D">
        <w:rPr>
          <w:rFonts w:eastAsia="Times New Roman" w:cs="Times New Roman"/>
          <w:i/>
          <w:szCs w:val="19"/>
          <w:lang w:val="en-GB" w:eastAsia="pl-PL"/>
        </w:rPr>
        <w:t>Libraries and a</w:t>
      </w:r>
      <w:r w:rsidR="004F3CD5" w:rsidRPr="00161DE5">
        <w:rPr>
          <w:rFonts w:eastAsia="Times New Roman" w:cs="Times New Roman"/>
          <w:i/>
          <w:szCs w:val="19"/>
          <w:lang w:val="en-GB" w:eastAsia="pl-PL"/>
        </w:rPr>
        <w:t>rchives</w:t>
      </w:r>
      <w:r w:rsidR="004F3CD5" w:rsidRPr="00161DE5">
        <w:rPr>
          <w:rFonts w:eastAsia="Times New Roman" w:cs="Times New Roman"/>
          <w:szCs w:val="19"/>
          <w:lang w:val="en-GB" w:eastAsia="pl-PL"/>
        </w:rPr>
        <w:t xml:space="preserve"> and </w:t>
      </w:r>
      <w:r w:rsidR="00192BBD" w:rsidRPr="00161DE5">
        <w:rPr>
          <w:rFonts w:eastAsia="Times New Roman" w:cs="Times New Roman"/>
          <w:i/>
          <w:szCs w:val="19"/>
          <w:lang w:val="en-GB" w:eastAsia="pl-PL"/>
        </w:rPr>
        <w:t>Artistic</w:t>
      </w:r>
      <w:r w:rsidR="004F3CD5" w:rsidRPr="00161DE5">
        <w:rPr>
          <w:rFonts w:eastAsia="Times New Roman" w:cs="Times New Roman"/>
          <w:i/>
          <w:szCs w:val="19"/>
          <w:lang w:val="en-GB" w:eastAsia="pl-PL"/>
        </w:rPr>
        <w:t xml:space="preserve"> </w:t>
      </w:r>
      <w:r w:rsidR="000302A2">
        <w:rPr>
          <w:rFonts w:eastAsia="Times New Roman" w:cs="Times New Roman"/>
          <w:i/>
          <w:szCs w:val="19"/>
          <w:lang w:val="en-GB" w:eastAsia="pl-PL"/>
        </w:rPr>
        <w:t>e</w:t>
      </w:r>
      <w:r w:rsidR="004F3CD5" w:rsidRPr="00161DE5">
        <w:rPr>
          <w:rFonts w:eastAsia="Times New Roman" w:cs="Times New Roman"/>
          <w:i/>
          <w:szCs w:val="19"/>
          <w:lang w:val="en-GB" w:eastAsia="pl-PL"/>
        </w:rPr>
        <w:t>ducation,</w:t>
      </w:r>
      <w:r w:rsidR="004F3CD5" w:rsidRPr="00161DE5">
        <w:rPr>
          <w:rFonts w:eastAsia="Times New Roman" w:cs="Times New Roman"/>
          <w:szCs w:val="19"/>
          <w:lang w:val="en-GB" w:eastAsia="pl-PL"/>
        </w:rPr>
        <w:t xml:space="preserve"> the gross value added was about twice as high as the value of intermediate consumption. On the other hand</w:t>
      </w:r>
      <w:r w:rsidR="00A755A6">
        <w:rPr>
          <w:rFonts w:eastAsia="Times New Roman" w:cs="Times New Roman"/>
          <w:i/>
          <w:szCs w:val="19"/>
          <w:lang w:val="en-GB" w:eastAsia="pl-PL"/>
        </w:rPr>
        <w:t xml:space="preserve"> </w:t>
      </w:r>
      <w:r w:rsidR="004F3CD5" w:rsidRPr="00161DE5">
        <w:rPr>
          <w:rFonts w:eastAsia="Times New Roman" w:cs="Times New Roman"/>
          <w:i/>
          <w:szCs w:val="19"/>
          <w:lang w:val="en-GB" w:eastAsia="pl-PL"/>
        </w:rPr>
        <w:t xml:space="preserve">Advertising </w:t>
      </w:r>
      <w:r w:rsidR="004F3CD5" w:rsidRPr="00161DE5">
        <w:rPr>
          <w:rFonts w:eastAsia="Times New Roman" w:cs="Times New Roman"/>
          <w:iCs/>
          <w:szCs w:val="19"/>
          <w:lang w:val="en-GB" w:eastAsia="pl-PL"/>
        </w:rPr>
        <w:t>and</w:t>
      </w:r>
      <w:r w:rsidR="004F3CD5" w:rsidRPr="00161DE5">
        <w:rPr>
          <w:rFonts w:eastAsia="Times New Roman" w:cs="Times New Roman"/>
          <w:i/>
          <w:szCs w:val="19"/>
          <w:lang w:val="en-GB" w:eastAsia="pl-PL"/>
        </w:rPr>
        <w:t xml:space="preserve"> </w:t>
      </w:r>
      <w:r w:rsidR="00192BBD" w:rsidRPr="00161DE5">
        <w:rPr>
          <w:rFonts w:eastAsia="Times New Roman" w:cs="Times New Roman"/>
          <w:i/>
          <w:szCs w:val="19"/>
          <w:lang w:val="en-GB" w:eastAsia="pl-PL"/>
        </w:rPr>
        <w:t>Related to culture</w:t>
      </w:r>
      <w:r w:rsidR="00192BBD" w:rsidRPr="00161DE5">
        <w:rPr>
          <w:rFonts w:eastAsia="Times New Roman" w:cs="Times New Roman"/>
          <w:iCs/>
          <w:szCs w:val="19"/>
          <w:lang w:val="en-GB" w:eastAsia="pl-PL"/>
        </w:rPr>
        <w:t xml:space="preserve"> </w:t>
      </w:r>
      <w:r w:rsidR="00A755A6" w:rsidRPr="00A755A6">
        <w:rPr>
          <w:rFonts w:eastAsia="Times New Roman" w:cs="Times New Roman"/>
          <w:szCs w:val="19"/>
          <w:lang w:val="en-GB" w:eastAsia="pl-PL"/>
        </w:rPr>
        <w:t>domains</w:t>
      </w:r>
      <w:r w:rsidR="00A755A6">
        <w:rPr>
          <w:rFonts w:eastAsia="Times New Roman" w:cs="Times New Roman"/>
          <w:szCs w:val="19"/>
          <w:lang w:val="en-GB" w:eastAsia="pl-PL"/>
        </w:rPr>
        <w:t xml:space="preserve"> </w:t>
      </w:r>
      <w:r w:rsidR="00A755A6">
        <w:rPr>
          <w:rFonts w:eastAsia="Times New Roman" w:cs="Times New Roman"/>
          <w:iCs/>
          <w:szCs w:val="19"/>
          <w:lang w:val="en-GB" w:eastAsia="pl-PL"/>
        </w:rPr>
        <w:t xml:space="preserve">were characterised by </w:t>
      </w:r>
      <w:r w:rsidR="004F3CD5" w:rsidRPr="00161DE5">
        <w:rPr>
          <w:rFonts w:eastAsia="Times New Roman" w:cs="Times New Roman"/>
          <w:szCs w:val="19"/>
          <w:lang w:val="en-GB" w:eastAsia="pl-PL"/>
        </w:rPr>
        <w:t xml:space="preserve">almost twice </w:t>
      </w:r>
      <w:r w:rsidR="00A755A6">
        <w:rPr>
          <w:rFonts w:eastAsia="Times New Roman" w:cs="Times New Roman"/>
          <w:szCs w:val="19"/>
          <w:lang w:val="en-GB" w:eastAsia="pl-PL"/>
        </w:rPr>
        <w:t xml:space="preserve">as much </w:t>
      </w:r>
      <w:r w:rsidR="004F3CD5" w:rsidRPr="00161DE5">
        <w:rPr>
          <w:rFonts w:eastAsia="Times New Roman" w:cs="Times New Roman"/>
          <w:szCs w:val="19"/>
          <w:lang w:val="en-GB" w:eastAsia="pl-PL"/>
        </w:rPr>
        <w:t>in</w:t>
      </w:r>
      <w:r w:rsidR="00192BBD" w:rsidRPr="00161DE5">
        <w:rPr>
          <w:rFonts w:eastAsia="Times New Roman" w:cs="Times New Roman"/>
          <w:szCs w:val="19"/>
          <w:lang w:val="en-GB" w:eastAsia="pl-PL"/>
        </w:rPr>
        <w:t>termediate</w:t>
      </w:r>
      <w:r w:rsidR="004F3CD5" w:rsidRPr="00161DE5">
        <w:rPr>
          <w:rFonts w:eastAsia="Times New Roman" w:cs="Times New Roman"/>
          <w:szCs w:val="19"/>
          <w:lang w:val="en-GB" w:eastAsia="pl-PL"/>
        </w:rPr>
        <w:t xml:space="preserve"> consumption </w:t>
      </w:r>
      <w:r w:rsidR="00A755A6">
        <w:rPr>
          <w:rFonts w:eastAsia="Times New Roman" w:cs="Times New Roman"/>
          <w:szCs w:val="19"/>
          <w:lang w:val="en-GB" w:eastAsia="pl-PL"/>
        </w:rPr>
        <w:t xml:space="preserve">as their </w:t>
      </w:r>
      <w:r w:rsidR="004F3CD5" w:rsidRPr="00161DE5">
        <w:rPr>
          <w:rFonts w:eastAsia="Times New Roman" w:cs="Times New Roman"/>
          <w:szCs w:val="19"/>
          <w:lang w:val="en-GB" w:eastAsia="pl-PL"/>
        </w:rPr>
        <w:t>gross value added</w:t>
      </w:r>
      <w:r w:rsidR="00A755A6">
        <w:rPr>
          <w:rFonts w:eastAsia="Times New Roman" w:cs="Times New Roman"/>
          <w:szCs w:val="19"/>
          <w:lang w:val="en-GB" w:eastAsia="pl-PL"/>
        </w:rPr>
        <w:t xml:space="preserve"> generated</w:t>
      </w:r>
      <w:r w:rsidR="004F3CD5" w:rsidRPr="00161DE5">
        <w:rPr>
          <w:rFonts w:eastAsia="Times New Roman" w:cs="Times New Roman"/>
          <w:szCs w:val="19"/>
          <w:lang w:val="en-GB" w:eastAsia="pl-PL"/>
        </w:rPr>
        <w:t xml:space="preserve"> (i.e. by 92.0% and 83.2%, respectively). </w:t>
      </w:r>
    </w:p>
    <w:p w14:paraId="30362E6A" w14:textId="3656E11E" w:rsidR="004F3CD5" w:rsidRPr="00161DE5" w:rsidRDefault="004F3CD5" w:rsidP="004F3CD5">
      <w:pPr>
        <w:suppressAutoHyphens/>
        <w:spacing w:line="288" w:lineRule="auto"/>
        <w:rPr>
          <w:rFonts w:eastAsia="Times New Roman" w:cs="Times New Roman"/>
          <w:szCs w:val="19"/>
          <w:lang w:val="en-GB" w:eastAsia="pl-PL"/>
        </w:rPr>
      </w:pPr>
      <w:r w:rsidRPr="00161DE5">
        <w:rPr>
          <w:rFonts w:eastAsia="Times New Roman" w:cs="Times New Roman"/>
          <w:szCs w:val="19"/>
          <w:lang w:val="en-GB" w:eastAsia="pl-PL"/>
        </w:rPr>
        <w:t xml:space="preserve">In 2020, the </w:t>
      </w:r>
      <w:r w:rsidR="00EB685E" w:rsidRPr="00161DE5">
        <w:rPr>
          <w:spacing w:val="-2"/>
          <w:szCs w:val="19"/>
          <w:lang w:val="en-GB" w:eastAsia="pl-PL"/>
        </w:rPr>
        <w:t>compensation of employees</w:t>
      </w:r>
      <w:r w:rsidR="00EB685E" w:rsidRPr="00161DE5">
        <w:rPr>
          <w:rFonts w:eastAsia="Times New Roman" w:cs="Times New Roman"/>
          <w:szCs w:val="19"/>
          <w:lang w:val="en-GB" w:eastAsia="pl-PL"/>
        </w:rPr>
        <w:t xml:space="preserve"> </w:t>
      </w:r>
      <w:r w:rsidRPr="00161DE5">
        <w:rPr>
          <w:rFonts w:eastAsia="Times New Roman" w:cs="Times New Roman"/>
          <w:szCs w:val="19"/>
          <w:lang w:val="en-GB" w:eastAsia="pl-PL"/>
        </w:rPr>
        <w:t xml:space="preserve">in the area of culture </w:t>
      </w:r>
      <w:r w:rsidR="00A755A6">
        <w:rPr>
          <w:rFonts w:eastAsia="Times New Roman" w:cs="Times New Roman"/>
          <w:szCs w:val="19"/>
          <w:lang w:val="en-GB" w:eastAsia="pl-PL"/>
        </w:rPr>
        <w:t>amounted to</w:t>
      </w:r>
      <w:r w:rsidRPr="00161DE5">
        <w:rPr>
          <w:rFonts w:eastAsia="Times New Roman" w:cs="Times New Roman"/>
          <w:szCs w:val="19"/>
          <w:lang w:val="en-GB" w:eastAsia="pl-PL"/>
        </w:rPr>
        <w:t xml:space="preserve"> PLN 26,080.1 million (an increase of PLN 2,028.9 million compared to 2019, i.e. </w:t>
      </w:r>
      <w:r w:rsidR="00A755A6">
        <w:rPr>
          <w:rFonts w:eastAsia="Times New Roman" w:cs="Times New Roman"/>
          <w:szCs w:val="19"/>
          <w:lang w:val="en-GB" w:eastAsia="pl-PL"/>
        </w:rPr>
        <w:t xml:space="preserve">by </w:t>
      </w:r>
      <w:r w:rsidRPr="00161DE5">
        <w:rPr>
          <w:rFonts w:eastAsia="Times New Roman" w:cs="Times New Roman"/>
          <w:szCs w:val="19"/>
          <w:lang w:val="en-GB" w:eastAsia="pl-PL"/>
        </w:rPr>
        <w:t xml:space="preserve">8.4%). In the structure of </w:t>
      </w:r>
      <w:r w:rsidR="00EB685E" w:rsidRPr="00161DE5">
        <w:rPr>
          <w:spacing w:val="-2"/>
          <w:szCs w:val="19"/>
          <w:lang w:val="en-GB" w:eastAsia="pl-PL"/>
        </w:rPr>
        <w:t>compensation of employees</w:t>
      </w:r>
      <w:r w:rsidRPr="00161DE5">
        <w:rPr>
          <w:rFonts w:eastAsia="Times New Roman" w:cs="Times New Roman"/>
          <w:szCs w:val="19"/>
          <w:lang w:val="en-GB" w:eastAsia="pl-PL"/>
        </w:rPr>
        <w:t xml:space="preserve">, the largest share was observed for entities </w:t>
      </w:r>
      <w:r w:rsidR="00A755A6">
        <w:rPr>
          <w:rFonts w:eastAsia="Times New Roman" w:cs="Times New Roman"/>
          <w:szCs w:val="19"/>
          <w:lang w:val="en-GB" w:eastAsia="pl-PL"/>
        </w:rPr>
        <w:t xml:space="preserve">from </w:t>
      </w:r>
      <w:r w:rsidRPr="00161DE5">
        <w:rPr>
          <w:rFonts w:eastAsia="Times New Roman" w:cs="Times New Roman"/>
          <w:i/>
          <w:szCs w:val="19"/>
          <w:lang w:val="en-GB" w:eastAsia="pl-PL"/>
        </w:rPr>
        <w:t>Artistic education</w:t>
      </w:r>
      <w:r w:rsidR="00A755A6">
        <w:rPr>
          <w:rFonts w:eastAsia="Times New Roman" w:cs="Times New Roman"/>
          <w:i/>
          <w:szCs w:val="19"/>
          <w:lang w:val="en-GB" w:eastAsia="pl-PL"/>
        </w:rPr>
        <w:t xml:space="preserve"> </w:t>
      </w:r>
      <w:r w:rsidR="00A755A6" w:rsidRPr="00A755A6">
        <w:rPr>
          <w:rFonts w:eastAsia="Times New Roman" w:cs="Times New Roman"/>
          <w:szCs w:val="19"/>
          <w:lang w:val="en-GB" w:eastAsia="pl-PL"/>
        </w:rPr>
        <w:t>domain</w:t>
      </w:r>
      <w:r w:rsidRPr="00161DE5">
        <w:rPr>
          <w:rFonts w:eastAsia="Times New Roman" w:cs="Times New Roman"/>
          <w:szCs w:val="19"/>
          <w:lang w:val="en-GB" w:eastAsia="pl-PL"/>
        </w:rPr>
        <w:t xml:space="preserve"> (17.0%). The share of the following </w:t>
      </w:r>
      <w:r w:rsidR="00A755A6">
        <w:rPr>
          <w:rFonts w:eastAsia="Times New Roman" w:cs="Times New Roman"/>
          <w:szCs w:val="19"/>
          <w:lang w:val="en-GB" w:eastAsia="pl-PL"/>
        </w:rPr>
        <w:t>domains</w:t>
      </w:r>
      <w:r w:rsidRPr="00161DE5">
        <w:rPr>
          <w:rFonts w:eastAsia="Times New Roman" w:cs="Times New Roman"/>
          <w:szCs w:val="19"/>
          <w:lang w:val="en-GB" w:eastAsia="pl-PL"/>
        </w:rPr>
        <w:t xml:space="preserve"> was also important in this respect: </w:t>
      </w:r>
      <w:r w:rsidRPr="00161DE5">
        <w:rPr>
          <w:rFonts w:eastAsia="Times New Roman" w:cs="Times New Roman"/>
          <w:i/>
          <w:iCs/>
          <w:szCs w:val="19"/>
          <w:lang w:val="en-GB" w:eastAsia="pl-PL"/>
        </w:rPr>
        <w:t>Advertising</w:t>
      </w:r>
      <w:r w:rsidRPr="00161DE5">
        <w:rPr>
          <w:rFonts w:eastAsia="Times New Roman" w:cs="Times New Roman"/>
          <w:szCs w:val="19"/>
          <w:lang w:val="en-GB" w:eastAsia="pl-PL"/>
        </w:rPr>
        <w:t xml:space="preserve"> (14.7%), </w:t>
      </w:r>
      <w:r w:rsidRPr="00161DE5">
        <w:rPr>
          <w:rFonts w:eastAsia="Times New Roman" w:cs="Times New Roman"/>
          <w:i/>
          <w:iCs/>
          <w:szCs w:val="19"/>
          <w:lang w:val="en-GB" w:eastAsia="pl-PL"/>
        </w:rPr>
        <w:t>Audio</w:t>
      </w:r>
      <w:r w:rsidR="00EB685E" w:rsidRPr="00161DE5">
        <w:rPr>
          <w:rFonts w:eastAsia="Times New Roman" w:cs="Times New Roman"/>
          <w:i/>
          <w:iCs/>
          <w:szCs w:val="19"/>
          <w:lang w:val="en-GB" w:eastAsia="pl-PL"/>
        </w:rPr>
        <w:t>-</w:t>
      </w:r>
      <w:r w:rsidRPr="00161DE5">
        <w:rPr>
          <w:rFonts w:eastAsia="Times New Roman" w:cs="Times New Roman"/>
          <w:i/>
          <w:iCs/>
          <w:szCs w:val="19"/>
          <w:lang w:val="en-GB" w:eastAsia="pl-PL"/>
        </w:rPr>
        <w:t xml:space="preserve">visual </w:t>
      </w:r>
      <w:r w:rsidR="0021392B">
        <w:rPr>
          <w:rFonts w:eastAsia="Times New Roman" w:cs="Times New Roman"/>
          <w:i/>
          <w:iCs/>
          <w:szCs w:val="19"/>
          <w:lang w:val="en-GB" w:eastAsia="pl-PL"/>
        </w:rPr>
        <w:t xml:space="preserve">arts </w:t>
      </w:r>
      <w:r w:rsidRPr="00161DE5">
        <w:rPr>
          <w:rFonts w:eastAsia="Times New Roman" w:cs="Times New Roman"/>
          <w:i/>
          <w:iCs/>
          <w:szCs w:val="19"/>
          <w:lang w:val="en-GB" w:eastAsia="pl-PL"/>
        </w:rPr>
        <w:t xml:space="preserve">and multimedia </w:t>
      </w:r>
      <w:r w:rsidRPr="00161DE5">
        <w:rPr>
          <w:rFonts w:eastAsia="Times New Roman" w:cs="Times New Roman"/>
          <w:szCs w:val="19"/>
          <w:lang w:val="en-GB" w:eastAsia="pl-PL"/>
        </w:rPr>
        <w:t xml:space="preserve">(12.8%), </w:t>
      </w:r>
      <w:r w:rsidRPr="00161DE5">
        <w:rPr>
          <w:rFonts w:eastAsia="Times New Roman" w:cs="Times New Roman"/>
          <w:i/>
          <w:iCs/>
          <w:szCs w:val="19"/>
          <w:lang w:val="en-GB" w:eastAsia="pl-PL"/>
        </w:rPr>
        <w:t>Performing</w:t>
      </w:r>
      <w:r w:rsidR="00B85789">
        <w:rPr>
          <w:rFonts w:eastAsia="Times New Roman" w:cs="Times New Roman"/>
          <w:i/>
          <w:iCs/>
          <w:szCs w:val="19"/>
          <w:lang w:val="en-GB" w:eastAsia="pl-PL"/>
        </w:rPr>
        <w:t xml:space="preserve"> arts </w:t>
      </w:r>
      <w:r w:rsidRPr="00A755A6">
        <w:rPr>
          <w:rFonts w:eastAsia="Times New Roman" w:cs="Times New Roman"/>
          <w:iCs/>
          <w:szCs w:val="19"/>
          <w:lang w:val="en-GB" w:eastAsia="pl-PL"/>
        </w:rPr>
        <w:t>and</w:t>
      </w:r>
      <w:r w:rsidRPr="00A755A6">
        <w:rPr>
          <w:rFonts w:eastAsia="Times New Roman" w:cs="Times New Roman"/>
          <w:szCs w:val="19"/>
          <w:lang w:val="en-GB" w:eastAsia="pl-PL"/>
        </w:rPr>
        <w:t xml:space="preserve"> </w:t>
      </w:r>
      <w:r w:rsidR="00EB685E" w:rsidRPr="00161DE5">
        <w:rPr>
          <w:rFonts w:eastAsia="Times New Roman" w:cs="Times New Roman"/>
          <w:i/>
          <w:iCs/>
          <w:szCs w:val="19"/>
          <w:lang w:val="en-GB" w:eastAsia="pl-PL"/>
        </w:rPr>
        <w:t>Related to culture</w:t>
      </w:r>
      <w:r w:rsidRPr="00161DE5">
        <w:rPr>
          <w:rFonts w:eastAsia="Times New Roman" w:cs="Times New Roman"/>
          <w:szCs w:val="19"/>
          <w:lang w:val="en-GB" w:eastAsia="pl-PL"/>
        </w:rPr>
        <w:t xml:space="preserve"> (12.3% each) and </w:t>
      </w:r>
      <w:r w:rsidRPr="00161DE5">
        <w:rPr>
          <w:rFonts w:eastAsia="Times New Roman" w:cs="Times New Roman"/>
          <w:i/>
          <w:iCs/>
          <w:szCs w:val="19"/>
          <w:lang w:val="en-GB" w:eastAsia="pl-PL"/>
        </w:rPr>
        <w:t>Books and press</w:t>
      </w:r>
      <w:r w:rsidRPr="00161DE5">
        <w:rPr>
          <w:rFonts w:eastAsia="Times New Roman" w:cs="Times New Roman"/>
          <w:szCs w:val="19"/>
          <w:lang w:val="en-GB" w:eastAsia="pl-PL"/>
        </w:rPr>
        <w:t xml:space="preserve"> (11.2%). On the other hand, the smallest share in the structure of </w:t>
      </w:r>
      <w:r w:rsidR="00EB685E" w:rsidRPr="00161DE5">
        <w:rPr>
          <w:spacing w:val="-2"/>
          <w:szCs w:val="19"/>
          <w:lang w:val="en-GB" w:eastAsia="pl-PL"/>
        </w:rPr>
        <w:t>compensation of employees</w:t>
      </w:r>
      <w:r w:rsidR="00EB685E" w:rsidRPr="00161DE5">
        <w:rPr>
          <w:rFonts w:eastAsia="Times New Roman" w:cs="Times New Roman"/>
          <w:szCs w:val="19"/>
          <w:lang w:val="en-GB" w:eastAsia="pl-PL"/>
        </w:rPr>
        <w:t xml:space="preserve"> </w:t>
      </w:r>
      <w:r w:rsidR="000E70A4">
        <w:rPr>
          <w:rFonts w:eastAsia="Times New Roman" w:cs="Times New Roman"/>
          <w:szCs w:val="19"/>
          <w:lang w:val="en-GB" w:eastAsia="pl-PL"/>
        </w:rPr>
        <w:t>had</w:t>
      </w:r>
      <w:r w:rsidRPr="00161DE5">
        <w:rPr>
          <w:rFonts w:eastAsia="Times New Roman" w:cs="Times New Roman"/>
          <w:szCs w:val="19"/>
          <w:lang w:val="en-GB" w:eastAsia="pl-PL"/>
        </w:rPr>
        <w:t xml:space="preserve"> entities from </w:t>
      </w:r>
      <w:r w:rsidRPr="00161DE5">
        <w:rPr>
          <w:rFonts w:eastAsia="Times New Roman" w:cs="Times New Roman"/>
          <w:i/>
          <w:szCs w:val="19"/>
          <w:lang w:val="en-GB" w:eastAsia="pl-PL"/>
        </w:rPr>
        <w:t>Cultur</w:t>
      </w:r>
      <w:r w:rsidR="000E70A4">
        <w:rPr>
          <w:rFonts w:eastAsia="Times New Roman" w:cs="Times New Roman"/>
          <w:i/>
          <w:szCs w:val="19"/>
          <w:lang w:val="en-GB" w:eastAsia="pl-PL"/>
        </w:rPr>
        <w:t>e</w:t>
      </w:r>
      <w:r w:rsidRPr="00161DE5">
        <w:rPr>
          <w:rFonts w:eastAsia="Times New Roman" w:cs="Times New Roman"/>
          <w:i/>
          <w:szCs w:val="19"/>
          <w:lang w:val="en-GB" w:eastAsia="pl-PL"/>
        </w:rPr>
        <w:t xml:space="preserve"> </w:t>
      </w:r>
      <w:r w:rsidR="002448FA">
        <w:rPr>
          <w:rFonts w:eastAsia="Times New Roman" w:cs="Times New Roman"/>
          <w:i/>
          <w:szCs w:val="19"/>
          <w:lang w:val="en-GB" w:eastAsia="pl-PL"/>
        </w:rPr>
        <w:t>m</w:t>
      </w:r>
      <w:r w:rsidRPr="00161DE5">
        <w:rPr>
          <w:rFonts w:eastAsia="Times New Roman" w:cs="Times New Roman"/>
          <w:i/>
          <w:szCs w:val="19"/>
          <w:lang w:val="en-GB" w:eastAsia="pl-PL"/>
        </w:rPr>
        <w:t xml:space="preserve">anagement and </w:t>
      </w:r>
      <w:r w:rsidR="002448FA">
        <w:rPr>
          <w:rFonts w:eastAsia="Times New Roman" w:cs="Times New Roman"/>
          <w:i/>
          <w:szCs w:val="19"/>
          <w:lang w:val="en-GB" w:eastAsia="pl-PL"/>
        </w:rPr>
        <w:t>a</w:t>
      </w:r>
      <w:r w:rsidRPr="00161DE5">
        <w:rPr>
          <w:rFonts w:eastAsia="Times New Roman" w:cs="Times New Roman"/>
          <w:i/>
          <w:szCs w:val="19"/>
          <w:lang w:val="en-GB" w:eastAsia="pl-PL"/>
        </w:rPr>
        <w:t>dministration</w:t>
      </w:r>
      <w:r w:rsidRPr="00161DE5">
        <w:rPr>
          <w:rFonts w:eastAsia="Times New Roman" w:cs="Times New Roman"/>
          <w:szCs w:val="19"/>
          <w:lang w:val="en-GB" w:eastAsia="pl-PL"/>
        </w:rPr>
        <w:t xml:space="preserve"> </w:t>
      </w:r>
      <w:r w:rsidR="000E70A4">
        <w:rPr>
          <w:rFonts w:eastAsia="Times New Roman" w:cs="Times New Roman"/>
          <w:szCs w:val="19"/>
          <w:lang w:val="en-GB" w:eastAsia="pl-PL"/>
        </w:rPr>
        <w:t xml:space="preserve">domain </w:t>
      </w:r>
      <w:r w:rsidRPr="00161DE5">
        <w:rPr>
          <w:rFonts w:eastAsia="Times New Roman" w:cs="Times New Roman"/>
          <w:szCs w:val="19"/>
          <w:lang w:val="en-GB" w:eastAsia="pl-PL"/>
        </w:rPr>
        <w:t xml:space="preserve">(0.9%). </w:t>
      </w:r>
    </w:p>
    <w:p w14:paraId="299F53C7" w14:textId="79B4D804" w:rsidR="004F3CD5" w:rsidRPr="00161DE5" w:rsidRDefault="004F3CD5" w:rsidP="004F3CD5">
      <w:pPr>
        <w:suppressAutoHyphens/>
        <w:spacing w:line="288" w:lineRule="auto"/>
        <w:rPr>
          <w:rFonts w:eastAsia="Times New Roman" w:cs="Times New Roman"/>
          <w:szCs w:val="19"/>
          <w:lang w:val="en-GB" w:eastAsia="pl-PL"/>
        </w:rPr>
      </w:pPr>
      <w:r w:rsidRPr="00161DE5">
        <w:rPr>
          <w:noProof/>
          <w:lang w:eastAsia="pl-PL"/>
        </w:rPr>
        <mc:AlternateContent>
          <mc:Choice Requires="wps">
            <w:drawing>
              <wp:anchor distT="45720" distB="45720" distL="114300" distR="114300" simplePos="0" relativeHeight="251671552" behindDoc="1" locked="0" layoutInCell="1" allowOverlap="1" wp14:anchorId="6788E7D0" wp14:editId="5ADC9093">
                <wp:simplePos x="0" y="0"/>
                <wp:positionH relativeFrom="column">
                  <wp:posOffset>5276850</wp:posOffset>
                </wp:positionH>
                <wp:positionV relativeFrom="paragraph">
                  <wp:posOffset>38735</wp:posOffset>
                </wp:positionV>
                <wp:extent cx="1778000" cy="1028700"/>
                <wp:effectExtent l="0" t="0" r="0" b="0"/>
                <wp:wrapTight wrapText="bothSides">
                  <wp:wrapPolygon edited="0">
                    <wp:start x="694" y="0"/>
                    <wp:lineTo x="694" y="21200"/>
                    <wp:lineTo x="20829" y="21200"/>
                    <wp:lineTo x="20829" y="0"/>
                    <wp:lineTo x="694" y="0"/>
                  </wp:wrapPolygon>
                </wp:wrapTight>
                <wp:docPr id="771749640" name="Pole tekstowe 771749640" descr="In Artistic education domain the gross operating surplus increased more than threefold compared to 2019.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028700"/>
                        </a:xfrm>
                        <a:prstGeom prst="rect">
                          <a:avLst/>
                        </a:prstGeom>
                        <a:noFill/>
                        <a:ln w="9525">
                          <a:noFill/>
                          <a:miter lim="800000"/>
                          <a:headEnd/>
                          <a:tailEnd/>
                        </a:ln>
                      </wps:spPr>
                      <wps:txbx>
                        <w:txbxContent>
                          <w:p w14:paraId="29718321" w14:textId="067A721D" w:rsidR="006F1AF5" w:rsidRPr="00161DE5" w:rsidRDefault="006C3D9E" w:rsidP="004F3CD5">
                            <w:pPr>
                              <w:pStyle w:val="Tekstzbokuwramcenaszarympolu"/>
                            </w:pPr>
                            <w:r w:rsidRPr="006C3D9E">
                              <w:rPr>
                                <w:iCs/>
                              </w:rPr>
                              <w:t>In</w:t>
                            </w:r>
                            <w:r>
                              <w:rPr>
                                <w:i/>
                                <w:iCs/>
                              </w:rPr>
                              <w:t xml:space="preserve"> </w:t>
                            </w:r>
                            <w:r w:rsidR="006F1AF5">
                              <w:rPr>
                                <w:i/>
                                <w:iCs/>
                              </w:rPr>
                              <w:t xml:space="preserve">Artistic </w:t>
                            </w:r>
                            <w:r>
                              <w:rPr>
                                <w:i/>
                                <w:iCs/>
                              </w:rPr>
                              <w:t>e</w:t>
                            </w:r>
                            <w:r w:rsidR="006F1AF5">
                              <w:rPr>
                                <w:i/>
                                <w:iCs/>
                              </w:rPr>
                              <w:t>ducation</w:t>
                            </w:r>
                            <w:r>
                              <w:rPr>
                                <w:i/>
                                <w:iCs/>
                              </w:rPr>
                              <w:t xml:space="preserve"> </w:t>
                            </w:r>
                            <w:r w:rsidRPr="006C3D9E">
                              <w:rPr>
                                <w:iCs/>
                              </w:rPr>
                              <w:t>domain</w:t>
                            </w:r>
                            <w:r>
                              <w:rPr>
                                <w:i/>
                                <w:iCs/>
                              </w:rPr>
                              <w:t xml:space="preserve"> </w:t>
                            </w:r>
                            <w:r w:rsidR="006F1AF5">
                              <w:t xml:space="preserve">the gross operating surplus increased more than threefold compared to 2019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8E7D0" id="Pole tekstowe 771749640" o:spid="_x0000_s1030" type="#_x0000_t202" alt="In Artistic education domain the gross operating surplus increased more than threefold compared to 2019. " style="position:absolute;margin-left:415.5pt;margin-top:3.05pt;width:140pt;height:81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" filled="f" stroked="f">
                <v:textbox>
                  <w:txbxContent>
                    <w:p w14:paraId="29718321" w14:textId="067A721D" w:rsidR="006F1AF5" w:rsidRPr="00161DE5" w:rsidRDefault="006C3D9E" w:rsidP="004F3CD5">
                      <w:pPr>
                        <w:pStyle w:val="Tekstzbokuwramcenaszarympolu"/>
                      </w:pPr>
                      <w:r w:rsidRPr="006C3D9E">
                        <w:rPr>
                          <w:iCs/>
                        </w:rPr>
                        <w:t>In</w:t>
                      </w:r>
                      <w:r>
                        <w:rPr>
                          <w:i/>
                          <w:iCs/>
                        </w:rPr>
                        <w:t xml:space="preserve"> </w:t>
                      </w:r>
                      <w:r w:rsidR="006F1AF5">
                        <w:rPr>
                          <w:i/>
                          <w:iCs/>
                        </w:rPr>
                        <w:t xml:space="preserve">Artistic </w:t>
                      </w:r>
                      <w:r>
                        <w:rPr>
                          <w:i/>
                          <w:iCs/>
                        </w:rPr>
                        <w:t>e</w:t>
                      </w:r>
                      <w:r w:rsidR="006F1AF5">
                        <w:rPr>
                          <w:i/>
                          <w:iCs/>
                        </w:rPr>
                        <w:t>ducation</w:t>
                      </w:r>
                      <w:r>
                        <w:rPr>
                          <w:i/>
                          <w:iCs/>
                        </w:rPr>
                        <w:t xml:space="preserve"> </w:t>
                      </w:r>
                      <w:r w:rsidRPr="006C3D9E">
                        <w:rPr>
                          <w:iCs/>
                        </w:rPr>
                        <w:t>domain</w:t>
                      </w:r>
                      <w:r>
                        <w:rPr>
                          <w:i/>
                          <w:iCs/>
                        </w:rPr>
                        <w:t xml:space="preserve"> </w:t>
                      </w:r>
                      <w:r w:rsidR="006F1AF5">
                        <w:t xml:space="preserve">the gross operating surplus increased more than threefold compared to 2019 </w:t>
                      </w:r>
                    </w:p>
                  </w:txbxContent>
                </v:textbox>
                <w10:wrap type="tight"/>
              </v:shape>
            </w:pict>
          </mc:Fallback>
        </mc:AlternateContent>
      </w:r>
      <w:r w:rsidRPr="00161DE5">
        <w:rPr>
          <w:rFonts w:eastAsia="Times New Roman" w:cs="Times New Roman"/>
          <w:szCs w:val="19"/>
          <w:lang w:val="en-GB" w:eastAsia="pl-PL"/>
        </w:rPr>
        <w:t>The gross operating surplus, which is the difference between gross value added and c</w:t>
      </w:r>
      <w:r w:rsidR="000E70A4">
        <w:rPr>
          <w:rFonts w:eastAsia="Times New Roman" w:cs="Times New Roman"/>
          <w:szCs w:val="19"/>
          <w:lang w:val="en-GB" w:eastAsia="pl-PL"/>
        </w:rPr>
        <w:t xml:space="preserve">ompensation of </w:t>
      </w:r>
      <w:r w:rsidRPr="00161DE5">
        <w:rPr>
          <w:rFonts w:eastAsia="Times New Roman" w:cs="Times New Roman"/>
          <w:szCs w:val="19"/>
          <w:lang w:val="en-GB" w:eastAsia="pl-PL"/>
        </w:rPr>
        <w:t>employ</w:t>
      </w:r>
      <w:r w:rsidR="000E70A4">
        <w:rPr>
          <w:rFonts w:eastAsia="Times New Roman" w:cs="Times New Roman"/>
          <w:szCs w:val="19"/>
          <w:lang w:val="en-GB" w:eastAsia="pl-PL"/>
        </w:rPr>
        <w:t>ees</w:t>
      </w:r>
      <w:r w:rsidRPr="00161DE5">
        <w:rPr>
          <w:rFonts w:eastAsia="Times New Roman" w:cs="Times New Roman"/>
          <w:szCs w:val="19"/>
          <w:lang w:val="en-GB" w:eastAsia="pl-PL"/>
        </w:rPr>
        <w:t xml:space="preserve"> and other taxes related to production less other subsidies related to production, amounted to PLN 38,115.5 million (16.5%, i.e. PLN 5,400.4 million more than in 2019). The highest result was achieved by entities in the </w:t>
      </w:r>
      <w:r w:rsidRPr="00161DE5">
        <w:rPr>
          <w:rFonts w:eastAsia="Times New Roman" w:cs="Times New Roman"/>
          <w:i/>
          <w:iCs/>
          <w:szCs w:val="19"/>
          <w:lang w:val="en-GB" w:eastAsia="pl-PL"/>
        </w:rPr>
        <w:t>Advertising</w:t>
      </w:r>
      <w:r w:rsidRPr="00161DE5">
        <w:rPr>
          <w:rFonts w:eastAsia="Times New Roman" w:cs="Times New Roman"/>
          <w:szCs w:val="19"/>
          <w:lang w:val="en-GB" w:eastAsia="pl-PL"/>
        </w:rPr>
        <w:t xml:space="preserve"> </w:t>
      </w:r>
      <w:r w:rsidR="000E70A4">
        <w:rPr>
          <w:rFonts w:eastAsia="Times New Roman" w:cs="Times New Roman"/>
          <w:szCs w:val="19"/>
          <w:lang w:val="en-GB" w:eastAsia="pl-PL"/>
        </w:rPr>
        <w:t>domain</w:t>
      </w:r>
      <w:r w:rsidRPr="00161DE5">
        <w:rPr>
          <w:rFonts w:eastAsia="Times New Roman" w:cs="Times New Roman"/>
          <w:szCs w:val="19"/>
          <w:lang w:val="en-GB" w:eastAsia="pl-PL"/>
        </w:rPr>
        <w:t xml:space="preserve"> (PLN</w:t>
      </w:r>
      <w:r w:rsidR="00E54772">
        <w:rPr>
          <w:rFonts w:eastAsia="Times New Roman" w:cs="Times New Roman"/>
          <w:szCs w:val="19"/>
          <w:lang w:val="en-GB" w:eastAsia="pl-PL"/>
        </w:rPr>
        <w:t> </w:t>
      </w:r>
      <w:r w:rsidRPr="00161DE5">
        <w:rPr>
          <w:rFonts w:eastAsia="Times New Roman" w:cs="Times New Roman"/>
          <w:szCs w:val="19"/>
          <w:lang w:val="en-GB" w:eastAsia="pl-PL"/>
        </w:rPr>
        <w:t xml:space="preserve">7,282.4 million). The lowest </w:t>
      </w:r>
      <w:r w:rsidR="00CA7541" w:rsidRPr="00161DE5">
        <w:rPr>
          <w:rFonts w:eastAsia="Times New Roman" w:cs="Times New Roman"/>
          <w:szCs w:val="19"/>
          <w:lang w:val="en-GB" w:eastAsia="pl-PL"/>
        </w:rPr>
        <w:t xml:space="preserve">gross operating </w:t>
      </w:r>
      <w:r w:rsidRPr="00161DE5">
        <w:rPr>
          <w:rFonts w:eastAsia="Times New Roman" w:cs="Times New Roman"/>
          <w:szCs w:val="19"/>
          <w:lang w:val="en-GB" w:eastAsia="pl-PL"/>
        </w:rPr>
        <w:t xml:space="preserve">surplus values were observed for </w:t>
      </w:r>
      <w:r w:rsidR="00CA7541" w:rsidRPr="00161DE5">
        <w:rPr>
          <w:rFonts w:eastAsia="Times New Roman" w:cs="Times New Roman"/>
          <w:i/>
          <w:iCs/>
          <w:szCs w:val="19"/>
          <w:lang w:val="en-GB" w:eastAsia="pl-PL"/>
        </w:rPr>
        <w:t>Related to culture</w:t>
      </w:r>
      <w:r w:rsidRPr="00161DE5">
        <w:rPr>
          <w:rFonts w:eastAsia="Times New Roman" w:cs="Times New Roman"/>
          <w:i/>
          <w:iCs/>
          <w:szCs w:val="19"/>
          <w:lang w:val="en-GB" w:eastAsia="pl-PL"/>
        </w:rPr>
        <w:t xml:space="preserve"> </w:t>
      </w:r>
      <w:r w:rsidRPr="00161DE5">
        <w:rPr>
          <w:rFonts w:eastAsia="Times New Roman" w:cs="Times New Roman"/>
          <w:szCs w:val="19"/>
          <w:lang w:val="en-GB" w:eastAsia="pl-PL"/>
        </w:rPr>
        <w:t xml:space="preserve">domain (PLN 11.1 million). The highest increase in gross operating surplus compared to 2019 was recorded in the </w:t>
      </w:r>
      <w:r w:rsidRPr="00161DE5">
        <w:rPr>
          <w:rFonts w:eastAsia="Times New Roman" w:cs="Times New Roman"/>
          <w:i/>
          <w:szCs w:val="19"/>
          <w:lang w:val="en-GB" w:eastAsia="pl-PL"/>
        </w:rPr>
        <w:t>Art</w:t>
      </w:r>
      <w:r w:rsidR="00CA7541" w:rsidRPr="00161DE5">
        <w:rPr>
          <w:rFonts w:eastAsia="Times New Roman" w:cs="Times New Roman"/>
          <w:i/>
          <w:szCs w:val="19"/>
          <w:lang w:val="en-GB" w:eastAsia="pl-PL"/>
        </w:rPr>
        <w:t>istic</w:t>
      </w:r>
      <w:r w:rsidRPr="00161DE5">
        <w:rPr>
          <w:rFonts w:eastAsia="Times New Roman" w:cs="Times New Roman"/>
          <w:i/>
          <w:szCs w:val="19"/>
          <w:lang w:val="en-GB" w:eastAsia="pl-PL"/>
        </w:rPr>
        <w:t xml:space="preserve"> education</w:t>
      </w:r>
      <w:r w:rsidR="000E70A4">
        <w:rPr>
          <w:rFonts w:eastAsia="Times New Roman" w:cs="Times New Roman"/>
          <w:i/>
          <w:szCs w:val="19"/>
          <w:lang w:val="en-GB" w:eastAsia="pl-PL"/>
        </w:rPr>
        <w:t xml:space="preserve"> </w:t>
      </w:r>
      <w:r w:rsidR="000E70A4" w:rsidRPr="000E70A4">
        <w:rPr>
          <w:rFonts w:eastAsia="Times New Roman" w:cs="Times New Roman"/>
          <w:szCs w:val="19"/>
          <w:lang w:val="en-GB" w:eastAsia="pl-PL"/>
        </w:rPr>
        <w:t>domain</w:t>
      </w:r>
      <w:r w:rsidRPr="00161DE5">
        <w:rPr>
          <w:rFonts w:eastAsia="Times New Roman" w:cs="Times New Roman"/>
          <w:szCs w:val="19"/>
          <w:lang w:val="en-GB" w:eastAsia="pl-PL"/>
        </w:rPr>
        <w:t xml:space="preserve"> (by 239.5%). The largest decrease was recorded in the </w:t>
      </w:r>
      <w:r w:rsidRPr="000E70A4">
        <w:rPr>
          <w:rFonts w:eastAsia="Times New Roman" w:cs="Times New Roman"/>
          <w:i/>
          <w:szCs w:val="19"/>
          <w:lang w:val="en-GB" w:eastAsia="pl-PL"/>
        </w:rPr>
        <w:t xml:space="preserve">Books </w:t>
      </w:r>
      <w:r w:rsidRPr="000E70A4">
        <w:rPr>
          <w:rFonts w:eastAsia="Times New Roman" w:cs="Times New Roman"/>
          <w:i/>
          <w:iCs/>
          <w:szCs w:val="19"/>
          <w:lang w:val="en-GB" w:eastAsia="pl-PL"/>
        </w:rPr>
        <w:t>and</w:t>
      </w:r>
      <w:r w:rsidRPr="00161DE5">
        <w:rPr>
          <w:rFonts w:eastAsia="Times New Roman" w:cs="Times New Roman"/>
          <w:i/>
          <w:iCs/>
          <w:szCs w:val="19"/>
          <w:lang w:val="en-GB" w:eastAsia="pl-PL"/>
        </w:rPr>
        <w:t xml:space="preserve"> </w:t>
      </w:r>
      <w:r w:rsidR="002448FA">
        <w:rPr>
          <w:rFonts w:eastAsia="Times New Roman" w:cs="Times New Roman"/>
          <w:i/>
          <w:iCs/>
          <w:szCs w:val="19"/>
          <w:lang w:val="en-GB" w:eastAsia="pl-PL"/>
        </w:rPr>
        <w:t>p</w:t>
      </w:r>
      <w:r w:rsidRPr="00161DE5">
        <w:rPr>
          <w:rFonts w:eastAsia="Times New Roman" w:cs="Times New Roman"/>
          <w:i/>
          <w:iCs/>
          <w:szCs w:val="19"/>
          <w:lang w:val="en-GB" w:eastAsia="pl-PL"/>
        </w:rPr>
        <w:t xml:space="preserve">ress </w:t>
      </w:r>
      <w:r w:rsidR="000E70A4">
        <w:rPr>
          <w:rFonts w:eastAsia="Times New Roman" w:cs="Times New Roman"/>
          <w:szCs w:val="19"/>
          <w:lang w:val="en-GB" w:eastAsia="pl-PL"/>
        </w:rPr>
        <w:t>domain</w:t>
      </w:r>
      <w:r w:rsidRPr="00161DE5">
        <w:rPr>
          <w:rFonts w:eastAsia="Times New Roman" w:cs="Times New Roman"/>
          <w:szCs w:val="19"/>
          <w:lang w:val="en-GB" w:eastAsia="pl-PL"/>
        </w:rPr>
        <w:t xml:space="preserve"> (by 15.3%). </w:t>
      </w:r>
    </w:p>
    <w:p w14:paraId="605DC6C4" w14:textId="0FAF5EF5" w:rsidR="004F3CD5" w:rsidRPr="00161DE5" w:rsidRDefault="004F3CD5" w:rsidP="004F3CD5">
      <w:pPr>
        <w:suppressAutoHyphens/>
        <w:spacing w:line="288" w:lineRule="auto"/>
        <w:rPr>
          <w:rFonts w:eastAsia="Times New Roman" w:cs="Times New Roman"/>
          <w:szCs w:val="19"/>
          <w:lang w:val="en-GB" w:eastAsia="pl-PL"/>
        </w:rPr>
      </w:pPr>
      <w:r w:rsidRPr="00161DE5">
        <w:rPr>
          <w:rFonts w:eastAsia="Times New Roman" w:cs="Times New Roman"/>
          <w:szCs w:val="19"/>
          <w:lang w:val="en-GB" w:eastAsia="pl-PL"/>
        </w:rPr>
        <w:t xml:space="preserve">In 2020, the value of subsidies </w:t>
      </w:r>
      <w:r w:rsidR="00B46326" w:rsidRPr="00161DE5">
        <w:rPr>
          <w:rFonts w:eastAsia="Times New Roman" w:cs="Times New Roman"/>
          <w:szCs w:val="19"/>
          <w:lang w:val="en-GB" w:eastAsia="pl-PL"/>
        </w:rPr>
        <w:t xml:space="preserve">on production </w:t>
      </w:r>
      <w:r w:rsidRPr="00161DE5">
        <w:rPr>
          <w:rFonts w:eastAsia="Times New Roman" w:cs="Times New Roman"/>
          <w:szCs w:val="19"/>
          <w:lang w:val="en-GB" w:eastAsia="pl-PL"/>
        </w:rPr>
        <w:t xml:space="preserve">in the area of culture increased significantly compared to 2019 (by PLN 5,633.4 million, i.e. by 1806.2%), which was related to the period of the COVID-19 pandemic. The largest number of </w:t>
      </w:r>
      <w:r w:rsidR="006F1AF5">
        <w:rPr>
          <w:rFonts w:eastAsia="Times New Roman" w:cs="Times New Roman"/>
          <w:szCs w:val="19"/>
          <w:lang w:val="en-GB" w:eastAsia="pl-PL"/>
        </w:rPr>
        <w:t>subsidies</w:t>
      </w:r>
      <w:r w:rsidRPr="00161DE5">
        <w:rPr>
          <w:rFonts w:eastAsia="Times New Roman" w:cs="Times New Roman"/>
          <w:szCs w:val="19"/>
          <w:lang w:val="en-GB" w:eastAsia="pl-PL"/>
        </w:rPr>
        <w:t xml:space="preserve"> (52.8%) was received by entities in </w:t>
      </w:r>
      <w:r w:rsidRPr="00161DE5">
        <w:rPr>
          <w:rFonts w:eastAsia="Times New Roman" w:cs="Times New Roman"/>
          <w:i/>
          <w:iCs/>
          <w:szCs w:val="19"/>
          <w:lang w:val="en-GB" w:eastAsia="pl-PL"/>
        </w:rPr>
        <w:t xml:space="preserve">Artistic </w:t>
      </w:r>
      <w:r w:rsidR="000302A2">
        <w:rPr>
          <w:rFonts w:eastAsia="Times New Roman" w:cs="Times New Roman"/>
          <w:i/>
          <w:iCs/>
          <w:szCs w:val="19"/>
          <w:lang w:val="en-GB" w:eastAsia="pl-PL"/>
        </w:rPr>
        <w:t>e</w:t>
      </w:r>
      <w:r w:rsidRPr="00161DE5">
        <w:rPr>
          <w:rFonts w:eastAsia="Times New Roman" w:cs="Times New Roman"/>
          <w:i/>
          <w:iCs/>
          <w:szCs w:val="19"/>
          <w:lang w:val="en-GB" w:eastAsia="pl-PL"/>
        </w:rPr>
        <w:t>ducation</w:t>
      </w:r>
      <w:r w:rsidR="0021392B">
        <w:rPr>
          <w:rFonts w:eastAsia="Times New Roman" w:cs="Times New Roman"/>
          <w:i/>
          <w:iCs/>
          <w:szCs w:val="19"/>
          <w:lang w:val="en-GB" w:eastAsia="pl-PL"/>
        </w:rPr>
        <w:t xml:space="preserve"> </w:t>
      </w:r>
      <w:r w:rsidR="0021392B" w:rsidRPr="0021392B">
        <w:rPr>
          <w:rFonts w:eastAsia="Times New Roman" w:cs="Times New Roman"/>
          <w:iCs/>
          <w:szCs w:val="19"/>
          <w:lang w:val="en-GB" w:eastAsia="pl-PL"/>
        </w:rPr>
        <w:t>domain</w:t>
      </w:r>
      <w:r w:rsidRPr="00161DE5">
        <w:rPr>
          <w:rFonts w:eastAsia="Times New Roman" w:cs="Times New Roman"/>
          <w:szCs w:val="19"/>
          <w:lang w:val="en-GB" w:eastAsia="pl-PL"/>
        </w:rPr>
        <w:t xml:space="preserve"> (a total of PLN 3,140.6 million). As in 2019, the highest </w:t>
      </w:r>
      <w:r w:rsidRPr="00161DE5">
        <w:rPr>
          <w:lang w:val="en-GB"/>
        </w:rPr>
        <w:t>other taxes</w:t>
      </w:r>
      <w:r w:rsidR="00B46326" w:rsidRPr="00161DE5">
        <w:rPr>
          <w:lang w:val="en-GB"/>
        </w:rPr>
        <w:t xml:space="preserve"> related to production</w:t>
      </w:r>
      <w:r w:rsidRPr="00161DE5">
        <w:rPr>
          <w:lang w:val="en-GB"/>
        </w:rPr>
        <w:t xml:space="preserve"> were recorded for entities in </w:t>
      </w:r>
      <w:r w:rsidR="00B46326" w:rsidRPr="00161DE5">
        <w:rPr>
          <w:rFonts w:eastAsia="Times New Roman" w:cs="Times New Roman"/>
          <w:i/>
          <w:szCs w:val="19"/>
          <w:lang w:val="en-GB" w:eastAsia="pl-PL"/>
        </w:rPr>
        <w:t>A</w:t>
      </w:r>
      <w:r w:rsidRPr="00161DE5">
        <w:rPr>
          <w:rFonts w:eastAsia="Times New Roman" w:cs="Times New Roman"/>
          <w:i/>
          <w:szCs w:val="19"/>
          <w:lang w:val="en-GB" w:eastAsia="pl-PL"/>
        </w:rPr>
        <w:t>udio</w:t>
      </w:r>
      <w:r w:rsidR="00B46326" w:rsidRPr="00161DE5">
        <w:rPr>
          <w:rFonts w:eastAsia="Times New Roman" w:cs="Times New Roman"/>
          <w:i/>
          <w:szCs w:val="19"/>
          <w:lang w:val="en-GB" w:eastAsia="pl-PL"/>
        </w:rPr>
        <w:t>-</w:t>
      </w:r>
      <w:r w:rsidRPr="00161DE5">
        <w:rPr>
          <w:rFonts w:eastAsia="Times New Roman" w:cs="Times New Roman"/>
          <w:i/>
          <w:szCs w:val="19"/>
          <w:lang w:val="en-GB" w:eastAsia="pl-PL"/>
        </w:rPr>
        <w:t>visual arts and multimedia</w:t>
      </w:r>
      <w:r w:rsidRPr="00161DE5">
        <w:rPr>
          <w:rFonts w:eastAsia="Times New Roman" w:cs="Times New Roman"/>
          <w:szCs w:val="19"/>
          <w:lang w:val="en-GB" w:eastAsia="pl-PL"/>
        </w:rPr>
        <w:t xml:space="preserve"> </w:t>
      </w:r>
      <w:r w:rsidR="0021392B">
        <w:rPr>
          <w:rFonts w:eastAsia="Times New Roman" w:cs="Times New Roman"/>
          <w:szCs w:val="19"/>
          <w:lang w:val="en-GB" w:eastAsia="pl-PL"/>
        </w:rPr>
        <w:t xml:space="preserve">domain </w:t>
      </w:r>
      <w:r w:rsidRPr="00161DE5">
        <w:rPr>
          <w:rFonts w:eastAsia="Times New Roman" w:cs="Times New Roman"/>
          <w:szCs w:val="19"/>
          <w:lang w:val="en-GB" w:eastAsia="pl-PL"/>
        </w:rPr>
        <w:t xml:space="preserve">(50.3% of all </w:t>
      </w:r>
      <w:r w:rsidR="00B46326" w:rsidRPr="00161DE5">
        <w:rPr>
          <w:lang w:val="en-GB"/>
        </w:rPr>
        <w:t>other taxes related to production</w:t>
      </w:r>
      <w:r w:rsidRPr="00161DE5">
        <w:rPr>
          <w:rFonts w:eastAsia="Times New Roman" w:cs="Times New Roman"/>
          <w:szCs w:val="19"/>
          <w:lang w:val="en-GB" w:eastAsia="pl-PL"/>
        </w:rPr>
        <w:t xml:space="preserve">, i.e. PLN 424.1 million), and compared to 2019, this </w:t>
      </w:r>
      <w:r w:rsidR="0021392B">
        <w:rPr>
          <w:rFonts w:eastAsia="Times New Roman" w:cs="Times New Roman"/>
          <w:szCs w:val="19"/>
          <w:lang w:val="en-GB" w:eastAsia="pl-PL"/>
        </w:rPr>
        <w:t>domain</w:t>
      </w:r>
      <w:r w:rsidRPr="00161DE5">
        <w:rPr>
          <w:rFonts w:eastAsia="Times New Roman" w:cs="Times New Roman"/>
          <w:szCs w:val="19"/>
          <w:lang w:val="en-GB" w:eastAsia="pl-PL"/>
        </w:rPr>
        <w:t xml:space="preserve"> had a larger share in them (in 2019 – 48.9%). </w:t>
      </w:r>
    </w:p>
    <w:p w14:paraId="089F465E" w14:textId="548C2282" w:rsidR="004F3CD5" w:rsidRPr="00161DE5" w:rsidRDefault="004F3CD5" w:rsidP="00536E55">
      <w:pPr>
        <w:suppressAutoHyphens/>
        <w:spacing w:before="240" w:line="288" w:lineRule="auto"/>
        <w:rPr>
          <w:rFonts w:eastAsia="Times New Roman" w:cs="Times New Roman"/>
          <w:szCs w:val="19"/>
          <w:lang w:val="en-GB" w:eastAsia="pl-PL"/>
        </w:rPr>
      </w:pPr>
      <w:r w:rsidRPr="00161DE5">
        <w:rPr>
          <w:noProof/>
          <w:lang w:eastAsia="pl-PL"/>
        </w:rPr>
        <w:lastRenderedPageBreak/>
        <mc:AlternateContent>
          <mc:Choice Requires="wps">
            <w:drawing>
              <wp:anchor distT="45720" distB="45720" distL="114300" distR="114300" simplePos="0" relativeHeight="251672576" behindDoc="1" locked="0" layoutInCell="1" allowOverlap="1" wp14:anchorId="3ACBFAFA" wp14:editId="351BFDAC">
                <wp:simplePos x="0" y="0"/>
                <wp:positionH relativeFrom="column">
                  <wp:posOffset>5259705</wp:posOffset>
                </wp:positionH>
                <wp:positionV relativeFrom="paragraph">
                  <wp:posOffset>161</wp:posOffset>
                </wp:positionV>
                <wp:extent cx="1682115" cy="786765"/>
                <wp:effectExtent l="0" t="0" r="0" b="0"/>
                <wp:wrapSquare wrapText="bothSides"/>
                <wp:docPr id="108690800" name="Pole tekstowe 108690800" descr="Gross capital formation in 2020 amounted to PLN 5,013.1 million (11.0% less than in 2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786765"/>
                        </a:xfrm>
                        <a:prstGeom prst="rect">
                          <a:avLst/>
                        </a:prstGeom>
                        <a:noFill/>
                        <a:ln w="9525">
                          <a:noFill/>
                          <a:miter lim="800000"/>
                          <a:headEnd/>
                          <a:tailEnd/>
                        </a:ln>
                      </wps:spPr>
                      <wps:txbx>
                        <w:txbxContent>
                          <w:p w14:paraId="02C05E43" w14:textId="77777777" w:rsidR="006F1AF5" w:rsidRPr="00161DE5" w:rsidRDefault="006F1AF5" w:rsidP="004F3CD5">
                            <w:pPr>
                              <w:pStyle w:val="Tekstzbokuwramcenaszarympolu"/>
                            </w:pPr>
                            <w:r w:rsidRPr="00A90789">
                              <w:rPr>
                                <w:iCs/>
                              </w:rPr>
                              <w:t>Gross capital formation in 2020 amounted to PLN 5,013.1 million (11.0% less than</w:t>
                            </w:r>
                            <w:r>
                              <w:t xml:space="preserve"> in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BFAFA" id="Pole tekstowe 108690800" o:spid="_x0000_s1031" type="#_x0000_t202" alt="Gross capital formation in 2020 amounted to PLN 5,013.1 million (11.0% less than in 2019)" style="position:absolute;margin-left:414.15pt;margin-top:0;width:132.45pt;height:61.9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" filled="f" stroked="f">
                <v:textbox>
                  <w:txbxContent>
                    <w:p w14:paraId="02C05E43" w14:textId="77777777" w:rsidR="006F1AF5" w:rsidRPr="00161DE5" w:rsidRDefault="006F1AF5" w:rsidP="004F3CD5">
                      <w:pPr>
                        <w:pStyle w:val="Tekstzbokuwramcenaszarympolu"/>
                      </w:pPr>
                      <w:r w:rsidRPr="00A90789">
                        <w:rPr>
                          <w:iCs/>
                        </w:rPr>
                        <w:t>Gross capital formation in 2020 amounted to PLN 5,013.1 million (11.0% less than</w:t>
                      </w:r>
                      <w:r>
                        <w:t xml:space="preserve"> in 2019)</w:t>
                      </w:r>
                    </w:p>
                  </w:txbxContent>
                </v:textbox>
                <w10:wrap type="square"/>
              </v:shape>
            </w:pict>
          </mc:Fallback>
        </mc:AlternateContent>
      </w:r>
      <w:r w:rsidRPr="00161DE5">
        <w:rPr>
          <w:rFonts w:eastAsia="Times New Roman" w:cs="Times New Roman"/>
          <w:szCs w:val="19"/>
          <w:lang w:val="en-GB" w:eastAsia="pl-PL"/>
        </w:rPr>
        <w:t xml:space="preserve">In the year under review, gross </w:t>
      </w:r>
      <w:r w:rsidR="00B46326" w:rsidRPr="00161DE5">
        <w:rPr>
          <w:rFonts w:eastAsia="Times New Roman" w:cs="Times New Roman"/>
          <w:szCs w:val="19"/>
          <w:lang w:val="en-GB" w:eastAsia="pl-PL"/>
        </w:rPr>
        <w:t>capital formation</w:t>
      </w:r>
      <w:r w:rsidRPr="00161DE5">
        <w:rPr>
          <w:rFonts w:eastAsia="Times New Roman" w:cs="Times New Roman"/>
          <w:szCs w:val="19"/>
          <w:vertAlign w:val="superscript"/>
          <w:lang w:val="en-GB" w:eastAsia="pl-PL"/>
        </w:rPr>
        <w:footnoteReference w:id="3"/>
      </w:r>
      <w:r w:rsidRPr="00161DE5">
        <w:rPr>
          <w:rFonts w:eastAsia="Times New Roman" w:cs="Times New Roman"/>
          <w:szCs w:val="19"/>
          <w:lang w:val="en-GB" w:eastAsia="pl-PL"/>
        </w:rPr>
        <w:t xml:space="preserve"> in the area of culture</w:t>
      </w:r>
      <w:r w:rsidRPr="00161DE5">
        <w:rPr>
          <w:rFonts w:eastAsia="Times New Roman" w:cs="Times New Roman"/>
          <w:szCs w:val="19"/>
          <w:vertAlign w:val="superscript"/>
          <w:lang w:val="en-GB" w:eastAsia="pl-PL"/>
        </w:rPr>
        <w:footnoteReference w:id="4"/>
      </w:r>
      <w:r w:rsidRPr="00161DE5">
        <w:rPr>
          <w:rFonts w:eastAsia="Times New Roman" w:cs="Times New Roman"/>
          <w:szCs w:val="19"/>
          <w:lang w:val="en-GB" w:eastAsia="pl-PL"/>
        </w:rPr>
        <w:t xml:space="preserve"> reached PLN</w:t>
      </w:r>
      <w:r w:rsidR="00E54772">
        <w:rPr>
          <w:rFonts w:eastAsia="Times New Roman" w:cs="Times New Roman"/>
          <w:szCs w:val="19"/>
          <w:lang w:val="en-GB" w:eastAsia="pl-PL"/>
        </w:rPr>
        <w:t> </w:t>
      </w:r>
      <w:r w:rsidRPr="00161DE5">
        <w:rPr>
          <w:rFonts w:eastAsia="Times New Roman" w:cs="Times New Roman"/>
          <w:szCs w:val="19"/>
          <w:lang w:val="en-GB" w:eastAsia="pl-PL"/>
        </w:rPr>
        <w:t>5,013.1</w:t>
      </w:r>
      <w:r w:rsidR="00E54772">
        <w:rPr>
          <w:rFonts w:eastAsia="Times New Roman" w:cs="Times New Roman"/>
          <w:szCs w:val="19"/>
          <w:lang w:val="en-GB" w:eastAsia="pl-PL"/>
        </w:rPr>
        <w:t> </w:t>
      </w:r>
      <w:r w:rsidRPr="00161DE5">
        <w:rPr>
          <w:rFonts w:eastAsia="Times New Roman" w:cs="Times New Roman"/>
          <w:szCs w:val="19"/>
          <w:lang w:val="en-GB" w:eastAsia="pl-PL"/>
        </w:rPr>
        <w:t xml:space="preserve">million (PLN 616.6 million less than in 2019). The highest value, as in 2019, was recorded in the </w:t>
      </w:r>
      <w:r w:rsidRPr="00161DE5">
        <w:rPr>
          <w:rFonts w:eastAsia="Times New Roman" w:cs="Times New Roman"/>
          <w:i/>
          <w:szCs w:val="19"/>
          <w:lang w:val="en-GB" w:eastAsia="pl-PL"/>
        </w:rPr>
        <w:t>Architecture</w:t>
      </w:r>
      <w:r w:rsidRPr="00161DE5">
        <w:rPr>
          <w:rFonts w:eastAsia="Times New Roman" w:cs="Times New Roman"/>
          <w:szCs w:val="19"/>
          <w:lang w:val="en-GB" w:eastAsia="pl-PL"/>
        </w:rPr>
        <w:t xml:space="preserve"> </w:t>
      </w:r>
      <w:r w:rsidR="0021392B">
        <w:rPr>
          <w:rFonts w:eastAsia="Times New Roman" w:cs="Times New Roman"/>
          <w:szCs w:val="19"/>
          <w:lang w:val="en-GB" w:eastAsia="pl-PL"/>
        </w:rPr>
        <w:t xml:space="preserve">domain </w:t>
      </w:r>
      <w:r w:rsidRPr="00161DE5">
        <w:rPr>
          <w:rFonts w:eastAsia="Times New Roman" w:cs="Times New Roman"/>
          <w:szCs w:val="19"/>
          <w:lang w:val="en-GB" w:eastAsia="pl-PL"/>
        </w:rPr>
        <w:t xml:space="preserve">(PLN 2,655.8 million). </w:t>
      </w:r>
    </w:p>
    <w:p w14:paraId="615B2C9C" w14:textId="2EDD6431" w:rsidR="004F3CD5" w:rsidRPr="00161DE5" w:rsidRDefault="004F3CD5" w:rsidP="00536E55">
      <w:pPr>
        <w:pStyle w:val="Tytutablicy"/>
        <w:spacing w:before="240"/>
        <w:ind w:left="709" w:hanging="709"/>
        <w:rPr>
          <w:lang w:val="en-GB"/>
        </w:rPr>
      </w:pPr>
      <w:r w:rsidRPr="00161DE5">
        <w:rPr>
          <w:lang w:val="en-GB"/>
        </w:rPr>
        <w:t xml:space="preserve">Table 1. Main transactions in the </w:t>
      </w:r>
      <w:r w:rsidR="00B46326" w:rsidRPr="00161DE5">
        <w:rPr>
          <w:lang w:val="en-GB"/>
        </w:rPr>
        <w:t xml:space="preserve">culture </w:t>
      </w:r>
      <w:r w:rsidRPr="00161DE5">
        <w:rPr>
          <w:lang w:val="en-GB"/>
        </w:rPr>
        <w:t xml:space="preserve">satellite account </w:t>
      </w:r>
      <w:r w:rsidR="00B46326" w:rsidRPr="00161DE5">
        <w:rPr>
          <w:lang w:val="en-GB"/>
        </w:rPr>
        <w:t xml:space="preserve">according to cultural domains </w:t>
      </w:r>
      <w:r w:rsidRPr="00161DE5">
        <w:rPr>
          <w:lang w:val="en-GB"/>
        </w:rPr>
        <w:t xml:space="preserve">in 2020 </w:t>
      </w:r>
    </w:p>
    <w:tbl>
      <w:tblPr>
        <w:tblW w:w="7938" w:type="dxa"/>
        <w:tblBorders>
          <w:top w:val="single" w:sz="4" w:space="0" w:color="001D77"/>
          <w:bottom w:val="single" w:sz="4" w:space="0" w:color="001D77"/>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Caption w:val="Table 1. presenting main transactions in culture satellite account according to cultural domains in 2020"/>
      </w:tblPr>
      <w:tblGrid>
        <w:gridCol w:w="1560"/>
        <w:gridCol w:w="911"/>
        <w:gridCol w:w="911"/>
        <w:gridCol w:w="911"/>
        <w:gridCol w:w="911"/>
        <w:gridCol w:w="911"/>
        <w:gridCol w:w="911"/>
        <w:gridCol w:w="912"/>
      </w:tblGrid>
      <w:tr w:rsidR="00B46326" w:rsidRPr="00161DE5" w14:paraId="5E9C278F" w14:textId="77777777" w:rsidTr="006F1AF5">
        <w:trPr>
          <w:trHeight w:val="675"/>
          <w:tblHeader/>
        </w:trPr>
        <w:tc>
          <w:tcPr>
            <w:tcW w:w="1560" w:type="dxa"/>
            <w:vMerge w:val="restart"/>
            <w:shd w:val="clear" w:color="auto" w:fill="auto"/>
            <w:vAlign w:val="center"/>
            <w:hideMark/>
          </w:tcPr>
          <w:p w14:paraId="01CB39D0" w14:textId="49A1AF62" w:rsidR="00B46326" w:rsidRPr="00161DE5" w:rsidRDefault="00B46326" w:rsidP="00B46326">
            <w:pPr>
              <w:suppressAutoHyphens/>
              <w:jc w:val="center"/>
              <w:rPr>
                <w:rFonts w:eastAsia="Fira Sans Light" w:cs="Times New Roman"/>
                <w:szCs w:val="19"/>
                <w:lang w:val="en-GB" w:eastAsia="pl-PL"/>
              </w:rPr>
            </w:pPr>
            <w:r w:rsidRPr="00161DE5">
              <w:rPr>
                <w:rFonts w:eastAsia="Fira Sans Light" w:cs="Times New Roman"/>
                <w:szCs w:val="19"/>
                <w:lang w:val="en-GB" w:eastAsia="pl-PL"/>
              </w:rPr>
              <w:t>Specification</w:t>
            </w:r>
          </w:p>
        </w:tc>
        <w:tc>
          <w:tcPr>
            <w:tcW w:w="911" w:type="dxa"/>
            <w:shd w:val="clear" w:color="auto" w:fill="auto"/>
            <w:vAlign w:val="center"/>
            <w:hideMark/>
          </w:tcPr>
          <w:p w14:paraId="6C758B92" w14:textId="7195095D" w:rsidR="00B46326" w:rsidRPr="00161DE5" w:rsidRDefault="00B46326" w:rsidP="00B46326">
            <w:pPr>
              <w:ind w:left="-57" w:right="-57"/>
              <w:jc w:val="center"/>
              <w:rPr>
                <w:rFonts w:eastAsia="Times New Roman" w:cs="Calibri"/>
                <w:szCs w:val="19"/>
                <w:lang w:val="en-GB" w:eastAsia="pl-PL"/>
              </w:rPr>
            </w:pPr>
            <w:r w:rsidRPr="00161DE5">
              <w:rPr>
                <w:rFonts w:eastAsia="Times New Roman" w:cs="Calibri"/>
                <w:szCs w:val="19"/>
                <w:lang w:val="en-GB" w:eastAsia="pl-PL"/>
              </w:rPr>
              <w:t xml:space="preserve">Gross </w:t>
            </w:r>
            <w:r w:rsidR="0021392B">
              <w:rPr>
                <w:rFonts w:eastAsia="Times New Roman" w:cs="Calibri"/>
                <w:szCs w:val="19"/>
                <w:lang w:val="en-GB" w:eastAsia="pl-PL"/>
              </w:rPr>
              <w:t>output</w:t>
            </w:r>
          </w:p>
        </w:tc>
        <w:tc>
          <w:tcPr>
            <w:tcW w:w="911" w:type="dxa"/>
            <w:shd w:val="clear" w:color="auto" w:fill="auto"/>
            <w:vAlign w:val="center"/>
            <w:hideMark/>
          </w:tcPr>
          <w:p w14:paraId="747843EB" w14:textId="77777777" w:rsidR="00B46326" w:rsidRPr="00161DE5" w:rsidRDefault="00B46326" w:rsidP="00B46326">
            <w:pPr>
              <w:ind w:left="-57" w:right="-57"/>
              <w:jc w:val="center"/>
              <w:rPr>
                <w:rFonts w:eastAsia="Times New Roman" w:cs="Calibri"/>
                <w:szCs w:val="19"/>
                <w:lang w:val="en-GB" w:eastAsia="pl-PL"/>
              </w:rPr>
            </w:pPr>
            <w:r w:rsidRPr="00161DE5">
              <w:rPr>
                <w:rFonts w:eastAsia="Times New Roman" w:cs="Calibri"/>
                <w:szCs w:val="19"/>
                <w:lang w:val="en-GB" w:eastAsia="pl-PL"/>
              </w:rPr>
              <w:t>Intermediate consumption</w:t>
            </w:r>
          </w:p>
        </w:tc>
        <w:tc>
          <w:tcPr>
            <w:tcW w:w="911" w:type="dxa"/>
            <w:shd w:val="clear" w:color="auto" w:fill="auto"/>
            <w:vAlign w:val="center"/>
            <w:hideMark/>
          </w:tcPr>
          <w:p w14:paraId="44D28415" w14:textId="1EAF7760" w:rsidR="00B46326" w:rsidRPr="00161DE5" w:rsidRDefault="0021392B" w:rsidP="00B46326">
            <w:pPr>
              <w:ind w:left="-57" w:right="-57"/>
              <w:jc w:val="center"/>
              <w:rPr>
                <w:rFonts w:eastAsia="Times New Roman" w:cs="Calibri"/>
                <w:szCs w:val="19"/>
                <w:lang w:val="en-GB" w:eastAsia="pl-PL"/>
              </w:rPr>
            </w:pPr>
            <w:r>
              <w:rPr>
                <w:rFonts w:eastAsia="Times New Roman" w:cs="Calibri"/>
                <w:szCs w:val="19"/>
                <w:lang w:val="en-GB" w:eastAsia="pl-PL"/>
              </w:rPr>
              <w:t>V</w:t>
            </w:r>
            <w:r w:rsidR="00B46326" w:rsidRPr="00161DE5">
              <w:rPr>
                <w:rFonts w:eastAsia="Times New Roman" w:cs="Calibri"/>
                <w:szCs w:val="19"/>
                <w:lang w:val="en-GB" w:eastAsia="pl-PL"/>
              </w:rPr>
              <w:t>alue added</w:t>
            </w:r>
            <w:r>
              <w:rPr>
                <w:rFonts w:eastAsia="Times New Roman" w:cs="Calibri"/>
                <w:szCs w:val="19"/>
                <w:lang w:val="en-GB" w:eastAsia="pl-PL"/>
              </w:rPr>
              <w:t>, gross</w:t>
            </w:r>
          </w:p>
        </w:tc>
        <w:tc>
          <w:tcPr>
            <w:tcW w:w="911" w:type="dxa"/>
            <w:shd w:val="clear" w:color="auto" w:fill="auto"/>
            <w:vAlign w:val="center"/>
            <w:hideMark/>
          </w:tcPr>
          <w:p w14:paraId="5B220141" w14:textId="7F2DD293" w:rsidR="00B46326" w:rsidRPr="00161DE5" w:rsidRDefault="00B46326" w:rsidP="00B46326">
            <w:pPr>
              <w:ind w:left="-57" w:right="-57"/>
              <w:jc w:val="center"/>
              <w:rPr>
                <w:rFonts w:eastAsia="Times New Roman" w:cs="Calibri"/>
                <w:szCs w:val="19"/>
                <w:lang w:val="en-GB" w:eastAsia="pl-PL"/>
              </w:rPr>
            </w:pPr>
            <w:r w:rsidRPr="00161DE5">
              <w:rPr>
                <w:lang w:val="en-GB"/>
              </w:rPr>
              <w:t>Compensation of employ-</w:t>
            </w:r>
            <w:proofErr w:type="spellStart"/>
            <w:r w:rsidRPr="00161DE5">
              <w:rPr>
                <w:lang w:val="en-GB"/>
              </w:rPr>
              <w:t>ees</w:t>
            </w:r>
            <w:proofErr w:type="spellEnd"/>
          </w:p>
        </w:tc>
        <w:tc>
          <w:tcPr>
            <w:tcW w:w="911" w:type="dxa"/>
            <w:shd w:val="clear" w:color="auto" w:fill="auto"/>
            <w:vAlign w:val="center"/>
            <w:hideMark/>
          </w:tcPr>
          <w:p w14:paraId="4296FC78" w14:textId="6319A46B" w:rsidR="00B46326" w:rsidRPr="00161DE5" w:rsidRDefault="00B46326" w:rsidP="00B46326">
            <w:pPr>
              <w:ind w:left="-57" w:right="-57"/>
              <w:jc w:val="center"/>
              <w:rPr>
                <w:rFonts w:eastAsia="Times New Roman" w:cs="Calibri"/>
                <w:szCs w:val="19"/>
                <w:lang w:val="en-GB" w:eastAsia="pl-PL"/>
              </w:rPr>
            </w:pPr>
            <w:r w:rsidRPr="00161DE5">
              <w:rPr>
                <w:rFonts w:eastAsia="Times New Roman" w:cs="Calibri"/>
                <w:szCs w:val="19"/>
                <w:lang w:val="en-GB" w:eastAsia="pl-PL"/>
              </w:rPr>
              <w:t>Other taxes on production</w:t>
            </w:r>
          </w:p>
        </w:tc>
        <w:tc>
          <w:tcPr>
            <w:tcW w:w="911" w:type="dxa"/>
            <w:shd w:val="clear" w:color="auto" w:fill="auto"/>
            <w:vAlign w:val="center"/>
            <w:hideMark/>
          </w:tcPr>
          <w:p w14:paraId="356069FA" w14:textId="2E6E769E" w:rsidR="00B46326" w:rsidRPr="00161DE5" w:rsidRDefault="00B46326" w:rsidP="00B46326">
            <w:pPr>
              <w:ind w:left="-57" w:right="-57"/>
              <w:jc w:val="center"/>
              <w:rPr>
                <w:rFonts w:eastAsia="Times New Roman" w:cs="Calibri"/>
                <w:szCs w:val="19"/>
                <w:lang w:val="en-GB" w:eastAsia="pl-PL"/>
              </w:rPr>
            </w:pPr>
            <w:r w:rsidRPr="00161DE5">
              <w:rPr>
                <w:lang w:val="en-GB"/>
              </w:rPr>
              <w:t xml:space="preserve">Other subsidies on </w:t>
            </w:r>
            <w:proofErr w:type="spellStart"/>
            <w:r w:rsidRPr="00161DE5">
              <w:rPr>
                <w:lang w:val="en-GB"/>
              </w:rPr>
              <w:t>produc-tion</w:t>
            </w:r>
            <w:proofErr w:type="spellEnd"/>
          </w:p>
        </w:tc>
        <w:tc>
          <w:tcPr>
            <w:tcW w:w="912" w:type="dxa"/>
            <w:shd w:val="clear" w:color="auto" w:fill="auto"/>
            <w:vAlign w:val="center"/>
            <w:hideMark/>
          </w:tcPr>
          <w:p w14:paraId="4ECE6241" w14:textId="6287F35F" w:rsidR="00B46326" w:rsidRPr="00161DE5" w:rsidRDefault="00B46326" w:rsidP="00B46326">
            <w:pPr>
              <w:ind w:left="-57" w:right="-57"/>
              <w:jc w:val="center"/>
              <w:rPr>
                <w:rFonts w:eastAsia="Times New Roman" w:cs="Calibri"/>
                <w:szCs w:val="19"/>
                <w:lang w:val="en-GB" w:eastAsia="pl-PL"/>
              </w:rPr>
            </w:pPr>
            <w:r w:rsidRPr="00161DE5">
              <w:rPr>
                <w:rFonts w:eastAsia="Times New Roman" w:cs="Calibri"/>
                <w:szCs w:val="19"/>
                <w:lang w:val="en-GB" w:eastAsia="pl-PL"/>
              </w:rPr>
              <w:t>Operating surplus, gross</w:t>
            </w:r>
          </w:p>
        </w:tc>
      </w:tr>
      <w:tr w:rsidR="004F3CD5" w:rsidRPr="00161DE5" w14:paraId="351F781A" w14:textId="77777777" w:rsidTr="006F1AF5">
        <w:trPr>
          <w:trHeight w:val="285"/>
          <w:tblHeader/>
        </w:trPr>
        <w:tc>
          <w:tcPr>
            <w:tcW w:w="1560" w:type="dxa"/>
            <w:vMerge/>
            <w:tcBorders>
              <w:bottom w:val="single" w:sz="4" w:space="0" w:color="001D77"/>
            </w:tcBorders>
            <w:shd w:val="clear" w:color="auto" w:fill="auto"/>
            <w:noWrap/>
            <w:vAlign w:val="center"/>
          </w:tcPr>
          <w:p w14:paraId="27A691E3" w14:textId="77777777" w:rsidR="004F3CD5" w:rsidRPr="00161DE5" w:rsidRDefault="004F3CD5" w:rsidP="004F3CD5">
            <w:pPr>
              <w:suppressAutoHyphens/>
              <w:spacing w:before="0" w:after="0" w:line="288" w:lineRule="auto"/>
              <w:rPr>
                <w:rFonts w:eastAsia="Times New Roman" w:cs="Times New Roman"/>
                <w:szCs w:val="19"/>
                <w:lang w:val="en-GB" w:eastAsia="pl-PL"/>
              </w:rPr>
            </w:pPr>
          </w:p>
        </w:tc>
        <w:tc>
          <w:tcPr>
            <w:tcW w:w="6378" w:type="dxa"/>
            <w:gridSpan w:val="7"/>
            <w:tcBorders>
              <w:bottom w:val="single" w:sz="4" w:space="0" w:color="001D77"/>
            </w:tcBorders>
            <w:shd w:val="clear" w:color="auto" w:fill="auto"/>
            <w:noWrap/>
            <w:vAlign w:val="center"/>
          </w:tcPr>
          <w:p w14:paraId="3C376B63" w14:textId="77777777" w:rsidR="004F3CD5" w:rsidRPr="00161DE5" w:rsidRDefault="004F3CD5" w:rsidP="004F3CD5">
            <w:pPr>
              <w:jc w:val="center"/>
              <w:rPr>
                <w:rFonts w:eastAsia="Times New Roman" w:cs="Calibri"/>
                <w:szCs w:val="19"/>
                <w:lang w:val="en-GB" w:eastAsia="pl-PL"/>
              </w:rPr>
            </w:pPr>
            <w:r w:rsidRPr="00161DE5">
              <w:rPr>
                <w:rFonts w:eastAsia="Times New Roman" w:cs="Calibri"/>
                <w:szCs w:val="19"/>
                <w:lang w:val="en-GB" w:eastAsia="pl-PL"/>
              </w:rPr>
              <w:t>in PLN million</w:t>
            </w:r>
          </w:p>
        </w:tc>
      </w:tr>
      <w:tr w:rsidR="004F3CD5" w:rsidRPr="00161DE5" w14:paraId="05845B38" w14:textId="77777777" w:rsidTr="006F1AF5">
        <w:trPr>
          <w:trHeight w:val="285"/>
          <w:tblHeader/>
        </w:trPr>
        <w:tc>
          <w:tcPr>
            <w:tcW w:w="1560" w:type="dxa"/>
            <w:tcBorders>
              <w:top w:val="single" w:sz="4" w:space="0" w:color="001D77"/>
              <w:left w:val="nil"/>
              <w:bottom w:val="single" w:sz="4" w:space="0" w:color="001D77"/>
              <w:right w:val="single" w:sz="4" w:space="0" w:color="001D77"/>
            </w:tcBorders>
            <w:shd w:val="clear" w:color="auto" w:fill="auto"/>
            <w:noWrap/>
            <w:vAlign w:val="center"/>
            <w:hideMark/>
          </w:tcPr>
          <w:p w14:paraId="134F4DB2" w14:textId="77777777" w:rsidR="004F3CD5" w:rsidRPr="00161DE5" w:rsidRDefault="004F3CD5" w:rsidP="004F3CD5">
            <w:pPr>
              <w:suppressAutoHyphens/>
              <w:spacing w:line="269" w:lineRule="auto"/>
              <w:rPr>
                <w:rFonts w:eastAsia="Times New Roman" w:cs="Calibri"/>
                <w:szCs w:val="19"/>
                <w:lang w:val="en-GB" w:eastAsia="pl-PL"/>
              </w:rPr>
            </w:pPr>
            <w:r w:rsidRPr="00161DE5">
              <w:rPr>
                <w:rFonts w:eastAsia="Times New Roman" w:cs="Calibri"/>
                <w:szCs w:val="19"/>
                <w:lang w:val="en-GB" w:eastAsia="pl-PL"/>
              </w:rPr>
              <w:t>Total</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4646DBE" w14:textId="4D55921D" w:rsidR="004F3CD5" w:rsidRPr="002C645D" w:rsidRDefault="002C645D" w:rsidP="004F3CD5">
            <w:pPr>
              <w:suppressAutoHyphens/>
              <w:ind w:left="-57"/>
              <w:jc w:val="right"/>
              <w:rPr>
                <w:rFonts w:eastAsia="Times New Roman" w:cs="Arial"/>
                <w:szCs w:val="19"/>
                <w:lang w:val="en-GB" w:eastAsia="pl-PL"/>
              </w:rPr>
            </w:pPr>
            <w:r>
              <w:rPr>
                <w:rFonts w:eastAsia="Times New Roman" w:cs="Arial"/>
                <w:bCs/>
                <w:iCs/>
                <w:szCs w:val="19"/>
                <w:lang w:val="en-GB" w:eastAsia="pl-PL"/>
              </w:rPr>
              <w:t>128,694.</w:t>
            </w:r>
            <w:r w:rsidR="004F3CD5" w:rsidRPr="002C645D">
              <w:rPr>
                <w:rFonts w:eastAsia="Times New Roman" w:cs="Arial"/>
                <w:bCs/>
                <w:iCs/>
                <w:szCs w:val="19"/>
                <w:lang w:val="en-GB" w:eastAsia="pl-PL"/>
              </w:rPr>
              <w:t xml:space="preserve">5 </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7BD3082F" w14:textId="7D81A1F6" w:rsidR="004F3CD5" w:rsidRPr="002C645D" w:rsidRDefault="002C645D" w:rsidP="004F3CD5">
            <w:pPr>
              <w:suppressAutoHyphens/>
              <w:ind w:left="-57"/>
              <w:jc w:val="right"/>
              <w:rPr>
                <w:rFonts w:eastAsia="Times New Roman" w:cs="Arial"/>
                <w:szCs w:val="19"/>
                <w:lang w:val="en-GB" w:eastAsia="pl-PL"/>
              </w:rPr>
            </w:pPr>
            <w:r>
              <w:rPr>
                <w:rFonts w:eastAsia="Times New Roman" w:cs="Arial"/>
                <w:bCs/>
                <w:iCs/>
                <w:szCs w:val="19"/>
                <w:lang w:val="en-GB" w:eastAsia="pl-PL"/>
              </w:rPr>
              <w:t>69,600.</w:t>
            </w:r>
            <w:r w:rsidR="004F3CD5" w:rsidRPr="002C645D">
              <w:rPr>
                <w:rFonts w:eastAsia="Times New Roman" w:cs="Arial"/>
                <w:bCs/>
                <w:iCs/>
                <w:szCs w:val="19"/>
                <w:lang w:val="en-GB" w:eastAsia="pl-PL"/>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69EDDE12" w14:textId="66445310" w:rsidR="004F3CD5" w:rsidRPr="002C645D" w:rsidRDefault="002C645D" w:rsidP="004F3CD5">
            <w:pPr>
              <w:suppressAutoHyphens/>
              <w:ind w:left="-57"/>
              <w:jc w:val="right"/>
              <w:rPr>
                <w:rFonts w:eastAsia="Times New Roman" w:cs="Arial"/>
                <w:szCs w:val="19"/>
                <w:lang w:val="en-GB" w:eastAsia="pl-PL"/>
              </w:rPr>
            </w:pPr>
            <w:r>
              <w:rPr>
                <w:rFonts w:eastAsia="Times New Roman" w:cs="Arial"/>
                <w:bCs/>
                <w:iCs/>
                <w:szCs w:val="19"/>
                <w:lang w:val="en-GB" w:eastAsia="pl-PL"/>
              </w:rPr>
              <w:t>59,093.</w:t>
            </w:r>
            <w:r w:rsidR="004F3CD5" w:rsidRPr="002C645D">
              <w:rPr>
                <w:rFonts w:eastAsia="Times New Roman" w:cs="Arial"/>
                <w:bCs/>
                <w:iCs/>
                <w:szCs w:val="19"/>
                <w:lang w:val="en-GB" w:eastAsia="pl-PL"/>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656D4110" w14:textId="42B57A0D" w:rsidR="004F3CD5" w:rsidRPr="002C645D" w:rsidRDefault="002C645D" w:rsidP="004F3CD5">
            <w:pPr>
              <w:suppressAutoHyphens/>
              <w:ind w:left="-57"/>
              <w:jc w:val="right"/>
              <w:rPr>
                <w:rFonts w:eastAsia="Times New Roman" w:cs="Arial"/>
                <w:szCs w:val="19"/>
                <w:lang w:val="en-GB" w:eastAsia="pl-PL"/>
              </w:rPr>
            </w:pPr>
            <w:r>
              <w:rPr>
                <w:rFonts w:eastAsia="Times New Roman" w:cs="Arial"/>
                <w:bCs/>
                <w:iCs/>
                <w:szCs w:val="19"/>
                <w:lang w:val="en-GB" w:eastAsia="pl-PL"/>
              </w:rPr>
              <w:t>26,080.</w:t>
            </w:r>
            <w:r w:rsidR="004F3CD5" w:rsidRPr="002C645D">
              <w:rPr>
                <w:rFonts w:eastAsia="Times New Roman" w:cs="Arial"/>
                <w:bCs/>
                <w:iCs/>
                <w:szCs w:val="19"/>
                <w:lang w:val="en-GB" w:eastAsia="pl-PL"/>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2B65EB90" w14:textId="5A2ADBB1" w:rsidR="004F3CD5" w:rsidRPr="002C645D" w:rsidRDefault="002C645D" w:rsidP="004F3CD5">
            <w:pPr>
              <w:suppressAutoHyphens/>
              <w:ind w:left="-57"/>
              <w:jc w:val="right"/>
              <w:rPr>
                <w:rFonts w:eastAsia="Times New Roman" w:cs="Arial"/>
                <w:szCs w:val="19"/>
                <w:lang w:val="en-GB" w:eastAsia="pl-PL"/>
              </w:rPr>
            </w:pPr>
            <w:r>
              <w:rPr>
                <w:rFonts w:eastAsia="Times New Roman" w:cs="Arial"/>
                <w:bCs/>
                <w:iCs/>
                <w:szCs w:val="19"/>
                <w:lang w:val="en-GB" w:eastAsia="pl-PL"/>
              </w:rPr>
              <w:t>843.</w:t>
            </w:r>
            <w:r w:rsidR="004F3CD5" w:rsidRPr="002C645D">
              <w:rPr>
                <w:rFonts w:eastAsia="Times New Roman" w:cs="Arial"/>
                <w:bCs/>
                <w:iCs/>
                <w:szCs w:val="19"/>
                <w:lang w:val="en-GB" w:eastAsia="pl-PL"/>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000ACA9C" w14:textId="45926DE2" w:rsidR="004F3CD5" w:rsidRPr="002C645D" w:rsidRDefault="002C645D" w:rsidP="004F3CD5">
            <w:pPr>
              <w:suppressAutoHyphens/>
              <w:ind w:left="-57"/>
              <w:jc w:val="right"/>
              <w:rPr>
                <w:rFonts w:eastAsia="Times New Roman" w:cs="Arial"/>
                <w:szCs w:val="19"/>
                <w:lang w:val="en-GB" w:eastAsia="pl-PL"/>
              </w:rPr>
            </w:pPr>
            <w:r>
              <w:rPr>
                <w:rFonts w:eastAsia="Times New Roman" w:cs="Arial"/>
                <w:bCs/>
                <w:iCs/>
                <w:szCs w:val="19"/>
                <w:lang w:val="en-GB" w:eastAsia="pl-PL"/>
              </w:rPr>
              <w:t>5,945.</w:t>
            </w:r>
            <w:r w:rsidR="004F3CD5" w:rsidRPr="002C645D">
              <w:rPr>
                <w:rFonts w:eastAsia="Times New Roman" w:cs="Arial"/>
                <w:bCs/>
                <w:iCs/>
                <w:szCs w:val="19"/>
                <w:lang w:val="en-GB" w:eastAsia="pl-PL"/>
              </w:rPr>
              <w:t>3</w:t>
            </w:r>
          </w:p>
        </w:tc>
        <w:tc>
          <w:tcPr>
            <w:tcW w:w="912" w:type="dxa"/>
            <w:tcBorders>
              <w:top w:val="single" w:sz="4" w:space="0" w:color="001D77"/>
              <w:left w:val="single" w:sz="4" w:space="0" w:color="001D77"/>
              <w:bottom w:val="single" w:sz="4" w:space="0" w:color="001D77"/>
              <w:right w:val="nil"/>
            </w:tcBorders>
            <w:shd w:val="clear" w:color="auto" w:fill="auto"/>
            <w:noWrap/>
            <w:vAlign w:val="center"/>
          </w:tcPr>
          <w:p w14:paraId="390B673D" w14:textId="5B99EBEB" w:rsidR="004F3CD5" w:rsidRPr="002C645D" w:rsidRDefault="002C645D" w:rsidP="004F3CD5">
            <w:pPr>
              <w:suppressAutoHyphens/>
              <w:ind w:left="-57"/>
              <w:jc w:val="right"/>
              <w:rPr>
                <w:rFonts w:eastAsia="Times New Roman" w:cs="Arial"/>
                <w:szCs w:val="19"/>
                <w:lang w:val="en-GB" w:eastAsia="pl-PL"/>
              </w:rPr>
            </w:pPr>
            <w:r>
              <w:rPr>
                <w:rFonts w:eastAsia="Times New Roman" w:cs="Arial"/>
                <w:bCs/>
                <w:iCs/>
                <w:szCs w:val="19"/>
                <w:lang w:val="en-GB" w:eastAsia="pl-PL"/>
              </w:rPr>
              <w:t>38,115.</w:t>
            </w:r>
            <w:r w:rsidR="004F3CD5" w:rsidRPr="002C645D">
              <w:rPr>
                <w:rFonts w:eastAsia="Times New Roman" w:cs="Arial"/>
                <w:bCs/>
                <w:iCs/>
                <w:szCs w:val="19"/>
                <w:lang w:val="en-GB" w:eastAsia="pl-PL"/>
              </w:rPr>
              <w:t>5</w:t>
            </w:r>
          </w:p>
        </w:tc>
      </w:tr>
      <w:tr w:rsidR="004F3CD5" w:rsidRPr="00161DE5" w14:paraId="401047B0" w14:textId="77777777" w:rsidTr="006F1AF5">
        <w:trPr>
          <w:trHeight w:val="450"/>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41AC1C1B" w14:textId="77777777"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Cultural heritage</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2BF0A75" w14:textId="78181D7A"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3,294.</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600EB64" w14:textId="3DA767C2"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1,602.</w:t>
            </w:r>
            <w:r w:rsidR="004F3CD5" w:rsidRPr="00161DE5">
              <w:rPr>
                <w:rFonts w:eastAsia="Times New Roman" w:cs="Arial"/>
                <w:szCs w:val="19"/>
                <w:lang w:val="en-GB" w:eastAsia="pl-PL"/>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C5340B6" w14:textId="4E211B59"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1,692.</w:t>
            </w:r>
            <w:r w:rsidR="004F3CD5" w:rsidRPr="00161DE5">
              <w:rPr>
                <w:rFonts w:eastAsia="Times New Roman" w:cs="Arial"/>
                <w:szCs w:val="19"/>
                <w:lang w:val="en-GB" w:eastAsia="pl-PL"/>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40E64761" w14:textId="4DA2C73F"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1,334.</w:t>
            </w:r>
            <w:r w:rsidR="004F3CD5" w:rsidRPr="00161DE5">
              <w:rPr>
                <w:rFonts w:eastAsia="Times New Roman" w:cs="Arial"/>
                <w:szCs w:val="19"/>
                <w:lang w:val="en-GB" w:eastAsia="pl-PL"/>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D4D3618" w14:textId="275F0DF2"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31.</w:t>
            </w:r>
            <w:r w:rsidR="004F3CD5" w:rsidRPr="00161DE5">
              <w:rPr>
                <w:rFonts w:eastAsia="Times New Roman" w:cs="Arial"/>
                <w:szCs w:val="19"/>
                <w:lang w:val="en-GB" w:eastAsia="pl-PL"/>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6211919" w14:textId="221DF901"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24.</w:t>
            </w:r>
            <w:r w:rsidR="004F3CD5" w:rsidRPr="00161DE5">
              <w:rPr>
                <w:rFonts w:eastAsia="Times New Roman" w:cs="Arial"/>
                <w:szCs w:val="19"/>
                <w:lang w:val="en-GB" w:eastAsia="pl-PL"/>
              </w:rPr>
              <w:t>3</w:t>
            </w:r>
          </w:p>
        </w:tc>
        <w:tc>
          <w:tcPr>
            <w:tcW w:w="912" w:type="dxa"/>
            <w:tcBorders>
              <w:top w:val="single" w:sz="4" w:space="0" w:color="001D77"/>
              <w:left w:val="single" w:sz="4" w:space="0" w:color="001D77"/>
              <w:bottom w:val="single" w:sz="4" w:space="0" w:color="001D77"/>
              <w:right w:val="nil"/>
            </w:tcBorders>
            <w:shd w:val="clear" w:color="auto" w:fill="auto"/>
            <w:noWrap/>
            <w:vAlign w:val="center"/>
            <w:hideMark/>
          </w:tcPr>
          <w:p w14:paraId="6ECCC0E0" w14:textId="7B98F282"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349.</w:t>
            </w:r>
            <w:r w:rsidR="004F3CD5" w:rsidRPr="00161DE5">
              <w:rPr>
                <w:rFonts w:eastAsia="Times New Roman" w:cs="Arial"/>
                <w:szCs w:val="19"/>
                <w:lang w:val="en-GB" w:eastAsia="pl-PL"/>
              </w:rPr>
              <w:t>8</w:t>
            </w:r>
          </w:p>
        </w:tc>
      </w:tr>
      <w:tr w:rsidR="004F3CD5" w:rsidRPr="00161DE5" w14:paraId="6935D130" w14:textId="77777777" w:rsidTr="006F1AF5">
        <w:trPr>
          <w:trHeight w:val="450"/>
          <w:tblHeader/>
        </w:trPr>
        <w:tc>
          <w:tcPr>
            <w:tcW w:w="1560" w:type="dxa"/>
            <w:tcBorders>
              <w:top w:val="single" w:sz="4" w:space="0" w:color="001D77"/>
              <w:left w:val="nil"/>
              <w:bottom w:val="single" w:sz="4" w:space="0" w:color="001D77"/>
              <w:right w:val="single" w:sz="4" w:space="0" w:color="001D77"/>
            </w:tcBorders>
            <w:shd w:val="clear" w:color="auto" w:fill="auto"/>
            <w:noWrap/>
            <w:vAlign w:val="center"/>
            <w:hideMark/>
          </w:tcPr>
          <w:p w14:paraId="4B9AFD95" w14:textId="40B02BBE"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Librar</w:t>
            </w:r>
            <w:r w:rsidR="002C645D">
              <w:rPr>
                <w:rFonts w:eastAsia="Times New Roman" w:cs="Calibri"/>
                <w:szCs w:val="19"/>
                <w:lang w:val="en-GB" w:eastAsia="pl-PL"/>
              </w:rPr>
              <w:t>ies</w:t>
            </w:r>
            <w:r w:rsidRPr="00161DE5">
              <w:rPr>
                <w:rFonts w:eastAsia="Times New Roman" w:cs="Calibri"/>
                <w:szCs w:val="19"/>
                <w:lang w:val="en-GB" w:eastAsia="pl-PL"/>
              </w:rPr>
              <w:t xml:space="preserve"> and archives</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3FF2462" w14:textId="07D5D4C5"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2,522.</w:t>
            </w:r>
            <w:r w:rsidR="004F3CD5" w:rsidRPr="00161DE5">
              <w:rPr>
                <w:rFonts w:eastAsia="Times New Roman" w:cs="Arial"/>
                <w:szCs w:val="19"/>
                <w:lang w:val="en-GB" w:eastAsia="pl-PL"/>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3E23829E" w14:textId="32D377D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829.</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356B805" w14:textId="543BD916"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1,693.</w:t>
            </w:r>
            <w:r w:rsidR="004F3CD5" w:rsidRPr="00161DE5">
              <w:rPr>
                <w:rFonts w:eastAsia="Times New Roman" w:cs="Arial"/>
                <w:szCs w:val="19"/>
                <w:lang w:val="en-GB" w:eastAsia="pl-PL"/>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0DE82BD" w14:textId="5B20A00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1,499.</w:t>
            </w:r>
            <w:r w:rsidR="004F3CD5" w:rsidRPr="00161DE5">
              <w:rPr>
                <w:rFonts w:eastAsia="Times New Roman" w:cs="Arial"/>
                <w:szCs w:val="19"/>
                <w:lang w:val="en-GB" w:eastAsia="pl-PL"/>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34A6E4A" w14:textId="6279715F"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15.</w:t>
            </w:r>
            <w:r w:rsidR="004F3CD5" w:rsidRPr="00161DE5">
              <w:rPr>
                <w:rFonts w:eastAsia="Times New Roman" w:cs="Arial"/>
                <w:szCs w:val="19"/>
                <w:lang w:val="en-GB" w:eastAsia="pl-PL"/>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97600B8" w14:textId="6F7225F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16.</w:t>
            </w:r>
            <w:r w:rsidR="004F3CD5" w:rsidRPr="00161DE5">
              <w:rPr>
                <w:rFonts w:eastAsia="Times New Roman" w:cs="Arial"/>
                <w:szCs w:val="19"/>
                <w:lang w:val="en-GB" w:eastAsia="pl-PL"/>
              </w:rPr>
              <w:t>2</w:t>
            </w:r>
          </w:p>
        </w:tc>
        <w:tc>
          <w:tcPr>
            <w:tcW w:w="912" w:type="dxa"/>
            <w:tcBorders>
              <w:top w:val="single" w:sz="4" w:space="0" w:color="001D77"/>
              <w:left w:val="single" w:sz="4" w:space="0" w:color="001D77"/>
              <w:bottom w:val="single" w:sz="4" w:space="0" w:color="001D77"/>
              <w:right w:val="nil"/>
            </w:tcBorders>
            <w:shd w:val="clear" w:color="auto" w:fill="auto"/>
            <w:noWrap/>
            <w:vAlign w:val="center"/>
            <w:hideMark/>
          </w:tcPr>
          <w:p w14:paraId="6F068C00" w14:textId="733F1877"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194.</w:t>
            </w:r>
            <w:r w:rsidR="004F3CD5" w:rsidRPr="00161DE5">
              <w:rPr>
                <w:rFonts w:eastAsia="Times New Roman" w:cs="Arial"/>
                <w:szCs w:val="19"/>
                <w:lang w:val="en-GB" w:eastAsia="pl-PL"/>
              </w:rPr>
              <w:t>3</w:t>
            </w:r>
          </w:p>
        </w:tc>
      </w:tr>
      <w:tr w:rsidR="004F3CD5" w:rsidRPr="00161DE5" w14:paraId="16B37E82" w14:textId="77777777" w:rsidTr="006F1AF5">
        <w:trPr>
          <w:trHeight w:val="285"/>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50A6FB93" w14:textId="57F46A51" w:rsidR="004F3CD5" w:rsidRPr="00161DE5" w:rsidRDefault="004F3CD5" w:rsidP="004F3CD5">
            <w:pPr>
              <w:suppressAutoHyphens/>
              <w:spacing w:line="269" w:lineRule="auto"/>
              <w:rPr>
                <w:rFonts w:eastAsia="Times New Roman" w:cs="Calibri"/>
                <w:szCs w:val="19"/>
                <w:lang w:val="en-GB" w:eastAsia="pl-PL"/>
              </w:rPr>
            </w:pPr>
            <w:r w:rsidRPr="00161DE5">
              <w:rPr>
                <w:rFonts w:eastAsia="Times New Roman" w:cs="Calibri"/>
                <w:szCs w:val="19"/>
                <w:lang w:val="en-GB" w:eastAsia="pl-PL"/>
              </w:rPr>
              <w:t xml:space="preserve">Books and </w:t>
            </w:r>
            <w:r w:rsidR="00B46326" w:rsidRPr="00161DE5">
              <w:rPr>
                <w:rFonts w:eastAsia="Times New Roman" w:cs="Calibri"/>
                <w:szCs w:val="19"/>
                <w:lang w:val="en-GB" w:eastAsia="pl-PL"/>
              </w:rPr>
              <w:t>press</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310E07C7" w14:textId="7ED62784"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13,203.</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24D1AD0" w14:textId="5D72D92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6,802.</w:t>
            </w:r>
            <w:r w:rsidR="004F3CD5" w:rsidRPr="00161DE5">
              <w:rPr>
                <w:rFonts w:eastAsia="Times New Roman" w:cs="Arial"/>
                <w:szCs w:val="19"/>
                <w:lang w:val="en-GB" w:eastAsia="pl-PL"/>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30A55E8" w14:textId="40D018D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6,401.</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E8E95E7" w14:textId="6EEEACF9"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2,926.</w:t>
            </w:r>
            <w:r w:rsidR="004F3CD5" w:rsidRPr="00161DE5">
              <w:rPr>
                <w:rFonts w:eastAsia="Times New Roman" w:cs="Arial"/>
                <w:szCs w:val="19"/>
                <w:lang w:val="en-GB" w:eastAsia="pl-PL"/>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F19899F" w14:textId="17F6C6C6"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58.</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1C17645" w14:textId="46E6EDA8"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361.</w:t>
            </w:r>
            <w:r w:rsidR="004F3CD5" w:rsidRPr="00161DE5">
              <w:rPr>
                <w:rFonts w:eastAsia="Times New Roman" w:cs="Arial"/>
                <w:szCs w:val="19"/>
                <w:lang w:val="en-GB" w:eastAsia="pl-PL"/>
              </w:rPr>
              <w:t>6</w:t>
            </w:r>
          </w:p>
        </w:tc>
        <w:tc>
          <w:tcPr>
            <w:tcW w:w="912" w:type="dxa"/>
            <w:tcBorders>
              <w:top w:val="single" w:sz="4" w:space="0" w:color="001D77"/>
              <w:left w:val="single" w:sz="4" w:space="0" w:color="001D77"/>
              <w:bottom w:val="single" w:sz="4" w:space="0" w:color="001D77"/>
              <w:right w:val="nil"/>
            </w:tcBorders>
            <w:shd w:val="clear" w:color="auto" w:fill="auto"/>
            <w:noWrap/>
            <w:vAlign w:val="center"/>
            <w:hideMark/>
          </w:tcPr>
          <w:p w14:paraId="25E32948" w14:textId="4F302DA4"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3,777.</w:t>
            </w:r>
            <w:r w:rsidR="004F3CD5" w:rsidRPr="00161DE5">
              <w:rPr>
                <w:rFonts w:eastAsia="Times New Roman" w:cs="Arial"/>
                <w:szCs w:val="19"/>
                <w:lang w:val="en-GB" w:eastAsia="pl-PL"/>
              </w:rPr>
              <w:t>7</w:t>
            </w:r>
          </w:p>
        </w:tc>
      </w:tr>
      <w:tr w:rsidR="004F3CD5" w:rsidRPr="00161DE5" w14:paraId="01C262B8" w14:textId="77777777" w:rsidTr="006F1AF5">
        <w:trPr>
          <w:trHeight w:val="285"/>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7F090269" w14:textId="0F48F16B" w:rsidR="004F3CD5" w:rsidRPr="00161DE5" w:rsidRDefault="004F3CD5" w:rsidP="004F3CD5">
            <w:pPr>
              <w:suppressAutoHyphens/>
              <w:spacing w:line="269" w:lineRule="auto"/>
              <w:rPr>
                <w:rFonts w:eastAsia="Times New Roman" w:cs="Calibri"/>
                <w:szCs w:val="19"/>
                <w:lang w:val="en-GB" w:eastAsia="pl-PL"/>
              </w:rPr>
            </w:pPr>
            <w:r w:rsidRPr="00161DE5">
              <w:rPr>
                <w:rFonts w:eastAsia="Times New Roman" w:cs="Calibri"/>
                <w:szCs w:val="19"/>
                <w:lang w:val="en-GB" w:eastAsia="pl-PL"/>
              </w:rPr>
              <w:t xml:space="preserve">Visual </w:t>
            </w:r>
            <w:r w:rsidR="0021392B">
              <w:rPr>
                <w:rFonts w:eastAsia="Times New Roman" w:cs="Calibri"/>
                <w:szCs w:val="19"/>
                <w:lang w:val="en-GB" w:eastAsia="pl-PL"/>
              </w:rPr>
              <w:t>a</w:t>
            </w:r>
            <w:r w:rsidRPr="00161DE5">
              <w:rPr>
                <w:rFonts w:eastAsia="Times New Roman" w:cs="Calibri"/>
                <w:szCs w:val="19"/>
                <w:lang w:val="en-GB" w:eastAsia="pl-PL"/>
              </w:rPr>
              <w:t>rts</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7AE7766" w14:textId="282D4D87"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7,097.</w:t>
            </w:r>
            <w:r w:rsidR="004F3CD5" w:rsidRPr="00161DE5">
              <w:rPr>
                <w:rFonts w:eastAsia="Times New Roman" w:cs="Arial"/>
                <w:szCs w:val="19"/>
                <w:lang w:val="en-GB" w:eastAsia="pl-PL"/>
              </w:rPr>
              <w:t>7</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B274445" w14:textId="5A1E01CF"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3,147.</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4C72D818" w14:textId="73D8ECE2"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3,950.</w:t>
            </w:r>
            <w:r w:rsidR="004F3CD5" w:rsidRPr="00161DE5">
              <w:rPr>
                <w:rFonts w:eastAsia="Times New Roman" w:cs="Arial"/>
                <w:szCs w:val="19"/>
                <w:lang w:val="en-GB" w:eastAsia="pl-PL"/>
              </w:rPr>
              <w:t>4</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CD8E011" w14:textId="45E45288"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827.</w:t>
            </w:r>
            <w:r w:rsidR="004F3CD5" w:rsidRPr="00161DE5">
              <w:rPr>
                <w:rFonts w:eastAsia="Times New Roman" w:cs="Arial"/>
                <w:szCs w:val="19"/>
                <w:lang w:val="en-GB" w:eastAsia="pl-PL"/>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718D3BA" w14:textId="5C50D8FB"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14.</w:t>
            </w:r>
            <w:r w:rsidR="004F3CD5" w:rsidRPr="00161DE5">
              <w:rPr>
                <w:rFonts w:eastAsia="Times New Roman" w:cs="Arial"/>
                <w:szCs w:val="19"/>
                <w:lang w:val="en-GB" w:eastAsia="pl-PL"/>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E7F619B" w14:textId="16233718"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486.</w:t>
            </w:r>
            <w:r w:rsidR="004F3CD5" w:rsidRPr="00161DE5">
              <w:rPr>
                <w:rFonts w:eastAsia="Times New Roman" w:cs="Arial"/>
                <w:szCs w:val="19"/>
                <w:lang w:val="en-GB" w:eastAsia="pl-PL"/>
              </w:rPr>
              <w:t>9</w:t>
            </w:r>
          </w:p>
        </w:tc>
        <w:tc>
          <w:tcPr>
            <w:tcW w:w="912" w:type="dxa"/>
            <w:tcBorders>
              <w:top w:val="single" w:sz="4" w:space="0" w:color="001D77"/>
              <w:left w:val="single" w:sz="4" w:space="0" w:color="001D77"/>
              <w:bottom w:val="single" w:sz="4" w:space="0" w:color="001D77"/>
              <w:right w:val="nil"/>
            </w:tcBorders>
            <w:shd w:val="clear" w:color="auto" w:fill="auto"/>
            <w:noWrap/>
            <w:vAlign w:val="center"/>
            <w:hideMark/>
          </w:tcPr>
          <w:p w14:paraId="27D06BC0" w14:textId="55A28EA1"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3,594.</w:t>
            </w:r>
            <w:r w:rsidR="004F3CD5" w:rsidRPr="00161DE5">
              <w:rPr>
                <w:rFonts w:eastAsia="Times New Roman" w:cs="Arial"/>
                <w:szCs w:val="19"/>
                <w:lang w:val="en-GB" w:eastAsia="pl-PL"/>
              </w:rPr>
              <w:t>9</w:t>
            </w:r>
          </w:p>
        </w:tc>
      </w:tr>
      <w:tr w:rsidR="004F3CD5" w:rsidRPr="00161DE5" w14:paraId="56D34531" w14:textId="77777777" w:rsidTr="006F1AF5">
        <w:trPr>
          <w:trHeight w:val="450"/>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1951E8A4" w14:textId="7FFDF234"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 xml:space="preserve">Performing </w:t>
            </w:r>
            <w:r w:rsidR="0021392B">
              <w:rPr>
                <w:rFonts w:eastAsia="Times New Roman" w:cs="Calibri"/>
                <w:szCs w:val="19"/>
                <w:lang w:val="en-GB" w:eastAsia="pl-PL"/>
              </w:rPr>
              <w:t>a</w:t>
            </w:r>
            <w:r w:rsidRPr="00161DE5">
              <w:rPr>
                <w:rFonts w:eastAsia="Times New Roman" w:cs="Calibri"/>
                <w:szCs w:val="19"/>
                <w:lang w:val="en-GB" w:eastAsia="pl-PL"/>
              </w:rPr>
              <w:t>rts</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6568D1B" w14:textId="46EAEA7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8,017.</w:t>
            </w:r>
            <w:r w:rsidR="004F3CD5" w:rsidRPr="00161DE5">
              <w:rPr>
                <w:rFonts w:eastAsia="Times New Roman" w:cs="Arial"/>
                <w:szCs w:val="19"/>
                <w:lang w:val="en-GB" w:eastAsia="pl-PL"/>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170381F" w14:textId="4282DB70"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3,220.</w:t>
            </w:r>
            <w:r w:rsidR="004F3CD5" w:rsidRPr="00161DE5">
              <w:rPr>
                <w:rFonts w:eastAsia="Times New Roman" w:cs="Arial"/>
                <w:szCs w:val="19"/>
                <w:lang w:val="en-GB" w:eastAsia="pl-PL"/>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925EC14" w14:textId="1C75D88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4,797.</w:t>
            </w:r>
            <w:r w:rsidR="004F3CD5" w:rsidRPr="00161DE5">
              <w:rPr>
                <w:rFonts w:eastAsia="Times New Roman" w:cs="Arial"/>
                <w:szCs w:val="19"/>
                <w:lang w:val="en-GB" w:eastAsia="pl-PL"/>
              </w:rPr>
              <w:t>4</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3EDEADFB" w14:textId="7DFE8FE2"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3,215.</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FC5539E" w14:textId="3B8D2A74"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81.</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025C1A5" w14:textId="48045E41"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169.</w:t>
            </w:r>
            <w:r w:rsidR="004F3CD5" w:rsidRPr="00161DE5">
              <w:rPr>
                <w:rFonts w:eastAsia="Times New Roman" w:cs="Arial"/>
                <w:szCs w:val="19"/>
                <w:lang w:val="en-GB" w:eastAsia="pl-PL"/>
              </w:rPr>
              <w:t>6</w:t>
            </w:r>
          </w:p>
        </w:tc>
        <w:tc>
          <w:tcPr>
            <w:tcW w:w="912" w:type="dxa"/>
            <w:tcBorders>
              <w:top w:val="single" w:sz="4" w:space="0" w:color="001D77"/>
              <w:left w:val="single" w:sz="4" w:space="0" w:color="001D77"/>
              <w:bottom w:val="single" w:sz="4" w:space="0" w:color="001D77"/>
              <w:right w:val="nil"/>
            </w:tcBorders>
            <w:shd w:val="clear" w:color="auto" w:fill="auto"/>
            <w:noWrap/>
            <w:vAlign w:val="center"/>
            <w:hideMark/>
          </w:tcPr>
          <w:p w14:paraId="5382AA7C" w14:textId="6CE2960F"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1,670.</w:t>
            </w:r>
            <w:r w:rsidR="004F3CD5" w:rsidRPr="00161DE5">
              <w:rPr>
                <w:rFonts w:eastAsia="Times New Roman" w:cs="Arial"/>
                <w:szCs w:val="19"/>
                <w:lang w:val="en-GB" w:eastAsia="pl-PL"/>
              </w:rPr>
              <w:t>5</w:t>
            </w:r>
          </w:p>
        </w:tc>
      </w:tr>
      <w:tr w:rsidR="004F3CD5" w:rsidRPr="00161DE5" w14:paraId="16358400" w14:textId="77777777" w:rsidTr="006F1AF5">
        <w:trPr>
          <w:trHeight w:val="675"/>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02124318" w14:textId="6A879AE1"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Audio</w:t>
            </w:r>
            <w:r w:rsidR="00B46326" w:rsidRPr="00161DE5">
              <w:rPr>
                <w:rFonts w:eastAsia="Times New Roman" w:cs="Calibri"/>
                <w:szCs w:val="19"/>
                <w:lang w:val="en-GB" w:eastAsia="pl-PL"/>
              </w:rPr>
              <w:t>-</w:t>
            </w:r>
            <w:r w:rsidRPr="00161DE5">
              <w:rPr>
                <w:rFonts w:eastAsia="Times New Roman" w:cs="Calibri"/>
                <w:szCs w:val="19"/>
                <w:lang w:val="en-GB" w:eastAsia="pl-PL"/>
              </w:rPr>
              <w:t xml:space="preserve">visual </w:t>
            </w:r>
            <w:r w:rsidR="000302A2">
              <w:rPr>
                <w:rFonts w:eastAsia="Times New Roman" w:cs="Calibri"/>
                <w:szCs w:val="19"/>
                <w:lang w:val="en-GB" w:eastAsia="pl-PL"/>
              </w:rPr>
              <w:t>a</w:t>
            </w:r>
            <w:r w:rsidRPr="00161DE5">
              <w:rPr>
                <w:rFonts w:eastAsia="Times New Roman" w:cs="Calibri"/>
                <w:szCs w:val="19"/>
                <w:lang w:val="en-GB" w:eastAsia="pl-PL"/>
              </w:rPr>
              <w:t xml:space="preserve">rts </w:t>
            </w:r>
            <w:r w:rsidR="0021392B">
              <w:rPr>
                <w:rFonts w:eastAsia="Times New Roman" w:cs="Calibri"/>
                <w:szCs w:val="19"/>
                <w:lang w:val="en-GB" w:eastAsia="pl-PL"/>
              </w:rPr>
              <w:t>and m</w:t>
            </w:r>
            <w:r w:rsidRPr="00161DE5">
              <w:rPr>
                <w:rFonts w:eastAsia="Times New Roman" w:cs="Calibri"/>
                <w:szCs w:val="19"/>
                <w:lang w:val="en-GB" w:eastAsia="pl-PL"/>
              </w:rPr>
              <w:t>ultimedia</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11A49E7A" w14:textId="542171A1"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25,411.</w:t>
            </w:r>
            <w:r w:rsidR="004F3CD5" w:rsidRPr="00161DE5">
              <w:rPr>
                <w:rFonts w:eastAsia="Times New Roman" w:cs="Arial"/>
                <w:szCs w:val="19"/>
                <w:lang w:val="en-GB" w:eastAsia="pl-PL"/>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73606EFC" w14:textId="5CDB43F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15,172.</w:t>
            </w:r>
            <w:r w:rsidR="004F3CD5" w:rsidRPr="00161DE5">
              <w:rPr>
                <w:rFonts w:eastAsia="Times New Roman" w:cs="Arial"/>
                <w:szCs w:val="19"/>
                <w:lang w:val="en-GB" w:eastAsia="pl-PL"/>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558EA106" w14:textId="1AB229C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10,239.</w:t>
            </w:r>
            <w:r w:rsidR="004F3CD5" w:rsidRPr="00161DE5">
              <w:rPr>
                <w:rFonts w:eastAsia="Times New Roman" w:cs="Arial"/>
                <w:szCs w:val="19"/>
                <w:lang w:val="en-GB" w:eastAsia="pl-PL"/>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5BC4372C" w14:textId="5BCCCC22"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3,345.</w:t>
            </w:r>
            <w:r w:rsidR="004F3CD5" w:rsidRPr="00161DE5">
              <w:rPr>
                <w:rFonts w:eastAsia="Times New Roman" w:cs="Arial"/>
                <w:szCs w:val="19"/>
                <w:lang w:val="en-GB" w:eastAsia="pl-PL"/>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11858494" w14:textId="39456DA8"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424.</w:t>
            </w:r>
            <w:r w:rsidR="004F3CD5" w:rsidRPr="00161DE5">
              <w:rPr>
                <w:rFonts w:eastAsia="Times New Roman" w:cs="Arial"/>
                <w:szCs w:val="19"/>
                <w:lang w:val="en-GB" w:eastAsia="pl-PL"/>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4A3BE354" w14:textId="2CACEE1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243.</w:t>
            </w:r>
            <w:r w:rsidR="004F3CD5" w:rsidRPr="00161DE5">
              <w:rPr>
                <w:rFonts w:eastAsia="Times New Roman" w:cs="Arial"/>
                <w:szCs w:val="19"/>
                <w:lang w:val="en-GB" w:eastAsia="pl-PL"/>
              </w:rPr>
              <w:t>0</w:t>
            </w:r>
          </w:p>
        </w:tc>
        <w:tc>
          <w:tcPr>
            <w:tcW w:w="912" w:type="dxa"/>
            <w:tcBorders>
              <w:top w:val="single" w:sz="4" w:space="0" w:color="001D77"/>
              <w:left w:val="single" w:sz="4" w:space="0" w:color="001D77"/>
              <w:bottom w:val="single" w:sz="4" w:space="0" w:color="001D77"/>
              <w:right w:val="nil"/>
            </w:tcBorders>
            <w:shd w:val="clear" w:color="auto" w:fill="auto"/>
            <w:vAlign w:val="center"/>
            <w:hideMark/>
          </w:tcPr>
          <w:p w14:paraId="768CE4E1" w14:textId="3DB480A2"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6,713.</w:t>
            </w:r>
            <w:r w:rsidR="004F3CD5" w:rsidRPr="00161DE5">
              <w:rPr>
                <w:rFonts w:eastAsia="Times New Roman" w:cs="Arial"/>
                <w:szCs w:val="19"/>
                <w:lang w:val="en-GB" w:eastAsia="pl-PL"/>
              </w:rPr>
              <w:t>0</w:t>
            </w:r>
          </w:p>
        </w:tc>
      </w:tr>
      <w:tr w:rsidR="004F3CD5" w:rsidRPr="00161DE5" w14:paraId="31D2DCA1" w14:textId="77777777" w:rsidTr="006F1AF5">
        <w:trPr>
          <w:trHeight w:val="675"/>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1E15BC02" w14:textId="77777777" w:rsidR="004F3CD5" w:rsidRPr="00161DE5" w:rsidRDefault="004F3CD5" w:rsidP="004F3CD5">
            <w:pPr>
              <w:suppressAutoHyphens/>
              <w:spacing w:line="269" w:lineRule="auto"/>
              <w:rPr>
                <w:rFonts w:eastAsia="Times New Roman" w:cs="Calibri"/>
                <w:szCs w:val="19"/>
                <w:lang w:val="en-GB" w:eastAsia="pl-PL"/>
              </w:rPr>
            </w:pPr>
            <w:r w:rsidRPr="00161DE5">
              <w:rPr>
                <w:rFonts w:eastAsia="Times New Roman" w:cs="Calibri"/>
                <w:szCs w:val="19"/>
                <w:lang w:val="en-GB" w:eastAsia="pl-PL"/>
              </w:rPr>
              <w:t>Architecture</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42DA618F" w14:textId="222A8A3B"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10,323.</w:t>
            </w:r>
            <w:r w:rsidR="004F3CD5" w:rsidRPr="00161DE5">
              <w:rPr>
                <w:rFonts w:eastAsia="Times New Roman" w:cs="Arial"/>
                <w:szCs w:val="19"/>
                <w:lang w:val="en-GB" w:eastAsia="pl-PL"/>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4EDD73B4" w14:textId="52CAD19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4,484.</w:t>
            </w:r>
            <w:r w:rsidR="004F3CD5" w:rsidRPr="00161DE5">
              <w:rPr>
                <w:rFonts w:eastAsia="Times New Roman" w:cs="Arial"/>
                <w:szCs w:val="19"/>
                <w:lang w:val="en-GB" w:eastAsia="pl-PL"/>
              </w:rPr>
              <w:t>7</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20ACA88B" w14:textId="0932AD8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5,839.</w:t>
            </w:r>
            <w:r w:rsidR="004F3CD5" w:rsidRPr="00161DE5">
              <w:rPr>
                <w:rFonts w:eastAsia="Times New Roman" w:cs="Arial"/>
                <w:szCs w:val="19"/>
                <w:lang w:val="en-GB" w:eastAsia="pl-PL"/>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1ACAA268" w14:textId="2CD21687"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1,196.</w:t>
            </w:r>
            <w:r w:rsidR="004F3CD5" w:rsidRPr="00161DE5">
              <w:rPr>
                <w:rFonts w:eastAsia="Times New Roman" w:cs="Arial"/>
                <w:szCs w:val="19"/>
                <w:lang w:val="en-GB" w:eastAsia="pl-PL"/>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6AC53550" w14:textId="281D685A"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26.</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2A9B2D7C" w14:textId="5253F93D"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370.</w:t>
            </w:r>
            <w:r w:rsidR="004F3CD5" w:rsidRPr="00161DE5">
              <w:rPr>
                <w:rFonts w:eastAsia="Times New Roman" w:cs="Arial"/>
                <w:szCs w:val="19"/>
                <w:lang w:val="en-GB" w:eastAsia="pl-PL"/>
              </w:rPr>
              <w:t>8</w:t>
            </w:r>
          </w:p>
        </w:tc>
        <w:tc>
          <w:tcPr>
            <w:tcW w:w="912" w:type="dxa"/>
            <w:tcBorders>
              <w:top w:val="single" w:sz="4" w:space="0" w:color="001D77"/>
              <w:left w:val="single" w:sz="4" w:space="0" w:color="001D77"/>
              <w:bottom w:val="single" w:sz="4" w:space="0" w:color="001D77"/>
              <w:right w:val="nil"/>
            </w:tcBorders>
            <w:shd w:val="clear" w:color="auto" w:fill="auto"/>
            <w:vAlign w:val="center"/>
            <w:hideMark/>
          </w:tcPr>
          <w:p w14:paraId="1E2CA56C" w14:textId="42FD8633"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4,987.</w:t>
            </w:r>
            <w:r w:rsidR="004F3CD5" w:rsidRPr="00161DE5">
              <w:rPr>
                <w:rFonts w:eastAsia="Times New Roman" w:cs="Arial"/>
                <w:szCs w:val="19"/>
                <w:lang w:val="en-GB" w:eastAsia="pl-PL"/>
              </w:rPr>
              <w:t>7</w:t>
            </w:r>
          </w:p>
        </w:tc>
      </w:tr>
      <w:tr w:rsidR="004F3CD5" w:rsidRPr="00161DE5" w14:paraId="075FCDCE" w14:textId="77777777" w:rsidTr="006F1AF5">
        <w:trPr>
          <w:trHeight w:val="675"/>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0166CF67" w14:textId="77777777" w:rsidR="004F3CD5" w:rsidRPr="00161DE5" w:rsidRDefault="004F3CD5" w:rsidP="004F3CD5">
            <w:pPr>
              <w:suppressAutoHyphens/>
              <w:spacing w:line="269" w:lineRule="auto"/>
              <w:rPr>
                <w:rFonts w:eastAsia="Times New Roman" w:cs="Calibri"/>
                <w:szCs w:val="19"/>
                <w:lang w:val="en-GB" w:eastAsia="pl-PL"/>
              </w:rPr>
            </w:pPr>
            <w:r w:rsidRPr="00161DE5">
              <w:rPr>
                <w:rFonts w:eastAsia="Times New Roman" w:cs="Calibri"/>
                <w:szCs w:val="19"/>
                <w:lang w:val="en-GB" w:eastAsia="pl-PL"/>
              </w:rPr>
              <w:t>Advertising</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602F5DC2" w14:textId="07AF767B"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30,637.</w:t>
            </w:r>
            <w:r w:rsidR="004F3CD5" w:rsidRPr="00161DE5">
              <w:rPr>
                <w:rFonts w:eastAsia="Times New Roman" w:cs="Arial"/>
                <w:szCs w:val="19"/>
                <w:lang w:val="en-GB" w:eastAsia="pl-PL"/>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142CD64A" w14:textId="22443FAF"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20,144.</w:t>
            </w:r>
            <w:r w:rsidR="004F3CD5" w:rsidRPr="00161DE5">
              <w:rPr>
                <w:rFonts w:eastAsia="Times New Roman" w:cs="Arial"/>
                <w:szCs w:val="19"/>
                <w:lang w:val="en-GB" w:eastAsia="pl-PL"/>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172588A9" w14:textId="067F9124"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10,493.</w:t>
            </w:r>
            <w:r w:rsidR="004F3CD5" w:rsidRPr="00161DE5">
              <w:rPr>
                <w:rFonts w:eastAsia="Times New Roman" w:cs="Arial"/>
                <w:szCs w:val="19"/>
                <w:lang w:val="en-GB" w:eastAsia="pl-PL"/>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15F88294" w14:textId="07F7657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3,845.</w:t>
            </w:r>
            <w:r w:rsidR="004F3CD5" w:rsidRPr="00161DE5">
              <w:rPr>
                <w:rFonts w:eastAsia="Times New Roman" w:cs="Arial"/>
                <w:szCs w:val="19"/>
                <w:lang w:val="en-GB" w:eastAsia="pl-PL"/>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79B630AB" w14:textId="24A6955F"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97.</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5D760635" w14:textId="2350184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732.</w:t>
            </w:r>
            <w:r w:rsidR="004F3CD5" w:rsidRPr="00161DE5">
              <w:rPr>
                <w:rFonts w:eastAsia="Times New Roman" w:cs="Arial"/>
                <w:szCs w:val="19"/>
                <w:lang w:val="en-GB" w:eastAsia="pl-PL"/>
              </w:rPr>
              <w:t>2</w:t>
            </w:r>
          </w:p>
        </w:tc>
        <w:tc>
          <w:tcPr>
            <w:tcW w:w="912" w:type="dxa"/>
            <w:tcBorders>
              <w:top w:val="single" w:sz="4" w:space="0" w:color="001D77"/>
              <w:left w:val="single" w:sz="4" w:space="0" w:color="001D77"/>
              <w:bottom w:val="single" w:sz="4" w:space="0" w:color="001D77"/>
              <w:right w:val="nil"/>
            </w:tcBorders>
            <w:shd w:val="clear" w:color="auto" w:fill="auto"/>
            <w:vAlign w:val="center"/>
            <w:hideMark/>
          </w:tcPr>
          <w:p w14:paraId="13D90349" w14:textId="7150FFA9"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7,282.</w:t>
            </w:r>
            <w:r w:rsidR="004F3CD5" w:rsidRPr="00161DE5">
              <w:rPr>
                <w:rFonts w:eastAsia="Times New Roman" w:cs="Arial"/>
                <w:szCs w:val="19"/>
                <w:lang w:val="en-GB" w:eastAsia="pl-PL"/>
              </w:rPr>
              <w:t>4</w:t>
            </w:r>
          </w:p>
        </w:tc>
      </w:tr>
      <w:tr w:rsidR="004F3CD5" w:rsidRPr="00161DE5" w14:paraId="2C8AC8D5" w14:textId="77777777" w:rsidTr="006F1AF5">
        <w:trPr>
          <w:trHeight w:val="675"/>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016719DA" w14:textId="7D02CAE4"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Art</w:t>
            </w:r>
            <w:r w:rsidR="00B46326" w:rsidRPr="00161DE5">
              <w:rPr>
                <w:rFonts w:eastAsia="Times New Roman" w:cs="Calibri"/>
                <w:szCs w:val="19"/>
                <w:lang w:val="en-GB" w:eastAsia="pl-PL"/>
              </w:rPr>
              <w:t>istic</w:t>
            </w:r>
            <w:r w:rsidRPr="00161DE5">
              <w:rPr>
                <w:rFonts w:eastAsia="Times New Roman" w:cs="Calibri"/>
                <w:szCs w:val="19"/>
                <w:lang w:val="en-GB" w:eastAsia="pl-PL"/>
              </w:rPr>
              <w:t xml:space="preserve"> education</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6B5774A5" w14:textId="554939A3"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13,013.</w:t>
            </w:r>
            <w:r w:rsidR="004F3CD5" w:rsidRPr="00161DE5">
              <w:rPr>
                <w:rFonts w:eastAsia="Times New Roman" w:cs="Arial"/>
                <w:szCs w:val="19"/>
                <w:lang w:val="en-GB" w:eastAsia="pl-PL"/>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1522BD7B" w14:textId="2F12F3AB"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4,454.</w:t>
            </w:r>
            <w:r w:rsidR="004F3CD5" w:rsidRPr="00161DE5">
              <w:rPr>
                <w:rFonts w:eastAsia="Times New Roman" w:cs="Arial"/>
                <w:szCs w:val="19"/>
                <w:lang w:val="en-GB" w:eastAsia="pl-PL"/>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70CBC71C" w14:textId="16191A2B"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8,559.</w:t>
            </w:r>
            <w:r w:rsidR="004F3CD5" w:rsidRPr="00161DE5">
              <w:rPr>
                <w:rFonts w:eastAsia="Times New Roman" w:cs="Arial"/>
                <w:szCs w:val="19"/>
                <w:lang w:val="en-GB" w:eastAsia="pl-PL"/>
              </w:rPr>
              <w:t>7</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54A27C8D" w14:textId="5E6FFF28"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4,423.</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7890FEF7" w14:textId="61BE8353"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46.</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6D925073" w14:textId="0B2BE7C7"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3,140.</w:t>
            </w:r>
            <w:r w:rsidR="004F3CD5" w:rsidRPr="00161DE5">
              <w:rPr>
                <w:rFonts w:eastAsia="Times New Roman" w:cs="Arial"/>
                <w:szCs w:val="19"/>
                <w:lang w:val="en-GB" w:eastAsia="pl-PL"/>
              </w:rPr>
              <w:t>6</w:t>
            </w:r>
          </w:p>
        </w:tc>
        <w:tc>
          <w:tcPr>
            <w:tcW w:w="912" w:type="dxa"/>
            <w:tcBorders>
              <w:top w:val="single" w:sz="4" w:space="0" w:color="001D77"/>
              <w:left w:val="single" w:sz="4" w:space="0" w:color="001D77"/>
              <w:bottom w:val="single" w:sz="4" w:space="0" w:color="001D77"/>
              <w:right w:val="nil"/>
            </w:tcBorders>
            <w:shd w:val="clear" w:color="auto" w:fill="auto"/>
            <w:vAlign w:val="center"/>
            <w:hideMark/>
          </w:tcPr>
          <w:p w14:paraId="21253C66" w14:textId="44907AE1"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7,230.</w:t>
            </w:r>
            <w:r w:rsidR="004F3CD5" w:rsidRPr="00161DE5">
              <w:rPr>
                <w:rFonts w:eastAsia="Times New Roman" w:cs="Arial"/>
                <w:szCs w:val="19"/>
                <w:lang w:val="en-GB" w:eastAsia="pl-PL"/>
              </w:rPr>
              <w:t>7</w:t>
            </w:r>
          </w:p>
        </w:tc>
      </w:tr>
      <w:tr w:rsidR="004F3CD5" w:rsidRPr="00161DE5" w14:paraId="1E809AE0" w14:textId="77777777" w:rsidTr="006F1AF5">
        <w:trPr>
          <w:trHeight w:val="675"/>
          <w:tblHeader/>
        </w:trPr>
        <w:tc>
          <w:tcPr>
            <w:tcW w:w="1560" w:type="dxa"/>
            <w:tcBorders>
              <w:top w:val="single" w:sz="4" w:space="0" w:color="001D77"/>
              <w:left w:val="nil"/>
              <w:bottom w:val="single" w:sz="4" w:space="0" w:color="001D77"/>
              <w:right w:val="single" w:sz="4" w:space="0" w:color="001D77"/>
            </w:tcBorders>
            <w:shd w:val="clear" w:color="auto" w:fill="auto"/>
            <w:vAlign w:val="center"/>
            <w:hideMark/>
          </w:tcPr>
          <w:p w14:paraId="63475A8F" w14:textId="7D6C749A" w:rsidR="004F3CD5" w:rsidRPr="00161DE5" w:rsidRDefault="00B46326"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 xml:space="preserve">Related to </w:t>
            </w:r>
            <w:r w:rsidR="000302A2">
              <w:rPr>
                <w:rFonts w:eastAsia="Times New Roman" w:cs="Calibri"/>
                <w:szCs w:val="19"/>
                <w:lang w:val="en-GB" w:eastAsia="pl-PL"/>
              </w:rPr>
              <w:t>c</w:t>
            </w:r>
            <w:r w:rsidRPr="00161DE5">
              <w:rPr>
                <w:rFonts w:eastAsia="Times New Roman" w:cs="Calibri"/>
                <w:szCs w:val="19"/>
                <w:lang w:val="en-GB" w:eastAsia="pl-PL"/>
              </w:rPr>
              <w:t>ulture</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436A0F38" w14:textId="36A5A4D0"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14,687.</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56D6A711" w14:textId="41CCA6B6"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9,501.</w:t>
            </w:r>
            <w:r w:rsidR="004F3CD5" w:rsidRPr="00161DE5">
              <w:rPr>
                <w:rFonts w:eastAsia="Times New Roman" w:cs="Arial"/>
                <w:szCs w:val="19"/>
                <w:lang w:val="en-GB" w:eastAsia="pl-PL"/>
              </w:rPr>
              <w:t>7</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03D41B36" w14:textId="318E601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5,185.</w:t>
            </w:r>
            <w:r w:rsidR="004F3CD5" w:rsidRPr="00161DE5">
              <w:rPr>
                <w:rFonts w:eastAsia="Times New Roman" w:cs="Arial"/>
                <w:szCs w:val="19"/>
                <w:lang w:val="en-GB" w:eastAsia="pl-PL"/>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7B248689" w14:textId="018DE802"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3,220.</w:t>
            </w:r>
            <w:r w:rsidR="004F3CD5" w:rsidRPr="00161DE5">
              <w:rPr>
                <w:rFonts w:eastAsia="Times New Roman" w:cs="Arial"/>
                <w:szCs w:val="19"/>
                <w:lang w:val="en-GB" w:eastAsia="pl-PL"/>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434A1E25" w14:textId="3FFBDF24"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45.</w:t>
            </w:r>
            <w:r w:rsidR="004F3CD5" w:rsidRPr="00161DE5">
              <w:rPr>
                <w:rFonts w:eastAsia="Times New Roman" w:cs="Arial"/>
                <w:szCs w:val="19"/>
                <w:lang w:val="en-GB" w:eastAsia="pl-PL"/>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center"/>
            <w:hideMark/>
          </w:tcPr>
          <w:p w14:paraId="0D734C55" w14:textId="766574D1"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383.</w:t>
            </w:r>
            <w:r w:rsidR="004F3CD5" w:rsidRPr="00161DE5">
              <w:rPr>
                <w:rFonts w:eastAsia="Times New Roman" w:cs="Arial"/>
                <w:szCs w:val="19"/>
                <w:lang w:val="en-GB" w:eastAsia="pl-PL"/>
              </w:rPr>
              <w:t>6</w:t>
            </w:r>
          </w:p>
        </w:tc>
        <w:tc>
          <w:tcPr>
            <w:tcW w:w="912" w:type="dxa"/>
            <w:tcBorders>
              <w:top w:val="single" w:sz="4" w:space="0" w:color="001D77"/>
              <w:left w:val="single" w:sz="4" w:space="0" w:color="001D77"/>
              <w:bottom w:val="single" w:sz="4" w:space="0" w:color="001D77"/>
              <w:right w:val="nil"/>
            </w:tcBorders>
            <w:shd w:val="clear" w:color="auto" w:fill="auto"/>
            <w:vAlign w:val="center"/>
            <w:hideMark/>
          </w:tcPr>
          <w:p w14:paraId="1B441905" w14:textId="3927A7D1"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2,303.</w:t>
            </w:r>
            <w:r w:rsidR="004F3CD5" w:rsidRPr="00161DE5">
              <w:rPr>
                <w:rFonts w:eastAsia="Times New Roman" w:cs="Arial"/>
                <w:szCs w:val="19"/>
                <w:lang w:val="en-GB" w:eastAsia="pl-PL"/>
              </w:rPr>
              <w:t>6</w:t>
            </w:r>
          </w:p>
        </w:tc>
      </w:tr>
      <w:tr w:rsidR="004F3CD5" w:rsidRPr="00161DE5" w14:paraId="67347F32" w14:textId="77777777" w:rsidTr="006F1AF5">
        <w:trPr>
          <w:trHeight w:val="675"/>
          <w:tblHeader/>
        </w:trPr>
        <w:tc>
          <w:tcPr>
            <w:tcW w:w="1560" w:type="dxa"/>
            <w:tcBorders>
              <w:top w:val="single" w:sz="4" w:space="0" w:color="001D77"/>
              <w:left w:val="nil"/>
              <w:bottom w:val="nil"/>
              <w:right w:val="single" w:sz="4" w:space="0" w:color="001D77"/>
            </w:tcBorders>
            <w:shd w:val="clear" w:color="auto" w:fill="auto"/>
            <w:vAlign w:val="center"/>
            <w:hideMark/>
          </w:tcPr>
          <w:p w14:paraId="46C256D8" w14:textId="1C0EF36C"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Cultur</w:t>
            </w:r>
            <w:r w:rsidR="000E70A4">
              <w:rPr>
                <w:rFonts w:eastAsia="Times New Roman" w:cs="Calibri"/>
                <w:szCs w:val="19"/>
                <w:lang w:val="en-GB" w:eastAsia="pl-PL"/>
              </w:rPr>
              <w:t>e</w:t>
            </w:r>
            <w:r w:rsidRPr="00161DE5">
              <w:rPr>
                <w:rFonts w:eastAsia="Times New Roman" w:cs="Calibri"/>
                <w:szCs w:val="19"/>
                <w:lang w:val="en-GB" w:eastAsia="pl-PL"/>
              </w:rPr>
              <w:t xml:space="preserve"> management and administration</w:t>
            </w:r>
          </w:p>
        </w:tc>
        <w:tc>
          <w:tcPr>
            <w:tcW w:w="911" w:type="dxa"/>
            <w:tcBorders>
              <w:top w:val="single" w:sz="4" w:space="0" w:color="001D77"/>
              <w:left w:val="single" w:sz="4" w:space="0" w:color="001D77"/>
              <w:bottom w:val="nil"/>
              <w:right w:val="single" w:sz="4" w:space="0" w:color="001D77"/>
            </w:tcBorders>
            <w:shd w:val="clear" w:color="auto" w:fill="auto"/>
            <w:vAlign w:val="center"/>
            <w:hideMark/>
          </w:tcPr>
          <w:p w14:paraId="288A83A6" w14:textId="6D6A015E"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485.</w:t>
            </w:r>
            <w:r w:rsidR="004F3CD5" w:rsidRPr="00161DE5">
              <w:rPr>
                <w:rFonts w:eastAsia="Times New Roman" w:cs="Arial"/>
                <w:szCs w:val="19"/>
                <w:lang w:val="en-GB" w:eastAsia="pl-PL"/>
              </w:rPr>
              <w:t>0</w:t>
            </w:r>
          </w:p>
        </w:tc>
        <w:tc>
          <w:tcPr>
            <w:tcW w:w="911" w:type="dxa"/>
            <w:tcBorders>
              <w:top w:val="single" w:sz="4" w:space="0" w:color="001D77"/>
              <w:left w:val="single" w:sz="4" w:space="0" w:color="001D77"/>
              <w:bottom w:val="nil"/>
              <w:right w:val="single" w:sz="4" w:space="0" w:color="001D77"/>
            </w:tcBorders>
            <w:shd w:val="clear" w:color="auto" w:fill="auto"/>
            <w:vAlign w:val="center"/>
            <w:hideMark/>
          </w:tcPr>
          <w:p w14:paraId="64E92F59" w14:textId="75456309"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243.</w:t>
            </w:r>
            <w:r w:rsidR="004F3CD5" w:rsidRPr="00161DE5">
              <w:rPr>
                <w:rFonts w:eastAsia="Times New Roman" w:cs="Arial"/>
                <w:szCs w:val="19"/>
                <w:lang w:val="en-GB" w:eastAsia="pl-PL"/>
              </w:rPr>
              <w:t>3</w:t>
            </w:r>
          </w:p>
        </w:tc>
        <w:tc>
          <w:tcPr>
            <w:tcW w:w="911" w:type="dxa"/>
            <w:tcBorders>
              <w:top w:val="single" w:sz="4" w:space="0" w:color="001D77"/>
              <w:left w:val="single" w:sz="4" w:space="0" w:color="001D77"/>
              <w:bottom w:val="nil"/>
              <w:right w:val="single" w:sz="4" w:space="0" w:color="001D77"/>
            </w:tcBorders>
            <w:shd w:val="clear" w:color="auto" w:fill="auto"/>
            <w:vAlign w:val="center"/>
            <w:hideMark/>
          </w:tcPr>
          <w:p w14:paraId="60CA6470" w14:textId="4536B77D"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241.</w:t>
            </w:r>
            <w:r w:rsidR="004F3CD5" w:rsidRPr="00161DE5">
              <w:rPr>
                <w:rFonts w:eastAsia="Times New Roman" w:cs="Arial"/>
                <w:szCs w:val="19"/>
                <w:lang w:val="en-GB" w:eastAsia="pl-PL"/>
              </w:rPr>
              <w:t>7</w:t>
            </w:r>
          </w:p>
        </w:tc>
        <w:tc>
          <w:tcPr>
            <w:tcW w:w="911" w:type="dxa"/>
            <w:tcBorders>
              <w:top w:val="single" w:sz="4" w:space="0" w:color="001D77"/>
              <w:left w:val="single" w:sz="4" w:space="0" w:color="001D77"/>
              <w:bottom w:val="nil"/>
              <w:right w:val="single" w:sz="4" w:space="0" w:color="001D77"/>
            </w:tcBorders>
            <w:shd w:val="clear" w:color="auto" w:fill="auto"/>
            <w:vAlign w:val="center"/>
            <w:hideMark/>
          </w:tcPr>
          <w:p w14:paraId="4F7C073C" w14:textId="559061A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245.</w:t>
            </w:r>
            <w:r w:rsidR="004F3CD5" w:rsidRPr="00161DE5">
              <w:rPr>
                <w:rFonts w:eastAsia="Times New Roman" w:cs="Arial"/>
                <w:szCs w:val="19"/>
                <w:lang w:val="en-GB" w:eastAsia="pl-PL"/>
              </w:rPr>
              <w:t>2</w:t>
            </w:r>
          </w:p>
        </w:tc>
        <w:tc>
          <w:tcPr>
            <w:tcW w:w="911" w:type="dxa"/>
            <w:tcBorders>
              <w:top w:val="single" w:sz="4" w:space="0" w:color="001D77"/>
              <w:left w:val="single" w:sz="4" w:space="0" w:color="001D77"/>
              <w:bottom w:val="nil"/>
              <w:right w:val="single" w:sz="4" w:space="0" w:color="001D77"/>
            </w:tcBorders>
            <w:shd w:val="clear" w:color="auto" w:fill="auto"/>
            <w:vAlign w:val="center"/>
            <w:hideMark/>
          </w:tcPr>
          <w:p w14:paraId="642E6DE0" w14:textId="38FEF3CF"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2.</w:t>
            </w:r>
            <w:r w:rsidR="004F3CD5" w:rsidRPr="00161DE5">
              <w:rPr>
                <w:rFonts w:eastAsia="Times New Roman" w:cs="Arial"/>
                <w:szCs w:val="19"/>
                <w:lang w:val="en-GB" w:eastAsia="pl-PL"/>
              </w:rPr>
              <w:t>1</w:t>
            </w:r>
          </w:p>
        </w:tc>
        <w:tc>
          <w:tcPr>
            <w:tcW w:w="911" w:type="dxa"/>
            <w:tcBorders>
              <w:top w:val="single" w:sz="4" w:space="0" w:color="001D77"/>
              <w:left w:val="single" w:sz="4" w:space="0" w:color="001D77"/>
              <w:bottom w:val="nil"/>
              <w:right w:val="single" w:sz="4" w:space="0" w:color="001D77"/>
            </w:tcBorders>
            <w:shd w:val="clear" w:color="auto" w:fill="auto"/>
            <w:vAlign w:val="center"/>
            <w:hideMark/>
          </w:tcPr>
          <w:p w14:paraId="643A057C" w14:textId="7331295C"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16.</w:t>
            </w:r>
            <w:r w:rsidR="004F3CD5" w:rsidRPr="00161DE5">
              <w:rPr>
                <w:rFonts w:eastAsia="Times New Roman" w:cs="Arial"/>
                <w:szCs w:val="19"/>
                <w:lang w:val="en-GB" w:eastAsia="pl-PL"/>
              </w:rPr>
              <w:t>6</w:t>
            </w:r>
          </w:p>
        </w:tc>
        <w:tc>
          <w:tcPr>
            <w:tcW w:w="912" w:type="dxa"/>
            <w:tcBorders>
              <w:top w:val="single" w:sz="4" w:space="0" w:color="001D77"/>
              <w:left w:val="single" w:sz="4" w:space="0" w:color="001D77"/>
              <w:bottom w:val="nil"/>
              <w:right w:val="nil"/>
            </w:tcBorders>
            <w:shd w:val="clear" w:color="auto" w:fill="auto"/>
            <w:vAlign w:val="center"/>
            <w:hideMark/>
          </w:tcPr>
          <w:p w14:paraId="20F16175" w14:textId="74BD50E5" w:rsidR="004F3CD5" w:rsidRPr="00161DE5" w:rsidRDefault="002C645D" w:rsidP="004F3CD5">
            <w:pPr>
              <w:suppressAutoHyphens/>
              <w:jc w:val="right"/>
              <w:rPr>
                <w:rFonts w:eastAsia="Times New Roman" w:cs="Arial"/>
                <w:szCs w:val="19"/>
                <w:lang w:val="en-GB" w:eastAsia="pl-PL"/>
              </w:rPr>
            </w:pPr>
            <w:r>
              <w:rPr>
                <w:rFonts w:eastAsia="Times New Roman" w:cs="Arial"/>
                <w:szCs w:val="19"/>
                <w:lang w:val="en-GB" w:eastAsia="pl-PL"/>
              </w:rPr>
              <w:t>11.</w:t>
            </w:r>
            <w:r w:rsidR="004F3CD5" w:rsidRPr="00161DE5">
              <w:rPr>
                <w:rFonts w:eastAsia="Times New Roman" w:cs="Arial"/>
                <w:szCs w:val="19"/>
                <w:lang w:val="en-GB" w:eastAsia="pl-PL"/>
              </w:rPr>
              <w:t>1</w:t>
            </w:r>
          </w:p>
        </w:tc>
      </w:tr>
    </w:tbl>
    <w:p w14:paraId="64009C1F" w14:textId="5C5682AD" w:rsidR="004F3CD5" w:rsidRPr="00161DE5" w:rsidRDefault="004F3CD5" w:rsidP="00536E55">
      <w:pPr>
        <w:pStyle w:val="Tytutablicy"/>
        <w:ind w:left="709" w:hanging="709"/>
        <w:rPr>
          <w:lang w:val="en-GB"/>
        </w:rPr>
      </w:pPr>
      <w:r w:rsidRPr="00161DE5">
        <w:rPr>
          <w:lang w:val="en-GB"/>
        </w:rPr>
        <w:br w:type="page"/>
      </w:r>
      <w:r w:rsidRPr="00161DE5">
        <w:rPr>
          <w:lang w:val="en-GB"/>
        </w:rPr>
        <w:lastRenderedPageBreak/>
        <w:t>Table 1. Main transactions in the</w:t>
      </w:r>
      <w:r w:rsidR="00C5133E" w:rsidRPr="00161DE5">
        <w:rPr>
          <w:lang w:val="en-GB"/>
        </w:rPr>
        <w:t xml:space="preserve"> culture</w:t>
      </w:r>
      <w:r w:rsidRPr="00161DE5">
        <w:rPr>
          <w:lang w:val="en-GB"/>
        </w:rPr>
        <w:t xml:space="preserve"> satellite account </w:t>
      </w:r>
      <w:r w:rsidR="00C5133E" w:rsidRPr="00161DE5">
        <w:rPr>
          <w:lang w:val="en-GB"/>
        </w:rPr>
        <w:t xml:space="preserve">according to cultural domains </w:t>
      </w:r>
      <w:r w:rsidRPr="00161DE5">
        <w:rPr>
          <w:lang w:val="en-GB"/>
        </w:rPr>
        <w:t>in 2020 (</w:t>
      </w:r>
      <w:r w:rsidR="009D20CC">
        <w:rPr>
          <w:lang w:val="en-GB"/>
        </w:rPr>
        <w:t>cont.</w:t>
      </w:r>
      <w:r w:rsidRPr="00161DE5">
        <w:rPr>
          <w:lang w:val="en-GB"/>
        </w:rPr>
        <w:t>)</w:t>
      </w:r>
    </w:p>
    <w:tbl>
      <w:tblPr>
        <w:tblStyle w:val="Tabela-Siatka"/>
        <w:tblW w:w="7513" w:type="dxa"/>
        <w:tblBorders>
          <w:top w:val="single" w:sz="4" w:space="0" w:color="001D77"/>
          <w:left w:val="none" w:sz="0" w:space="0" w:color="auto"/>
          <w:bottom w:val="single" w:sz="4" w:space="0" w:color="001D77"/>
          <w:right w:val="none" w:sz="0" w:space="0" w:color="auto"/>
          <w:insideH w:val="single" w:sz="4" w:space="0" w:color="001D77"/>
          <w:insideV w:val="single" w:sz="4" w:space="0" w:color="001D77"/>
        </w:tblBorders>
        <w:tblLayout w:type="fixed"/>
        <w:tblLook w:val="04A0" w:firstRow="1" w:lastRow="0" w:firstColumn="1" w:lastColumn="0" w:noHBand="0" w:noVBand="1"/>
        <w:tblCaption w:val="Table 1. presenting main transactions in culture satellite account according to cultural domains in 2020 (cont.)"/>
      </w:tblPr>
      <w:tblGrid>
        <w:gridCol w:w="1700"/>
        <w:gridCol w:w="968"/>
        <w:gridCol w:w="969"/>
        <w:gridCol w:w="969"/>
        <w:gridCol w:w="969"/>
        <w:gridCol w:w="969"/>
        <w:gridCol w:w="969"/>
      </w:tblGrid>
      <w:tr w:rsidR="00871AF2" w:rsidRPr="00D541D7" w14:paraId="09289F9E" w14:textId="77777777" w:rsidTr="004C7739">
        <w:trPr>
          <w:trHeight w:val="570"/>
          <w:tblHeader/>
        </w:trPr>
        <w:tc>
          <w:tcPr>
            <w:tcW w:w="1700" w:type="dxa"/>
            <w:vMerge w:val="restart"/>
            <w:vAlign w:val="center"/>
          </w:tcPr>
          <w:p w14:paraId="06722DE0" w14:textId="77777777" w:rsidR="00871AF2" w:rsidRPr="00161DE5" w:rsidRDefault="00871AF2" w:rsidP="00321A22">
            <w:pPr>
              <w:suppressAutoHyphens/>
              <w:ind w:left="-57" w:right="-57"/>
              <w:jc w:val="center"/>
              <w:rPr>
                <w:rFonts w:eastAsia="Fira Sans Light" w:cs="Times New Roman"/>
                <w:szCs w:val="19"/>
                <w:lang w:val="en-GB" w:eastAsia="pl-PL"/>
              </w:rPr>
            </w:pPr>
            <w:r w:rsidRPr="00161DE5">
              <w:rPr>
                <w:rFonts w:eastAsia="Fira Sans Light" w:cs="Times New Roman"/>
                <w:szCs w:val="19"/>
                <w:lang w:val="en-GB" w:eastAsia="pl-PL"/>
              </w:rPr>
              <w:t>Specification</w:t>
            </w:r>
          </w:p>
        </w:tc>
        <w:tc>
          <w:tcPr>
            <w:tcW w:w="2906" w:type="dxa"/>
            <w:gridSpan w:val="3"/>
            <w:vAlign w:val="center"/>
          </w:tcPr>
          <w:p w14:paraId="6556B155" w14:textId="191DA435" w:rsidR="00871AF2" w:rsidRPr="00161DE5" w:rsidRDefault="00871AF2" w:rsidP="00321A22">
            <w:pPr>
              <w:ind w:left="-57" w:right="-57"/>
              <w:jc w:val="center"/>
              <w:rPr>
                <w:rFonts w:eastAsia="Times New Roman" w:cs="Calibri"/>
                <w:szCs w:val="19"/>
                <w:lang w:val="en-GB" w:eastAsia="pl-PL"/>
              </w:rPr>
            </w:pPr>
            <w:r>
              <w:rPr>
                <w:rFonts w:eastAsia="Times New Roman" w:cs="Calibri"/>
                <w:szCs w:val="19"/>
                <w:lang w:val="en-GB" w:eastAsia="pl-PL"/>
              </w:rPr>
              <w:t>Final c</w:t>
            </w:r>
            <w:r w:rsidRPr="00161DE5">
              <w:rPr>
                <w:rFonts w:eastAsia="Times New Roman" w:cs="Calibri"/>
                <w:szCs w:val="19"/>
                <w:lang w:val="en-GB" w:eastAsia="pl-PL"/>
              </w:rPr>
              <w:t>onsumption</w:t>
            </w:r>
            <w:r>
              <w:rPr>
                <w:rFonts w:eastAsia="Times New Roman" w:cs="Calibri"/>
                <w:szCs w:val="19"/>
                <w:lang w:val="en-GB" w:eastAsia="pl-PL"/>
              </w:rPr>
              <w:t xml:space="preserve"> expenditure</w:t>
            </w:r>
          </w:p>
        </w:tc>
        <w:tc>
          <w:tcPr>
            <w:tcW w:w="969" w:type="dxa"/>
            <w:vMerge w:val="restart"/>
            <w:vAlign w:val="center"/>
          </w:tcPr>
          <w:p w14:paraId="49DDE43E" w14:textId="36E8BF28" w:rsidR="00871AF2" w:rsidRPr="00161DE5" w:rsidRDefault="00871AF2" w:rsidP="00321A22">
            <w:pPr>
              <w:ind w:left="-57" w:right="-57"/>
              <w:jc w:val="center"/>
              <w:rPr>
                <w:rFonts w:eastAsia="Times New Roman" w:cs="Calibri"/>
                <w:szCs w:val="19"/>
                <w:lang w:val="en-GB" w:eastAsia="pl-PL"/>
              </w:rPr>
            </w:pPr>
            <w:r w:rsidRPr="00161DE5">
              <w:rPr>
                <w:lang w:val="en-GB"/>
              </w:rPr>
              <w:t>Gross capital formation</w:t>
            </w:r>
          </w:p>
        </w:tc>
        <w:tc>
          <w:tcPr>
            <w:tcW w:w="969" w:type="dxa"/>
            <w:vMerge w:val="restart"/>
            <w:vAlign w:val="center"/>
          </w:tcPr>
          <w:p w14:paraId="6089FA9C" w14:textId="110DBB77" w:rsidR="00871AF2" w:rsidRPr="00161DE5" w:rsidRDefault="00871AF2" w:rsidP="00321A22">
            <w:pPr>
              <w:jc w:val="center"/>
              <w:rPr>
                <w:rFonts w:eastAsia="Times New Roman" w:cs="Calibri"/>
                <w:szCs w:val="19"/>
                <w:lang w:val="en-GB" w:eastAsia="pl-PL"/>
              </w:rPr>
            </w:pPr>
            <w:r w:rsidRPr="00161DE5">
              <w:rPr>
                <w:rFonts w:eastAsia="Times New Roman" w:cs="Calibri"/>
                <w:szCs w:val="19"/>
                <w:lang w:val="en-GB" w:eastAsia="pl-PL"/>
              </w:rPr>
              <w:t>Import</w:t>
            </w:r>
            <w:r>
              <w:rPr>
                <w:rFonts w:eastAsia="Times New Roman" w:cs="Calibri"/>
                <w:szCs w:val="19"/>
                <w:lang w:val="en-GB" w:eastAsia="pl-PL"/>
              </w:rPr>
              <w:t>s</w:t>
            </w:r>
            <w:r w:rsidRPr="00161DE5">
              <w:rPr>
                <w:rFonts w:eastAsia="Times New Roman" w:cs="Calibri"/>
                <w:szCs w:val="19"/>
                <w:lang w:val="en-GB" w:eastAsia="pl-PL"/>
              </w:rPr>
              <w:t xml:space="preserve"> of goods and services</w:t>
            </w:r>
          </w:p>
        </w:tc>
        <w:tc>
          <w:tcPr>
            <w:tcW w:w="969" w:type="dxa"/>
            <w:vMerge w:val="restart"/>
            <w:vAlign w:val="center"/>
          </w:tcPr>
          <w:p w14:paraId="28601594" w14:textId="56DD7229" w:rsidR="00871AF2" w:rsidRPr="00161DE5" w:rsidRDefault="00871AF2" w:rsidP="00321A22">
            <w:pPr>
              <w:jc w:val="center"/>
              <w:rPr>
                <w:rFonts w:eastAsia="Times New Roman" w:cs="Calibri"/>
                <w:szCs w:val="19"/>
                <w:lang w:val="en-GB" w:eastAsia="pl-PL"/>
              </w:rPr>
            </w:pPr>
            <w:r w:rsidRPr="00161DE5">
              <w:rPr>
                <w:rFonts w:eastAsia="Times New Roman" w:cs="Calibri"/>
                <w:szCs w:val="19"/>
                <w:lang w:val="en-GB" w:eastAsia="pl-PL"/>
              </w:rPr>
              <w:t>Export</w:t>
            </w:r>
            <w:r>
              <w:rPr>
                <w:rFonts w:eastAsia="Times New Roman" w:cs="Calibri"/>
                <w:szCs w:val="19"/>
                <w:lang w:val="en-GB" w:eastAsia="pl-PL"/>
              </w:rPr>
              <w:t>s</w:t>
            </w:r>
            <w:r w:rsidRPr="00161DE5">
              <w:rPr>
                <w:rFonts w:eastAsia="Times New Roman" w:cs="Calibri"/>
                <w:szCs w:val="19"/>
                <w:lang w:val="en-GB" w:eastAsia="pl-PL"/>
              </w:rPr>
              <w:t xml:space="preserve"> of goods and services</w:t>
            </w:r>
          </w:p>
        </w:tc>
      </w:tr>
      <w:tr w:rsidR="004F3CD5" w:rsidRPr="00161DE5" w14:paraId="3E9D2112" w14:textId="77777777" w:rsidTr="00871AF2">
        <w:trPr>
          <w:trHeight w:val="2251"/>
          <w:tblHeader/>
        </w:trPr>
        <w:tc>
          <w:tcPr>
            <w:tcW w:w="1700" w:type="dxa"/>
            <w:vMerge/>
            <w:hideMark/>
          </w:tcPr>
          <w:p w14:paraId="7680237F" w14:textId="77777777" w:rsidR="004F3CD5" w:rsidRPr="00161DE5" w:rsidRDefault="004F3CD5" w:rsidP="004F3CD5">
            <w:pPr>
              <w:suppressAutoHyphens/>
              <w:spacing w:line="269" w:lineRule="auto"/>
              <w:rPr>
                <w:rFonts w:eastAsia="Times New Roman" w:cs="Arial CE"/>
                <w:szCs w:val="19"/>
                <w:lang w:val="en-GB" w:eastAsia="pl-PL"/>
              </w:rPr>
            </w:pPr>
          </w:p>
        </w:tc>
        <w:tc>
          <w:tcPr>
            <w:tcW w:w="968" w:type="dxa"/>
            <w:hideMark/>
          </w:tcPr>
          <w:p w14:paraId="2CDEBAB2" w14:textId="08F29D4F" w:rsidR="004F3CD5" w:rsidRPr="00161DE5" w:rsidRDefault="004F3CD5" w:rsidP="004F3CD5">
            <w:pPr>
              <w:ind w:left="-57" w:right="-57"/>
              <w:jc w:val="center"/>
              <w:rPr>
                <w:rFonts w:eastAsia="Times New Roman" w:cs="Calibri"/>
                <w:szCs w:val="19"/>
                <w:lang w:val="en-GB" w:eastAsia="pl-PL"/>
              </w:rPr>
            </w:pPr>
            <w:r w:rsidRPr="00161DE5">
              <w:rPr>
                <w:rFonts w:eastAsia="Times New Roman" w:cs="Calibri"/>
                <w:szCs w:val="19"/>
                <w:lang w:val="en-GB" w:eastAsia="pl-PL"/>
              </w:rPr>
              <w:t>by house</w:t>
            </w:r>
            <w:r w:rsidR="00871AF2">
              <w:rPr>
                <w:rFonts w:eastAsia="Times New Roman" w:cs="Calibri"/>
                <w:szCs w:val="19"/>
                <w:lang w:val="en-GB" w:eastAsia="pl-PL"/>
              </w:rPr>
              <w:t>-</w:t>
            </w:r>
            <w:r w:rsidRPr="00161DE5">
              <w:rPr>
                <w:rFonts w:eastAsia="Times New Roman" w:cs="Calibri"/>
                <w:szCs w:val="19"/>
                <w:lang w:val="en-GB" w:eastAsia="pl-PL"/>
              </w:rPr>
              <w:t>holds</w:t>
            </w:r>
          </w:p>
        </w:tc>
        <w:tc>
          <w:tcPr>
            <w:tcW w:w="969" w:type="dxa"/>
            <w:hideMark/>
          </w:tcPr>
          <w:p w14:paraId="77AD065E" w14:textId="7C31435F" w:rsidR="004F3CD5" w:rsidRPr="00161DE5" w:rsidRDefault="004F3CD5" w:rsidP="004F3CD5">
            <w:pPr>
              <w:ind w:left="-57" w:right="-57"/>
              <w:jc w:val="center"/>
              <w:rPr>
                <w:rFonts w:eastAsia="Times New Roman" w:cs="Arial"/>
                <w:szCs w:val="19"/>
                <w:lang w:val="en-GB" w:eastAsia="pl-PL"/>
              </w:rPr>
            </w:pPr>
            <w:r w:rsidRPr="00161DE5">
              <w:rPr>
                <w:rFonts w:eastAsia="Times New Roman" w:cs="Arial"/>
                <w:szCs w:val="19"/>
                <w:lang w:val="en-GB" w:eastAsia="pl-PL"/>
              </w:rPr>
              <w:t xml:space="preserve">by non-profit </w:t>
            </w:r>
            <w:proofErr w:type="spellStart"/>
            <w:r w:rsidRPr="00161DE5">
              <w:rPr>
                <w:rFonts w:eastAsia="Times New Roman" w:cs="Arial"/>
                <w:szCs w:val="19"/>
                <w:lang w:val="en-GB" w:eastAsia="pl-PL"/>
              </w:rPr>
              <w:t>institu</w:t>
            </w:r>
            <w:r w:rsidR="00871AF2">
              <w:rPr>
                <w:rFonts w:eastAsia="Times New Roman" w:cs="Arial"/>
                <w:szCs w:val="19"/>
                <w:lang w:val="en-GB" w:eastAsia="pl-PL"/>
              </w:rPr>
              <w:t>-</w:t>
            </w:r>
            <w:r w:rsidRPr="00161DE5">
              <w:rPr>
                <w:rFonts w:eastAsia="Times New Roman" w:cs="Arial"/>
                <w:szCs w:val="19"/>
                <w:lang w:val="en-GB" w:eastAsia="pl-PL"/>
              </w:rPr>
              <w:t>tions</w:t>
            </w:r>
            <w:proofErr w:type="spellEnd"/>
            <w:r w:rsidRPr="00161DE5">
              <w:rPr>
                <w:rFonts w:eastAsia="Times New Roman" w:cs="Arial"/>
                <w:szCs w:val="19"/>
                <w:lang w:val="en-GB" w:eastAsia="pl-PL"/>
              </w:rPr>
              <w:t xml:space="preserve"> </w:t>
            </w:r>
          </w:p>
        </w:tc>
        <w:tc>
          <w:tcPr>
            <w:tcW w:w="969" w:type="dxa"/>
            <w:hideMark/>
          </w:tcPr>
          <w:p w14:paraId="43DA3DD5" w14:textId="2131525B" w:rsidR="004F3CD5" w:rsidRPr="00161DE5" w:rsidRDefault="004F3CD5" w:rsidP="004F3CD5">
            <w:pPr>
              <w:ind w:left="-57" w:right="-57"/>
              <w:jc w:val="center"/>
              <w:rPr>
                <w:rFonts w:eastAsia="Times New Roman" w:cs="Arial"/>
                <w:szCs w:val="19"/>
                <w:lang w:val="en-GB" w:eastAsia="pl-PL"/>
              </w:rPr>
            </w:pPr>
            <w:r w:rsidRPr="00161DE5">
              <w:rPr>
                <w:rFonts w:eastAsia="Times New Roman" w:cs="Arial"/>
                <w:szCs w:val="19"/>
                <w:lang w:val="en-GB" w:eastAsia="pl-PL"/>
              </w:rPr>
              <w:t xml:space="preserve">by </w:t>
            </w:r>
            <w:r w:rsidR="00321A22" w:rsidRPr="00161DE5">
              <w:rPr>
                <w:rFonts w:eastAsia="Times New Roman" w:cs="Arial"/>
                <w:szCs w:val="19"/>
                <w:lang w:val="en-GB" w:eastAsia="pl-PL"/>
              </w:rPr>
              <w:t>general</w:t>
            </w:r>
            <w:r w:rsidR="0021392B">
              <w:rPr>
                <w:rFonts w:eastAsia="Times New Roman" w:cs="Arial"/>
                <w:szCs w:val="19"/>
                <w:lang w:val="en-GB" w:eastAsia="pl-PL"/>
              </w:rPr>
              <w:t xml:space="preserve"> </w:t>
            </w:r>
            <w:r w:rsidRPr="00161DE5">
              <w:rPr>
                <w:rFonts w:eastAsia="Times New Roman" w:cs="Arial"/>
                <w:szCs w:val="19"/>
                <w:lang w:val="en-GB" w:eastAsia="pl-PL"/>
              </w:rPr>
              <w:t>govern</w:t>
            </w:r>
            <w:r w:rsidR="00871AF2">
              <w:rPr>
                <w:rFonts w:eastAsia="Times New Roman" w:cs="Arial"/>
                <w:szCs w:val="19"/>
                <w:lang w:val="en-GB" w:eastAsia="pl-PL"/>
              </w:rPr>
              <w:t>-</w:t>
            </w:r>
            <w:proofErr w:type="spellStart"/>
            <w:r w:rsidRPr="00161DE5">
              <w:rPr>
                <w:rFonts w:eastAsia="Times New Roman" w:cs="Arial"/>
                <w:szCs w:val="19"/>
                <w:lang w:val="en-GB" w:eastAsia="pl-PL"/>
              </w:rPr>
              <w:t>ment</w:t>
            </w:r>
            <w:proofErr w:type="spellEnd"/>
            <w:r w:rsidRPr="00161DE5">
              <w:rPr>
                <w:rFonts w:eastAsia="Times New Roman" w:cs="Arial"/>
                <w:szCs w:val="19"/>
                <w:lang w:val="en-GB" w:eastAsia="pl-PL"/>
              </w:rPr>
              <w:t xml:space="preserve"> </w:t>
            </w:r>
          </w:p>
        </w:tc>
        <w:tc>
          <w:tcPr>
            <w:tcW w:w="969" w:type="dxa"/>
            <w:vMerge/>
          </w:tcPr>
          <w:p w14:paraId="2682ED9F" w14:textId="77777777" w:rsidR="004F3CD5" w:rsidRPr="00161DE5" w:rsidRDefault="004F3CD5" w:rsidP="004F3CD5">
            <w:pPr>
              <w:jc w:val="center"/>
              <w:rPr>
                <w:rFonts w:eastAsia="Times New Roman" w:cs="Arial CE"/>
                <w:szCs w:val="19"/>
                <w:lang w:val="en-GB" w:eastAsia="pl-PL"/>
              </w:rPr>
            </w:pPr>
          </w:p>
        </w:tc>
        <w:tc>
          <w:tcPr>
            <w:tcW w:w="969" w:type="dxa"/>
            <w:vMerge/>
          </w:tcPr>
          <w:p w14:paraId="07E2AD0E" w14:textId="77777777" w:rsidR="004F3CD5" w:rsidRPr="00161DE5" w:rsidRDefault="004F3CD5" w:rsidP="004F3CD5">
            <w:pPr>
              <w:jc w:val="center"/>
              <w:rPr>
                <w:rFonts w:eastAsia="Times New Roman" w:cs="Arial CE"/>
                <w:szCs w:val="19"/>
                <w:lang w:val="en-GB" w:eastAsia="pl-PL"/>
              </w:rPr>
            </w:pPr>
          </w:p>
        </w:tc>
        <w:tc>
          <w:tcPr>
            <w:tcW w:w="969" w:type="dxa"/>
            <w:vMerge/>
          </w:tcPr>
          <w:p w14:paraId="1E159FB8" w14:textId="77777777" w:rsidR="004F3CD5" w:rsidRPr="00161DE5" w:rsidRDefault="004F3CD5" w:rsidP="004F3CD5">
            <w:pPr>
              <w:jc w:val="center"/>
              <w:rPr>
                <w:rFonts w:eastAsia="Times New Roman" w:cs="Arial CE"/>
                <w:szCs w:val="19"/>
                <w:lang w:val="en-GB" w:eastAsia="pl-PL"/>
              </w:rPr>
            </w:pPr>
          </w:p>
        </w:tc>
      </w:tr>
      <w:tr w:rsidR="00871AF2" w:rsidRPr="00161DE5" w14:paraId="5A9BCA7A" w14:textId="77777777" w:rsidTr="00DE6A28">
        <w:trPr>
          <w:tblHeader/>
        </w:trPr>
        <w:tc>
          <w:tcPr>
            <w:tcW w:w="1700" w:type="dxa"/>
            <w:vMerge/>
            <w:tcBorders>
              <w:bottom w:val="single" w:sz="4" w:space="0" w:color="001D77"/>
            </w:tcBorders>
            <w:noWrap/>
            <w:vAlign w:val="center"/>
          </w:tcPr>
          <w:p w14:paraId="2D0A9777" w14:textId="77777777" w:rsidR="00871AF2" w:rsidRPr="00161DE5" w:rsidRDefault="00871AF2" w:rsidP="004F3CD5">
            <w:pPr>
              <w:suppressAutoHyphens/>
              <w:spacing w:before="0" w:after="0" w:line="240" w:lineRule="auto"/>
              <w:jc w:val="center"/>
              <w:rPr>
                <w:rFonts w:eastAsia="Times New Roman" w:cs="Times New Roman"/>
                <w:szCs w:val="19"/>
                <w:lang w:val="en-GB" w:eastAsia="pl-PL"/>
              </w:rPr>
            </w:pPr>
          </w:p>
        </w:tc>
        <w:tc>
          <w:tcPr>
            <w:tcW w:w="5813" w:type="dxa"/>
            <w:gridSpan w:val="6"/>
            <w:tcBorders>
              <w:bottom w:val="single" w:sz="4" w:space="0" w:color="001D77"/>
            </w:tcBorders>
            <w:noWrap/>
            <w:vAlign w:val="center"/>
          </w:tcPr>
          <w:p w14:paraId="0A61879A" w14:textId="5CFF38E4" w:rsidR="00871AF2" w:rsidRPr="00161DE5" w:rsidRDefault="00871AF2" w:rsidP="004F3CD5">
            <w:pPr>
              <w:jc w:val="center"/>
              <w:rPr>
                <w:rFonts w:eastAsia="Times New Roman" w:cs="Arial CE"/>
                <w:szCs w:val="19"/>
                <w:lang w:val="en-GB" w:eastAsia="pl-PL"/>
              </w:rPr>
            </w:pPr>
            <w:r w:rsidRPr="00161DE5">
              <w:rPr>
                <w:rFonts w:eastAsia="Times New Roman" w:cs="Times New Roman"/>
                <w:szCs w:val="19"/>
                <w:lang w:val="en-GB" w:eastAsia="pl-PL"/>
              </w:rPr>
              <w:t>in PLN million</w:t>
            </w:r>
          </w:p>
        </w:tc>
      </w:tr>
      <w:tr w:rsidR="004F3CD5" w:rsidRPr="00161DE5" w14:paraId="193812B8" w14:textId="77777777" w:rsidTr="00871AF2">
        <w:trPr>
          <w:trHeight w:val="518"/>
          <w:tblHeader/>
        </w:trPr>
        <w:tc>
          <w:tcPr>
            <w:tcW w:w="1700" w:type="dxa"/>
            <w:tcBorders>
              <w:top w:val="single" w:sz="4" w:space="0" w:color="001D77"/>
              <w:left w:val="nil"/>
              <w:bottom w:val="single" w:sz="4" w:space="0" w:color="001D77"/>
              <w:right w:val="single" w:sz="4" w:space="0" w:color="001D77"/>
            </w:tcBorders>
            <w:noWrap/>
            <w:vAlign w:val="center"/>
            <w:hideMark/>
          </w:tcPr>
          <w:p w14:paraId="25B3989E" w14:textId="77777777" w:rsidR="004F3CD5" w:rsidRPr="00161DE5" w:rsidRDefault="004F3CD5" w:rsidP="004F3CD5">
            <w:pPr>
              <w:suppressAutoHyphens/>
              <w:spacing w:line="269" w:lineRule="auto"/>
              <w:rPr>
                <w:rFonts w:eastAsia="Times New Roman" w:cs="Calibri"/>
                <w:szCs w:val="19"/>
                <w:lang w:val="en-GB" w:eastAsia="pl-PL"/>
              </w:rPr>
            </w:pPr>
            <w:r w:rsidRPr="00161DE5">
              <w:rPr>
                <w:rFonts w:eastAsia="Times New Roman" w:cs="Calibri"/>
                <w:szCs w:val="19"/>
                <w:lang w:val="en-GB" w:eastAsia="pl-PL"/>
              </w:rPr>
              <w:t>Total</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hideMark/>
          </w:tcPr>
          <w:p w14:paraId="75F2A742" w14:textId="61AFAEAD" w:rsidR="004F3CD5" w:rsidRPr="00EE665E" w:rsidRDefault="002C645D" w:rsidP="004F3CD5">
            <w:pPr>
              <w:suppressAutoHyphens/>
              <w:jc w:val="right"/>
              <w:rPr>
                <w:rFonts w:eastAsia="Times New Roman" w:cs="Calibri"/>
                <w:szCs w:val="19"/>
                <w:lang w:val="en-GB" w:eastAsia="pl-PL"/>
              </w:rPr>
            </w:pPr>
            <w:r>
              <w:rPr>
                <w:rFonts w:eastAsia="Times New Roman" w:cs="Calibri"/>
                <w:szCs w:val="19"/>
                <w:lang w:val="en-GB" w:eastAsia="pl-PL"/>
              </w:rPr>
              <w:t>33,065.</w:t>
            </w:r>
            <w:r w:rsidR="004F3CD5" w:rsidRPr="00EE665E">
              <w:rPr>
                <w:rFonts w:eastAsia="Times New Roman" w:cs="Calibri"/>
                <w:szCs w:val="19"/>
                <w:lang w:val="en-GB" w:eastAsia="pl-PL"/>
              </w:rPr>
              <w:t>0</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hideMark/>
          </w:tcPr>
          <w:p w14:paraId="79078237" w14:textId="02881627" w:rsidR="004F3CD5" w:rsidRPr="00EE665E" w:rsidRDefault="002C645D" w:rsidP="004F3CD5">
            <w:pPr>
              <w:suppressAutoHyphens/>
              <w:jc w:val="right"/>
              <w:rPr>
                <w:rFonts w:eastAsia="Times New Roman" w:cs="Calibri"/>
                <w:szCs w:val="19"/>
                <w:lang w:val="en-GB" w:eastAsia="pl-PL"/>
              </w:rPr>
            </w:pPr>
            <w:r>
              <w:rPr>
                <w:rFonts w:eastAsia="Times New Roman" w:cs="Calibri"/>
                <w:szCs w:val="19"/>
                <w:lang w:val="en-GB" w:eastAsia="pl-PL"/>
              </w:rPr>
              <w:t>1,330.</w:t>
            </w:r>
            <w:r w:rsidR="004F3CD5" w:rsidRPr="00EE665E">
              <w:rPr>
                <w:rFonts w:eastAsia="Times New Roman" w:cs="Calibri"/>
                <w:szCs w:val="19"/>
                <w:lang w:val="en-GB" w:eastAsia="pl-PL"/>
              </w:rPr>
              <w:t>4</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hideMark/>
          </w:tcPr>
          <w:p w14:paraId="301B5FE8" w14:textId="0788DA7B" w:rsidR="004F3CD5" w:rsidRPr="00EE665E" w:rsidRDefault="002C645D" w:rsidP="004F3CD5">
            <w:pPr>
              <w:suppressAutoHyphens/>
              <w:jc w:val="right"/>
              <w:rPr>
                <w:rFonts w:eastAsia="Times New Roman" w:cs="Calibri"/>
                <w:szCs w:val="19"/>
                <w:lang w:val="en-GB" w:eastAsia="pl-PL"/>
              </w:rPr>
            </w:pPr>
            <w:r>
              <w:rPr>
                <w:rFonts w:eastAsia="Times New Roman" w:cs="Calibri"/>
                <w:szCs w:val="19"/>
                <w:lang w:val="en-GB" w:eastAsia="pl-PL"/>
              </w:rPr>
              <w:t>15,951.</w:t>
            </w:r>
            <w:r w:rsidR="004F3CD5" w:rsidRPr="00EE665E">
              <w:rPr>
                <w:rFonts w:eastAsia="Times New Roman" w:cs="Calibri"/>
                <w:szCs w:val="19"/>
                <w:lang w:val="en-GB" w:eastAsia="pl-PL"/>
              </w:rPr>
              <w:t>9</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hideMark/>
          </w:tcPr>
          <w:p w14:paraId="253B1EB9" w14:textId="1979DE42" w:rsidR="004F3CD5" w:rsidRPr="00EE665E" w:rsidRDefault="002C645D" w:rsidP="004F3CD5">
            <w:pPr>
              <w:suppressAutoHyphens/>
              <w:jc w:val="right"/>
              <w:rPr>
                <w:rFonts w:eastAsia="Times New Roman" w:cs="Calibri"/>
                <w:szCs w:val="19"/>
                <w:lang w:val="en-GB" w:eastAsia="pl-PL"/>
              </w:rPr>
            </w:pPr>
            <w:r>
              <w:rPr>
                <w:rFonts w:eastAsia="Times New Roman" w:cs="Calibri"/>
                <w:szCs w:val="19"/>
                <w:lang w:val="en-GB" w:eastAsia="pl-PL"/>
              </w:rPr>
              <w:t>5,013.</w:t>
            </w:r>
            <w:r w:rsidR="004F3CD5" w:rsidRPr="00EE665E">
              <w:rPr>
                <w:rFonts w:eastAsia="Times New Roman" w:cs="Calibri"/>
                <w:szCs w:val="19"/>
                <w:lang w:val="en-GB" w:eastAsia="pl-PL"/>
              </w:rPr>
              <w:t>1</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hideMark/>
          </w:tcPr>
          <w:p w14:paraId="68167812" w14:textId="27D34B7F" w:rsidR="004F3CD5" w:rsidRPr="00EE665E" w:rsidRDefault="002C645D" w:rsidP="004F3CD5">
            <w:pPr>
              <w:suppressAutoHyphens/>
              <w:jc w:val="right"/>
              <w:rPr>
                <w:rFonts w:eastAsia="Times New Roman" w:cs="Calibri"/>
                <w:szCs w:val="19"/>
                <w:lang w:val="en-GB" w:eastAsia="pl-PL"/>
              </w:rPr>
            </w:pPr>
            <w:r>
              <w:rPr>
                <w:rFonts w:eastAsia="Times New Roman" w:cs="Calibri"/>
                <w:szCs w:val="19"/>
                <w:lang w:val="en-GB" w:eastAsia="pl-PL"/>
              </w:rPr>
              <w:t>21,044.</w:t>
            </w:r>
            <w:r w:rsidR="004F3CD5" w:rsidRPr="00EE665E">
              <w:rPr>
                <w:rFonts w:eastAsia="Times New Roman" w:cs="Calibri"/>
                <w:szCs w:val="19"/>
                <w:lang w:val="en-GB" w:eastAsia="pl-PL"/>
              </w:rPr>
              <w:t>9</w:t>
            </w:r>
          </w:p>
        </w:tc>
        <w:tc>
          <w:tcPr>
            <w:tcW w:w="969" w:type="dxa"/>
            <w:tcBorders>
              <w:top w:val="single" w:sz="4" w:space="0" w:color="001D77"/>
              <w:left w:val="single" w:sz="4" w:space="0" w:color="001D77"/>
              <w:bottom w:val="single" w:sz="4" w:space="0" w:color="001D77"/>
              <w:right w:val="nil"/>
            </w:tcBorders>
            <w:shd w:val="clear" w:color="auto" w:fill="auto"/>
            <w:noWrap/>
            <w:hideMark/>
          </w:tcPr>
          <w:p w14:paraId="410934B6" w14:textId="0ADF8330" w:rsidR="004F3CD5" w:rsidRPr="00EE665E" w:rsidRDefault="002C645D" w:rsidP="004F3CD5">
            <w:pPr>
              <w:suppressAutoHyphens/>
              <w:jc w:val="right"/>
              <w:rPr>
                <w:rFonts w:eastAsia="Times New Roman" w:cs="Calibri"/>
                <w:szCs w:val="19"/>
                <w:lang w:val="en-GB" w:eastAsia="pl-PL"/>
              </w:rPr>
            </w:pPr>
            <w:r>
              <w:rPr>
                <w:rFonts w:eastAsia="Times New Roman" w:cs="Calibri"/>
                <w:szCs w:val="19"/>
                <w:lang w:val="en-GB" w:eastAsia="pl-PL"/>
              </w:rPr>
              <w:t>26,480.</w:t>
            </w:r>
            <w:r w:rsidR="004F3CD5" w:rsidRPr="00EE665E">
              <w:rPr>
                <w:rFonts w:eastAsia="Times New Roman" w:cs="Calibri"/>
                <w:szCs w:val="19"/>
                <w:lang w:val="en-GB" w:eastAsia="pl-PL"/>
              </w:rPr>
              <w:t>7</w:t>
            </w:r>
          </w:p>
        </w:tc>
      </w:tr>
      <w:tr w:rsidR="004F3CD5" w:rsidRPr="00161DE5" w14:paraId="584B8F6B" w14:textId="77777777" w:rsidTr="00871AF2">
        <w:trPr>
          <w:trHeight w:val="508"/>
          <w:tblHeader/>
        </w:trPr>
        <w:tc>
          <w:tcPr>
            <w:tcW w:w="1700" w:type="dxa"/>
            <w:tcBorders>
              <w:top w:val="single" w:sz="4" w:space="0" w:color="001D77"/>
              <w:left w:val="nil"/>
              <w:bottom w:val="single" w:sz="4" w:space="0" w:color="001D77"/>
              <w:right w:val="single" w:sz="4" w:space="0" w:color="001D77"/>
            </w:tcBorders>
            <w:vAlign w:val="center"/>
            <w:hideMark/>
          </w:tcPr>
          <w:p w14:paraId="1732E634" w14:textId="77777777"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Cultural heritage</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6B605B3" w14:textId="0732C249"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592.</w:t>
            </w:r>
            <w:r w:rsidR="004F3CD5" w:rsidRPr="00161DE5">
              <w:rPr>
                <w:rFonts w:eastAsia="Times New Roman" w:cs="Arial CE"/>
                <w:szCs w:val="19"/>
                <w:lang w:val="en-GB" w:eastAsia="pl-PL"/>
              </w:rPr>
              <w:t>2</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0056F54" w14:textId="07F49CB1"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366.</w:t>
            </w:r>
            <w:r w:rsidR="004F3CD5" w:rsidRPr="00161DE5">
              <w:rPr>
                <w:rFonts w:eastAsia="Times New Roman" w:cs="Arial CE"/>
                <w:szCs w:val="19"/>
                <w:lang w:val="en-GB" w:eastAsia="pl-PL"/>
              </w:rPr>
              <w:t>2</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4B8CD869" w14:textId="78052D9A"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682.</w:t>
            </w:r>
            <w:r w:rsidR="004F3CD5" w:rsidRPr="00161DE5">
              <w:rPr>
                <w:rFonts w:eastAsia="Times New Roman" w:cs="Arial CE"/>
                <w:szCs w:val="19"/>
                <w:lang w:val="en-GB" w:eastAsia="pl-PL"/>
              </w:rPr>
              <w:t>3</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5570763" w14:textId="30FBB0B8"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w:t>
            </w:r>
            <w:r w:rsidR="004F3CD5" w:rsidRPr="00161DE5">
              <w:rPr>
                <w:rFonts w:eastAsia="Times New Roman" w:cs="Arial CE"/>
                <w:szCs w:val="19"/>
                <w:lang w:val="en-GB" w:eastAsia="pl-PL"/>
              </w:rPr>
              <w:t>8</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6C3599A" w14:textId="29620AAC"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278.</w:t>
            </w:r>
            <w:r w:rsidR="004F3CD5" w:rsidRPr="00161DE5">
              <w:rPr>
                <w:rFonts w:eastAsia="Times New Roman" w:cs="Arial CE"/>
                <w:szCs w:val="19"/>
                <w:lang w:val="en-GB" w:eastAsia="pl-PL"/>
              </w:rPr>
              <w:t>5</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2F512D82" w14:textId="4FF5156A"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453.</w:t>
            </w:r>
            <w:r w:rsidR="004F3CD5" w:rsidRPr="00161DE5">
              <w:rPr>
                <w:rFonts w:eastAsia="Times New Roman" w:cs="Arial CE"/>
                <w:szCs w:val="19"/>
                <w:lang w:val="en-GB" w:eastAsia="pl-PL"/>
              </w:rPr>
              <w:t>5</w:t>
            </w:r>
          </w:p>
        </w:tc>
      </w:tr>
      <w:tr w:rsidR="004F3CD5" w:rsidRPr="00161DE5" w14:paraId="6545DBB1" w14:textId="77777777" w:rsidTr="00871AF2">
        <w:trPr>
          <w:trHeight w:val="416"/>
          <w:tblHeader/>
        </w:trPr>
        <w:tc>
          <w:tcPr>
            <w:tcW w:w="1700" w:type="dxa"/>
            <w:tcBorders>
              <w:top w:val="single" w:sz="4" w:space="0" w:color="001D77"/>
              <w:left w:val="nil"/>
              <w:bottom w:val="single" w:sz="4" w:space="0" w:color="001D77"/>
              <w:right w:val="single" w:sz="4" w:space="0" w:color="001D77"/>
            </w:tcBorders>
            <w:noWrap/>
            <w:vAlign w:val="center"/>
            <w:hideMark/>
          </w:tcPr>
          <w:p w14:paraId="65C9E8BD" w14:textId="1B1DF0E1" w:rsidR="004F3CD5" w:rsidRPr="00161DE5" w:rsidRDefault="004F3CD5" w:rsidP="004F3CD5">
            <w:pPr>
              <w:suppressAutoHyphens/>
              <w:spacing w:line="269" w:lineRule="auto"/>
              <w:ind w:left="74" w:hanging="74"/>
              <w:rPr>
                <w:rFonts w:eastAsia="Times New Roman" w:cs="Calibri"/>
                <w:szCs w:val="19"/>
                <w:lang w:val="en-GB" w:eastAsia="pl-PL"/>
              </w:rPr>
            </w:pPr>
            <w:r w:rsidRPr="00161DE5">
              <w:rPr>
                <w:rFonts w:eastAsia="Times New Roman" w:cs="Calibri"/>
                <w:szCs w:val="19"/>
                <w:lang w:val="en-GB" w:eastAsia="pl-PL"/>
              </w:rPr>
              <w:t>Librar</w:t>
            </w:r>
            <w:r w:rsidR="002C645D">
              <w:rPr>
                <w:rFonts w:eastAsia="Times New Roman" w:cs="Calibri"/>
                <w:szCs w:val="19"/>
                <w:lang w:val="en-GB" w:eastAsia="pl-PL"/>
              </w:rPr>
              <w:t>ies</w:t>
            </w:r>
            <w:r w:rsidRPr="00161DE5">
              <w:rPr>
                <w:rFonts w:eastAsia="Times New Roman" w:cs="Calibri"/>
                <w:szCs w:val="19"/>
                <w:lang w:val="en-GB" w:eastAsia="pl-PL"/>
              </w:rPr>
              <w:t xml:space="preserve"> and archives</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DF297F2"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EBBC701" w14:textId="04405ECC"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142.</w:t>
            </w:r>
            <w:r w:rsidR="004F3CD5" w:rsidRPr="00161DE5">
              <w:rPr>
                <w:rFonts w:eastAsia="Times New Roman" w:cs="Arial CE"/>
                <w:szCs w:val="19"/>
                <w:lang w:val="en-GB" w:eastAsia="pl-PL"/>
              </w:rPr>
              <w:t>4</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4CE2BA8" w14:textId="14D4CB2B"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3,372.</w:t>
            </w:r>
            <w:r w:rsidR="004F3CD5" w:rsidRPr="00161DE5">
              <w:rPr>
                <w:rFonts w:eastAsia="Times New Roman" w:cs="Arial CE"/>
                <w:szCs w:val="19"/>
                <w:lang w:val="en-GB" w:eastAsia="pl-PL"/>
              </w:rPr>
              <w:t>4</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46DB203" w14:textId="6631C356"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-0.</w:t>
            </w:r>
            <w:r w:rsidR="004F3CD5" w:rsidRPr="00161DE5">
              <w:rPr>
                <w:rFonts w:eastAsia="Times New Roman" w:cs="Arial CE"/>
                <w:szCs w:val="19"/>
                <w:lang w:val="en-GB" w:eastAsia="pl-PL"/>
              </w:rPr>
              <w:t>5</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F52D8CF"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48544E1F"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r>
      <w:tr w:rsidR="004F3CD5" w:rsidRPr="00161DE5" w14:paraId="26BCB7FD" w14:textId="77777777" w:rsidTr="00871AF2">
        <w:trPr>
          <w:trHeight w:val="522"/>
          <w:tblHeader/>
        </w:trPr>
        <w:tc>
          <w:tcPr>
            <w:tcW w:w="1700" w:type="dxa"/>
            <w:tcBorders>
              <w:top w:val="single" w:sz="4" w:space="0" w:color="001D77"/>
              <w:left w:val="nil"/>
              <w:bottom w:val="single" w:sz="4" w:space="0" w:color="001D77"/>
              <w:right w:val="single" w:sz="4" w:space="0" w:color="001D77"/>
            </w:tcBorders>
            <w:vAlign w:val="center"/>
            <w:hideMark/>
          </w:tcPr>
          <w:p w14:paraId="440A0CBD" w14:textId="6D0761A5" w:rsidR="004F3CD5" w:rsidRPr="00161DE5" w:rsidRDefault="004F3CD5" w:rsidP="004F3CD5">
            <w:pPr>
              <w:suppressAutoHyphens/>
              <w:spacing w:line="269" w:lineRule="auto"/>
              <w:ind w:left="74" w:hanging="74"/>
              <w:rPr>
                <w:rFonts w:eastAsia="Times New Roman" w:cs="Calibri"/>
                <w:szCs w:val="19"/>
                <w:lang w:val="en-GB" w:eastAsia="pl-PL"/>
              </w:rPr>
            </w:pPr>
            <w:r w:rsidRPr="00161DE5">
              <w:rPr>
                <w:rFonts w:eastAsia="Times New Roman" w:cs="Calibri"/>
                <w:szCs w:val="19"/>
                <w:lang w:val="en-GB" w:eastAsia="pl-PL"/>
              </w:rPr>
              <w:t xml:space="preserve">Books and </w:t>
            </w:r>
            <w:r w:rsidR="00321A22" w:rsidRPr="00161DE5">
              <w:rPr>
                <w:rFonts w:eastAsia="Times New Roman" w:cs="Calibri"/>
                <w:szCs w:val="19"/>
                <w:lang w:val="en-GB" w:eastAsia="pl-PL"/>
              </w:rPr>
              <w:t>press</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09776AA" w14:textId="7690095C"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6,059.</w:t>
            </w:r>
            <w:r w:rsidR="004F3CD5" w:rsidRPr="00161DE5">
              <w:rPr>
                <w:rFonts w:eastAsia="Times New Roman" w:cs="Arial CE"/>
                <w:szCs w:val="19"/>
                <w:lang w:val="en-GB" w:eastAsia="pl-PL"/>
              </w:rPr>
              <w:t>4</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DB046F3" w14:textId="046FF82A"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44.</w:t>
            </w:r>
            <w:r w:rsidR="004F3CD5" w:rsidRPr="00161DE5">
              <w:rPr>
                <w:rFonts w:eastAsia="Times New Roman" w:cs="Arial CE"/>
                <w:szCs w:val="19"/>
                <w:lang w:val="en-GB" w:eastAsia="pl-PL"/>
              </w:rPr>
              <w:t>4</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4E9EC765" w14:textId="0B08D63F"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1,613.</w:t>
            </w:r>
            <w:r w:rsidR="004F3CD5" w:rsidRPr="00161DE5">
              <w:rPr>
                <w:rFonts w:eastAsia="Times New Roman" w:cs="Arial CE"/>
                <w:szCs w:val="19"/>
                <w:lang w:val="en-GB" w:eastAsia="pl-PL"/>
              </w:rPr>
              <w:t>9</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3C5455D8" w14:textId="2F6D6D35"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25.</w:t>
            </w:r>
            <w:r w:rsidR="004F3CD5" w:rsidRPr="00161DE5">
              <w:rPr>
                <w:rFonts w:eastAsia="Times New Roman" w:cs="Arial CE"/>
                <w:szCs w:val="19"/>
                <w:lang w:val="en-GB" w:eastAsia="pl-PL"/>
              </w:rPr>
              <w:t>9</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A6E0561" w14:textId="403FC8B0"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2,994.</w:t>
            </w:r>
            <w:r w:rsidR="004F3CD5" w:rsidRPr="00161DE5">
              <w:rPr>
                <w:rFonts w:eastAsia="Times New Roman" w:cs="Arial CE"/>
                <w:szCs w:val="19"/>
                <w:lang w:val="en-GB" w:eastAsia="pl-PL"/>
              </w:rPr>
              <w:t>2</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39D11FC6" w14:textId="308A8544"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6,771.</w:t>
            </w:r>
            <w:r w:rsidR="004F3CD5" w:rsidRPr="00161DE5">
              <w:rPr>
                <w:rFonts w:eastAsia="Times New Roman" w:cs="Arial CE"/>
                <w:szCs w:val="19"/>
                <w:lang w:val="en-GB" w:eastAsia="pl-PL"/>
              </w:rPr>
              <w:t>6</w:t>
            </w:r>
          </w:p>
        </w:tc>
      </w:tr>
      <w:tr w:rsidR="004F3CD5" w:rsidRPr="00161DE5" w14:paraId="6A620D8C" w14:textId="77777777" w:rsidTr="00871AF2">
        <w:trPr>
          <w:trHeight w:val="285"/>
          <w:tblHeader/>
        </w:trPr>
        <w:tc>
          <w:tcPr>
            <w:tcW w:w="1700" w:type="dxa"/>
            <w:tcBorders>
              <w:top w:val="single" w:sz="4" w:space="0" w:color="001D77"/>
              <w:left w:val="nil"/>
              <w:bottom w:val="single" w:sz="4" w:space="0" w:color="001D77"/>
              <w:right w:val="single" w:sz="4" w:space="0" w:color="001D77"/>
            </w:tcBorders>
            <w:vAlign w:val="center"/>
            <w:hideMark/>
          </w:tcPr>
          <w:p w14:paraId="30EB1C35" w14:textId="03C88F15" w:rsidR="004F3CD5" w:rsidRPr="00161DE5" w:rsidRDefault="004F3CD5" w:rsidP="004F3CD5">
            <w:pPr>
              <w:suppressAutoHyphens/>
              <w:spacing w:line="269" w:lineRule="auto"/>
              <w:rPr>
                <w:rFonts w:eastAsia="Times New Roman" w:cs="Calibri"/>
                <w:szCs w:val="19"/>
                <w:lang w:val="en-GB" w:eastAsia="pl-PL"/>
              </w:rPr>
            </w:pPr>
            <w:r w:rsidRPr="00161DE5">
              <w:rPr>
                <w:rFonts w:eastAsia="Times New Roman" w:cs="Calibri"/>
                <w:szCs w:val="19"/>
                <w:lang w:val="en-GB" w:eastAsia="pl-PL"/>
              </w:rPr>
              <w:t xml:space="preserve">Visual </w:t>
            </w:r>
            <w:r w:rsidR="0021392B">
              <w:rPr>
                <w:rFonts w:eastAsia="Times New Roman" w:cs="Calibri"/>
                <w:szCs w:val="19"/>
                <w:lang w:val="en-GB" w:eastAsia="pl-PL"/>
              </w:rPr>
              <w:t>a</w:t>
            </w:r>
            <w:r w:rsidRPr="00161DE5">
              <w:rPr>
                <w:rFonts w:eastAsia="Times New Roman" w:cs="Calibri"/>
                <w:szCs w:val="19"/>
                <w:lang w:val="en-GB" w:eastAsia="pl-PL"/>
              </w:rPr>
              <w:t>rts</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46A5F90A" w14:textId="1C5EDA7B"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3,081.</w:t>
            </w:r>
            <w:r w:rsidR="004F3CD5" w:rsidRPr="00161DE5">
              <w:rPr>
                <w:rFonts w:eastAsia="Times New Roman" w:cs="Arial CE"/>
                <w:szCs w:val="19"/>
                <w:lang w:val="en-GB" w:eastAsia="pl-PL"/>
              </w:rPr>
              <w:t>0</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84FE207" w14:textId="6EEAAE9A"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56.</w:t>
            </w:r>
            <w:r w:rsidR="004F3CD5" w:rsidRPr="00161DE5">
              <w:rPr>
                <w:rFonts w:eastAsia="Times New Roman" w:cs="Arial CE"/>
                <w:szCs w:val="19"/>
                <w:lang w:val="en-GB" w:eastAsia="pl-PL"/>
              </w:rPr>
              <w:t>3</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B9F07E0" w14:textId="3BE37B2A"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69.</w:t>
            </w:r>
            <w:r w:rsidR="004F3CD5" w:rsidRPr="00161DE5">
              <w:rPr>
                <w:rFonts w:eastAsia="Times New Roman" w:cs="Arial CE"/>
                <w:szCs w:val="19"/>
                <w:lang w:val="en-GB" w:eastAsia="pl-PL"/>
              </w:rPr>
              <w:t>2</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EFDF456" w14:textId="39533697"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w:t>
            </w:r>
            <w:r w:rsidR="004F3CD5" w:rsidRPr="00161DE5">
              <w:rPr>
                <w:rFonts w:eastAsia="Times New Roman" w:cs="Arial CE"/>
                <w:szCs w:val="19"/>
                <w:lang w:val="en-GB" w:eastAsia="pl-PL"/>
              </w:rPr>
              <w:t>2</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F9390E2" w14:textId="5F27A91F"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71.</w:t>
            </w:r>
            <w:r w:rsidR="004F3CD5" w:rsidRPr="00161DE5">
              <w:rPr>
                <w:rFonts w:eastAsia="Times New Roman" w:cs="Arial CE"/>
                <w:szCs w:val="19"/>
                <w:lang w:val="en-GB" w:eastAsia="pl-PL"/>
              </w:rPr>
              <w:t>8</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0B2A21DF" w14:textId="56E83804"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31.</w:t>
            </w:r>
            <w:r w:rsidR="004F3CD5" w:rsidRPr="00161DE5">
              <w:rPr>
                <w:rFonts w:eastAsia="Times New Roman" w:cs="Arial CE"/>
                <w:szCs w:val="19"/>
                <w:lang w:val="en-GB" w:eastAsia="pl-PL"/>
              </w:rPr>
              <w:t>3</w:t>
            </w:r>
          </w:p>
        </w:tc>
      </w:tr>
      <w:tr w:rsidR="004F3CD5" w:rsidRPr="00161DE5" w14:paraId="1AE58FA5" w14:textId="77777777" w:rsidTr="00871AF2">
        <w:trPr>
          <w:trHeight w:val="450"/>
          <w:tblHeader/>
        </w:trPr>
        <w:tc>
          <w:tcPr>
            <w:tcW w:w="1700" w:type="dxa"/>
            <w:tcBorders>
              <w:top w:val="single" w:sz="4" w:space="0" w:color="001D77"/>
              <w:left w:val="nil"/>
              <w:bottom w:val="single" w:sz="4" w:space="0" w:color="001D77"/>
              <w:right w:val="single" w:sz="4" w:space="0" w:color="001D77"/>
            </w:tcBorders>
            <w:vAlign w:val="center"/>
            <w:hideMark/>
          </w:tcPr>
          <w:p w14:paraId="4EAEB423" w14:textId="77777777"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Performing arts</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F417B5B" w14:textId="0BC1CD91"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1,077.</w:t>
            </w:r>
            <w:r w:rsidR="004F3CD5" w:rsidRPr="00161DE5">
              <w:rPr>
                <w:rFonts w:eastAsia="Times New Roman" w:cs="Arial CE"/>
                <w:szCs w:val="19"/>
                <w:lang w:val="en-GB" w:eastAsia="pl-PL"/>
              </w:rPr>
              <w:t>9</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E262754" w14:textId="7864C111"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327.</w:t>
            </w:r>
            <w:r w:rsidR="004F3CD5" w:rsidRPr="00161DE5">
              <w:rPr>
                <w:rFonts w:eastAsia="Times New Roman" w:cs="Arial CE"/>
                <w:szCs w:val="19"/>
                <w:lang w:val="en-GB" w:eastAsia="pl-PL"/>
              </w:rPr>
              <w:t>9</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8BF901E" w14:textId="369C4332"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4,970.</w:t>
            </w:r>
            <w:r w:rsidR="004F3CD5" w:rsidRPr="00161DE5">
              <w:rPr>
                <w:rFonts w:eastAsia="Times New Roman" w:cs="Arial CE"/>
                <w:szCs w:val="19"/>
                <w:lang w:val="en-GB" w:eastAsia="pl-PL"/>
              </w:rPr>
              <w:t>4</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38089721" w14:textId="636289D3"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1,616.</w:t>
            </w:r>
            <w:r w:rsidR="004F3CD5" w:rsidRPr="00161DE5">
              <w:rPr>
                <w:rFonts w:eastAsia="Times New Roman" w:cs="Arial CE"/>
                <w:szCs w:val="19"/>
                <w:lang w:val="en-GB" w:eastAsia="pl-PL"/>
              </w:rPr>
              <w:t>9</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3C9AAAB9" w14:textId="198CBCF6"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600.</w:t>
            </w:r>
            <w:r w:rsidR="004F3CD5" w:rsidRPr="00161DE5">
              <w:rPr>
                <w:rFonts w:eastAsia="Times New Roman" w:cs="Arial CE"/>
                <w:szCs w:val="19"/>
                <w:lang w:val="en-GB" w:eastAsia="pl-PL"/>
              </w:rPr>
              <w:t>7</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14945DF7" w14:textId="67538467"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277.</w:t>
            </w:r>
            <w:r w:rsidR="004F3CD5" w:rsidRPr="00161DE5">
              <w:rPr>
                <w:rFonts w:eastAsia="Times New Roman" w:cs="Arial CE"/>
                <w:szCs w:val="19"/>
                <w:lang w:val="en-GB" w:eastAsia="pl-PL"/>
              </w:rPr>
              <w:t>1</w:t>
            </w:r>
          </w:p>
        </w:tc>
      </w:tr>
      <w:tr w:rsidR="004F3CD5" w:rsidRPr="00161DE5" w14:paraId="63B9EB6B" w14:textId="77777777" w:rsidTr="00871AF2">
        <w:trPr>
          <w:trHeight w:val="285"/>
          <w:tblHeader/>
        </w:trPr>
        <w:tc>
          <w:tcPr>
            <w:tcW w:w="1700" w:type="dxa"/>
            <w:tcBorders>
              <w:top w:val="single" w:sz="4" w:space="0" w:color="001D77"/>
              <w:left w:val="nil"/>
              <w:bottom w:val="single" w:sz="4" w:space="0" w:color="001D77"/>
              <w:right w:val="single" w:sz="4" w:space="0" w:color="001D77"/>
            </w:tcBorders>
            <w:vAlign w:val="center"/>
            <w:hideMark/>
          </w:tcPr>
          <w:p w14:paraId="73C46848" w14:textId="47AF1AE0"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 xml:space="preserve">Audio-visual </w:t>
            </w:r>
            <w:r w:rsidR="0021392B">
              <w:rPr>
                <w:rFonts w:eastAsia="Times New Roman" w:cs="Calibri"/>
                <w:szCs w:val="19"/>
                <w:lang w:val="en-GB" w:eastAsia="pl-PL"/>
              </w:rPr>
              <w:t xml:space="preserve">arts </w:t>
            </w:r>
            <w:r w:rsidRPr="00161DE5">
              <w:rPr>
                <w:rFonts w:eastAsia="Times New Roman" w:cs="Calibri"/>
                <w:szCs w:val="19"/>
                <w:lang w:val="en-GB" w:eastAsia="pl-PL"/>
              </w:rPr>
              <w:t xml:space="preserve">and multimedia </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0E18CF7" w14:textId="2F5E34E1"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20,937.</w:t>
            </w:r>
            <w:r w:rsidR="004F3CD5" w:rsidRPr="00161DE5">
              <w:rPr>
                <w:rFonts w:eastAsia="Times New Roman" w:cs="Arial CE"/>
                <w:szCs w:val="19"/>
                <w:lang w:val="en-GB" w:eastAsia="pl-PL"/>
              </w:rPr>
              <w:t>1</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77E9AE7A" w14:textId="1AFBD625"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6.</w:t>
            </w:r>
            <w:r w:rsidR="004F3CD5" w:rsidRPr="00161DE5">
              <w:rPr>
                <w:rFonts w:eastAsia="Times New Roman" w:cs="Arial CE"/>
                <w:szCs w:val="19"/>
                <w:lang w:val="en-GB" w:eastAsia="pl-PL"/>
              </w:rPr>
              <w:t>1</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AD77ADA" w14:textId="0B9D09FA"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2,020.</w:t>
            </w:r>
            <w:r w:rsidR="004F3CD5" w:rsidRPr="00161DE5">
              <w:rPr>
                <w:rFonts w:eastAsia="Times New Roman" w:cs="Arial CE"/>
                <w:szCs w:val="19"/>
                <w:lang w:val="en-GB" w:eastAsia="pl-PL"/>
              </w:rPr>
              <w:t>8</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790D2D7" w14:textId="3699171F"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684.</w:t>
            </w:r>
            <w:r w:rsidR="004F3CD5" w:rsidRPr="00161DE5">
              <w:rPr>
                <w:rFonts w:eastAsia="Times New Roman" w:cs="Arial CE"/>
                <w:szCs w:val="19"/>
                <w:lang w:val="en-GB" w:eastAsia="pl-PL"/>
              </w:rPr>
              <w:t>5</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9F54D2F" w14:textId="09DBF525"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9,847.</w:t>
            </w:r>
            <w:r w:rsidR="004F3CD5" w:rsidRPr="00161DE5">
              <w:rPr>
                <w:rFonts w:eastAsia="Times New Roman" w:cs="Arial CE"/>
                <w:szCs w:val="19"/>
                <w:lang w:val="en-GB" w:eastAsia="pl-PL"/>
              </w:rPr>
              <w:t>2</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429EDE10" w14:textId="7760308D"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8,600.</w:t>
            </w:r>
            <w:r w:rsidR="004F3CD5" w:rsidRPr="00161DE5">
              <w:rPr>
                <w:rFonts w:eastAsia="Times New Roman" w:cs="Arial CE"/>
                <w:szCs w:val="19"/>
                <w:lang w:val="en-GB" w:eastAsia="pl-PL"/>
              </w:rPr>
              <w:t>0</w:t>
            </w:r>
          </w:p>
        </w:tc>
      </w:tr>
      <w:tr w:rsidR="004F3CD5" w:rsidRPr="00161DE5" w14:paraId="7485BEB2" w14:textId="77777777" w:rsidTr="00871AF2">
        <w:trPr>
          <w:trHeight w:val="285"/>
          <w:tblHeader/>
        </w:trPr>
        <w:tc>
          <w:tcPr>
            <w:tcW w:w="1700" w:type="dxa"/>
            <w:tcBorders>
              <w:top w:val="single" w:sz="4" w:space="0" w:color="001D77"/>
              <w:left w:val="nil"/>
              <w:bottom w:val="single" w:sz="4" w:space="0" w:color="001D77"/>
              <w:right w:val="single" w:sz="4" w:space="0" w:color="001D77"/>
            </w:tcBorders>
            <w:vAlign w:val="center"/>
            <w:hideMark/>
          </w:tcPr>
          <w:p w14:paraId="6E895F61" w14:textId="77777777" w:rsidR="004F3CD5" w:rsidRPr="00161DE5" w:rsidRDefault="004F3CD5" w:rsidP="004F3CD5">
            <w:pPr>
              <w:suppressAutoHyphens/>
              <w:spacing w:line="269" w:lineRule="auto"/>
              <w:ind w:right="-57"/>
              <w:rPr>
                <w:rFonts w:eastAsia="Times New Roman" w:cs="Calibri"/>
                <w:szCs w:val="19"/>
                <w:lang w:val="en-GB" w:eastAsia="pl-PL"/>
              </w:rPr>
            </w:pPr>
            <w:r w:rsidRPr="00161DE5">
              <w:rPr>
                <w:rFonts w:eastAsia="Times New Roman" w:cs="Calibri"/>
                <w:szCs w:val="19"/>
                <w:lang w:val="en-GB" w:eastAsia="pl-PL"/>
              </w:rPr>
              <w:t>Architecture</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71D0194"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ED24FA1"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5458432" w14:textId="64766F52"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315.</w:t>
            </w:r>
            <w:r w:rsidR="004F3CD5" w:rsidRPr="00161DE5">
              <w:rPr>
                <w:rFonts w:eastAsia="Times New Roman" w:cs="Arial CE"/>
                <w:szCs w:val="19"/>
                <w:lang w:val="en-GB" w:eastAsia="pl-PL"/>
              </w:rPr>
              <w:t>0</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6ED2830" w14:textId="55B3A4E0"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2,655.</w:t>
            </w:r>
            <w:r w:rsidR="004F3CD5" w:rsidRPr="00161DE5">
              <w:rPr>
                <w:rFonts w:eastAsia="Times New Roman" w:cs="Arial CE"/>
                <w:szCs w:val="19"/>
                <w:lang w:val="en-GB" w:eastAsia="pl-PL"/>
              </w:rPr>
              <w:t>8</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32B91DA" w14:textId="03DCDF56"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127.</w:t>
            </w:r>
            <w:r w:rsidR="004F3CD5" w:rsidRPr="00161DE5">
              <w:rPr>
                <w:rFonts w:eastAsia="Times New Roman" w:cs="Arial CE"/>
                <w:szCs w:val="19"/>
                <w:lang w:val="en-GB" w:eastAsia="pl-PL"/>
              </w:rPr>
              <w:t>1</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19873EED" w14:textId="0F11D3E1"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208.</w:t>
            </w:r>
            <w:r w:rsidR="004F3CD5" w:rsidRPr="00161DE5">
              <w:rPr>
                <w:rFonts w:eastAsia="Times New Roman" w:cs="Arial CE"/>
                <w:szCs w:val="19"/>
                <w:lang w:val="en-GB" w:eastAsia="pl-PL"/>
              </w:rPr>
              <w:t>8</w:t>
            </w:r>
          </w:p>
        </w:tc>
      </w:tr>
      <w:tr w:rsidR="004F3CD5" w:rsidRPr="00161DE5" w14:paraId="2F088D33" w14:textId="77777777" w:rsidTr="00871AF2">
        <w:trPr>
          <w:trHeight w:val="285"/>
          <w:tblHeader/>
        </w:trPr>
        <w:tc>
          <w:tcPr>
            <w:tcW w:w="1700" w:type="dxa"/>
            <w:tcBorders>
              <w:top w:val="single" w:sz="4" w:space="0" w:color="001D77"/>
              <w:left w:val="nil"/>
              <w:bottom w:val="single" w:sz="4" w:space="0" w:color="001D77"/>
              <w:right w:val="single" w:sz="4" w:space="0" w:color="001D77"/>
            </w:tcBorders>
            <w:vAlign w:val="center"/>
            <w:hideMark/>
          </w:tcPr>
          <w:p w14:paraId="49F1A022" w14:textId="77777777" w:rsidR="004F3CD5" w:rsidRPr="00161DE5" w:rsidRDefault="004F3CD5" w:rsidP="004F3CD5">
            <w:pPr>
              <w:suppressAutoHyphens/>
              <w:spacing w:line="269" w:lineRule="auto"/>
              <w:rPr>
                <w:rFonts w:eastAsia="Times New Roman" w:cs="Calibri"/>
                <w:szCs w:val="19"/>
                <w:lang w:val="en-GB" w:eastAsia="pl-PL"/>
              </w:rPr>
            </w:pPr>
            <w:r w:rsidRPr="00161DE5">
              <w:rPr>
                <w:rFonts w:eastAsia="Times New Roman" w:cs="Calibri"/>
                <w:szCs w:val="19"/>
                <w:lang w:val="en-GB" w:eastAsia="pl-PL"/>
              </w:rPr>
              <w:t>Advertising</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59920BA"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E895A62"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65D4123"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298A5F8" w14:textId="24FA6FA8"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-4.</w:t>
            </w:r>
            <w:r w:rsidR="004F3CD5" w:rsidRPr="00161DE5">
              <w:rPr>
                <w:rFonts w:eastAsia="Times New Roman" w:cs="Arial CE"/>
                <w:szCs w:val="19"/>
                <w:lang w:val="en-GB" w:eastAsia="pl-PL"/>
              </w:rPr>
              <w:t>3</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523F529" w14:textId="5C5CA355"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7,082.</w:t>
            </w:r>
            <w:r w:rsidR="004F3CD5" w:rsidRPr="00161DE5">
              <w:rPr>
                <w:rFonts w:eastAsia="Times New Roman" w:cs="Arial CE"/>
                <w:szCs w:val="19"/>
                <w:lang w:val="en-GB" w:eastAsia="pl-PL"/>
              </w:rPr>
              <w:t>6</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1F80E61C" w14:textId="679AE857"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9,991.</w:t>
            </w:r>
            <w:r w:rsidR="004F3CD5" w:rsidRPr="00161DE5">
              <w:rPr>
                <w:rFonts w:eastAsia="Times New Roman" w:cs="Arial CE"/>
                <w:szCs w:val="19"/>
                <w:lang w:val="en-GB" w:eastAsia="pl-PL"/>
              </w:rPr>
              <w:t>0</w:t>
            </w:r>
          </w:p>
        </w:tc>
      </w:tr>
      <w:tr w:rsidR="004F3CD5" w:rsidRPr="00161DE5" w14:paraId="7DD10610" w14:textId="77777777" w:rsidTr="00871AF2">
        <w:trPr>
          <w:trHeight w:val="450"/>
          <w:tblHeader/>
        </w:trPr>
        <w:tc>
          <w:tcPr>
            <w:tcW w:w="1700" w:type="dxa"/>
            <w:tcBorders>
              <w:top w:val="single" w:sz="4" w:space="0" w:color="001D77"/>
              <w:left w:val="nil"/>
              <w:bottom w:val="single" w:sz="4" w:space="0" w:color="001D77"/>
              <w:right w:val="single" w:sz="4" w:space="0" w:color="001D77"/>
            </w:tcBorders>
            <w:vAlign w:val="center"/>
            <w:hideMark/>
          </w:tcPr>
          <w:p w14:paraId="761DACE0" w14:textId="7E34FECF"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Art</w:t>
            </w:r>
            <w:r w:rsidR="00321A22" w:rsidRPr="00161DE5">
              <w:rPr>
                <w:rFonts w:eastAsia="Times New Roman" w:cs="Calibri"/>
                <w:szCs w:val="19"/>
                <w:lang w:val="en-GB" w:eastAsia="pl-PL"/>
              </w:rPr>
              <w:t>istic</w:t>
            </w:r>
            <w:r w:rsidRPr="00161DE5">
              <w:rPr>
                <w:rFonts w:eastAsia="Times New Roman" w:cs="Calibri"/>
                <w:szCs w:val="19"/>
                <w:lang w:val="en-GB" w:eastAsia="pl-PL"/>
              </w:rPr>
              <w:t xml:space="preserve"> education</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B7DF4EC" w14:textId="393100AD"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797.</w:t>
            </w:r>
            <w:r w:rsidR="004F3CD5" w:rsidRPr="00161DE5">
              <w:rPr>
                <w:rFonts w:eastAsia="Times New Roman" w:cs="Arial CE"/>
                <w:szCs w:val="19"/>
                <w:lang w:val="en-GB" w:eastAsia="pl-PL"/>
              </w:rPr>
              <w:t>0</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A2A0322" w14:textId="51CB9A13"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289.</w:t>
            </w:r>
            <w:r w:rsidR="004F3CD5" w:rsidRPr="00161DE5">
              <w:rPr>
                <w:rFonts w:eastAsia="Times New Roman" w:cs="Arial CE"/>
                <w:szCs w:val="19"/>
                <w:lang w:val="en-GB" w:eastAsia="pl-PL"/>
              </w:rPr>
              <w:t>8</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8C723DE" w14:textId="6E2FA8A3"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2,822.</w:t>
            </w:r>
            <w:r w:rsidR="004F3CD5" w:rsidRPr="00161DE5">
              <w:rPr>
                <w:rFonts w:eastAsia="Times New Roman" w:cs="Arial CE"/>
                <w:szCs w:val="19"/>
                <w:lang w:val="en-GB" w:eastAsia="pl-PL"/>
              </w:rPr>
              <w:t>2</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AB7C06F" w14:textId="0B6FF365"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w:t>
            </w:r>
            <w:r w:rsidR="004F3CD5" w:rsidRPr="00161DE5">
              <w:rPr>
                <w:rFonts w:eastAsia="Times New Roman" w:cs="Arial CE"/>
                <w:szCs w:val="19"/>
                <w:lang w:val="en-GB" w:eastAsia="pl-PL"/>
              </w:rPr>
              <w:t>3</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65E326C"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46C139BE"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r>
      <w:tr w:rsidR="004F3CD5" w:rsidRPr="00161DE5" w14:paraId="196C2394" w14:textId="77777777" w:rsidTr="00871AF2">
        <w:trPr>
          <w:trHeight w:val="285"/>
          <w:tblHeader/>
        </w:trPr>
        <w:tc>
          <w:tcPr>
            <w:tcW w:w="1700" w:type="dxa"/>
            <w:tcBorders>
              <w:top w:val="single" w:sz="4" w:space="0" w:color="001D77"/>
              <w:left w:val="nil"/>
              <w:bottom w:val="single" w:sz="4" w:space="0" w:color="001D77"/>
              <w:right w:val="single" w:sz="4" w:space="0" w:color="001D77"/>
            </w:tcBorders>
            <w:vAlign w:val="center"/>
            <w:hideMark/>
          </w:tcPr>
          <w:p w14:paraId="56E27E0F" w14:textId="0FB168EB" w:rsidR="004F3CD5" w:rsidRPr="00161DE5" w:rsidRDefault="00321A22" w:rsidP="00321A22">
            <w:pPr>
              <w:suppressAutoHyphens/>
              <w:spacing w:line="269" w:lineRule="auto"/>
              <w:rPr>
                <w:rFonts w:eastAsia="Times New Roman" w:cs="Calibri"/>
                <w:szCs w:val="19"/>
                <w:lang w:val="en-GB" w:eastAsia="pl-PL"/>
              </w:rPr>
            </w:pPr>
            <w:r w:rsidRPr="00161DE5">
              <w:rPr>
                <w:rFonts w:eastAsia="Times New Roman" w:cs="Calibri"/>
                <w:szCs w:val="19"/>
                <w:lang w:val="en-GB" w:eastAsia="pl-PL"/>
              </w:rPr>
              <w:t xml:space="preserve">Related to </w:t>
            </w:r>
            <w:r w:rsidR="000302A2">
              <w:rPr>
                <w:rFonts w:eastAsia="Times New Roman" w:cs="Calibri"/>
                <w:szCs w:val="19"/>
                <w:lang w:val="en-GB" w:eastAsia="pl-PL"/>
              </w:rPr>
              <w:t>c</w:t>
            </w:r>
            <w:r w:rsidRPr="00161DE5">
              <w:rPr>
                <w:rFonts w:eastAsia="Times New Roman" w:cs="Calibri"/>
                <w:szCs w:val="19"/>
                <w:lang w:val="en-GB" w:eastAsia="pl-PL"/>
              </w:rPr>
              <w:t>ulture</w:t>
            </w:r>
          </w:p>
        </w:tc>
        <w:tc>
          <w:tcPr>
            <w:tcW w:w="968"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4A0AF52B" w14:textId="2B7B071F"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520.</w:t>
            </w:r>
            <w:r w:rsidR="004F3CD5" w:rsidRPr="00161DE5">
              <w:rPr>
                <w:rFonts w:eastAsia="Times New Roman" w:cs="Arial CE"/>
                <w:szCs w:val="19"/>
                <w:lang w:val="en-GB" w:eastAsia="pl-PL"/>
              </w:rPr>
              <w:t>5</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16C45CB" w14:textId="1E259F55"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7.</w:t>
            </w:r>
            <w:r w:rsidR="004F3CD5" w:rsidRPr="00161DE5">
              <w:rPr>
                <w:rFonts w:eastAsia="Times New Roman" w:cs="Arial CE"/>
                <w:szCs w:val="19"/>
                <w:lang w:val="en-GB" w:eastAsia="pl-PL"/>
              </w:rPr>
              <w:t>7</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1BE480C"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BDEE342" w14:textId="3E05C29F"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33.</w:t>
            </w:r>
            <w:r w:rsidR="004F3CD5" w:rsidRPr="00161DE5">
              <w:rPr>
                <w:rFonts w:eastAsia="Times New Roman" w:cs="Arial CE"/>
                <w:szCs w:val="19"/>
                <w:lang w:val="en-GB" w:eastAsia="pl-PL"/>
              </w:rPr>
              <w:t>4</w:t>
            </w:r>
          </w:p>
        </w:tc>
        <w:tc>
          <w:tcPr>
            <w:tcW w:w="96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0C107DD" w14:textId="73318C20"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42.</w:t>
            </w:r>
            <w:r w:rsidR="004F3CD5" w:rsidRPr="00161DE5">
              <w:rPr>
                <w:rFonts w:eastAsia="Times New Roman" w:cs="Arial CE"/>
                <w:szCs w:val="19"/>
                <w:lang w:val="en-GB" w:eastAsia="pl-PL"/>
              </w:rPr>
              <w:t>9</w:t>
            </w:r>
          </w:p>
        </w:tc>
        <w:tc>
          <w:tcPr>
            <w:tcW w:w="969" w:type="dxa"/>
            <w:tcBorders>
              <w:top w:val="single" w:sz="4" w:space="0" w:color="001D77"/>
              <w:left w:val="single" w:sz="4" w:space="0" w:color="001D77"/>
              <w:bottom w:val="single" w:sz="4" w:space="0" w:color="001D77"/>
              <w:right w:val="nil"/>
            </w:tcBorders>
            <w:shd w:val="clear" w:color="auto" w:fill="auto"/>
            <w:noWrap/>
            <w:vAlign w:val="center"/>
            <w:hideMark/>
          </w:tcPr>
          <w:p w14:paraId="08575532" w14:textId="6DCA6DE0"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147.</w:t>
            </w:r>
            <w:r w:rsidR="004F3CD5" w:rsidRPr="00161DE5">
              <w:rPr>
                <w:rFonts w:eastAsia="Times New Roman" w:cs="Arial CE"/>
                <w:szCs w:val="19"/>
                <w:lang w:val="en-GB" w:eastAsia="pl-PL"/>
              </w:rPr>
              <w:t>4</w:t>
            </w:r>
          </w:p>
        </w:tc>
      </w:tr>
      <w:tr w:rsidR="004F3CD5" w:rsidRPr="00161DE5" w14:paraId="3669E0CE" w14:textId="77777777" w:rsidTr="00871AF2">
        <w:trPr>
          <w:trHeight w:val="285"/>
          <w:tblHeader/>
        </w:trPr>
        <w:tc>
          <w:tcPr>
            <w:tcW w:w="1700" w:type="dxa"/>
            <w:tcBorders>
              <w:top w:val="single" w:sz="4" w:space="0" w:color="001D77"/>
              <w:left w:val="nil"/>
              <w:bottom w:val="nil"/>
              <w:right w:val="single" w:sz="4" w:space="0" w:color="001D77"/>
            </w:tcBorders>
            <w:vAlign w:val="center"/>
            <w:hideMark/>
          </w:tcPr>
          <w:p w14:paraId="649D9D86" w14:textId="77777777" w:rsidR="004F3CD5" w:rsidRPr="00161DE5" w:rsidRDefault="004F3CD5" w:rsidP="004F3CD5">
            <w:pPr>
              <w:suppressAutoHyphens/>
              <w:spacing w:line="269" w:lineRule="auto"/>
              <w:ind w:left="72" w:hanging="72"/>
              <w:rPr>
                <w:rFonts w:eastAsia="Times New Roman" w:cs="Calibri"/>
                <w:szCs w:val="19"/>
                <w:lang w:val="en-GB" w:eastAsia="pl-PL"/>
              </w:rPr>
            </w:pPr>
            <w:r w:rsidRPr="00161DE5">
              <w:rPr>
                <w:rFonts w:eastAsia="Times New Roman" w:cs="Calibri"/>
                <w:szCs w:val="19"/>
                <w:lang w:val="en-GB" w:eastAsia="pl-PL"/>
              </w:rPr>
              <w:t>Culture management and administration</w:t>
            </w:r>
          </w:p>
        </w:tc>
        <w:tc>
          <w:tcPr>
            <w:tcW w:w="968" w:type="dxa"/>
            <w:tcBorders>
              <w:top w:val="single" w:sz="4" w:space="0" w:color="001D77"/>
              <w:left w:val="single" w:sz="4" w:space="0" w:color="001D77"/>
              <w:bottom w:val="nil"/>
              <w:right w:val="single" w:sz="4" w:space="0" w:color="001D77"/>
            </w:tcBorders>
            <w:shd w:val="clear" w:color="auto" w:fill="auto"/>
            <w:noWrap/>
            <w:vAlign w:val="center"/>
            <w:hideMark/>
          </w:tcPr>
          <w:p w14:paraId="0DB0FB15"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nil"/>
              <w:right w:val="single" w:sz="4" w:space="0" w:color="001D77"/>
            </w:tcBorders>
            <w:shd w:val="clear" w:color="auto" w:fill="auto"/>
            <w:noWrap/>
            <w:vAlign w:val="center"/>
            <w:hideMark/>
          </w:tcPr>
          <w:p w14:paraId="599D04E2" w14:textId="4F8B5D35"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89.</w:t>
            </w:r>
            <w:r w:rsidR="004F3CD5" w:rsidRPr="00161DE5">
              <w:rPr>
                <w:rFonts w:eastAsia="Times New Roman" w:cs="Arial CE"/>
                <w:szCs w:val="19"/>
                <w:lang w:val="en-GB" w:eastAsia="pl-PL"/>
              </w:rPr>
              <w:t>5</w:t>
            </w:r>
          </w:p>
        </w:tc>
        <w:tc>
          <w:tcPr>
            <w:tcW w:w="969" w:type="dxa"/>
            <w:tcBorders>
              <w:top w:val="single" w:sz="4" w:space="0" w:color="001D77"/>
              <w:left w:val="single" w:sz="4" w:space="0" w:color="001D77"/>
              <w:bottom w:val="nil"/>
              <w:right w:val="single" w:sz="4" w:space="0" w:color="001D77"/>
            </w:tcBorders>
            <w:shd w:val="clear" w:color="auto" w:fill="auto"/>
            <w:noWrap/>
            <w:vAlign w:val="center"/>
            <w:hideMark/>
          </w:tcPr>
          <w:p w14:paraId="77D12B0A" w14:textId="49E6504A"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85.</w:t>
            </w:r>
            <w:r w:rsidR="004F3CD5" w:rsidRPr="00161DE5">
              <w:rPr>
                <w:rFonts w:eastAsia="Times New Roman" w:cs="Arial CE"/>
                <w:szCs w:val="19"/>
                <w:lang w:val="en-GB" w:eastAsia="pl-PL"/>
              </w:rPr>
              <w:t>7</w:t>
            </w:r>
          </w:p>
        </w:tc>
        <w:tc>
          <w:tcPr>
            <w:tcW w:w="969" w:type="dxa"/>
            <w:tcBorders>
              <w:top w:val="single" w:sz="4" w:space="0" w:color="001D77"/>
              <w:left w:val="single" w:sz="4" w:space="0" w:color="001D77"/>
              <w:bottom w:val="nil"/>
              <w:right w:val="single" w:sz="4" w:space="0" w:color="001D77"/>
            </w:tcBorders>
            <w:shd w:val="clear" w:color="auto" w:fill="auto"/>
            <w:noWrap/>
            <w:vAlign w:val="center"/>
            <w:hideMark/>
          </w:tcPr>
          <w:p w14:paraId="2E6D0FC7" w14:textId="17F886BC" w:rsidR="004F3CD5" w:rsidRPr="00161DE5" w:rsidRDefault="002C645D" w:rsidP="004F3CD5">
            <w:pPr>
              <w:suppressAutoHyphens/>
              <w:jc w:val="right"/>
              <w:rPr>
                <w:rFonts w:eastAsia="Times New Roman" w:cs="Calibri"/>
                <w:szCs w:val="19"/>
                <w:lang w:val="en-GB" w:eastAsia="pl-PL"/>
              </w:rPr>
            </w:pPr>
            <w:r>
              <w:rPr>
                <w:rFonts w:eastAsia="Times New Roman" w:cs="Arial CE"/>
                <w:szCs w:val="19"/>
                <w:lang w:val="en-GB" w:eastAsia="pl-PL"/>
              </w:rPr>
              <w:t>0.</w:t>
            </w:r>
            <w:r w:rsidR="004F3CD5" w:rsidRPr="00161DE5">
              <w:rPr>
                <w:rFonts w:eastAsia="Times New Roman" w:cs="Arial CE"/>
                <w:szCs w:val="19"/>
                <w:lang w:val="en-GB" w:eastAsia="pl-PL"/>
              </w:rPr>
              <w:t>7</w:t>
            </w:r>
          </w:p>
        </w:tc>
        <w:tc>
          <w:tcPr>
            <w:tcW w:w="969" w:type="dxa"/>
            <w:tcBorders>
              <w:top w:val="single" w:sz="4" w:space="0" w:color="001D77"/>
              <w:left w:val="single" w:sz="4" w:space="0" w:color="001D77"/>
              <w:bottom w:val="nil"/>
              <w:right w:val="single" w:sz="4" w:space="0" w:color="001D77"/>
            </w:tcBorders>
            <w:shd w:val="clear" w:color="auto" w:fill="auto"/>
            <w:noWrap/>
            <w:vAlign w:val="center"/>
            <w:hideMark/>
          </w:tcPr>
          <w:p w14:paraId="2903038F"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c>
          <w:tcPr>
            <w:tcW w:w="969" w:type="dxa"/>
            <w:tcBorders>
              <w:top w:val="single" w:sz="4" w:space="0" w:color="001D77"/>
              <w:left w:val="single" w:sz="4" w:space="0" w:color="001D77"/>
              <w:bottom w:val="nil"/>
              <w:right w:val="nil"/>
            </w:tcBorders>
            <w:shd w:val="clear" w:color="auto" w:fill="auto"/>
            <w:noWrap/>
            <w:vAlign w:val="center"/>
            <w:hideMark/>
          </w:tcPr>
          <w:p w14:paraId="73AC5C9D" w14:textId="77777777" w:rsidR="004F3CD5" w:rsidRPr="00161DE5" w:rsidRDefault="004F3CD5" w:rsidP="004F3CD5">
            <w:pPr>
              <w:suppressAutoHyphens/>
              <w:jc w:val="right"/>
              <w:rPr>
                <w:rFonts w:eastAsia="Times New Roman" w:cs="Calibri"/>
                <w:szCs w:val="19"/>
                <w:lang w:val="en-GB" w:eastAsia="pl-PL"/>
              </w:rPr>
            </w:pPr>
            <w:r w:rsidRPr="00161DE5">
              <w:rPr>
                <w:rFonts w:eastAsia="Times New Roman" w:cs="Arial CE"/>
                <w:szCs w:val="19"/>
                <w:lang w:val="en-GB" w:eastAsia="pl-PL"/>
              </w:rPr>
              <w:t>_</w:t>
            </w:r>
          </w:p>
        </w:tc>
      </w:tr>
    </w:tbl>
    <w:p w14:paraId="16E21CB9" w14:textId="77777777" w:rsidR="004F3CD5" w:rsidRPr="00161DE5" w:rsidRDefault="004F3CD5" w:rsidP="004F3CD5">
      <w:pPr>
        <w:suppressAutoHyphens/>
        <w:spacing w:line="288" w:lineRule="auto"/>
        <w:rPr>
          <w:rFonts w:eastAsia="Times New Roman" w:cs="Times New Roman"/>
          <w:szCs w:val="19"/>
          <w:lang w:val="en-GB" w:eastAsia="pl-PL"/>
        </w:rPr>
      </w:pPr>
      <w:r w:rsidRPr="00161DE5">
        <w:rPr>
          <w:rFonts w:eastAsia="Times New Roman" w:cs="Times New Roman"/>
          <w:szCs w:val="19"/>
          <w:lang w:val="en-GB" w:eastAsia="pl-PL"/>
        </w:rPr>
        <w:br w:type="page"/>
      </w:r>
    </w:p>
    <w:p w14:paraId="7B74AF88" w14:textId="311A4C4B" w:rsidR="004F3CD5" w:rsidRPr="00161DE5" w:rsidRDefault="00CC5694" w:rsidP="004F3CD5">
      <w:pPr>
        <w:suppressAutoHyphens/>
        <w:spacing w:line="288" w:lineRule="auto"/>
        <w:rPr>
          <w:rFonts w:eastAsia="Times New Roman" w:cs="Times New Roman"/>
          <w:szCs w:val="19"/>
          <w:lang w:val="en-GB" w:eastAsia="pl-PL"/>
        </w:rPr>
      </w:pPr>
      <w:r w:rsidRPr="00161DE5">
        <w:rPr>
          <w:spacing w:val="-2"/>
          <w:szCs w:val="19"/>
          <w:lang w:val="en-GB" w:eastAsia="pl-PL"/>
        </w:rPr>
        <w:lastRenderedPageBreak/>
        <w:t>Final consumption expenditure</w:t>
      </w:r>
      <w:r w:rsidRPr="00161DE5">
        <w:rPr>
          <w:rFonts w:eastAsia="Times New Roman" w:cs="Times New Roman"/>
          <w:szCs w:val="19"/>
          <w:vertAlign w:val="superscript"/>
          <w:lang w:val="en-GB" w:eastAsia="pl-PL"/>
        </w:rPr>
        <w:t xml:space="preserve"> </w:t>
      </w:r>
      <w:r w:rsidR="004F3CD5" w:rsidRPr="00161DE5">
        <w:rPr>
          <w:rFonts w:eastAsia="Times New Roman" w:cs="Times New Roman"/>
          <w:szCs w:val="19"/>
          <w:vertAlign w:val="superscript"/>
          <w:lang w:val="en-GB" w:eastAsia="pl-PL"/>
        </w:rPr>
        <w:footnoteReference w:id="5"/>
      </w:r>
      <w:r w:rsidR="004F3CD5" w:rsidRPr="00161DE5">
        <w:rPr>
          <w:rFonts w:eastAsia="Times New Roman" w:cs="Times New Roman"/>
          <w:szCs w:val="19"/>
          <w:lang w:val="en-GB" w:eastAsia="pl-PL"/>
        </w:rPr>
        <w:t xml:space="preserve"> for the area of culture amounted to PLN 50,347.2 million</w:t>
      </w:r>
      <w:r w:rsidR="00D81836">
        <w:rPr>
          <w:rFonts w:eastAsia="Times New Roman" w:cs="Times New Roman"/>
          <w:szCs w:val="19"/>
          <w:lang w:val="en-GB" w:eastAsia="pl-PL"/>
        </w:rPr>
        <w:t xml:space="preserve"> (PLN 3,780.1 less than in 2019)</w:t>
      </w:r>
      <w:r w:rsidR="004F3CD5" w:rsidRPr="00161DE5">
        <w:rPr>
          <w:rFonts w:eastAsia="Times New Roman" w:cs="Times New Roman"/>
          <w:szCs w:val="19"/>
          <w:lang w:val="en-GB" w:eastAsia="pl-PL"/>
        </w:rPr>
        <w:t xml:space="preserve">. </w:t>
      </w:r>
      <w:r w:rsidR="004F3CD5" w:rsidRPr="00161DE5">
        <w:rPr>
          <w:rFonts w:eastAsia="Times New Roman" w:cs="Times New Roman"/>
          <w:i/>
          <w:szCs w:val="19"/>
          <w:lang w:val="en-GB" w:eastAsia="pl-PL"/>
        </w:rPr>
        <w:t>Audio</w:t>
      </w:r>
      <w:r w:rsidR="002448FA">
        <w:rPr>
          <w:rFonts w:eastAsia="Times New Roman" w:cs="Times New Roman"/>
          <w:i/>
          <w:szCs w:val="19"/>
          <w:lang w:val="en-GB" w:eastAsia="pl-PL"/>
        </w:rPr>
        <w:t>-</w:t>
      </w:r>
      <w:r w:rsidR="004F3CD5" w:rsidRPr="00161DE5">
        <w:rPr>
          <w:rFonts w:eastAsia="Times New Roman" w:cs="Times New Roman"/>
          <w:i/>
          <w:szCs w:val="19"/>
          <w:lang w:val="en-GB" w:eastAsia="pl-PL"/>
        </w:rPr>
        <w:t xml:space="preserve">visual </w:t>
      </w:r>
      <w:r w:rsidR="00E10104">
        <w:rPr>
          <w:rFonts w:eastAsia="Times New Roman" w:cs="Times New Roman"/>
          <w:i/>
          <w:szCs w:val="19"/>
          <w:lang w:val="en-GB" w:eastAsia="pl-PL"/>
        </w:rPr>
        <w:t>a</w:t>
      </w:r>
      <w:r w:rsidR="004F3CD5" w:rsidRPr="00161DE5">
        <w:rPr>
          <w:rFonts w:eastAsia="Times New Roman" w:cs="Times New Roman"/>
          <w:i/>
          <w:szCs w:val="19"/>
          <w:lang w:val="en-GB" w:eastAsia="pl-PL"/>
        </w:rPr>
        <w:t xml:space="preserve">rts and </w:t>
      </w:r>
      <w:r w:rsidR="00E10104">
        <w:rPr>
          <w:rFonts w:eastAsia="Times New Roman" w:cs="Times New Roman"/>
          <w:i/>
          <w:szCs w:val="19"/>
          <w:lang w:val="en-GB" w:eastAsia="pl-PL"/>
        </w:rPr>
        <w:t>m</w:t>
      </w:r>
      <w:r w:rsidR="004F3CD5" w:rsidRPr="00161DE5">
        <w:rPr>
          <w:rFonts w:eastAsia="Times New Roman" w:cs="Times New Roman"/>
          <w:i/>
          <w:szCs w:val="19"/>
          <w:lang w:val="en-GB" w:eastAsia="pl-PL"/>
        </w:rPr>
        <w:t>ultimedia</w:t>
      </w:r>
      <w:r w:rsidR="004F3CD5" w:rsidRPr="00161DE5">
        <w:rPr>
          <w:rFonts w:eastAsia="Times New Roman" w:cs="Times New Roman"/>
          <w:szCs w:val="19"/>
          <w:lang w:val="en-GB" w:eastAsia="pl-PL"/>
        </w:rPr>
        <w:t xml:space="preserve"> </w:t>
      </w:r>
      <w:r w:rsidR="00280125">
        <w:rPr>
          <w:rFonts w:eastAsia="Times New Roman" w:cs="Times New Roman"/>
          <w:szCs w:val="19"/>
          <w:lang w:val="en-GB" w:eastAsia="pl-PL"/>
        </w:rPr>
        <w:t xml:space="preserve">domain was responsible for almost half of it </w:t>
      </w:r>
      <w:r w:rsidR="004F3CD5" w:rsidRPr="00161DE5">
        <w:rPr>
          <w:rFonts w:eastAsia="Times New Roman" w:cs="Times New Roman"/>
          <w:szCs w:val="19"/>
          <w:lang w:val="en-GB" w:eastAsia="pl-PL"/>
        </w:rPr>
        <w:t xml:space="preserve">(PLN 22,963.9 million). High </w:t>
      </w:r>
      <w:r w:rsidRPr="00161DE5">
        <w:rPr>
          <w:rFonts w:eastAsia="Times New Roman" w:cs="Times New Roman"/>
          <w:szCs w:val="19"/>
          <w:lang w:val="en-GB" w:eastAsia="pl-PL"/>
        </w:rPr>
        <w:t xml:space="preserve">final </w:t>
      </w:r>
      <w:r w:rsidR="004F3CD5" w:rsidRPr="00161DE5">
        <w:rPr>
          <w:rFonts w:eastAsia="Times New Roman" w:cs="Times New Roman"/>
          <w:szCs w:val="19"/>
          <w:lang w:val="en-GB" w:eastAsia="pl-PL"/>
        </w:rPr>
        <w:t xml:space="preserve">consumption </w:t>
      </w:r>
      <w:r w:rsidR="00E10104">
        <w:rPr>
          <w:rFonts w:eastAsia="Times New Roman" w:cs="Times New Roman"/>
          <w:szCs w:val="19"/>
          <w:lang w:val="en-GB" w:eastAsia="pl-PL"/>
        </w:rPr>
        <w:t xml:space="preserve">expenditure </w:t>
      </w:r>
      <w:r w:rsidR="004F3CD5" w:rsidRPr="00161DE5">
        <w:rPr>
          <w:rFonts w:eastAsia="Times New Roman" w:cs="Times New Roman"/>
          <w:szCs w:val="19"/>
          <w:lang w:val="en-GB" w:eastAsia="pl-PL"/>
        </w:rPr>
        <w:t xml:space="preserve">was also recorded in the case of </w:t>
      </w:r>
      <w:r w:rsidR="004F3CD5" w:rsidRPr="00161DE5">
        <w:rPr>
          <w:rFonts w:eastAsia="Times New Roman" w:cs="Times New Roman"/>
          <w:i/>
          <w:szCs w:val="19"/>
          <w:lang w:val="en-GB" w:eastAsia="pl-PL"/>
        </w:rPr>
        <w:t xml:space="preserve">Books and </w:t>
      </w:r>
      <w:r w:rsidR="004E1E09">
        <w:rPr>
          <w:rFonts w:eastAsia="Times New Roman" w:cs="Times New Roman"/>
          <w:i/>
          <w:szCs w:val="19"/>
          <w:lang w:val="en-GB" w:eastAsia="pl-PL"/>
        </w:rPr>
        <w:t>p</w:t>
      </w:r>
      <w:r w:rsidR="004F3CD5" w:rsidRPr="00161DE5">
        <w:rPr>
          <w:rFonts w:eastAsia="Times New Roman" w:cs="Times New Roman"/>
          <w:i/>
          <w:szCs w:val="19"/>
          <w:lang w:val="en-GB" w:eastAsia="pl-PL"/>
        </w:rPr>
        <w:t>ress</w:t>
      </w:r>
      <w:r w:rsidR="004F3CD5" w:rsidRPr="00161DE5">
        <w:rPr>
          <w:rFonts w:eastAsia="Times New Roman" w:cs="Times New Roman"/>
          <w:szCs w:val="19"/>
          <w:lang w:val="en-GB" w:eastAsia="pl-PL"/>
        </w:rPr>
        <w:t xml:space="preserve"> (PLN 7,717.7 million). </w:t>
      </w:r>
      <w:r w:rsidRPr="00161DE5">
        <w:rPr>
          <w:rFonts w:eastAsia="Times New Roman" w:cs="Times New Roman"/>
          <w:szCs w:val="19"/>
          <w:lang w:val="en-GB" w:eastAsia="pl-PL"/>
        </w:rPr>
        <w:t xml:space="preserve">The consumption related to households </w:t>
      </w:r>
      <w:r w:rsidR="004F3CD5" w:rsidRPr="00161DE5">
        <w:rPr>
          <w:rFonts w:eastAsia="Times New Roman" w:cs="Times New Roman"/>
          <w:szCs w:val="19"/>
          <w:lang w:val="en-GB" w:eastAsia="pl-PL"/>
        </w:rPr>
        <w:t xml:space="preserve">accounted for 65.7% of </w:t>
      </w:r>
      <w:r w:rsidRPr="00161DE5">
        <w:rPr>
          <w:rFonts w:eastAsia="Times New Roman" w:cs="Times New Roman"/>
          <w:szCs w:val="19"/>
          <w:lang w:val="en-GB" w:eastAsia="pl-PL"/>
        </w:rPr>
        <w:t>total final</w:t>
      </w:r>
      <w:r w:rsidR="004F3CD5" w:rsidRPr="00161DE5">
        <w:rPr>
          <w:rFonts w:eastAsia="Times New Roman" w:cs="Times New Roman"/>
          <w:szCs w:val="19"/>
          <w:lang w:val="en-GB" w:eastAsia="pl-PL"/>
        </w:rPr>
        <w:t xml:space="preserve"> consumption</w:t>
      </w:r>
      <w:r w:rsidR="00CC4524">
        <w:rPr>
          <w:rFonts w:eastAsia="Times New Roman" w:cs="Times New Roman"/>
          <w:szCs w:val="19"/>
          <w:lang w:val="en-GB" w:eastAsia="pl-PL"/>
        </w:rPr>
        <w:t xml:space="preserve"> in the </w:t>
      </w:r>
      <w:r w:rsidR="000B6FBB">
        <w:rPr>
          <w:rFonts w:eastAsia="Times New Roman" w:cs="Times New Roman"/>
          <w:szCs w:val="19"/>
          <w:lang w:val="en-GB" w:eastAsia="pl-PL"/>
        </w:rPr>
        <w:t>area</w:t>
      </w:r>
      <w:r w:rsidR="00CC4524">
        <w:rPr>
          <w:rFonts w:eastAsia="Times New Roman" w:cs="Times New Roman"/>
          <w:szCs w:val="19"/>
          <w:lang w:val="en-GB" w:eastAsia="pl-PL"/>
        </w:rPr>
        <w:t xml:space="preserve"> of culture. T</w:t>
      </w:r>
      <w:r w:rsidR="004F3CD5" w:rsidRPr="00161DE5">
        <w:rPr>
          <w:rFonts w:eastAsia="Times New Roman" w:cs="Times New Roman"/>
          <w:szCs w:val="19"/>
          <w:lang w:val="en-GB" w:eastAsia="pl-PL"/>
        </w:rPr>
        <w:t xml:space="preserve">he highest value of </w:t>
      </w:r>
      <w:r w:rsidR="00CC4524">
        <w:rPr>
          <w:rFonts w:eastAsia="Times New Roman" w:cs="Times New Roman"/>
          <w:szCs w:val="19"/>
          <w:lang w:val="en-GB" w:eastAsia="pl-PL"/>
        </w:rPr>
        <w:t xml:space="preserve">this </w:t>
      </w:r>
      <w:r w:rsidR="004F3CD5" w:rsidRPr="00161DE5">
        <w:rPr>
          <w:rFonts w:eastAsia="Times New Roman" w:cs="Times New Roman"/>
          <w:szCs w:val="19"/>
          <w:lang w:val="en-GB" w:eastAsia="pl-PL"/>
        </w:rPr>
        <w:t xml:space="preserve">consumption was recorded in </w:t>
      </w:r>
      <w:r w:rsidR="004F3CD5" w:rsidRPr="00161DE5">
        <w:rPr>
          <w:rFonts w:eastAsia="Times New Roman" w:cs="Times New Roman"/>
          <w:i/>
          <w:szCs w:val="19"/>
          <w:lang w:val="en-GB" w:eastAsia="pl-PL"/>
        </w:rPr>
        <w:t>Audio</w:t>
      </w:r>
      <w:r w:rsidRPr="00161DE5">
        <w:rPr>
          <w:rFonts w:eastAsia="Times New Roman" w:cs="Times New Roman"/>
          <w:i/>
          <w:szCs w:val="19"/>
          <w:lang w:val="en-GB" w:eastAsia="pl-PL"/>
        </w:rPr>
        <w:t>-</w:t>
      </w:r>
      <w:r w:rsidR="004F3CD5" w:rsidRPr="00161DE5">
        <w:rPr>
          <w:rFonts w:eastAsia="Times New Roman" w:cs="Times New Roman"/>
          <w:i/>
          <w:szCs w:val="19"/>
          <w:lang w:val="en-GB" w:eastAsia="pl-PL"/>
        </w:rPr>
        <w:t>visual arts and multimedia</w:t>
      </w:r>
      <w:r w:rsidR="004F3CD5" w:rsidRPr="00161DE5">
        <w:rPr>
          <w:rFonts w:eastAsia="Times New Roman" w:cs="Times New Roman"/>
          <w:szCs w:val="19"/>
          <w:lang w:val="en-GB" w:eastAsia="pl-PL"/>
        </w:rPr>
        <w:t xml:space="preserve"> </w:t>
      </w:r>
      <w:r w:rsidR="00E10104">
        <w:rPr>
          <w:rFonts w:eastAsia="Times New Roman" w:cs="Times New Roman"/>
          <w:szCs w:val="19"/>
          <w:lang w:val="en-GB" w:eastAsia="pl-PL"/>
        </w:rPr>
        <w:t xml:space="preserve">domain </w:t>
      </w:r>
      <w:r w:rsidR="004F3CD5" w:rsidRPr="00161DE5">
        <w:rPr>
          <w:rFonts w:eastAsia="Times New Roman" w:cs="Times New Roman"/>
          <w:szCs w:val="19"/>
          <w:lang w:val="en-GB" w:eastAsia="pl-PL"/>
        </w:rPr>
        <w:t xml:space="preserve">(PLN 20,937.0 million, i.e. PLN 1,572.1 million less than in 2019). In the general government sector (31.7% of total consumption, 828.2 million more than in 2019), the highest value of </w:t>
      </w:r>
      <w:r w:rsidRPr="00161DE5">
        <w:rPr>
          <w:rFonts w:eastAsia="Times New Roman" w:cs="Times New Roman"/>
          <w:szCs w:val="19"/>
          <w:lang w:val="en-GB" w:eastAsia="pl-PL"/>
        </w:rPr>
        <w:t xml:space="preserve">final </w:t>
      </w:r>
      <w:r w:rsidR="004F3CD5" w:rsidRPr="00161DE5">
        <w:rPr>
          <w:rFonts w:eastAsia="Times New Roman" w:cs="Times New Roman"/>
          <w:szCs w:val="19"/>
          <w:lang w:val="en-GB" w:eastAsia="pl-PL"/>
        </w:rPr>
        <w:t xml:space="preserve">consumption was </w:t>
      </w:r>
      <w:r w:rsidR="00E10104">
        <w:rPr>
          <w:rFonts w:eastAsia="Times New Roman" w:cs="Times New Roman"/>
          <w:szCs w:val="19"/>
          <w:lang w:val="en-GB" w:eastAsia="pl-PL"/>
        </w:rPr>
        <w:t>recorded in</w:t>
      </w:r>
      <w:r w:rsidR="004F3CD5" w:rsidRPr="00161DE5">
        <w:rPr>
          <w:rFonts w:eastAsia="Times New Roman" w:cs="Times New Roman"/>
          <w:szCs w:val="19"/>
          <w:lang w:val="en-GB" w:eastAsia="pl-PL"/>
        </w:rPr>
        <w:t xml:space="preserve"> </w:t>
      </w:r>
      <w:r w:rsidRPr="00161DE5">
        <w:rPr>
          <w:rFonts w:eastAsia="Times New Roman" w:cs="Times New Roman"/>
          <w:i/>
          <w:szCs w:val="19"/>
          <w:lang w:val="en-GB" w:eastAsia="pl-PL"/>
        </w:rPr>
        <w:t>P</w:t>
      </w:r>
      <w:r w:rsidR="004F3CD5" w:rsidRPr="00161DE5">
        <w:rPr>
          <w:rFonts w:eastAsia="Times New Roman" w:cs="Times New Roman"/>
          <w:i/>
          <w:szCs w:val="19"/>
          <w:lang w:val="en-GB" w:eastAsia="pl-PL"/>
        </w:rPr>
        <w:t>erforming arts</w:t>
      </w:r>
      <w:r w:rsidR="004F3CD5" w:rsidRPr="00161DE5">
        <w:rPr>
          <w:rFonts w:eastAsia="Times New Roman" w:cs="Times New Roman"/>
          <w:szCs w:val="19"/>
          <w:lang w:val="en-GB" w:eastAsia="pl-PL"/>
        </w:rPr>
        <w:t xml:space="preserve"> (PLN 4,970.4 million). A significant share was also </w:t>
      </w:r>
      <w:r w:rsidR="00E10104">
        <w:rPr>
          <w:rFonts w:eastAsia="Times New Roman" w:cs="Times New Roman"/>
          <w:szCs w:val="19"/>
          <w:lang w:val="en-GB" w:eastAsia="pl-PL"/>
        </w:rPr>
        <w:t xml:space="preserve">recorded for </w:t>
      </w:r>
      <w:r w:rsidR="004F3CD5" w:rsidRPr="00161DE5">
        <w:rPr>
          <w:rFonts w:eastAsia="Times New Roman" w:cs="Times New Roman"/>
          <w:szCs w:val="19"/>
          <w:lang w:val="en-GB" w:eastAsia="pl-PL"/>
        </w:rPr>
        <w:t xml:space="preserve">the following </w:t>
      </w:r>
      <w:r w:rsidR="00E10104">
        <w:rPr>
          <w:rFonts w:eastAsia="Times New Roman" w:cs="Times New Roman"/>
          <w:szCs w:val="19"/>
          <w:lang w:val="en-GB" w:eastAsia="pl-PL"/>
        </w:rPr>
        <w:t>domains</w:t>
      </w:r>
      <w:r w:rsidR="004F3CD5" w:rsidRPr="00161DE5">
        <w:rPr>
          <w:rFonts w:eastAsia="Times New Roman" w:cs="Times New Roman"/>
          <w:szCs w:val="19"/>
          <w:lang w:val="en-GB" w:eastAsia="pl-PL"/>
        </w:rPr>
        <w:t xml:space="preserve">: </w:t>
      </w:r>
      <w:r w:rsidR="004F3CD5" w:rsidRPr="00161DE5">
        <w:rPr>
          <w:rFonts w:eastAsia="Times New Roman" w:cs="Times New Roman"/>
          <w:i/>
          <w:szCs w:val="19"/>
          <w:lang w:val="en-GB" w:eastAsia="pl-PL"/>
        </w:rPr>
        <w:t>Libraries and archives</w:t>
      </w:r>
      <w:r w:rsidR="004F3CD5" w:rsidRPr="00161DE5">
        <w:rPr>
          <w:rFonts w:eastAsia="Times New Roman" w:cs="Times New Roman"/>
          <w:szCs w:val="19"/>
          <w:lang w:val="en-GB" w:eastAsia="pl-PL"/>
        </w:rPr>
        <w:t xml:space="preserve"> (PLN 3,372.4 million) and </w:t>
      </w:r>
      <w:r w:rsidR="004F3CD5" w:rsidRPr="00161DE5">
        <w:rPr>
          <w:rFonts w:eastAsia="Times New Roman" w:cs="Times New Roman"/>
          <w:i/>
          <w:szCs w:val="19"/>
          <w:lang w:val="en-GB" w:eastAsia="pl-PL"/>
        </w:rPr>
        <w:t>Artistic education</w:t>
      </w:r>
      <w:r w:rsidR="004F3CD5" w:rsidRPr="00161DE5">
        <w:rPr>
          <w:rFonts w:eastAsia="Times New Roman" w:cs="Times New Roman"/>
          <w:szCs w:val="19"/>
          <w:lang w:val="en-GB" w:eastAsia="pl-PL"/>
        </w:rPr>
        <w:t xml:space="preserve"> (PLN 2,822.2 million). In the sector of </w:t>
      </w:r>
      <w:r w:rsidRPr="00161DE5">
        <w:rPr>
          <w:rFonts w:eastAsia="Times New Roman" w:cs="Times New Roman"/>
          <w:szCs w:val="19"/>
          <w:lang w:val="en-GB" w:eastAsia="pl-PL"/>
        </w:rPr>
        <w:t>non-profit institutions serving households</w:t>
      </w:r>
      <w:r w:rsidR="00E10104">
        <w:rPr>
          <w:rFonts w:eastAsia="Times New Roman" w:cs="Times New Roman"/>
          <w:szCs w:val="19"/>
          <w:lang w:val="en-GB" w:eastAsia="pl-PL"/>
        </w:rPr>
        <w:t>,</w:t>
      </w:r>
      <w:r w:rsidRPr="00161DE5">
        <w:rPr>
          <w:rFonts w:eastAsia="Times New Roman" w:cs="Times New Roman"/>
          <w:szCs w:val="19"/>
          <w:lang w:val="en-GB" w:eastAsia="pl-PL"/>
        </w:rPr>
        <w:t xml:space="preserve"> </w:t>
      </w:r>
      <w:r w:rsidR="00E10104">
        <w:rPr>
          <w:rFonts w:eastAsia="Times New Roman" w:cs="Times New Roman"/>
          <w:szCs w:val="19"/>
          <w:lang w:val="en-GB" w:eastAsia="pl-PL"/>
        </w:rPr>
        <w:t xml:space="preserve">which are </w:t>
      </w:r>
      <w:r w:rsidR="004F3CD5" w:rsidRPr="00161DE5">
        <w:rPr>
          <w:rFonts w:eastAsia="Times New Roman" w:cs="Times New Roman"/>
          <w:szCs w:val="19"/>
          <w:lang w:val="en-GB" w:eastAsia="pl-PL"/>
        </w:rPr>
        <w:t>related to</w:t>
      </w:r>
      <w:r w:rsidR="00E10104">
        <w:rPr>
          <w:rFonts w:eastAsia="Times New Roman" w:cs="Times New Roman"/>
          <w:szCs w:val="19"/>
          <w:lang w:val="en-GB" w:eastAsia="pl-PL"/>
        </w:rPr>
        <w:t xml:space="preserve"> </w:t>
      </w:r>
      <w:r w:rsidR="004F3CD5" w:rsidRPr="00161DE5">
        <w:rPr>
          <w:rFonts w:eastAsia="Times New Roman" w:cs="Times New Roman"/>
          <w:szCs w:val="19"/>
          <w:lang w:val="en-GB" w:eastAsia="pl-PL"/>
        </w:rPr>
        <w:t xml:space="preserve">culture, </w:t>
      </w:r>
      <w:r w:rsidR="00E10104">
        <w:rPr>
          <w:rFonts w:eastAsia="Times New Roman" w:cs="Times New Roman"/>
          <w:szCs w:val="19"/>
          <w:lang w:val="en-GB" w:eastAsia="pl-PL"/>
        </w:rPr>
        <w:t xml:space="preserve">final </w:t>
      </w:r>
      <w:r w:rsidR="004F3CD5" w:rsidRPr="00161DE5">
        <w:rPr>
          <w:rFonts w:eastAsia="Times New Roman" w:cs="Times New Roman"/>
          <w:szCs w:val="19"/>
          <w:lang w:val="en-GB" w:eastAsia="pl-PL"/>
        </w:rPr>
        <w:t xml:space="preserve">consumption </w:t>
      </w:r>
      <w:r w:rsidR="00E10104">
        <w:rPr>
          <w:rFonts w:eastAsia="Times New Roman" w:cs="Times New Roman"/>
          <w:szCs w:val="19"/>
          <w:lang w:val="en-GB" w:eastAsia="pl-PL"/>
        </w:rPr>
        <w:t xml:space="preserve">expenditure </w:t>
      </w:r>
      <w:r w:rsidR="004F3CD5" w:rsidRPr="00161DE5">
        <w:rPr>
          <w:rFonts w:eastAsia="Times New Roman" w:cs="Times New Roman"/>
          <w:szCs w:val="19"/>
          <w:lang w:val="en-GB" w:eastAsia="pl-PL"/>
        </w:rPr>
        <w:t xml:space="preserve">amounted to PLN 1,330.4 million (PLN 40.9 million more than in 2019). The highest value of </w:t>
      </w:r>
      <w:r w:rsidRPr="00161DE5">
        <w:rPr>
          <w:rFonts w:eastAsia="Times New Roman" w:cs="Times New Roman"/>
          <w:szCs w:val="19"/>
          <w:lang w:val="en-GB" w:eastAsia="pl-PL"/>
        </w:rPr>
        <w:t xml:space="preserve">final </w:t>
      </w:r>
      <w:r w:rsidR="004F3CD5" w:rsidRPr="00161DE5">
        <w:rPr>
          <w:rFonts w:eastAsia="Times New Roman" w:cs="Times New Roman"/>
          <w:szCs w:val="19"/>
          <w:lang w:val="en-GB" w:eastAsia="pl-PL"/>
        </w:rPr>
        <w:t xml:space="preserve">consumption was recorded in </w:t>
      </w:r>
      <w:r w:rsidR="004F3CD5" w:rsidRPr="00161DE5">
        <w:rPr>
          <w:rFonts w:eastAsia="Times New Roman" w:cs="Times New Roman"/>
          <w:i/>
          <w:szCs w:val="19"/>
          <w:lang w:val="en-GB" w:eastAsia="pl-PL"/>
        </w:rPr>
        <w:t>Cultural heritage</w:t>
      </w:r>
      <w:r w:rsidR="004F3CD5" w:rsidRPr="00161DE5">
        <w:rPr>
          <w:rFonts w:eastAsia="Times New Roman" w:cs="Times New Roman"/>
          <w:szCs w:val="19"/>
          <w:lang w:val="en-GB" w:eastAsia="pl-PL"/>
        </w:rPr>
        <w:t xml:space="preserve"> </w:t>
      </w:r>
      <w:r w:rsidR="00E10104">
        <w:rPr>
          <w:rFonts w:eastAsia="Times New Roman" w:cs="Times New Roman"/>
          <w:szCs w:val="19"/>
          <w:lang w:val="en-GB" w:eastAsia="pl-PL"/>
        </w:rPr>
        <w:t xml:space="preserve">domain </w:t>
      </w:r>
      <w:r w:rsidR="004F3CD5" w:rsidRPr="00161DE5">
        <w:rPr>
          <w:rFonts w:eastAsia="Times New Roman" w:cs="Times New Roman"/>
          <w:szCs w:val="19"/>
          <w:lang w:val="en-GB" w:eastAsia="pl-PL"/>
        </w:rPr>
        <w:t>(PLN</w:t>
      </w:r>
      <w:r w:rsidR="00E54772">
        <w:rPr>
          <w:rFonts w:eastAsia="Times New Roman" w:cs="Times New Roman"/>
          <w:szCs w:val="19"/>
          <w:lang w:val="en-GB" w:eastAsia="pl-PL"/>
        </w:rPr>
        <w:t> </w:t>
      </w:r>
      <w:r w:rsidR="004F3CD5" w:rsidRPr="00161DE5">
        <w:rPr>
          <w:rFonts w:eastAsia="Times New Roman" w:cs="Times New Roman"/>
          <w:szCs w:val="19"/>
          <w:lang w:val="en-GB" w:eastAsia="pl-PL"/>
        </w:rPr>
        <w:t>366.2 million).</w:t>
      </w:r>
    </w:p>
    <w:p w14:paraId="2E56079B" w14:textId="1DF93732" w:rsidR="007762FA" w:rsidRPr="00161DE5" w:rsidRDefault="004F3CD5" w:rsidP="00E10104">
      <w:pPr>
        <w:spacing w:line="288" w:lineRule="auto"/>
        <w:rPr>
          <w:rFonts w:eastAsia="Times New Roman" w:cs="Times New Roman"/>
          <w:szCs w:val="19"/>
          <w:lang w:val="en-GB" w:eastAsia="pl-PL"/>
        </w:rPr>
      </w:pPr>
      <w:r w:rsidRPr="00161DE5">
        <w:rPr>
          <w:rFonts w:eastAsia="Times New Roman" w:cs="Times New Roman"/>
          <w:noProof/>
          <w:szCs w:val="19"/>
          <w:lang w:eastAsia="pl-PL"/>
        </w:rPr>
        <mc:AlternateContent>
          <mc:Choice Requires="wps">
            <w:drawing>
              <wp:anchor distT="45720" distB="45720" distL="114300" distR="114300" simplePos="0" relativeHeight="251669504" behindDoc="1" locked="0" layoutInCell="1" allowOverlap="1" wp14:anchorId="39D5F849" wp14:editId="5909FE88">
                <wp:simplePos x="0" y="0"/>
                <wp:positionH relativeFrom="column">
                  <wp:posOffset>5307330</wp:posOffset>
                </wp:positionH>
                <wp:positionV relativeFrom="paragraph">
                  <wp:posOffset>79375</wp:posOffset>
                </wp:positionV>
                <wp:extent cx="1725295" cy="1335405"/>
                <wp:effectExtent l="0" t="0" r="0" b="0"/>
                <wp:wrapTight wrapText="bothSides">
                  <wp:wrapPolygon edited="0">
                    <wp:start x="715" y="0"/>
                    <wp:lineTo x="715" y="21261"/>
                    <wp:lineTo x="20749" y="21261"/>
                    <wp:lineTo x="20749" y="0"/>
                    <wp:lineTo x="715" y="0"/>
                  </wp:wrapPolygon>
                </wp:wrapTight>
                <wp:docPr id="2072604633" name="Pole tekstowe 2072604633" descr="The positive balance (PLN 5,435.8 million) in foreign trade in cultural goods and services is mainly related to Advertising and Books and press domain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35405"/>
                        </a:xfrm>
                        <a:prstGeom prst="rect">
                          <a:avLst/>
                        </a:prstGeom>
                        <a:noFill/>
                        <a:ln w="9525">
                          <a:noFill/>
                          <a:miter lim="800000"/>
                          <a:headEnd/>
                          <a:tailEnd/>
                        </a:ln>
                      </wps:spPr>
                      <wps:txbx>
                        <w:txbxContent>
                          <w:p w14:paraId="28ECD894" w14:textId="062E1B6B" w:rsidR="006F1AF5" w:rsidRPr="00161DE5" w:rsidRDefault="006F1AF5" w:rsidP="004F3CD5">
                            <w:pPr>
                              <w:pStyle w:val="tekstzboku"/>
                              <w:rPr>
                                <w:i/>
                                <w:lang w:val="en-GB"/>
                              </w:rPr>
                            </w:pPr>
                            <w:r w:rsidRPr="00161DE5">
                              <w:rPr>
                                <w:lang w:val="en-GB"/>
                              </w:rPr>
                              <w:t xml:space="preserve">The positive balance (PLN 5,435.8 million) in foreign trade in cultural goods and services is mainly related to </w:t>
                            </w:r>
                            <w:r w:rsidRPr="00161DE5">
                              <w:rPr>
                                <w:i/>
                                <w:iCs/>
                                <w:lang w:val="en-GB"/>
                              </w:rPr>
                              <w:t>Advertising</w:t>
                            </w:r>
                            <w:r w:rsidRPr="00161DE5">
                              <w:rPr>
                                <w:lang w:val="en-GB"/>
                              </w:rPr>
                              <w:t xml:space="preserve"> and </w:t>
                            </w:r>
                            <w:r w:rsidRPr="00161DE5">
                              <w:rPr>
                                <w:i/>
                                <w:iCs/>
                                <w:lang w:val="en-GB"/>
                              </w:rPr>
                              <w:t xml:space="preserve">Books and </w:t>
                            </w:r>
                            <w:r w:rsidR="002448FA">
                              <w:rPr>
                                <w:i/>
                                <w:iCs/>
                                <w:lang w:val="en-GB"/>
                              </w:rPr>
                              <w:t>p</w:t>
                            </w:r>
                            <w:r w:rsidRPr="00161DE5">
                              <w:rPr>
                                <w:i/>
                                <w:iCs/>
                                <w:lang w:val="en-GB"/>
                              </w:rPr>
                              <w:t>ress</w:t>
                            </w:r>
                            <w:r w:rsidR="005D657C">
                              <w:rPr>
                                <w:i/>
                                <w:iCs/>
                                <w:lang w:val="en-GB"/>
                              </w:rPr>
                              <w:t xml:space="preserve"> </w:t>
                            </w:r>
                            <w:r w:rsidR="005D657C" w:rsidRPr="005D657C">
                              <w:rPr>
                                <w:iCs/>
                                <w:lang w:val="en-GB"/>
                              </w:rPr>
                              <w:t>domains</w:t>
                            </w:r>
                            <w:r w:rsidRPr="005D657C">
                              <w:rPr>
                                <w:iCs/>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5F849" id="Pole tekstowe 2072604633" o:spid="_x0000_s1032" type="#_x0000_t202" alt="The positive balance (PLN 5,435.8 million) in foreign trade in cultural goods and services is mainly related to Advertising and Books and press domains " style="position:absolute;margin-left:417.9pt;margin-top:6.25pt;width:135.85pt;height:105.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" filled="f" stroked="f">
                <v:textbox>
                  <w:txbxContent>
                    <w:p w14:paraId="28ECD894" w14:textId="062E1B6B" w:rsidR="006F1AF5" w:rsidRPr="00161DE5" w:rsidRDefault="006F1AF5" w:rsidP="004F3CD5">
                      <w:pPr>
                        <w:pStyle w:val="tekstzboku"/>
                        <w:rPr>
                          <w:i/>
                          <w:lang w:val="en-GB"/>
                        </w:rPr>
                      </w:pPr>
                      <w:r w:rsidRPr="00161DE5">
                        <w:rPr>
                          <w:lang w:val="en-GB"/>
                        </w:rPr>
                        <w:t xml:space="preserve">The positive balance (PLN 5,435.8 million) in foreign trade in cultural goods and services is mainly related to </w:t>
                      </w:r>
                      <w:r w:rsidRPr="00161DE5">
                        <w:rPr>
                          <w:i/>
                          <w:iCs/>
                          <w:lang w:val="en-GB"/>
                        </w:rPr>
                        <w:t>Advertising</w:t>
                      </w:r>
                      <w:r w:rsidRPr="00161DE5">
                        <w:rPr>
                          <w:lang w:val="en-GB"/>
                        </w:rPr>
                        <w:t xml:space="preserve"> and </w:t>
                      </w:r>
                      <w:r w:rsidRPr="00161DE5">
                        <w:rPr>
                          <w:i/>
                          <w:iCs/>
                          <w:lang w:val="en-GB"/>
                        </w:rPr>
                        <w:t xml:space="preserve">Books and </w:t>
                      </w:r>
                      <w:r w:rsidR="002448FA">
                        <w:rPr>
                          <w:i/>
                          <w:iCs/>
                          <w:lang w:val="en-GB"/>
                        </w:rPr>
                        <w:t>p</w:t>
                      </w:r>
                      <w:r w:rsidRPr="00161DE5">
                        <w:rPr>
                          <w:i/>
                          <w:iCs/>
                          <w:lang w:val="en-GB"/>
                        </w:rPr>
                        <w:t>ress</w:t>
                      </w:r>
                      <w:r w:rsidR="005D657C">
                        <w:rPr>
                          <w:i/>
                          <w:iCs/>
                          <w:lang w:val="en-GB"/>
                        </w:rPr>
                        <w:t xml:space="preserve"> </w:t>
                      </w:r>
                      <w:r w:rsidR="005D657C" w:rsidRPr="005D657C">
                        <w:rPr>
                          <w:iCs/>
                          <w:lang w:val="en-GB"/>
                        </w:rPr>
                        <w:t>domains</w:t>
                      </w:r>
                      <w:r w:rsidRPr="005D657C">
                        <w:rPr>
                          <w:iCs/>
                          <w:lang w:val="en-GB"/>
                        </w:rPr>
                        <w:t xml:space="preserve"> </w:t>
                      </w:r>
                    </w:p>
                  </w:txbxContent>
                </v:textbox>
                <w10:wrap type="tight"/>
              </v:shape>
            </w:pict>
          </mc:Fallback>
        </mc:AlternateContent>
      </w:r>
      <w:r w:rsidRPr="00161DE5">
        <w:rPr>
          <w:rFonts w:eastAsia="Times New Roman" w:cs="Times New Roman"/>
          <w:szCs w:val="19"/>
          <w:lang w:val="en-GB" w:eastAsia="pl-PL"/>
        </w:rPr>
        <w:t xml:space="preserve">In 2020, a positive balance was recorded in foreign trade in cultural and creative goods and services of PLN 5,435.8 million (PLN 515.9 million less than in 2019). The positive foreign trade balance was mainly influenced by </w:t>
      </w:r>
      <w:r w:rsidRPr="00E10104">
        <w:rPr>
          <w:rFonts w:eastAsia="Times New Roman" w:cs="Times New Roman"/>
          <w:i/>
          <w:szCs w:val="19"/>
          <w:lang w:val="en-GB" w:eastAsia="pl-PL"/>
        </w:rPr>
        <w:t xml:space="preserve">Books and </w:t>
      </w:r>
      <w:r w:rsidR="004E1E09">
        <w:rPr>
          <w:rFonts w:eastAsia="Times New Roman" w:cs="Times New Roman"/>
          <w:i/>
          <w:szCs w:val="19"/>
          <w:lang w:val="en-GB" w:eastAsia="pl-PL"/>
        </w:rPr>
        <w:t>p</w:t>
      </w:r>
      <w:r w:rsidRPr="00E10104">
        <w:rPr>
          <w:rFonts w:eastAsia="Times New Roman" w:cs="Times New Roman"/>
          <w:i/>
          <w:szCs w:val="19"/>
          <w:lang w:val="en-GB" w:eastAsia="pl-PL"/>
        </w:rPr>
        <w:t>ress</w:t>
      </w:r>
      <w:r w:rsidR="00E10104">
        <w:rPr>
          <w:rFonts w:eastAsia="Times New Roman" w:cs="Times New Roman"/>
          <w:i/>
          <w:szCs w:val="19"/>
          <w:lang w:val="en-GB" w:eastAsia="pl-PL"/>
        </w:rPr>
        <w:t xml:space="preserve"> </w:t>
      </w:r>
      <w:r w:rsidR="00E10104">
        <w:rPr>
          <w:rFonts w:eastAsia="Times New Roman" w:cs="Times New Roman"/>
          <w:szCs w:val="19"/>
          <w:lang w:val="en-GB" w:eastAsia="pl-PL"/>
        </w:rPr>
        <w:t>domain</w:t>
      </w:r>
      <w:r w:rsidRPr="00E10104">
        <w:rPr>
          <w:rFonts w:eastAsia="Times New Roman" w:cs="Times New Roman"/>
          <w:szCs w:val="19"/>
          <w:lang w:val="en-GB" w:eastAsia="pl-PL"/>
        </w:rPr>
        <w:t xml:space="preserve"> (</w:t>
      </w:r>
      <w:r w:rsidRPr="00161DE5">
        <w:rPr>
          <w:rFonts w:eastAsia="Times New Roman" w:cs="Times New Roman"/>
          <w:szCs w:val="19"/>
          <w:lang w:val="en-GB" w:eastAsia="pl-PL"/>
        </w:rPr>
        <w:t xml:space="preserve">balance of PLN 3,777.5 million) and </w:t>
      </w:r>
      <w:r w:rsidRPr="00E10104">
        <w:rPr>
          <w:rFonts w:eastAsia="Times New Roman" w:cs="Times New Roman"/>
          <w:i/>
          <w:szCs w:val="19"/>
          <w:lang w:val="en-GB" w:eastAsia="pl-PL"/>
        </w:rPr>
        <w:t>Advertising</w:t>
      </w:r>
      <w:r w:rsidRPr="00161DE5">
        <w:rPr>
          <w:rFonts w:eastAsia="Times New Roman" w:cs="Times New Roman"/>
          <w:szCs w:val="19"/>
          <w:lang w:val="en-GB" w:eastAsia="pl-PL"/>
        </w:rPr>
        <w:t xml:space="preserve"> (balance of PLN 2,908.5 million). In </w:t>
      </w:r>
      <w:r w:rsidRPr="00E10104">
        <w:rPr>
          <w:rFonts w:eastAsia="Times New Roman" w:cs="Times New Roman"/>
          <w:szCs w:val="19"/>
          <w:lang w:val="en-GB" w:eastAsia="pl-PL"/>
        </w:rPr>
        <w:t xml:space="preserve">the </w:t>
      </w:r>
      <w:r w:rsidR="00292408">
        <w:rPr>
          <w:rFonts w:eastAsia="Times New Roman" w:cs="Times New Roman"/>
          <w:szCs w:val="19"/>
          <w:lang w:val="en-GB" w:eastAsia="pl-PL"/>
        </w:rPr>
        <w:t>domains</w:t>
      </w:r>
      <w:r w:rsidR="00292408" w:rsidRPr="00E10104">
        <w:rPr>
          <w:rFonts w:eastAsia="Times New Roman" w:cs="Times New Roman"/>
          <w:szCs w:val="19"/>
          <w:lang w:val="en-GB" w:eastAsia="pl-PL"/>
        </w:rPr>
        <w:t xml:space="preserve"> </w:t>
      </w:r>
      <w:r w:rsidRPr="00E10104">
        <w:rPr>
          <w:rFonts w:eastAsia="Times New Roman" w:cs="Times New Roman"/>
          <w:szCs w:val="19"/>
          <w:lang w:val="en-GB" w:eastAsia="pl-PL"/>
        </w:rPr>
        <w:t xml:space="preserve">of </w:t>
      </w:r>
      <w:r w:rsidRPr="00E10104">
        <w:rPr>
          <w:rFonts w:eastAsia="Times New Roman" w:cs="Times New Roman"/>
          <w:i/>
          <w:szCs w:val="19"/>
          <w:lang w:val="en-GB" w:eastAsia="pl-PL"/>
        </w:rPr>
        <w:t>Audio</w:t>
      </w:r>
      <w:r w:rsidR="00702B1C" w:rsidRPr="00E10104">
        <w:rPr>
          <w:rFonts w:eastAsia="Times New Roman" w:cs="Times New Roman"/>
          <w:i/>
          <w:szCs w:val="19"/>
          <w:lang w:val="en-GB" w:eastAsia="pl-PL"/>
        </w:rPr>
        <w:t>-</w:t>
      </w:r>
      <w:r w:rsidRPr="00E10104">
        <w:rPr>
          <w:rFonts w:eastAsia="Times New Roman" w:cs="Times New Roman"/>
          <w:i/>
          <w:szCs w:val="19"/>
          <w:lang w:val="en-GB" w:eastAsia="pl-PL"/>
        </w:rPr>
        <w:t xml:space="preserve">visual </w:t>
      </w:r>
      <w:r w:rsidR="0021392B" w:rsidRPr="00E10104">
        <w:rPr>
          <w:rFonts w:eastAsia="Times New Roman" w:cs="Times New Roman"/>
          <w:i/>
          <w:szCs w:val="19"/>
          <w:lang w:val="en-GB" w:eastAsia="pl-PL"/>
        </w:rPr>
        <w:t>a</w:t>
      </w:r>
      <w:r w:rsidRPr="00E10104">
        <w:rPr>
          <w:rFonts w:eastAsia="Times New Roman" w:cs="Times New Roman"/>
          <w:i/>
          <w:szCs w:val="19"/>
          <w:lang w:val="en-GB" w:eastAsia="pl-PL"/>
        </w:rPr>
        <w:t xml:space="preserve">rts and </w:t>
      </w:r>
      <w:r w:rsidR="0021392B" w:rsidRPr="00E10104">
        <w:rPr>
          <w:rFonts w:eastAsia="Times New Roman" w:cs="Times New Roman"/>
          <w:i/>
          <w:szCs w:val="19"/>
          <w:lang w:val="en-GB" w:eastAsia="pl-PL"/>
        </w:rPr>
        <w:t>m</w:t>
      </w:r>
      <w:r w:rsidRPr="00E10104">
        <w:rPr>
          <w:rFonts w:eastAsia="Times New Roman" w:cs="Times New Roman"/>
          <w:i/>
          <w:szCs w:val="19"/>
          <w:lang w:val="en-GB" w:eastAsia="pl-PL"/>
        </w:rPr>
        <w:t>ultimedia</w:t>
      </w:r>
      <w:r w:rsidRPr="00161DE5">
        <w:rPr>
          <w:rFonts w:eastAsia="Times New Roman" w:cs="Times New Roman"/>
          <w:szCs w:val="19"/>
          <w:lang w:val="en-GB" w:eastAsia="pl-PL"/>
        </w:rPr>
        <w:t xml:space="preserve">, </w:t>
      </w:r>
      <w:r w:rsidRPr="00E10104">
        <w:rPr>
          <w:rFonts w:eastAsia="Times New Roman" w:cs="Times New Roman"/>
          <w:i/>
          <w:szCs w:val="19"/>
          <w:lang w:val="en-GB" w:eastAsia="pl-PL"/>
        </w:rPr>
        <w:t xml:space="preserve">Performing </w:t>
      </w:r>
      <w:r w:rsidR="00E10104">
        <w:rPr>
          <w:rFonts w:eastAsia="Times New Roman" w:cs="Times New Roman"/>
          <w:i/>
          <w:szCs w:val="19"/>
          <w:lang w:val="en-GB" w:eastAsia="pl-PL"/>
        </w:rPr>
        <w:t>a</w:t>
      </w:r>
      <w:r w:rsidRPr="00E10104">
        <w:rPr>
          <w:rFonts w:eastAsia="Times New Roman" w:cs="Times New Roman"/>
          <w:i/>
          <w:szCs w:val="19"/>
          <w:lang w:val="en-GB" w:eastAsia="pl-PL"/>
        </w:rPr>
        <w:t>rts</w:t>
      </w:r>
      <w:r w:rsidRPr="00161DE5">
        <w:rPr>
          <w:rFonts w:eastAsia="Times New Roman" w:cs="Times New Roman"/>
          <w:szCs w:val="19"/>
          <w:lang w:val="en-GB" w:eastAsia="pl-PL"/>
        </w:rPr>
        <w:t xml:space="preserve"> and </w:t>
      </w:r>
      <w:r w:rsidRPr="00E10104">
        <w:rPr>
          <w:rFonts w:eastAsia="Times New Roman" w:cs="Times New Roman"/>
          <w:i/>
          <w:szCs w:val="19"/>
          <w:lang w:val="en-GB" w:eastAsia="pl-PL"/>
        </w:rPr>
        <w:t xml:space="preserve">Visual </w:t>
      </w:r>
      <w:r w:rsidR="00E10104">
        <w:rPr>
          <w:rFonts w:eastAsia="Times New Roman" w:cs="Times New Roman"/>
          <w:i/>
          <w:szCs w:val="19"/>
          <w:lang w:val="en-GB" w:eastAsia="pl-PL"/>
        </w:rPr>
        <w:t>a</w:t>
      </w:r>
      <w:r w:rsidRPr="00E10104">
        <w:rPr>
          <w:rFonts w:eastAsia="Times New Roman" w:cs="Times New Roman"/>
          <w:i/>
          <w:szCs w:val="19"/>
          <w:lang w:val="en-GB" w:eastAsia="pl-PL"/>
        </w:rPr>
        <w:t>rts</w:t>
      </w:r>
      <w:r w:rsidRPr="00E10104">
        <w:rPr>
          <w:rFonts w:eastAsia="Times New Roman" w:cs="Times New Roman"/>
          <w:szCs w:val="19"/>
          <w:lang w:val="en-GB" w:eastAsia="pl-PL"/>
        </w:rPr>
        <w:t xml:space="preserve">, the </w:t>
      </w:r>
      <w:r w:rsidRPr="00161DE5">
        <w:rPr>
          <w:rFonts w:eastAsia="Times New Roman" w:cs="Times New Roman"/>
          <w:szCs w:val="19"/>
          <w:lang w:val="en-GB" w:eastAsia="pl-PL"/>
        </w:rPr>
        <w:t xml:space="preserve">balance was </w:t>
      </w:r>
      <w:r w:rsidRPr="00D275E4">
        <w:rPr>
          <w:rFonts w:eastAsia="Times New Roman" w:cs="Times New Roman"/>
          <w:szCs w:val="19"/>
          <w:lang w:val="en-GB" w:eastAsia="pl-PL"/>
        </w:rPr>
        <w:t>again negative (minus PLN 1,247.2 million, minus PLN 323.7 million and minus PLN 40.5 million, respectively). The largest share in export</w:t>
      </w:r>
      <w:r w:rsidR="00E10104" w:rsidRPr="00D275E4">
        <w:rPr>
          <w:rFonts w:eastAsia="Times New Roman" w:cs="Times New Roman"/>
          <w:szCs w:val="19"/>
          <w:lang w:val="en-GB" w:eastAsia="pl-PL"/>
        </w:rPr>
        <w:t>s</w:t>
      </w:r>
      <w:r w:rsidRPr="00D275E4">
        <w:rPr>
          <w:rFonts w:eastAsia="Times New Roman" w:cs="Times New Roman"/>
          <w:szCs w:val="19"/>
          <w:lang w:val="en-GB" w:eastAsia="pl-PL"/>
        </w:rPr>
        <w:t xml:space="preserve"> of cultural and creative goods and services was </w:t>
      </w:r>
      <w:r w:rsidR="00E10104" w:rsidRPr="00D275E4">
        <w:rPr>
          <w:rFonts w:eastAsia="Times New Roman" w:cs="Times New Roman"/>
          <w:szCs w:val="19"/>
          <w:lang w:val="en-GB" w:eastAsia="pl-PL"/>
        </w:rPr>
        <w:t xml:space="preserve">observed </w:t>
      </w:r>
      <w:r w:rsidRPr="00D275E4">
        <w:rPr>
          <w:rFonts w:eastAsia="Times New Roman" w:cs="Times New Roman"/>
          <w:szCs w:val="19"/>
          <w:lang w:val="en-GB" w:eastAsia="pl-PL"/>
        </w:rPr>
        <w:t xml:space="preserve">in the </w:t>
      </w:r>
      <w:r w:rsidRPr="00D275E4">
        <w:rPr>
          <w:rFonts w:eastAsia="Times New Roman" w:cs="Times New Roman"/>
          <w:i/>
          <w:szCs w:val="19"/>
          <w:lang w:val="en-GB" w:eastAsia="pl-PL"/>
        </w:rPr>
        <w:t xml:space="preserve">Advertising </w:t>
      </w:r>
      <w:r w:rsidR="00E10104" w:rsidRPr="00D275E4">
        <w:rPr>
          <w:rFonts w:eastAsia="Times New Roman" w:cs="Times New Roman"/>
          <w:szCs w:val="19"/>
          <w:lang w:val="en-GB" w:eastAsia="pl-PL"/>
        </w:rPr>
        <w:t>domain</w:t>
      </w:r>
      <w:r w:rsidRPr="00D275E4">
        <w:rPr>
          <w:rFonts w:eastAsia="Times New Roman" w:cs="Times New Roman"/>
          <w:szCs w:val="19"/>
          <w:lang w:val="en-GB" w:eastAsia="pl-PL"/>
        </w:rPr>
        <w:t xml:space="preserve"> (37.7%). </w:t>
      </w:r>
      <w:r w:rsidRPr="00D275E4">
        <w:rPr>
          <w:rFonts w:eastAsia="Times New Roman" w:cs="Times New Roman"/>
          <w:i/>
          <w:szCs w:val="19"/>
          <w:lang w:val="en-GB" w:eastAsia="pl-PL"/>
        </w:rPr>
        <w:t>Audio</w:t>
      </w:r>
      <w:r w:rsidR="00702B1C" w:rsidRPr="00D275E4">
        <w:rPr>
          <w:rFonts w:eastAsia="Times New Roman" w:cs="Times New Roman"/>
          <w:i/>
          <w:szCs w:val="19"/>
          <w:lang w:val="en-GB" w:eastAsia="pl-PL"/>
        </w:rPr>
        <w:t>-</w:t>
      </w:r>
      <w:r w:rsidRPr="00D275E4">
        <w:rPr>
          <w:rFonts w:eastAsia="Times New Roman" w:cs="Times New Roman"/>
          <w:i/>
          <w:szCs w:val="19"/>
          <w:lang w:val="en-GB" w:eastAsia="pl-PL"/>
        </w:rPr>
        <w:t>visual arts and multimedia</w:t>
      </w:r>
      <w:r w:rsidRPr="00D275E4">
        <w:rPr>
          <w:rFonts w:eastAsia="Times New Roman" w:cs="Times New Roman"/>
          <w:szCs w:val="19"/>
          <w:lang w:val="en-GB" w:eastAsia="pl-PL"/>
        </w:rPr>
        <w:t xml:space="preserve"> (32.5%) and </w:t>
      </w:r>
      <w:r w:rsidRPr="00D275E4">
        <w:rPr>
          <w:rFonts w:eastAsia="Times New Roman" w:cs="Times New Roman"/>
          <w:i/>
          <w:szCs w:val="19"/>
          <w:lang w:val="en-GB" w:eastAsia="pl-PL"/>
        </w:rPr>
        <w:t>Books and press</w:t>
      </w:r>
      <w:r w:rsidRPr="00D275E4">
        <w:rPr>
          <w:rFonts w:eastAsia="Times New Roman" w:cs="Times New Roman"/>
          <w:szCs w:val="19"/>
          <w:lang w:val="en-GB" w:eastAsia="pl-PL"/>
        </w:rPr>
        <w:t xml:space="preserve"> (25.6%) also had a large share in exports. In the case of imports, the same </w:t>
      </w:r>
      <w:r w:rsidR="00292408">
        <w:rPr>
          <w:rFonts w:eastAsia="Times New Roman" w:cs="Times New Roman"/>
          <w:szCs w:val="19"/>
          <w:lang w:val="en-GB" w:eastAsia="pl-PL"/>
        </w:rPr>
        <w:t>domains</w:t>
      </w:r>
      <w:r w:rsidR="00292408" w:rsidRPr="00D275E4">
        <w:rPr>
          <w:rFonts w:eastAsia="Times New Roman" w:cs="Times New Roman"/>
          <w:szCs w:val="19"/>
          <w:lang w:val="en-GB" w:eastAsia="pl-PL"/>
        </w:rPr>
        <w:t xml:space="preserve"> </w:t>
      </w:r>
      <w:r w:rsidRPr="00D275E4">
        <w:rPr>
          <w:rFonts w:eastAsia="Times New Roman" w:cs="Times New Roman"/>
          <w:szCs w:val="19"/>
          <w:lang w:val="en-GB" w:eastAsia="pl-PL"/>
        </w:rPr>
        <w:t xml:space="preserve">dominated: </w:t>
      </w:r>
      <w:r w:rsidRPr="00D275E4">
        <w:rPr>
          <w:rFonts w:eastAsia="Times New Roman" w:cs="Times New Roman"/>
          <w:i/>
          <w:szCs w:val="19"/>
          <w:lang w:val="en-GB" w:eastAsia="pl-PL"/>
        </w:rPr>
        <w:t>Audio</w:t>
      </w:r>
      <w:r w:rsidR="00702B1C" w:rsidRPr="00D275E4">
        <w:rPr>
          <w:rFonts w:eastAsia="Times New Roman" w:cs="Times New Roman"/>
          <w:i/>
          <w:szCs w:val="19"/>
          <w:lang w:val="en-GB" w:eastAsia="pl-PL"/>
        </w:rPr>
        <w:t>-</w:t>
      </w:r>
      <w:r w:rsidRPr="00D275E4">
        <w:rPr>
          <w:rFonts w:eastAsia="Times New Roman" w:cs="Times New Roman"/>
          <w:i/>
          <w:szCs w:val="19"/>
          <w:lang w:val="en-GB" w:eastAsia="pl-PL"/>
        </w:rPr>
        <w:t>visual arts and multimedia</w:t>
      </w:r>
      <w:r w:rsidRPr="00D275E4">
        <w:rPr>
          <w:rFonts w:eastAsia="Times New Roman" w:cs="Times New Roman"/>
          <w:szCs w:val="19"/>
          <w:lang w:val="en-GB" w:eastAsia="pl-PL"/>
        </w:rPr>
        <w:t xml:space="preserve"> (46.8% of all imports of the area of culture), </w:t>
      </w:r>
      <w:r w:rsidRPr="00D275E4">
        <w:rPr>
          <w:rFonts w:eastAsia="Times New Roman" w:cs="Times New Roman"/>
          <w:i/>
          <w:szCs w:val="19"/>
          <w:lang w:val="en-GB" w:eastAsia="pl-PL"/>
        </w:rPr>
        <w:t>Advertising</w:t>
      </w:r>
      <w:r w:rsidRPr="00D275E4">
        <w:rPr>
          <w:rFonts w:eastAsia="Times New Roman" w:cs="Times New Roman"/>
          <w:szCs w:val="19"/>
          <w:lang w:val="en-GB" w:eastAsia="pl-PL"/>
        </w:rPr>
        <w:t xml:space="preserve"> (33.7%) and </w:t>
      </w:r>
      <w:r w:rsidRPr="00D275E4">
        <w:rPr>
          <w:rFonts w:eastAsia="Times New Roman" w:cs="Times New Roman"/>
          <w:i/>
          <w:szCs w:val="19"/>
          <w:lang w:val="en-GB" w:eastAsia="pl-PL"/>
        </w:rPr>
        <w:t xml:space="preserve">Books and press </w:t>
      </w:r>
      <w:r w:rsidRPr="00D275E4">
        <w:rPr>
          <w:rFonts w:eastAsia="Times New Roman" w:cs="Times New Roman"/>
          <w:szCs w:val="19"/>
          <w:lang w:val="en-GB" w:eastAsia="pl-PL"/>
        </w:rPr>
        <w:t xml:space="preserve">(14.2%). The value of imports in the following </w:t>
      </w:r>
      <w:r w:rsidR="00292408">
        <w:rPr>
          <w:rFonts w:eastAsia="Times New Roman" w:cs="Times New Roman"/>
          <w:szCs w:val="19"/>
          <w:lang w:val="en-GB" w:eastAsia="pl-PL"/>
        </w:rPr>
        <w:t>domains</w:t>
      </w:r>
      <w:r w:rsidRPr="00D275E4">
        <w:rPr>
          <w:rFonts w:eastAsia="Times New Roman" w:cs="Times New Roman"/>
          <w:szCs w:val="19"/>
          <w:lang w:val="en-GB" w:eastAsia="pl-PL"/>
        </w:rPr>
        <w:t xml:space="preserve">: </w:t>
      </w:r>
      <w:r w:rsidRPr="00D275E4">
        <w:rPr>
          <w:rFonts w:eastAsia="Times New Roman" w:cs="Times New Roman"/>
          <w:i/>
          <w:szCs w:val="19"/>
          <w:lang w:val="en-GB" w:eastAsia="pl-PL"/>
        </w:rPr>
        <w:t>Audio</w:t>
      </w:r>
      <w:r w:rsidR="00702B1C" w:rsidRPr="00D275E4">
        <w:rPr>
          <w:rFonts w:eastAsia="Times New Roman" w:cs="Times New Roman"/>
          <w:i/>
          <w:szCs w:val="19"/>
          <w:lang w:val="en-GB" w:eastAsia="pl-PL"/>
        </w:rPr>
        <w:t>-</w:t>
      </w:r>
      <w:r w:rsidRPr="00D275E4">
        <w:rPr>
          <w:rFonts w:eastAsia="Times New Roman" w:cs="Times New Roman"/>
          <w:i/>
          <w:szCs w:val="19"/>
          <w:lang w:val="en-GB" w:eastAsia="pl-PL"/>
        </w:rPr>
        <w:t>visual arts and multimedia</w:t>
      </w:r>
      <w:r w:rsidRPr="00D275E4">
        <w:rPr>
          <w:rFonts w:eastAsia="Times New Roman" w:cs="Times New Roman"/>
          <w:szCs w:val="19"/>
          <w:lang w:val="en-GB" w:eastAsia="pl-PL"/>
        </w:rPr>
        <w:t xml:space="preserve"> amounted to PLN 9,847.2 million, </w:t>
      </w:r>
      <w:r w:rsidRPr="00D275E4">
        <w:rPr>
          <w:rFonts w:eastAsia="Times New Roman" w:cs="Times New Roman"/>
          <w:i/>
          <w:szCs w:val="19"/>
          <w:lang w:val="en-GB" w:eastAsia="pl-PL"/>
        </w:rPr>
        <w:t>Advertising</w:t>
      </w:r>
      <w:r w:rsidRPr="00D275E4">
        <w:rPr>
          <w:rFonts w:eastAsia="Times New Roman" w:cs="Times New Roman"/>
          <w:szCs w:val="19"/>
          <w:lang w:val="en-GB" w:eastAsia="pl-PL"/>
        </w:rPr>
        <w:t xml:space="preserve"> – PLN 7,082.6 million, and </w:t>
      </w:r>
      <w:r w:rsidRPr="00D275E4">
        <w:rPr>
          <w:rFonts w:eastAsia="Times New Roman" w:cs="Times New Roman"/>
          <w:i/>
          <w:szCs w:val="19"/>
          <w:lang w:val="en-GB" w:eastAsia="pl-PL"/>
        </w:rPr>
        <w:t>Books and press</w:t>
      </w:r>
      <w:r w:rsidRPr="00D275E4">
        <w:rPr>
          <w:rFonts w:eastAsia="Times New Roman" w:cs="Times New Roman"/>
          <w:szCs w:val="19"/>
          <w:lang w:val="en-GB" w:eastAsia="pl-PL"/>
        </w:rPr>
        <w:t xml:space="preserve"> – PLN 2,994.2 million. Compared to 2019, the highest percentage increase in imports was recorded in </w:t>
      </w:r>
      <w:r w:rsidRPr="00D275E4">
        <w:rPr>
          <w:rFonts w:eastAsia="Times New Roman" w:cs="Times New Roman"/>
          <w:i/>
          <w:szCs w:val="19"/>
          <w:lang w:val="en-GB" w:eastAsia="pl-PL"/>
        </w:rPr>
        <w:t xml:space="preserve">Visual </w:t>
      </w:r>
      <w:r w:rsidR="005D657C" w:rsidRPr="00D275E4">
        <w:rPr>
          <w:rFonts w:eastAsia="Times New Roman" w:cs="Times New Roman"/>
          <w:i/>
          <w:szCs w:val="19"/>
          <w:lang w:val="en-GB" w:eastAsia="pl-PL"/>
        </w:rPr>
        <w:t>a</w:t>
      </w:r>
      <w:r w:rsidRPr="00D275E4">
        <w:rPr>
          <w:rFonts w:eastAsia="Times New Roman" w:cs="Times New Roman"/>
          <w:i/>
          <w:szCs w:val="19"/>
          <w:lang w:val="en-GB" w:eastAsia="pl-PL"/>
        </w:rPr>
        <w:t>rts</w:t>
      </w:r>
      <w:r w:rsidRPr="00D275E4">
        <w:rPr>
          <w:rFonts w:eastAsia="Times New Roman" w:cs="Times New Roman"/>
          <w:szCs w:val="19"/>
          <w:lang w:val="en-GB" w:eastAsia="pl-PL"/>
        </w:rPr>
        <w:t xml:space="preserve"> </w:t>
      </w:r>
      <w:r w:rsidR="00D275E4" w:rsidRPr="00D275E4">
        <w:rPr>
          <w:rFonts w:eastAsia="Times New Roman" w:cs="Times New Roman"/>
          <w:szCs w:val="19"/>
          <w:lang w:val="en-GB" w:eastAsia="pl-PL"/>
        </w:rPr>
        <w:t>domain</w:t>
      </w:r>
      <w:r w:rsidRPr="00D275E4">
        <w:rPr>
          <w:rFonts w:eastAsia="Times New Roman" w:cs="Times New Roman"/>
          <w:szCs w:val="19"/>
          <w:lang w:val="en-GB" w:eastAsia="pl-PL"/>
        </w:rPr>
        <w:t xml:space="preserve"> (by 22.3%), and the highest percentage increase in exports – in </w:t>
      </w:r>
      <w:r w:rsidRPr="00D275E4">
        <w:rPr>
          <w:rFonts w:eastAsia="Times New Roman" w:cs="Times New Roman"/>
          <w:i/>
          <w:szCs w:val="19"/>
          <w:lang w:val="en-GB" w:eastAsia="pl-PL"/>
        </w:rPr>
        <w:t>Audio</w:t>
      </w:r>
      <w:r w:rsidR="00702B1C" w:rsidRPr="00D275E4">
        <w:rPr>
          <w:rFonts w:eastAsia="Times New Roman" w:cs="Times New Roman"/>
          <w:i/>
          <w:szCs w:val="19"/>
          <w:lang w:val="en-GB" w:eastAsia="pl-PL"/>
        </w:rPr>
        <w:t>-</w:t>
      </w:r>
      <w:r w:rsidRPr="00D275E4">
        <w:rPr>
          <w:rFonts w:eastAsia="Times New Roman" w:cs="Times New Roman"/>
          <w:i/>
          <w:szCs w:val="19"/>
          <w:lang w:val="en-GB" w:eastAsia="pl-PL"/>
        </w:rPr>
        <w:t xml:space="preserve">visual </w:t>
      </w:r>
      <w:r w:rsidR="00F477E1" w:rsidRPr="00D275E4">
        <w:rPr>
          <w:rFonts w:eastAsia="Times New Roman" w:cs="Times New Roman"/>
          <w:i/>
          <w:szCs w:val="19"/>
          <w:lang w:val="en-GB" w:eastAsia="pl-PL"/>
        </w:rPr>
        <w:t xml:space="preserve">arts </w:t>
      </w:r>
      <w:r w:rsidRPr="00D275E4">
        <w:rPr>
          <w:rFonts w:eastAsia="Times New Roman" w:cs="Times New Roman"/>
          <w:i/>
          <w:szCs w:val="19"/>
          <w:lang w:val="en-GB" w:eastAsia="pl-PL"/>
        </w:rPr>
        <w:t xml:space="preserve">and </w:t>
      </w:r>
      <w:r w:rsidR="0021392B" w:rsidRPr="00D275E4">
        <w:rPr>
          <w:rFonts w:eastAsia="Times New Roman" w:cs="Times New Roman"/>
          <w:i/>
          <w:szCs w:val="19"/>
          <w:lang w:val="en-GB" w:eastAsia="pl-PL"/>
        </w:rPr>
        <w:t>m</w:t>
      </w:r>
      <w:r w:rsidRPr="00D275E4">
        <w:rPr>
          <w:rFonts w:eastAsia="Times New Roman" w:cs="Times New Roman"/>
          <w:i/>
          <w:szCs w:val="19"/>
          <w:lang w:val="en-GB" w:eastAsia="pl-PL"/>
        </w:rPr>
        <w:t>ultimedia</w:t>
      </w:r>
      <w:r w:rsidRPr="00D275E4">
        <w:rPr>
          <w:rFonts w:eastAsia="Times New Roman" w:cs="Times New Roman"/>
          <w:szCs w:val="19"/>
          <w:lang w:val="en-GB" w:eastAsia="pl-PL"/>
        </w:rPr>
        <w:t xml:space="preserve"> </w:t>
      </w:r>
      <w:r w:rsidR="005D657C" w:rsidRPr="00D275E4">
        <w:rPr>
          <w:rFonts w:eastAsia="Times New Roman" w:cs="Times New Roman"/>
          <w:szCs w:val="19"/>
          <w:lang w:val="en-GB" w:eastAsia="pl-PL"/>
        </w:rPr>
        <w:t>domain</w:t>
      </w:r>
      <w:r w:rsidRPr="00D275E4">
        <w:rPr>
          <w:rFonts w:eastAsia="Times New Roman" w:cs="Times New Roman"/>
          <w:szCs w:val="19"/>
          <w:lang w:val="en-GB" w:eastAsia="pl-PL"/>
        </w:rPr>
        <w:t xml:space="preserve"> (by 12.8%).</w:t>
      </w:r>
    </w:p>
    <w:p w14:paraId="6E798283" w14:textId="31A5A387" w:rsidR="00CC4524" w:rsidRDefault="00CC4524" w:rsidP="00CC4524">
      <w:pPr>
        <w:spacing w:before="3000"/>
        <w:rPr>
          <w:shd w:val="clear" w:color="auto" w:fill="FFFFFF"/>
          <w:lang w:val="en-GB"/>
        </w:rPr>
      </w:pPr>
      <w:r>
        <w:rPr>
          <w:shd w:val="clear" w:color="auto" w:fill="FFFFFF"/>
          <w:lang w:val="en-GB"/>
        </w:rPr>
        <w:t xml:space="preserve">Information on the used data sources and the methodological solutions can be found in the </w:t>
      </w:r>
      <w:r w:rsidRPr="00CC4524">
        <w:rPr>
          <w:i/>
          <w:shd w:val="clear" w:color="auto" w:fill="FFFFFF"/>
          <w:lang w:val="en-GB"/>
        </w:rPr>
        <w:t>Report on methodological work. Culture Satellite Account</w:t>
      </w:r>
      <w:r>
        <w:rPr>
          <w:i/>
          <w:shd w:val="clear" w:color="auto" w:fill="FFFFFF"/>
          <w:lang w:val="en-GB"/>
        </w:rPr>
        <w:t xml:space="preserve"> </w:t>
      </w:r>
      <w:r w:rsidRPr="00CC4524">
        <w:rPr>
          <w:shd w:val="clear" w:color="auto" w:fill="FFFFFF"/>
          <w:lang w:val="en-GB"/>
        </w:rPr>
        <w:t>(hyperlink</w:t>
      </w:r>
      <w:r>
        <w:rPr>
          <w:shd w:val="clear" w:color="auto" w:fill="FFFFFF"/>
          <w:lang w:val="en-GB"/>
        </w:rPr>
        <w:t xml:space="preserve"> available on the last page).</w:t>
      </w:r>
    </w:p>
    <w:p w14:paraId="01AEBD47" w14:textId="4690CA69" w:rsidR="004F3CD5" w:rsidRPr="00CC4524" w:rsidRDefault="004F3CD5" w:rsidP="00CC4524">
      <w:pPr>
        <w:rPr>
          <w:shd w:val="clear" w:color="auto" w:fill="FFFFFF"/>
          <w:lang w:val="en-GB"/>
        </w:rPr>
      </w:pPr>
      <w:r w:rsidRPr="00161DE5">
        <w:rPr>
          <w:shd w:val="clear" w:color="auto" w:fill="FFFFFF"/>
          <w:lang w:val="en-GB"/>
        </w:rPr>
        <w:t xml:space="preserve">In the case of quoting data from the </w:t>
      </w:r>
      <w:r w:rsidR="00D275E4">
        <w:rPr>
          <w:shd w:val="clear" w:color="auto" w:fill="FFFFFF"/>
          <w:lang w:val="en-GB"/>
        </w:rPr>
        <w:t>Statistics Poland</w:t>
      </w:r>
      <w:r w:rsidRPr="00161DE5">
        <w:rPr>
          <w:shd w:val="clear" w:color="auto" w:fill="FFFFFF"/>
          <w:lang w:val="en-GB"/>
        </w:rPr>
        <w:t>, please include the information: "</w:t>
      </w:r>
      <w:r w:rsidR="00D275E4">
        <w:rPr>
          <w:shd w:val="clear" w:color="auto" w:fill="FFFFFF"/>
          <w:lang w:val="en-GB"/>
        </w:rPr>
        <w:t xml:space="preserve">Statistics Poland </w:t>
      </w:r>
      <w:r w:rsidRPr="00161DE5">
        <w:rPr>
          <w:shd w:val="clear" w:color="auto" w:fill="FFFFFF"/>
          <w:lang w:val="en-GB"/>
        </w:rPr>
        <w:t>data</w:t>
      </w:r>
      <w:r w:rsidR="00D275E4">
        <w:rPr>
          <w:shd w:val="clear" w:color="auto" w:fill="FFFFFF"/>
          <w:lang w:val="en-GB"/>
        </w:rPr>
        <w:t xml:space="preserve"> source</w:t>
      </w:r>
      <w:r w:rsidRPr="00161DE5">
        <w:rPr>
          <w:shd w:val="clear" w:color="auto" w:fill="FFFFFF"/>
          <w:lang w:val="en-GB"/>
        </w:rPr>
        <w:t>", and in the case of publishing calculations made on data published by the Statistic</w:t>
      </w:r>
      <w:r w:rsidR="00D275E4">
        <w:rPr>
          <w:shd w:val="clear" w:color="auto" w:fill="FFFFFF"/>
          <w:lang w:val="en-GB"/>
        </w:rPr>
        <w:t>s Poland</w:t>
      </w:r>
      <w:r w:rsidRPr="00161DE5">
        <w:rPr>
          <w:shd w:val="clear" w:color="auto" w:fill="FFFFFF"/>
          <w:lang w:val="en-GB"/>
        </w:rPr>
        <w:t xml:space="preserve">, please </w:t>
      </w:r>
      <w:r w:rsidR="00D275E4">
        <w:rPr>
          <w:shd w:val="clear" w:color="auto" w:fill="FFFFFF"/>
          <w:lang w:val="en-GB"/>
        </w:rPr>
        <w:t>provide</w:t>
      </w:r>
      <w:r w:rsidRPr="00161DE5">
        <w:rPr>
          <w:shd w:val="clear" w:color="auto" w:fill="FFFFFF"/>
          <w:lang w:val="en-GB"/>
        </w:rPr>
        <w:t xml:space="preserve"> information: "Own </w:t>
      </w:r>
      <w:r w:rsidR="00D275E4">
        <w:rPr>
          <w:shd w:val="clear" w:color="auto" w:fill="FFFFFF"/>
          <w:lang w:val="en-GB"/>
        </w:rPr>
        <w:t>study</w:t>
      </w:r>
      <w:r w:rsidRPr="00161DE5">
        <w:rPr>
          <w:shd w:val="clear" w:color="auto" w:fill="FFFFFF"/>
          <w:lang w:val="en-GB"/>
        </w:rPr>
        <w:t xml:space="preserve"> based on </w:t>
      </w:r>
      <w:r w:rsidR="00D275E4">
        <w:rPr>
          <w:shd w:val="clear" w:color="auto" w:fill="FFFFFF"/>
          <w:lang w:val="en-GB"/>
        </w:rPr>
        <w:t xml:space="preserve">Statistics Poland </w:t>
      </w:r>
      <w:r w:rsidRPr="00161DE5">
        <w:rPr>
          <w:shd w:val="clear" w:color="auto" w:fill="FFFFFF"/>
          <w:lang w:val="en-GB"/>
        </w:rPr>
        <w:t>data".</w:t>
      </w:r>
    </w:p>
    <w:p w14:paraId="48110BD0" w14:textId="1599F8B3" w:rsidR="004F3CD5" w:rsidRPr="00161DE5" w:rsidRDefault="004F3CD5" w:rsidP="004F3CD5">
      <w:pPr>
        <w:rPr>
          <w:sz w:val="18"/>
          <w:lang w:val="en-GB"/>
        </w:rPr>
        <w:sectPr w:rsidR="004F3CD5" w:rsidRPr="00161DE5"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562D83" w:rsidRPr="00D541D7" w14:paraId="4BA11F0D" w14:textId="77777777" w:rsidTr="00562D83">
        <w:trPr>
          <w:cantSplit/>
          <w:trHeight w:val="2405"/>
        </w:trPr>
        <w:tc>
          <w:tcPr>
            <w:tcW w:w="4926" w:type="dxa"/>
          </w:tcPr>
          <w:p w14:paraId="47A0F703" w14:textId="77777777" w:rsidR="00562D83" w:rsidRPr="00287211" w:rsidRDefault="00562D83" w:rsidP="00562D83">
            <w:pPr>
              <w:spacing w:before="0" w:after="0" w:line="276" w:lineRule="auto"/>
              <w:rPr>
                <w:rFonts w:cs="Arial"/>
                <w:sz w:val="20"/>
                <w:lang w:val="en-GB"/>
              </w:rPr>
            </w:pPr>
            <w:r>
              <w:rPr>
                <w:rFonts w:cs="Arial"/>
                <w:sz w:val="20"/>
                <w:lang w:val="en-GB"/>
              </w:rPr>
              <w:lastRenderedPageBreak/>
              <w:t>Prepared by</w:t>
            </w:r>
            <w:r w:rsidRPr="00287211">
              <w:rPr>
                <w:rFonts w:cs="Arial"/>
                <w:sz w:val="20"/>
                <w:lang w:val="en-GB"/>
              </w:rPr>
              <w:t>:</w:t>
            </w:r>
          </w:p>
          <w:p w14:paraId="0531168B" w14:textId="77777777" w:rsidR="00562D83" w:rsidRPr="00287211" w:rsidRDefault="00562D83" w:rsidP="00562D83">
            <w:pPr>
              <w:spacing w:before="0" w:line="276" w:lineRule="auto"/>
              <w:rPr>
                <w:b/>
                <w:color w:val="000000" w:themeColor="text1"/>
                <w:sz w:val="20"/>
                <w:szCs w:val="20"/>
                <w:lang w:val="en-GB"/>
              </w:rPr>
            </w:pPr>
            <w:r>
              <w:rPr>
                <w:b/>
                <w:sz w:val="20"/>
                <w:szCs w:val="20"/>
                <w:lang w:val="en-GB"/>
              </w:rPr>
              <w:t>Statistical Office in Kraków</w:t>
            </w:r>
          </w:p>
          <w:p w14:paraId="473A8DEA" w14:textId="77777777" w:rsidR="00562D83" w:rsidRDefault="00562D83" w:rsidP="00562D83">
            <w:pPr>
              <w:spacing w:before="0" w:after="0" w:line="276" w:lineRule="auto"/>
              <w:rPr>
                <w:b/>
                <w:sz w:val="20"/>
                <w:szCs w:val="20"/>
                <w:lang w:val="en-GB"/>
              </w:rPr>
            </w:pPr>
            <w:r>
              <w:rPr>
                <w:b/>
                <w:sz w:val="20"/>
                <w:szCs w:val="20"/>
                <w:lang w:val="en-GB"/>
              </w:rPr>
              <w:t>Director Agnieszka Szlubowska</w:t>
            </w:r>
          </w:p>
          <w:p w14:paraId="08681050" w14:textId="2C63256C" w:rsidR="00562D83" w:rsidRPr="00161DE5" w:rsidRDefault="00562D83" w:rsidP="00562D83">
            <w:pPr>
              <w:spacing w:before="0" w:line="276" w:lineRule="auto"/>
              <w:rPr>
                <w:rFonts w:cs="Arial"/>
                <w:color w:val="000000" w:themeColor="text1"/>
                <w:lang w:val="en-GB"/>
              </w:rPr>
            </w:pPr>
            <w:r>
              <w:rPr>
                <w:lang w:val="en-GB"/>
              </w:rPr>
              <w:t>Phone:</w:t>
            </w:r>
            <w:r w:rsidRPr="00827493">
              <w:rPr>
                <w:color w:val="000000" w:themeColor="text1"/>
                <w:lang w:val="en-GB"/>
              </w:rPr>
              <w:t xml:space="preserve"> </w:t>
            </w:r>
            <w:hyperlink r:id="rId17" w:tooltip="click to call" w:history="1">
              <w:r w:rsidRPr="002F6C66">
                <w:rPr>
                  <w:rStyle w:val="Hipercze"/>
                  <w:color w:val="000000" w:themeColor="text1"/>
                  <w:u w:val="none"/>
                  <w:lang w:val="en-GB"/>
                </w:rPr>
                <w:t>(+48 12) 420 40 50</w:t>
              </w:r>
            </w:hyperlink>
            <w:r w:rsidRPr="002F6C66">
              <w:rPr>
                <w:lang w:val="en-GB"/>
              </w:rPr>
              <w:t xml:space="preserve"> </w:t>
            </w:r>
            <w:r w:rsidRPr="00287211">
              <w:rPr>
                <w:sz w:val="20"/>
                <w:lang w:val="en-GB"/>
              </w:rPr>
              <w:t xml:space="preserve"> </w:t>
            </w:r>
          </w:p>
        </w:tc>
        <w:tc>
          <w:tcPr>
            <w:tcW w:w="4927" w:type="dxa"/>
          </w:tcPr>
          <w:p w14:paraId="68D096F4" w14:textId="77777777" w:rsidR="00562D83" w:rsidRPr="00F40BB1" w:rsidRDefault="00562D83" w:rsidP="00562D83">
            <w:pPr>
              <w:spacing w:before="0" w:after="0" w:line="276" w:lineRule="auto"/>
              <w:rPr>
                <w:rFonts w:cs="Arial"/>
                <w:sz w:val="20"/>
                <w:szCs w:val="20"/>
                <w:lang w:val="en-GB"/>
              </w:rPr>
            </w:pPr>
            <w:r w:rsidRPr="00F40BB1">
              <w:rPr>
                <w:rFonts w:cs="Arial"/>
                <w:sz w:val="20"/>
                <w:szCs w:val="20"/>
                <w:lang w:val="en-GB"/>
              </w:rPr>
              <w:t>Issued by:</w:t>
            </w:r>
          </w:p>
          <w:p w14:paraId="253C0B40" w14:textId="77777777" w:rsidR="00562D83" w:rsidRPr="00F40BB1" w:rsidRDefault="00562D83" w:rsidP="00562D83">
            <w:pPr>
              <w:spacing w:before="0"/>
              <w:rPr>
                <w:b/>
                <w:sz w:val="20"/>
                <w:szCs w:val="20"/>
                <w:lang w:val="en-GB"/>
              </w:rPr>
            </w:pPr>
            <w:r w:rsidRPr="00F40BB1">
              <w:rPr>
                <w:b/>
                <w:sz w:val="20"/>
                <w:szCs w:val="20"/>
                <w:lang w:val="en-GB"/>
              </w:rPr>
              <w:t>Press Office</w:t>
            </w:r>
          </w:p>
          <w:p w14:paraId="0B884C5A" w14:textId="77777777" w:rsidR="00562D83" w:rsidRPr="00F40BB1" w:rsidRDefault="00562D83" w:rsidP="00562D83">
            <w:pPr>
              <w:rPr>
                <w:sz w:val="20"/>
                <w:szCs w:val="20"/>
                <w:lang w:val="en-GB"/>
              </w:rPr>
            </w:pPr>
            <w:r w:rsidRPr="00F40BB1">
              <w:rPr>
                <w:sz w:val="20"/>
                <w:szCs w:val="20"/>
                <w:lang w:val="en-GB"/>
              </w:rPr>
              <w:t>Mobile: (+48) 695 255 032</w:t>
            </w:r>
          </w:p>
          <w:p w14:paraId="06E5D1B8" w14:textId="77777777" w:rsidR="00562D83" w:rsidRPr="00F40BB1" w:rsidRDefault="00562D83" w:rsidP="00562D83">
            <w:pPr>
              <w:spacing w:after="0"/>
              <w:rPr>
                <w:sz w:val="20"/>
                <w:szCs w:val="20"/>
                <w:lang w:val="en-GB"/>
              </w:rPr>
            </w:pPr>
            <w:r w:rsidRPr="00F40BB1">
              <w:rPr>
                <w:sz w:val="20"/>
                <w:szCs w:val="20"/>
                <w:lang w:val="en-GB"/>
              </w:rPr>
              <w:t xml:space="preserve">Phone: (+48 22) 608 38 04, (+48 22) 449 41 45, </w:t>
            </w:r>
          </w:p>
          <w:p w14:paraId="39AB3C16" w14:textId="77777777" w:rsidR="00562D83" w:rsidRPr="00F40BB1" w:rsidRDefault="00562D83" w:rsidP="00562D83">
            <w:pPr>
              <w:spacing w:before="0"/>
              <w:ind w:left="680"/>
              <w:rPr>
                <w:sz w:val="20"/>
                <w:szCs w:val="20"/>
                <w:lang w:val="en-GB"/>
              </w:rPr>
            </w:pPr>
            <w:r w:rsidRPr="00F40BB1">
              <w:rPr>
                <w:sz w:val="20"/>
                <w:szCs w:val="20"/>
                <w:lang w:val="en-GB"/>
              </w:rPr>
              <w:t xml:space="preserve">(+48 22) 608 30 09 </w:t>
            </w:r>
          </w:p>
          <w:p w14:paraId="3EC5F6FD" w14:textId="5D13F413" w:rsidR="00562D83" w:rsidRPr="00161DE5" w:rsidRDefault="00562D83" w:rsidP="00562D83">
            <w:pPr>
              <w:spacing w:before="0"/>
              <w:rPr>
                <w:b/>
                <w:lang w:val="en-GB"/>
              </w:rPr>
            </w:pPr>
            <w:r w:rsidRPr="00F40BB1">
              <w:rPr>
                <w:b/>
                <w:sz w:val="20"/>
                <w:szCs w:val="20"/>
                <w:lang w:val="en-GB"/>
              </w:rPr>
              <w:t>e-mail:</w:t>
            </w:r>
            <w:r w:rsidRPr="00F40BB1">
              <w:rPr>
                <w:sz w:val="20"/>
                <w:szCs w:val="20"/>
                <w:lang w:val="en-GB"/>
              </w:rPr>
              <w:t xml:space="preserve"> </w:t>
            </w:r>
            <w:r w:rsidRPr="00562D83">
              <w:rPr>
                <w:rFonts w:eastAsiaTheme="majorEastAsia" w:cs="Arial"/>
                <w:b/>
                <w:sz w:val="20"/>
                <w:szCs w:val="20"/>
                <w:lang w:val="en-GB"/>
              </w:rPr>
              <w:t>obslugaprasowa@stat.gov.pl</w:t>
            </w:r>
          </w:p>
        </w:tc>
      </w:tr>
      <w:tr w:rsidR="00013CA7" w:rsidRPr="00161DE5" w14:paraId="371C9EA4" w14:textId="77777777" w:rsidTr="006F1AF5">
        <w:trPr>
          <w:cantSplit/>
          <w:trHeight w:val="418"/>
        </w:trPr>
        <w:tc>
          <w:tcPr>
            <w:tcW w:w="4926" w:type="dxa"/>
            <w:vMerge w:val="restart"/>
          </w:tcPr>
          <w:p w14:paraId="5CD9B309" w14:textId="77777777" w:rsidR="00013CA7" w:rsidRPr="00161DE5" w:rsidRDefault="00013CA7" w:rsidP="00013CA7">
            <w:pPr>
              <w:rPr>
                <w:sz w:val="18"/>
                <w:lang w:val="en-GB"/>
              </w:rPr>
            </w:pPr>
          </w:p>
        </w:tc>
        <w:tc>
          <w:tcPr>
            <w:tcW w:w="4927" w:type="dxa"/>
            <w:vAlign w:val="center"/>
          </w:tcPr>
          <w:p w14:paraId="26B63504" w14:textId="46E395BF" w:rsidR="00013CA7" w:rsidRPr="002F6C66" w:rsidRDefault="00013CA7" w:rsidP="00013CA7">
            <w:pPr>
              <w:ind w:firstLine="680"/>
              <w:rPr>
                <w:sz w:val="18"/>
                <w:lang w:val="en-GB"/>
              </w:rPr>
            </w:pPr>
            <w:r w:rsidRPr="002F6C66">
              <w:rPr>
                <w:noProof/>
                <w:color w:val="000000" w:themeColor="text1"/>
                <w:sz w:val="20"/>
                <w:lang w:eastAsia="pl-PL"/>
              </w:rPr>
              <w:drawing>
                <wp:anchor distT="0" distB="0" distL="114300" distR="114300" simplePos="0" relativeHeight="251691008" behindDoc="0" locked="0" layoutInCell="1" allowOverlap="1" wp14:anchorId="23F4A611" wp14:editId="7B93A04E">
                  <wp:simplePos x="0" y="0"/>
                  <wp:positionH relativeFrom="column">
                    <wp:posOffset>78740</wp:posOffset>
                  </wp:positionH>
                  <wp:positionV relativeFrom="paragraph">
                    <wp:posOffset>21590</wp:posOffset>
                  </wp:positionV>
                  <wp:extent cx="251460" cy="251460"/>
                  <wp:effectExtent l="0" t="0" r="0" b="0"/>
                  <wp:wrapNone/>
                  <wp:docPr id="3" name="Obraz 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9" w:tooltip="website SO" w:history="1">
              <w:r w:rsidRPr="002F6C66">
                <w:rPr>
                  <w:rStyle w:val="Hipercze"/>
                  <w:color w:val="000000" w:themeColor="text1"/>
                  <w:sz w:val="20"/>
                  <w:u w:val="none"/>
                  <w:lang w:val="en-GB"/>
                </w:rPr>
                <w:t>stat.gov.pl/</w:t>
              </w:r>
              <w:proofErr w:type="spellStart"/>
              <w:r w:rsidRPr="002F6C66">
                <w:rPr>
                  <w:rStyle w:val="Hipercze"/>
                  <w:color w:val="000000" w:themeColor="text1"/>
                  <w:sz w:val="20"/>
                  <w:u w:val="none"/>
                  <w:lang w:val="en-GB"/>
                </w:rPr>
                <w:t>en</w:t>
              </w:r>
              <w:proofErr w:type="spellEnd"/>
              <w:r w:rsidRPr="002F6C66">
                <w:rPr>
                  <w:rStyle w:val="Hipercze"/>
                  <w:color w:val="000000" w:themeColor="text1"/>
                  <w:sz w:val="20"/>
                  <w:u w:val="none"/>
                  <w:lang w:val="en-GB"/>
                </w:rPr>
                <w:t>/</w:t>
              </w:r>
            </w:hyperlink>
          </w:p>
        </w:tc>
      </w:tr>
      <w:tr w:rsidR="00013CA7" w:rsidRPr="00161DE5" w14:paraId="3B41CE77" w14:textId="77777777" w:rsidTr="006F1AF5">
        <w:trPr>
          <w:cantSplit/>
          <w:trHeight w:val="418"/>
        </w:trPr>
        <w:tc>
          <w:tcPr>
            <w:tcW w:w="4926" w:type="dxa"/>
            <w:vMerge/>
          </w:tcPr>
          <w:p w14:paraId="5FFEB84B" w14:textId="77777777" w:rsidR="00013CA7" w:rsidRPr="00161DE5" w:rsidRDefault="00013CA7" w:rsidP="00013CA7">
            <w:pPr>
              <w:rPr>
                <w:b/>
                <w:sz w:val="20"/>
                <w:lang w:val="en-GB"/>
              </w:rPr>
            </w:pPr>
          </w:p>
        </w:tc>
        <w:tc>
          <w:tcPr>
            <w:tcW w:w="4927" w:type="dxa"/>
            <w:vAlign w:val="center"/>
          </w:tcPr>
          <w:p w14:paraId="49F0F05C" w14:textId="01590ED9" w:rsidR="00013CA7" w:rsidRPr="002F6C66" w:rsidRDefault="00013CA7" w:rsidP="00013CA7">
            <w:pPr>
              <w:ind w:firstLine="680"/>
              <w:rPr>
                <w:sz w:val="18"/>
                <w:lang w:val="en-GB"/>
              </w:rPr>
            </w:pPr>
            <w:r w:rsidRPr="002F6C66">
              <w:rPr>
                <w:noProof/>
                <w:sz w:val="20"/>
                <w:lang w:eastAsia="pl-PL"/>
              </w:rPr>
              <w:drawing>
                <wp:anchor distT="0" distB="0" distL="114300" distR="114300" simplePos="0" relativeHeight="251692032" behindDoc="0" locked="0" layoutInCell="1" allowOverlap="1" wp14:anchorId="509B5A38" wp14:editId="72E109CE">
                  <wp:simplePos x="0" y="0"/>
                  <wp:positionH relativeFrom="column">
                    <wp:posOffset>80010</wp:posOffset>
                  </wp:positionH>
                  <wp:positionV relativeFrom="paragraph">
                    <wp:posOffset>30480</wp:posOffset>
                  </wp:positionV>
                  <wp:extent cx="251460" cy="251460"/>
                  <wp:effectExtent l="0" t="0" r="0" b="0"/>
                  <wp:wrapNone/>
                  <wp:docPr id="22" name="Obraz 22"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F6C66">
              <w:rPr>
                <w:color w:val="000000" w:themeColor="text1"/>
              </w:rPr>
              <w:t>@</w:t>
            </w:r>
            <w:proofErr w:type="spellStart"/>
            <w:r w:rsidR="00940019" w:rsidRPr="002F6C66">
              <w:rPr>
                <w:rStyle w:val="Hipercze"/>
                <w:color w:val="000000" w:themeColor="text1"/>
                <w:u w:val="none"/>
              </w:rPr>
              <w:fldChar w:fldCharType="begin"/>
            </w:r>
            <w:r w:rsidR="00940019" w:rsidRPr="002F6C66">
              <w:rPr>
                <w:rStyle w:val="Hipercze"/>
                <w:color w:val="000000" w:themeColor="text1"/>
                <w:u w:val="none"/>
              </w:rPr>
              <w:instrText xml:space="preserve"> HYPERLINK "https://twitter.com/StatPoland" \o "twitter" </w:instrText>
            </w:r>
            <w:r w:rsidR="00940019" w:rsidRPr="002F6C66">
              <w:rPr>
                <w:rStyle w:val="Hipercze"/>
                <w:color w:val="000000" w:themeColor="text1"/>
                <w:u w:val="none"/>
              </w:rPr>
              <w:fldChar w:fldCharType="separate"/>
            </w:r>
            <w:r w:rsidRPr="002F6C66">
              <w:rPr>
                <w:rStyle w:val="Hipercze"/>
                <w:color w:val="000000" w:themeColor="text1"/>
                <w:u w:val="none"/>
              </w:rPr>
              <w:t>StatPoland</w:t>
            </w:r>
            <w:proofErr w:type="spellEnd"/>
            <w:r w:rsidR="00940019" w:rsidRPr="002F6C66">
              <w:rPr>
                <w:rStyle w:val="Hipercze"/>
                <w:color w:val="000000" w:themeColor="text1"/>
                <w:u w:val="none"/>
              </w:rPr>
              <w:fldChar w:fldCharType="end"/>
            </w:r>
          </w:p>
        </w:tc>
      </w:tr>
      <w:tr w:rsidR="00013CA7" w:rsidRPr="00161DE5" w14:paraId="5CA7A6EE" w14:textId="77777777" w:rsidTr="006F1AF5">
        <w:trPr>
          <w:cantSplit/>
          <w:trHeight w:val="476"/>
        </w:trPr>
        <w:tc>
          <w:tcPr>
            <w:tcW w:w="4926" w:type="dxa"/>
            <w:vMerge/>
          </w:tcPr>
          <w:p w14:paraId="669A8B49" w14:textId="77777777" w:rsidR="00013CA7" w:rsidRPr="00161DE5" w:rsidRDefault="00013CA7" w:rsidP="00013CA7">
            <w:pPr>
              <w:rPr>
                <w:b/>
                <w:sz w:val="20"/>
                <w:lang w:val="en-GB"/>
              </w:rPr>
            </w:pPr>
          </w:p>
        </w:tc>
        <w:tc>
          <w:tcPr>
            <w:tcW w:w="4927" w:type="dxa"/>
          </w:tcPr>
          <w:p w14:paraId="51DE6A7A" w14:textId="0B9E17AD" w:rsidR="00013CA7" w:rsidRPr="002F6C66" w:rsidRDefault="00013CA7" w:rsidP="00013CA7">
            <w:pPr>
              <w:ind w:firstLine="680"/>
              <w:rPr>
                <w:sz w:val="18"/>
                <w:lang w:val="en-GB"/>
              </w:rPr>
            </w:pPr>
            <w:r w:rsidRPr="002F6C66">
              <w:rPr>
                <w:noProof/>
                <w:color w:val="000000" w:themeColor="text1"/>
                <w:sz w:val="20"/>
                <w:lang w:eastAsia="pl-PL"/>
              </w:rPr>
              <w:drawing>
                <wp:anchor distT="0" distB="0" distL="114300" distR="114300" simplePos="0" relativeHeight="251693056" behindDoc="0" locked="0" layoutInCell="1" allowOverlap="1" wp14:anchorId="4AFEF302" wp14:editId="31BD5F2E">
                  <wp:simplePos x="0" y="0"/>
                  <wp:positionH relativeFrom="column">
                    <wp:posOffset>80645</wp:posOffset>
                  </wp:positionH>
                  <wp:positionV relativeFrom="paragraph">
                    <wp:posOffset>39214</wp:posOffset>
                  </wp:positionV>
                  <wp:extent cx="251460" cy="251460"/>
                  <wp:effectExtent l="0" t="0" r="0" b="0"/>
                  <wp:wrapNone/>
                  <wp:docPr id="23" name="Obraz 2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tooltip="facebook" w:history="1">
              <w:r w:rsidRPr="002F6C66">
                <w:rPr>
                  <w:rStyle w:val="Hipercze"/>
                  <w:color w:val="000000" w:themeColor="text1"/>
                  <w:sz w:val="20"/>
                  <w:u w:val="none"/>
                  <w:lang w:val="en-GB"/>
                </w:rPr>
                <w:t>@</w:t>
              </w:r>
              <w:proofErr w:type="spellStart"/>
              <w:r w:rsidRPr="002F6C66">
                <w:rPr>
                  <w:rStyle w:val="Hipercze"/>
                  <w:color w:val="000000" w:themeColor="text1"/>
                  <w:sz w:val="20"/>
                  <w:u w:val="none"/>
                  <w:lang w:val="en-GB"/>
                </w:rPr>
                <w:t>GlownyUrzadStatystyczny</w:t>
              </w:r>
              <w:proofErr w:type="spellEnd"/>
            </w:hyperlink>
            <w:r w:rsidRPr="002F6C66">
              <w:rPr>
                <w:noProof/>
                <w:color w:val="000000" w:themeColor="text1"/>
                <w:sz w:val="20"/>
                <w:lang w:val="en-GB" w:eastAsia="pl-PL"/>
              </w:rPr>
              <w:t xml:space="preserve"> </w:t>
            </w:r>
          </w:p>
        </w:tc>
      </w:tr>
      <w:tr w:rsidR="00013CA7" w:rsidRPr="00161DE5" w14:paraId="51860FE7" w14:textId="77777777" w:rsidTr="006F1AF5">
        <w:trPr>
          <w:cantSplit/>
          <w:trHeight w:val="426"/>
        </w:trPr>
        <w:tc>
          <w:tcPr>
            <w:tcW w:w="4926" w:type="dxa"/>
            <w:vMerge/>
          </w:tcPr>
          <w:p w14:paraId="26BBE5C8" w14:textId="77777777" w:rsidR="00013CA7" w:rsidRPr="00161DE5" w:rsidRDefault="00013CA7" w:rsidP="00013CA7">
            <w:pPr>
              <w:rPr>
                <w:b/>
                <w:sz w:val="20"/>
                <w:lang w:val="en-GB"/>
              </w:rPr>
            </w:pPr>
          </w:p>
        </w:tc>
        <w:tc>
          <w:tcPr>
            <w:tcW w:w="4927" w:type="dxa"/>
          </w:tcPr>
          <w:p w14:paraId="116B0406" w14:textId="1CD335B7" w:rsidR="00013CA7" w:rsidRPr="002F6C66" w:rsidRDefault="00013CA7" w:rsidP="00013CA7">
            <w:pPr>
              <w:ind w:firstLine="680"/>
              <w:rPr>
                <w:noProof/>
                <w:sz w:val="20"/>
                <w:lang w:val="en-GB" w:eastAsia="pl-PL"/>
              </w:rPr>
            </w:pPr>
            <w:r w:rsidRPr="002F6C66">
              <w:rPr>
                <w:noProof/>
                <w:color w:val="000000" w:themeColor="text1"/>
                <w:sz w:val="20"/>
                <w:lang w:eastAsia="pl-PL"/>
              </w:rPr>
              <w:drawing>
                <wp:anchor distT="0" distB="0" distL="114300" distR="114300" simplePos="0" relativeHeight="251694080" behindDoc="0" locked="0" layoutInCell="1" allowOverlap="1" wp14:anchorId="6DC08080" wp14:editId="0D0E923C">
                  <wp:simplePos x="0" y="0"/>
                  <wp:positionH relativeFrom="column">
                    <wp:posOffset>82550</wp:posOffset>
                  </wp:positionH>
                  <wp:positionV relativeFrom="paragraph">
                    <wp:posOffset>37944</wp:posOffset>
                  </wp:positionV>
                  <wp:extent cx="251460" cy="251460"/>
                  <wp:effectExtent l="0" t="0" r="0" b="0"/>
                  <wp:wrapNone/>
                  <wp:docPr id="5" name="Obraz 5"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tooltip="intagram GUS" w:history="1">
              <w:proofErr w:type="spellStart"/>
              <w:r w:rsidRPr="002F6C66">
                <w:rPr>
                  <w:rStyle w:val="Hipercze"/>
                  <w:color w:val="000000" w:themeColor="text1"/>
                  <w:sz w:val="20"/>
                  <w:u w:val="none"/>
                </w:rPr>
                <w:t>gus_stat</w:t>
              </w:r>
              <w:proofErr w:type="spellEnd"/>
            </w:hyperlink>
          </w:p>
        </w:tc>
      </w:tr>
      <w:tr w:rsidR="00013CA7" w:rsidRPr="00161DE5" w14:paraId="2CE025F7" w14:textId="77777777" w:rsidTr="006F1AF5">
        <w:trPr>
          <w:cantSplit/>
          <w:trHeight w:val="504"/>
        </w:trPr>
        <w:tc>
          <w:tcPr>
            <w:tcW w:w="4926" w:type="dxa"/>
            <w:vMerge/>
          </w:tcPr>
          <w:p w14:paraId="1F1CF3D3" w14:textId="77777777" w:rsidR="00013CA7" w:rsidRPr="00161DE5" w:rsidRDefault="00013CA7" w:rsidP="00013CA7">
            <w:pPr>
              <w:rPr>
                <w:b/>
                <w:sz w:val="20"/>
                <w:lang w:val="en-GB"/>
              </w:rPr>
            </w:pPr>
          </w:p>
        </w:tc>
        <w:tc>
          <w:tcPr>
            <w:tcW w:w="4927" w:type="dxa"/>
          </w:tcPr>
          <w:p w14:paraId="34C2B680" w14:textId="19204DA0" w:rsidR="00013CA7" w:rsidRPr="002F6C66" w:rsidRDefault="00013CA7" w:rsidP="00013CA7">
            <w:pPr>
              <w:ind w:firstLine="680"/>
              <w:rPr>
                <w:noProof/>
                <w:sz w:val="20"/>
                <w:lang w:val="en-GB" w:eastAsia="pl-PL"/>
              </w:rPr>
            </w:pPr>
            <w:r w:rsidRPr="002F6C66">
              <w:rPr>
                <w:noProof/>
                <w:color w:val="000000" w:themeColor="text1"/>
                <w:sz w:val="20"/>
                <w:lang w:eastAsia="pl-PL"/>
              </w:rPr>
              <w:drawing>
                <wp:anchor distT="0" distB="0" distL="114300" distR="114300" simplePos="0" relativeHeight="251695104" behindDoc="0" locked="0" layoutInCell="1" allowOverlap="1" wp14:anchorId="074EA1F6" wp14:editId="6EA812A3">
                  <wp:simplePos x="0" y="0"/>
                  <wp:positionH relativeFrom="column">
                    <wp:posOffset>82550</wp:posOffset>
                  </wp:positionH>
                  <wp:positionV relativeFrom="paragraph">
                    <wp:posOffset>47629</wp:posOffset>
                  </wp:positionV>
                  <wp:extent cx="251460" cy="251460"/>
                  <wp:effectExtent l="0" t="0" r="0" b="0"/>
                  <wp:wrapNone/>
                  <wp:docPr id="11" name="Obraz 1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tooltip="youtube GUS" w:history="1">
              <w:proofErr w:type="spellStart"/>
              <w:r w:rsidRPr="002F6C66">
                <w:rPr>
                  <w:rStyle w:val="Hipercze"/>
                  <w:color w:val="000000" w:themeColor="text1"/>
                  <w:sz w:val="20"/>
                  <w:u w:val="none"/>
                </w:rPr>
                <w:t>glownyurzadstatystycznygus</w:t>
              </w:r>
              <w:proofErr w:type="spellEnd"/>
            </w:hyperlink>
          </w:p>
        </w:tc>
      </w:tr>
      <w:tr w:rsidR="00013CA7" w:rsidRPr="00161DE5" w14:paraId="71B96248" w14:textId="77777777" w:rsidTr="006F1AF5">
        <w:trPr>
          <w:cantSplit/>
          <w:trHeight w:val="1546"/>
        </w:trPr>
        <w:tc>
          <w:tcPr>
            <w:tcW w:w="4926" w:type="dxa"/>
            <w:vMerge/>
          </w:tcPr>
          <w:p w14:paraId="2E1D49ED" w14:textId="77777777" w:rsidR="00013CA7" w:rsidRPr="00161DE5" w:rsidRDefault="00013CA7" w:rsidP="00013CA7">
            <w:pPr>
              <w:rPr>
                <w:b/>
                <w:sz w:val="20"/>
                <w:lang w:val="en-GB"/>
              </w:rPr>
            </w:pPr>
          </w:p>
        </w:tc>
        <w:tc>
          <w:tcPr>
            <w:tcW w:w="4927" w:type="dxa"/>
          </w:tcPr>
          <w:p w14:paraId="34A9D0BB" w14:textId="67C25C9E" w:rsidR="00013CA7" w:rsidRPr="002F6C66" w:rsidRDefault="002F6C66" w:rsidP="00013CA7">
            <w:pPr>
              <w:ind w:firstLine="680"/>
              <w:rPr>
                <w:noProof/>
                <w:sz w:val="20"/>
                <w:lang w:val="en-GB" w:eastAsia="pl-PL"/>
              </w:rPr>
            </w:pPr>
            <w:hyperlink r:id="rId27" w:tooltip="linkedin GUS" w:history="1">
              <w:r w:rsidR="00013CA7" w:rsidRPr="002F6C66">
                <w:rPr>
                  <w:rStyle w:val="Hipercze"/>
                  <w:noProof/>
                  <w:color w:val="000000" w:themeColor="text1"/>
                  <w:sz w:val="20"/>
                  <w:u w:val="none"/>
                  <w:lang w:eastAsia="pl-PL"/>
                </w:rPr>
                <w:t>glownyurzadstatystyczny</w:t>
              </w:r>
              <w:r w:rsidR="00013CA7" w:rsidRPr="002F6C66">
                <w:rPr>
                  <w:rStyle w:val="Hipercze"/>
                  <w:noProof/>
                  <w:color w:val="000000" w:themeColor="text1"/>
                  <w:sz w:val="20"/>
                  <w:u w:val="none"/>
                  <w:lang w:eastAsia="pl-PL"/>
                </w:rPr>
                <w:drawing>
                  <wp:anchor distT="0" distB="0" distL="114300" distR="114300" simplePos="0" relativeHeight="251696128" behindDoc="0" locked="0" layoutInCell="1" allowOverlap="1" wp14:anchorId="26680D8A" wp14:editId="00DC2F71">
                    <wp:simplePos x="0" y="0"/>
                    <wp:positionH relativeFrom="column">
                      <wp:posOffset>82550</wp:posOffset>
                    </wp:positionH>
                    <wp:positionV relativeFrom="paragraph">
                      <wp:posOffset>15240</wp:posOffset>
                    </wp:positionV>
                    <wp:extent cx="251460" cy="251460"/>
                    <wp:effectExtent l="0" t="0" r="0" b="0"/>
                    <wp:wrapNone/>
                    <wp:docPr id="14" name="Obraz 14"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4F3CD5" w:rsidRPr="00161DE5" w14:paraId="62F50D25" w14:textId="77777777" w:rsidTr="006F1AF5">
        <w:trPr>
          <w:cantSplit/>
          <w:trHeight w:val="4114"/>
        </w:trPr>
        <w:tc>
          <w:tcPr>
            <w:tcW w:w="9853" w:type="dxa"/>
            <w:gridSpan w:val="2"/>
            <w:shd w:val="clear" w:color="auto" w:fill="D9D9D9" w:themeFill="background1" w:themeFillShade="D9"/>
          </w:tcPr>
          <w:p w14:paraId="6FFC67E1" w14:textId="49D0BBBF" w:rsidR="004F3CD5" w:rsidRPr="00161DE5" w:rsidRDefault="004F3CD5" w:rsidP="006F1AF5">
            <w:pPr>
              <w:shd w:val="clear" w:color="auto" w:fill="D9D9D9" w:themeFill="background1" w:themeFillShade="D9"/>
              <w:spacing w:before="360"/>
              <w:rPr>
                <w:b/>
                <w:lang w:val="en-GB"/>
              </w:rPr>
            </w:pPr>
            <w:r w:rsidRPr="00161DE5">
              <w:rPr>
                <w:b/>
                <w:lang w:val="en-GB"/>
              </w:rPr>
              <w:t xml:space="preserve">Related </w:t>
            </w:r>
            <w:r w:rsidR="0043051A" w:rsidRPr="00161DE5">
              <w:rPr>
                <w:b/>
                <w:lang w:val="en-GB"/>
              </w:rPr>
              <w:t>information</w:t>
            </w:r>
          </w:p>
          <w:p w14:paraId="72D4B157" w14:textId="0AA51845" w:rsidR="0043051A" w:rsidRPr="00161DE5" w:rsidRDefault="002F6C66" w:rsidP="006F1AF5">
            <w:pPr>
              <w:rPr>
                <w:rStyle w:val="Hipercze"/>
                <w:lang w:val="en-GB"/>
              </w:rPr>
            </w:pPr>
            <w:hyperlink r:id="rId29" w:tooltip="link to publication &quot;Report on methodological work. Culture Satellite Account&quot;" w:history="1">
              <w:r w:rsidR="0043051A" w:rsidRPr="00161DE5">
                <w:rPr>
                  <w:rStyle w:val="Hipercze"/>
                  <w:lang w:val="en-GB"/>
                </w:rPr>
                <w:t>Report on methodological work. Culture Satellite Account</w:t>
              </w:r>
            </w:hyperlink>
            <w:r w:rsidR="00D275E4">
              <w:rPr>
                <w:rStyle w:val="Hipercze"/>
                <w:lang w:val="en-GB"/>
              </w:rPr>
              <w:t xml:space="preserve"> </w:t>
            </w:r>
            <w:r w:rsidR="00D275E4" w:rsidRPr="00D275E4">
              <w:rPr>
                <w:rStyle w:val="Hipercze"/>
                <w:u w:val="none"/>
                <w:lang w:val="en-GB"/>
              </w:rPr>
              <w:t>(PL version o</w:t>
            </w:r>
            <w:r w:rsidR="00D275E4" w:rsidRPr="00F020AB">
              <w:rPr>
                <w:rStyle w:val="Hipercze"/>
                <w:u w:val="none"/>
                <w:lang w:val="en-GB"/>
              </w:rPr>
              <w:t>nly)</w:t>
            </w:r>
          </w:p>
          <w:p w14:paraId="04AE75CA" w14:textId="289077C9" w:rsidR="004F3CD5" w:rsidRPr="00161DE5" w:rsidRDefault="004F3CD5" w:rsidP="006F1AF5">
            <w:pPr>
              <w:rPr>
                <w:rStyle w:val="Hipercze"/>
                <w:lang w:val="en-GB"/>
              </w:rPr>
            </w:pPr>
            <w:r w:rsidRPr="00161DE5">
              <w:rPr>
                <w:rFonts w:cs="Times New Roman"/>
                <w:lang w:val="en-GB"/>
              </w:rPr>
              <w:fldChar w:fldCharType="begin"/>
            </w:r>
            <w:r w:rsidR="007F675C">
              <w:rPr>
                <w:rFonts w:cs="Times New Roman"/>
                <w:lang w:val="en-GB"/>
              </w:rPr>
              <w:instrText>HYPERLINK "https://stat.gov.pl/en/topics/culture-tourism-sport/culture/culture-satellite-account-for-2019,18,3.html" \o "link do publikacji \"Satelitarny rachunek kultury w 2019 r.\" "</w:instrText>
            </w:r>
            <w:r w:rsidRPr="00161DE5">
              <w:rPr>
                <w:rFonts w:cs="Times New Roman"/>
                <w:lang w:val="en-GB"/>
              </w:rPr>
              <w:fldChar w:fldCharType="separate"/>
            </w:r>
            <w:r w:rsidR="0043051A" w:rsidRPr="00161DE5">
              <w:rPr>
                <w:rStyle w:val="Hipercze"/>
                <w:lang w:val="en-GB"/>
              </w:rPr>
              <w:t>Cultur</w:t>
            </w:r>
            <w:r w:rsidR="00CE3094">
              <w:rPr>
                <w:rStyle w:val="Hipercze"/>
                <w:lang w:val="en-GB"/>
              </w:rPr>
              <w:t>e</w:t>
            </w:r>
            <w:r w:rsidR="0043051A" w:rsidRPr="00161DE5">
              <w:rPr>
                <w:rStyle w:val="Hipercze"/>
                <w:lang w:val="en-GB"/>
              </w:rPr>
              <w:t xml:space="preserve"> satellite account for</w:t>
            </w:r>
            <w:r w:rsidRPr="00161DE5">
              <w:rPr>
                <w:rStyle w:val="Hipercze"/>
                <w:lang w:val="en-GB"/>
              </w:rPr>
              <w:t xml:space="preserve"> 2019</w:t>
            </w:r>
          </w:p>
          <w:p w14:paraId="33E97E95" w14:textId="1CAAA400" w:rsidR="004F3CD5" w:rsidRPr="00161DE5" w:rsidRDefault="004F3CD5" w:rsidP="006F1AF5">
            <w:pPr>
              <w:rPr>
                <w:rStyle w:val="Hipercze"/>
                <w:lang w:val="en-GB"/>
              </w:rPr>
            </w:pPr>
            <w:r w:rsidRPr="00161DE5">
              <w:rPr>
                <w:rFonts w:cs="Times New Roman"/>
                <w:lang w:val="en-GB"/>
              </w:rPr>
              <w:fldChar w:fldCharType="end"/>
            </w:r>
            <w:hyperlink r:id="rId30" w:tooltip="link do publikacji &quot;Przemysły kultury i kreatywne w latach 2017-2021&quot;" w:history="1">
              <w:r w:rsidRPr="00161DE5">
                <w:rPr>
                  <w:rStyle w:val="Hipercze"/>
                  <w:lang w:val="en-GB"/>
                </w:rPr>
                <w:t>Cultural and creative industries in 2017-2021</w:t>
              </w:r>
            </w:hyperlink>
            <w:r w:rsidRPr="00161DE5">
              <w:rPr>
                <w:rStyle w:val="Hipercze"/>
                <w:lang w:val="en-GB"/>
              </w:rPr>
              <w:t xml:space="preserve"> </w:t>
            </w:r>
          </w:p>
          <w:p w14:paraId="1FA9D673" w14:textId="71D818C5" w:rsidR="004F3CD5" w:rsidRPr="00161DE5" w:rsidRDefault="002F6C66" w:rsidP="006F1AF5">
            <w:pPr>
              <w:rPr>
                <w:rStyle w:val="Hipercze"/>
                <w:lang w:val="en-GB"/>
              </w:rPr>
            </w:pPr>
            <w:hyperlink r:id="rId31" w:tooltip="link do publikacji &quot;Przemysły kultury i kreatywne w 2022 r.&quot; " w:history="1">
              <w:r w:rsidR="004F3CD5" w:rsidRPr="00161DE5">
                <w:rPr>
                  <w:rStyle w:val="Hipercze"/>
                  <w:lang w:val="en-GB"/>
                </w:rPr>
                <w:t>Cultural and creative industries in 2022</w:t>
              </w:r>
            </w:hyperlink>
          </w:p>
          <w:p w14:paraId="5194B5B8" w14:textId="0B93D614" w:rsidR="004F3CD5" w:rsidRPr="00161DE5" w:rsidRDefault="002F6C66" w:rsidP="006F1AF5">
            <w:pPr>
              <w:rPr>
                <w:rStyle w:val="Hipercze"/>
                <w:lang w:val="en-GB"/>
              </w:rPr>
            </w:pPr>
            <w:hyperlink r:id="rId32" w:tooltip="link do publikacji &quot;Kultura i dziedzictwo narodowe w 2023 r.&quot;" w:history="1">
              <w:r w:rsidR="007F675C">
                <w:rPr>
                  <w:rStyle w:val="Hipercze"/>
                  <w:lang w:val="en-GB"/>
                </w:rPr>
                <w:t>Culture and national heritage in 2023</w:t>
              </w:r>
            </w:hyperlink>
          </w:p>
          <w:p w14:paraId="510C39AC" w14:textId="1BD8A8B7" w:rsidR="004F3CD5" w:rsidRPr="00161DE5" w:rsidRDefault="0043051A" w:rsidP="006F1AF5">
            <w:pPr>
              <w:shd w:val="clear" w:color="auto" w:fill="D9D9D9" w:themeFill="background1" w:themeFillShade="D9"/>
              <w:spacing w:before="360"/>
              <w:rPr>
                <w:b/>
                <w:bCs/>
                <w:color w:val="000000" w:themeColor="text1"/>
                <w:szCs w:val="24"/>
                <w:lang w:val="en-GB"/>
              </w:rPr>
            </w:pPr>
            <w:r w:rsidRPr="00161DE5">
              <w:rPr>
                <w:b/>
                <w:bCs/>
                <w:color w:val="000000" w:themeColor="text1"/>
                <w:lang w:val="en-GB"/>
              </w:rPr>
              <w:t>Terms used in the official statistics</w:t>
            </w:r>
          </w:p>
          <w:p w14:paraId="62B583DE" w14:textId="14997CE7" w:rsidR="0043051A" w:rsidRPr="00161DE5" w:rsidRDefault="002F6C66" w:rsidP="0043051A">
            <w:pPr>
              <w:rPr>
                <w:rStyle w:val="Hipercze"/>
                <w:lang w:val="en-GB"/>
              </w:rPr>
            </w:pPr>
            <w:hyperlink r:id="rId33" w:tooltip="link to term &quot;Gross capital formation&quot;" w:history="1">
              <w:r w:rsidR="0043051A" w:rsidRPr="00161DE5">
                <w:rPr>
                  <w:rStyle w:val="Hipercze"/>
                  <w:lang w:val="en-GB"/>
                </w:rPr>
                <w:t>Gross capital formation</w:t>
              </w:r>
            </w:hyperlink>
          </w:p>
          <w:p w14:paraId="6890D1A9" w14:textId="0F30629B" w:rsidR="0043051A" w:rsidRPr="00161DE5" w:rsidRDefault="002F6C66" w:rsidP="0043051A">
            <w:pPr>
              <w:rPr>
                <w:rStyle w:val="Hipercze"/>
                <w:lang w:val="en-GB"/>
              </w:rPr>
            </w:pPr>
            <w:hyperlink r:id="rId34" w:tooltip="link to term &quot;Exports of goods and services&quot;" w:history="1">
              <w:r w:rsidR="0043051A" w:rsidRPr="00161DE5">
                <w:rPr>
                  <w:rStyle w:val="Hipercze"/>
                  <w:lang w:val="en-GB"/>
                </w:rPr>
                <w:t>Exports of goods and services</w:t>
              </w:r>
            </w:hyperlink>
          </w:p>
          <w:p w14:paraId="16C83476" w14:textId="674FA9A8" w:rsidR="0043051A" w:rsidRPr="00161DE5" w:rsidRDefault="002F6C66" w:rsidP="0043051A">
            <w:pPr>
              <w:rPr>
                <w:rStyle w:val="Hipercze"/>
                <w:lang w:val="en-GB"/>
              </w:rPr>
            </w:pPr>
            <w:hyperlink r:id="rId35" w:tooltip="link to term &quot;Imports of goods and services&quot;" w:history="1">
              <w:r w:rsidR="0043051A" w:rsidRPr="00161DE5">
                <w:rPr>
                  <w:rStyle w:val="Hipercze"/>
                  <w:lang w:val="en-GB"/>
                </w:rPr>
                <w:t>Imports of goods and services</w:t>
              </w:r>
            </w:hyperlink>
          </w:p>
          <w:p w14:paraId="19915435" w14:textId="357C9701" w:rsidR="0043051A" w:rsidRPr="00161DE5" w:rsidRDefault="002F6C66" w:rsidP="0043051A">
            <w:pPr>
              <w:rPr>
                <w:rStyle w:val="Hipercze"/>
                <w:lang w:val="en-GB"/>
              </w:rPr>
            </w:pPr>
            <w:hyperlink r:id="rId36" w:tooltip="link to term &quot;Compensation of employees&quot;" w:history="1">
              <w:r w:rsidR="0043051A" w:rsidRPr="00161DE5">
                <w:rPr>
                  <w:rStyle w:val="Hipercze"/>
                  <w:lang w:val="en-GB"/>
                </w:rPr>
                <w:t>Compensation of employees</w:t>
              </w:r>
            </w:hyperlink>
          </w:p>
          <w:p w14:paraId="775837B6" w14:textId="5DC0234C" w:rsidR="0043051A" w:rsidRPr="00161DE5" w:rsidRDefault="002F6C66" w:rsidP="0043051A">
            <w:pPr>
              <w:rPr>
                <w:rStyle w:val="Hipercze"/>
                <w:lang w:val="en-GB"/>
              </w:rPr>
            </w:pPr>
            <w:hyperlink r:id="rId37" w:tooltip="link to term &quot;Operating surplus, gross&quot;" w:history="1">
              <w:r w:rsidR="0043051A" w:rsidRPr="00161DE5">
                <w:rPr>
                  <w:rStyle w:val="Hipercze"/>
                  <w:lang w:val="en-GB"/>
                </w:rPr>
                <w:t>Operating surplus, gross</w:t>
              </w:r>
            </w:hyperlink>
          </w:p>
          <w:p w14:paraId="0E5E45BE" w14:textId="0B399E45" w:rsidR="0043051A" w:rsidRPr="00161DE5" w:rsidRDefault="002F6C66" w:rsidP="0043051A">
            <w:pPr>
              <w:rPr>
                <w:rStyle w:val="Hipercze"/>
                <w:lang w:val="en-GB"/>
              </w:rPr>
            </w:pPr>
            <w:hyperlink r:id="rId38" w:tooltip="link to term &quot;Gross output&quot;" w:history="1">
              <w:r w:rsidR="0043051A" w:rsidRPr="00161DE5">
                <w:rPr>
                  <w:rStyle w:val="Hipercze"/>
                  <w:lang w:val="en-GB"/>
                </w:rPr>
                <w:t>Gross output</w:t>
              </w:r>
            </w:hyperlink>
          </w:p>
          <w:p w14:paraId="51A650FB" w14:textId="379E136E" w:rsidR="0043051A" w:rsidRPr="00161DE5" w:rsidRDefault="002F6C66" w:rsidP="0043051A">
            <w:pPr>
              <w:rPr>
                <w:rStyle w:val="Hipercze"/>
                <w:lang w:val="en-GB"/>
              </w:rPr>
            </w:pPr>
            <w:hyperlink r:id="rId39" w:tooltip="link to term &quot;Gross Domestic Product (GDP)&quot;" w:history="1">
              <w:r w:rsidR="0043051A" w:rsidRPr="00161DE5">
                <w:rPr>
                  <w:rStyle w:val="Hipercze"/>
                  <w:lang w:val="en-GB"/>
                </w:rPr>
                <w:t>Gross Domestic Product (GDP)</w:t>
              </w:r>
            </w:hyperlink>
          </w:p>
          <w:p w14:paraId="747D878B" w14:textId="1A6314E6" w:rsidR="0043051A" w:rsidRPr="00161DE5" w:rsidRDefault="002F6C66" w:rsidP="0043051A">
            <w:pPr>
              <w:rPr>
                <w:rStyle w:val="Hipercze"/>
                <w:lang w:val="en-GB"/>
              </w:rPr>
            </w:pPr>
            <w:hyperlink r:id="rId40" w:tooltip="link to term &quot;Final consumption expenditure&quot;" w:history="1">
              <w:r w:rsidR="0043051A" w:rsidRPr="00161DE5">
                <w:rPr>
                  <w:rStyle w:val="Hipercze"/>
                  <w:lang w:val="en-GB"/>
                </w:rPr>
                <w:t>Final consumption expenditure</w:t>
              </w:r>
            </w:hyperlink>
          </w:p>
          <w:p w14:paraId="0EC5E1F3" w14:textId="57E378D9" w:rsidR="0043051A" w:rsidRPr="00161DE5" w:rsidRDefault="002F6C66" w:rsidP="0043051A">
            <w:pPr>
              <w:rPr>
                <w:rStyle w:val="Hipercze"/>
                <w:lang w:val="en-GB"/>
              </w:rPr>
            </w:pPr>
            <w:hyperlink r:id="rId41" w:tooltip="link to term &quot;Value added, gross&quot;" w:history="1">
              <w:r w:rsidR="0043051A" w:rsidRPr="00161DE5">
                <w:rPr>
                  <w:rStyle w:val="Hipercze"/>
                  <w:lang w:val="en-GB"/>
                </w:rPr>
                <w:t>Value added, gross</w:t>
              </w:r>
            </w:hyperlink>
          </w:p>
          <w:p w14:paraId="62FEC5BF" w14:textId="7E158438" w:rsidR="004F3CD5" w:rsidRPr="00161DE5" w:rsidRDefault="002F6C66" w:rsidP="0043051A">
            <w:pPr>
              <w:rPr>
                <w:rFonts w:cs="Times New Roman"/>
                <w:color w:val="0000FF"/>
                <w:u w:val="single"/>
                <w:lang w:val="en-GB"/>
              </w:rPr>
            </w:pPr>
            <w:hyperlink r:id="rId42" w:tooltip="link to term &quot;Intermediate consumption&quot;" w:history="1">
              <w:r w:rsidR="0043051A" w:rsidRPr="00161DE5">
                <w:rPr>
                  <w:rStyle w:val="Hipercze"/>
                  <w:lang w:val="en-GB"/>
                </w:rPr>
                <w:t>Intermediate consumption</w:t>
              </w:r>
            </w:hyperlink>
          </w:p>
        </w:tc>
      </w:tr>
    </w:tbl>
    <w:p w14:paraId="7C19EFAE" w14:textId="58137EB0" w:rsidR="00D261A2" w:rsidRPr="00161DE5" w:rsidRDefault="00D261A2" w:rsidP="00863791">
      <w:pPr>
        <w:spacing w:before="0" w:after="0" w:line="276" w:lineRule="auto"/>
        <w:rPr>
          <w:sz w:val="18"/>
          <w:lang w:val="en-GB"/>
        </w:rPr>
      </w:pPr>
    </w:p>
    <w:sectPr w:rsidR="00D261A2" w:rsidRPr="00161DE5" w:rsidSect="003B18B6">
      <w:headerReference w:type="default" r:id="rId43"/>
      <w:footerReference w:type="default" r:id="rId4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6C9D" w14:textId="77777777" w:rsidR="00B14E84" w:rsidRDefault="00B14E84" w:rsidP="000662E2">
      <w:pPr>
        <w:spacing w:after="0" w:line="240" w:lineRule="auto"/>
      </w:pPr>
      <w:r>
        <w:separator/>
      </w:r>
    </w:p>
  </w:endnote>
  <w:endnote w:type="continuationSeparator" w:id="0">
    <w:p w14:paraId="7D5DFD75" w14:textId="77777777" w:rsidR="00B14E84" w:rsidRDefault="00B14E8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830896"/>
      <w:docPartObj>
        <w:docPartGallery w:val="Page Numbers (Bottom of Page)"/>
        <w:docPartUnique/>
      </w:docPartObj>
    </w:sdtPr>
    <w:sdtEndPr/>
    <w:sdtContent>
      <w:p w14:paraId="3F08A182" w14:textId="77777777" w:rsidR="006F1AF5" w:rsidRDefault="006F1AF5" w:rsidP="003B18B6">
        <w:pPr>
          <w:pStyle w:val="Stopka"/>
          <w:jc w:val="center"/>
        </w:pPr>
        <w:r>
          <w:fldChar w:fldCharType="begin"/>
        </w:r>
        <w:r>
          <w:instrText>PAGE   \* MERGEFORMAT</w:instrText>
        </w:r>
        <w:r>
          <w:fldChar w:fldCharType="separate"/>
        </w:r>
        <w:r w:rsidR="00D541D7">
          <w:rPr>
            <w:noProof/>
          </w:rPr>
          <w:t>2</w:t>
        </w:r>
        <w:r>
          <w:fldChar w:fldCharType="end"/>
        </w:r>
      </w:p>
    </w:sdtContent>
  </w:sdt>
  <w:p w14:paraId="152C3D67" w14:textId="77777777" w:rsidR="006F1AF5" w:rsidRDefault="006F1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464161"/>
      <w:docPartObj>
        <w:docPartGallery w:val="Page Numbers (Bottom of Page)"/>
        <w:docPartUnique/>
      </w:docPartObj>
    </w:sdtPr>
    <w:sdtEndPr/>
    <w:sdtContent>
      <w:p w14:paraId="14584E7D" w14:textId="77777777" w:rsidR="006F1AF5" w:rsidRDefault="006F1AF5" w:rsidP="003B18B6">
        <w:pPr>
          <w:pStyle w:val="Stopka"/>
          <w:jc w:val="center"/>
        </w:pPr>
        <w:r>
          <w:fldChar w:fldCharType="begin"/>
        </w:r>
        <w:r>
          <w:instrText>PAGE   \* MERGEFORMAT</w:instrText>
        </w:r>
        <w:r>
          <w:fldChar w:fldCharType="separate"/>
        </w:r>
        <w:r w:rsidR="00D541D7">
          <w:rPr>
            <w:noProof/>
          </w:rPr>
          <w:t>1</w:t>
        </w:r>
        <w:r>
          <w:fldChar w:fldCharType="end"/>
        </w:r>
      </w:p>
    </w:sdtContent>
  </w:sdt>
  <w:p w14:paraId="62A01870" w14:textId="77777777" w:rsidR="006F1AF5" w:rsidRDefault="006F1A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6F1AF5" w:rsidRDefault="006F1AF5" w:rsidP="003B18B6">
        <w:pPr>
          <w:pStyle w:val="Stopka"/>
          <w:jc w:val="center"/>
        </w:pPr>
        <w:r>
          <w:fldChar w:fldCharType="begin"/>
        </w:r>
        <w:r>
          <w:instrText>PAGE   \* MERGEFORMAT</w:instrText>
        </w:r>
        <w:r>
          <w:fldChar w:fldCharType="separate"/>
        </w:r>
        <w:r w:rsidR="00D541D7">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ECABA" w14:textId="77777777" w:rsidR="00B14E84" w:rsidRDefault="00B14E84" w:rsidP="000662E2">
      <w:pPr>
        <w:spacing w:after="0" w:line="240" w:lineRule="auto"/>
      </w:pPr>
      <w:r>
        <w:separator/>
      </w:r>
    </w:p>
  </w:footnote>
  <w:footnote w:type="continuationSeparator" w:id="0">
    <w:p w14:paraId="4FABC9BB" w14:textId="77777777" w:rsidR="00B14E84" w:rsidRDefault="00B14E84" w:rsidP="000662E2">
      <w:pPr>
        <w:spacing w:after="0" w:line="240" w:lineRule="auto"/>
      </w:pPr>
      <w:r>
        <w:continuationSeparator/>
      </w:r>
    </w:p>
  </w:footnote>
  <w:footnote w:id="1">
    <w:p w14:paraId="7EB0338B" w14:textId="72AE0D87" w:rsidR="00C76936" w:rsidRPr="00C76936" w:rsidRDefault="00C76936">
      <w:pPr>
        <w:pStyle w:val="Tekstprzypisudolnego"/>
        <w:rPr>
          <w:sz w:val="19"/>
          <w:szCs w:val="19"/>
          <w:lang w:val="en-GB"/>
        </w:rPr>
      </w:pPr>
      <w:r w:rsidRPr="00C76936">
        <w:rPr>
          <w:rStyle w:val="Odwoanieprzypisudolnego"/>
          <w:sz w:val="19"/>
          <w:szCs w:val="19"/>
          <w:lang w:val="en-GB"/>
        </w:rPr>
        <w:footnoteRef/>
      </w:r>
      <w:r w:rsidRPr="00C76936">
        <w:rPr>
          <w:sz w:val="19"/>
          <w:szCs w:val="19"/>
          <w:lang w:val="en-GB"/>
        </w:rPr>
        <w:t xml:space="preserve"> Based on data from before the introduction of the benchmarking revision in national accounts carried out in 2024 and covering the years 1995–2022.</w:t>
      </w:r>
    </w:p>
  </w:footnote>
  <w:footnote w:id="2">
    <w:p w14:paraId="551D49E3" w14:textId="7CC72A77" w:rsidR="006F1AF5" w:rsidRPr="00161DE5" w:rsidRDefault="006F1AF5" w:rsidP="004F3CD5">
      <w:pPr>
        <w:pStyle w:val="Przypis"/>
        <w:rPr>
          <w:sz w:val="18"/>
        </w:rPr>
      </w:pPr>
      <w:r w:rsidRPr="00065351">
        <w:rPr>
          <w:rStyle w:val="Odwoanieprzypisudolnego"/>
        </w:rPr>
        <w:footnoteRef/>
      </w:r>
      <w:r w:rsidRPr="00DB4CBB">
        <w:t xml:space="preserve"> </w:t>
      </w:r>
      <w:r w:rsidRPr="0037443E">
        <w:rPr>
          <w:sz w:val="18"/>
        </w:rPr>
        <w:t xml:space="preserve">In order to present data </w:t>
      </w:r>
      <w:r>
        <w:rPr>
          <w:sz w:val="18"/>
        </w:rPr>
        <w:t xml:space="preserve">according to </w:t>
      </w:r>
      <w:r w:rsidRPr="0037443E">
        <w:rPr>
          <w:sz w:val="18"/>
        </w:rPr>
        <w:t xml:space="preserve">PKD section, it was necessary to exclude from some sections of the national economy individual classes of PKD, which were included in the calculations for the area of culture. The area of culture includes the following classes of PKD: 18.11; 18.12; 18.20; 32.20; 47.61; 47.62; 47.63; 58.11; 58.13; 58.14; 58.21; 59.11; 59.12; 59.13; 59.14; 59.20; 60.10; 60.20; 63.91; 71.11; 73.11; 74.10; 74.20; 74.30; 77.22; 90.01; 90.02; 90.03; 90.04; 91.01; 91.02; 91.03 and </w:t>
      </w:r>
      <w:r>
        <w:rPr>
          <w:sz w:val="18"/>
        </w:rPr>
        <w:t xml:space="preserve">for </w:t>
      </w:r>
      <w:r w:rsidRPr="0037443E">
        <w:rPr>
          <w:sz w:val="18"/>
        </w:rPr>
        <w:t xml:space="preserve">data concerning the general government sector </w:t>
      </w:r>
      <w:r>
        <w:rPr>
          <w:sz w:val="18"/>
        </w:rPr>
        <w:t xml:space="preserve">also some </w:t>
      </w:r>
      <w:r w:rsidRPr="0037443E">
        <w:rPr>
          <w:sz w:val="18"/>
        </w:rPr>
        <w:t xml:space="preserve">part of classes: 84.11; 84.12; 84.25, 94.12, and in the </w:t>
      </w:r>
      <w:r w:rsidR="00A64716">
        <w:rPr>
          <w:sz w:val="18"/>
        </w:rPr>
        <w:t>domain</w:t>
      </w:r>
      <w:r w:rsidR="00A64716" w:rsidRPr="0037443E">
        <w:rPr>
          <w:sz w:val="18"/>
        </w:rPr>
        <w:t xml:space="preserve"> </w:t>
      </w:r>
      <w:r w:rsidRPr="0037443E">
        <w:rPr>
          <w:sz w:val="18"/>
        </w:rPr>
        <w:t xml:space="preserve">of </w:t>
      </w:r>
      <w:r w:rsidR="00CE3094" w:rsidRPr="00CE3094">
        <w:rPr>
          <w:i/>
          <w:sz w:val="18"/>
        </w:rPr>
        <w:t>A</w:t>
      </w:r>
      <w:r w:rsidRPr="00CE3094">
        <w:rPr>
          <w:i/>
          <w:sz w:val="18"/>
        </w:rPr>
        <w:t>rtistic education</w:t>
      </w:r>
      <w:r w:rsidRPr="0037443E">
        <w:rPr>
          <w:sz w:val="18"/>
        </w:rPr>
        <w:t xml:space="preserve"> of some </w:t>
      </w:r>
      <w:r>
        <w:rPr>
          <w:sz w:val="18"/>
        </w:rPr>
        <w:t xml:space="preserve">part of </w:t>
      </w:r>
      <w:r w:rsidRPr="0037443E">
        <w:rPr>
          <w:sz w:val="18"/>
        </w:rPr>
        <w:t>classes: 85.10; 85.20; 85.31; 85.32; 85.41; 85.42; 85.52; 85.59; 85.60.</w:t>
      </w:r>
    </w:p>
  </w:footnote>
  <w:footnote w:id="3">
    <w:p w14:paraId="6373D95C" w14:textId="7F7C85FA" w:rsidR="006F1AF5" w:rsidRPr="00161DE5" w:rsidRDefault="006F1AF5" w:rsidP="0066285C">
      <w:pPr>
        <w:pStyle w:val="Przypis"/>
      </w:pPr>
      <w:r w:rsidRPr="009F3994">
        <w:rPr>
          <w:rStyle w:val="Odwoanieprzypisudolnego"/>
        </w:rPr>
        <w:footnoteRef/>
      </w:r>
      <w:r w:rsidRPr="009F3994">
        <w:t xml:space="preserve"> Gross </w:t>
      </w:r>
      <w:r w:rsidR="002C645D">
        <w:t>capital formation</w:t>
      </w:r>
      <w:r w:rsidRPr="009F3994">
        <w:t xml:space="preserve"> measures the increase </w:t>
      </w:r>
      <w:r w:rsidR="009F3994" w:rsidRPr="009F3994">
        <w:t xml:space="preserve">of national capital in given period that </w:t>
      </w:r>
      <w:r w:rsidRPr="009F3994">
        <w:t>includ</w:t>
      </w:r>
      <w:r w:rsidR="009F3994" w:rsidRPr="009F3994">
        <w:t>es</w:t>
      </w:r>
      <w:r w:rsidRPr="009F3994">
        <w:t xml:space="preserve"> gross fixed capital formation, </w:t>
      </w:r>
      <w:r w:rsidR="009F3994" w:rsidRPr="009F3994">
        <w:t xml:space="preserve">changes in inventories and </w:t>
      </w:r>
      <w:r w:rsidRPr="009F3994">
        <w:t>acquisition less disposal</w:t>
      </w:r>
      <w:r w:rsidR="009F3994" w:rsidRPr="009F3994">
        <w:t>s of valuables</w:t>
      </w:r>
      <w:r w:rsidRPr="009F3994">
        <w:t>.</w:t>
      </w:r>
    </w:p>
  </w:footnote>
  <w:footnote w:id="4">
    <w:p w14:paraId="6E668CB7" w14:textId="38778B52" w:rsidR="006F1AF5" w:rsidRPr="00161DE5" w:rsidRDefault="006F1AF5" w:rsidP="0066285C">
      <w:pPr>
        <w:pStyle w:val="Przypis"/>
      </w:pPr>
      <w:r w:rsidRPr="000652CC">
        <w:rPr>
          <w:rStyle w:val="Odwoanieprzypisudolnego"/>
        </w:rPr>
        <w:footnoteRef/>
      </w:r>
      <w:r w:rsidRPr="00DB4CBB">
        <w:t xml:space="preserve"> Data on </w:t>
      </w:r>
      <w:r w:rsidR="0021392B">
        <w:t xml:space="preserve">final </w:t>
      </w:r>
      <w:r w:rsidRPr="00DB4CBB">
        <w:t>consumption</w:t>
      </w:r>
      <w:r w:rsidR="0021392B">
        <w:t xml:space="preserve"> expenditure</w:t>
      </w:r>
      <w:r w:rsidRPr="00DB4CBB">
        <w:t xml:space="preserve">, gross </w:t>
      </w:r>
      <w:r w:rsidR="0021392B">
        <w:t>capital formation</w:t>
      </w:r>
      <w:r w:rsidRPr="00DB4CBB">
        <w:t xml:space="preserve"> and foreign trade in </w:t>
      </w:r>
      <w:r w:rsidR="0021392B">
        <w:t xml:space="preserve">Culture </w:t>
      </w:r>
      <w:r w:rsidRPr="00DB4CBB">
        <w:t>satellite account are calculated on the basis of data by balance groups presented in the supply and use tables.</w:t>
      </w:r>
    </w:p>
  </w:footnote>
  <w:footnote w:id="5">
    <w:p w14:paraId="6F3130B4" w14:textId="6ABAB176" w:rsidR="006F1AF5" w:rsidRPr="0066285C" w:rsidRDefault="006F1AF5" w:rsidP="0066285C">
      <w:pPr>
        <w:pStyle w:val="Przypis"/>
        <w:rPr>
          <w:rStyle w:val="PrzypisZnak"/>
        </w:rPr>
      </w:pPr>
      <w:r w:rsidRPr="00E975B6">
        <w:rPr>
          <w:rStyle w:val="Odwoanieprzypisudolnego"/>
        </w:rPr>
        <w:footnoteRef/>
      </w:r>
      <w:r w:rsidRPr="00161DE5">
        <w:t xml:space="preserve"> </w:t>
      </w:r>
      <w:r w:rsidRPr="0066285C">
        <w:rPr>
          <w:rStyle w:val="PrzypisZnak"/>
        </w:rPr>
        <w:t xml:space="preserve">Expenditure incurred by resident institutional units (including household </w:t>
      </w:r>
      <w:r w:rsidR="00D275E4" w:rsidRPr="0066285C">
        <w:rPr>
          <w:rStyle w:val="PrzypisZnak"/>
        </w:rPr>
        <w:t>sector</w:t>
      </w:r>
      <w:r w:rsidRPr="0066285C">
        <w:rPr>
          <w:rStyle w:val="PrzypisZnak"/>
        </w:rPr>
        <w:t xml:space="preserve">, general government </w:t>
      </w:r>
      <w:r w:rsidR="00D275E4" w:rsidRPr="0066285C">
        <w:rPr>
          <w:rStyle w:val="PrzypisZnak"/>
        </w:rPr>
        <w:t xml:space="preserve">sector </w:t>
      </w:r>
      <w:r w:rsidRPr="0066285C">
        <w:rPr>
          <w:rStyle w:val="PrzypisZnak"/>
        </w:rPr>
        <w:t xml:space="preserve">and non-profit </w:t>
      </w:r>
      <w:r w:rsidR="00D275E4" w:rsidRPr="0066285C">
        <w:rPr>
          <w:rStyle w:val="PrzypisZnak"/>
        </w:rPr>
        <w:t xml:space="preserve">institutions servicing </w:t>
      </w:r>
      <w:r w:rsidRPr="0066285C">
        <w:rPr>
          <w:rStyle w:val="PrzypisZnak"/>
        </w:rPr>
        <w:t>household</w:t>
      </w:r>
      <w:r w:rsidR="00D275E4" w:rsidRPr="0066285C">
        <w:rPr>
          <w:rStyle w:val="PrzypisZnak"/>
        </w:rPr>
        <w:t>s sector</w:t>
      </w:r>
      <w:r w:rsidRPr="0066285C">
        <w:rPr>
          <w:rStyle w:val="PrzypisZnak"/>
        </w:rPr>
        <w:t xml:space="preserve">) on goods and services used to meet the </w:t>
      </w:r>
      <w:r w:rsidR="00D275E4" w:rsidRPr="0066285C">
        <w:rPr>
          <w:rStyle w:val="PrzypisZnak"/>
        </w:rPr>
        <w:t>direct</w:t>
      </w:r>
      <w:r w:rsidRPr="0066285C">
        <w:rPr>
          <w:rStyle w:val="PrzypisZnak"/>
        </w:rPr>
        <w:t>, individual and collective needs of members of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6F1AF5" w:rsidRDefault="006F1AF5">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A330BE3"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p w14:paraId="6F5F5BEB" w14:textId="77777777" w:rsidR="006F1AF5" w:rsidRDefault="006F1A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D70F" w14:textId="318D99B9" w:rsidR="006F1AF5" w:rsidRDefault="006F1AF5" w:rsidP="00B42251">
    <w:pPr>
      <w:pStyle w:val="Nagwek"/>
      <w:spacing w:before="240" w:after="480"/>
    </w:pPr>
    <w:r>
      <w:rPr>
        <w:noProof/>
        <w:lang w:eastAsia="pl-PL"/>
      </w:rPr>
      <w:drawing>
        <wp:inline distT="0" distB="0" distL="0" distR="0" wp14:anchorId="184897DF" wp14:editId="33F70C4C">
          <wp:extent cx="1867489" cy="468000"/>
          <wp:effectExtent l="0" t="0" r="0" b="8255"/>
          <wp:docPr id="12" name="Obraz 12"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Pr="00F37172">
      <w:rPr>
        <w:noProof/>
        <w:lang w:eastAsia="pl-PL"/>
      </w:rPr>
      <mc:AlternateContent>
        <mc:Choice Requires="wps">
          <w:drawing>
            <wp:anchor distT="45720" distB="45720" distL="114300" distR="114300" simplePos="0" relativeHeight="251680768" behindDoc="0" locked="0" layoutInCell="1" allowOverlap="1" wp14:anchorId="279F819F" wp14:editId="2928EA2E">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27.02.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156ADD6B" w:rsidR="006F1AF5" w:rsidRPr="00A01B40" w:rsidRDefault="006F1AF5" w:rsidP="0057332C">
                          <w:pPr>
                            <w:pStyle w:val="Datainformacjisygnalnej"/>
                          </w:pPr>
                          <w:r>
                            <w:t>2</w:t>
                          </w:r>
                          <w:r w:rsidR="00D408A5">
                            <w:t>7</w:t>
                          </w:r>
                          <w:r>
                            <w:t>.0</w:t>
                          </w:r>
                          <w:r w:rsidR="00D408A5">
                            <w:t>2</w:t>
                          </w:r>
                          <w:r>
                            <w:t>.202</w:t>
                          </w:r>
                          <w:r w:rsidR="00D408A5">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33" type="#_x0000_t202" alt="Publication data 27.02.2025"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" filled="f" stroked="f">
              <v:textbox>
                <w:txbxContent>
                  <w:p w14:paraId="2103FAD6" w14:textId="156ADD6B" w:rsidR="006F1AF5" w:rsidRPr="00A01B40" w:rsidRDefault="006F1AF5" w:rsidP="0057332C">
                    <w:pPr>
                      <w:pStyle w:val="Datainformacjisygnalnej"/>
                    </w:pPr>
                    <w:r>
                      <w:t>2</w:t>
                    </w:r>
                    <w:r w:rsidR="00D408A5">
                      <w:t>7</w:t>
                    </w:r>
                    <w:r>
                      <w:t>.0</w:t>
                    </w:r>
                    <w:r w:rsidR="00D408A5">
                      <w:t>2</w:t>
                    </w:r>
                    <w:r>
                      <w:t>.202</w:t>
                    </w:r>
                    <w:r w:rsidR="00D408A5">
                      <w:t>5</w:t>
                    </w:r>
                  </w:p>
                </w:txbxContent>
              </v:textbox>
            </v:shape>
          </w:pict>
        </mc:Fallback>
      </mc:AlternateContent>
    </w:r>
    <w:r w:rsidRPr="00F37172">
      <w:rPr>
        <w:noProof/>
        <w:lang w:eastAsia="pl-PL"/>
      </w:rPr>
      <mc:AlternateContent>
        <mc:Choice Requires="wps">
          <w:drawing>
            <wp:anchor distT="0" distB="0" distL="114300" distR="114300" simplePos="0" relativeHeight="251678720" behindDoc="0" locked="0" layoutInCell="1" allowOverlap="1" wp14:anchorId="06C365F1" wp14:editId="112A725F">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6F1AF5" w:rsidRPr="003C6C8D" w:rsidRDefault="006F1AF5" w:rsidP="00925F3D">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34"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6F1AF5" w:rsidRPr="003C6C8D" w:rsidRDefault="006F1AF5" w:rsidP="00925F3D">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77696" behindDoc="1" locked="0" layoutInCell="1" allowOverlap="1" wp14:anchorId="2472533F" wp14:editId="50F05C3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DDDC532" id="Prostokąt 21" o:spid="_x0000_s1026" style="position:absolute;margin-left:410.95pt;margin-top:40.3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ANUmTS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6F1AF5" w:rsidRDefault="006F1AF5">
    <w:pPr>
      <w:pStyle w:val="Nagwek"/>
    </w:pPr>
  </w:p>
  <w:p w14:paraId="0738E4E9" w14:textId="77777777" w:rsidR="006F1AF5" w:rsidRDefault="006F1A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55pt;height:124.9pt;visibility:visible" o:bullet="t">
        <v:imagedata r:id="rId1" o:title=""/>
      </v:shape>
    </w:pict>
  </w:numPicBullet>
  <w:numPicBullet w:numPicBulletId="1">
    <w:pict>
      <v:shape id="_x0000_i1027" type="#_x0000_t75" style="width:123.85pt;height:124.9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843"/>
    <w:rsid w:val="0000709F"/>
    <w:rsid w:val="000075FF"/>
    <w:rsid w:val="00010159"/>
    <w:rsid w:val="000108B8"/>
    <w:rsid w:val="00011A62"/>
    <w:rsid w:val="000134C6"/>
    <w:rsid w:val="00013CA7"/>
    <w:rsid w:val="000152F5"/>
    <w:rsid w:val="00017EE0"/>
    <w:rsid w:val="00020D68"/>
    <w:rsid w:val="00021C39"/>
    <w:rsid w:val="00021CBB"/>
    <w:rsid w:val="00025AC2"/>
    <w:rsid w:val="00026804"/>
    <w:rsid w:val="000302A2"/>
    <w:rsid w:val="000303D7"/>
    <w:rsid w:val="000336F3"/>
    <w:rsid w:val="000343F8"/>
    <w:rsid w:val="0004126F"/>
    <w:rsid w:val="00044667"/>
    <w:rsid w:val="0004582E"/>
    <w:rsid w:val="000470AA"/>
    <w:rsid w:val="0004788F"/>
    <w:rsid w:val="0005036C"/>
    <w:rsid w:val="000564CC"/>
    <w:rsid w:val="00057CA1"/>
    <w:rsid w:val="0006380D"/>
    <w:rsid w:val="000647A9"/>
    <w:rsid w:val="000656A8"/>
    <w:rsid w:val="000662E2"/>
    <w:rsid w:val="00066883"/>
    <w:rsid w:val="00067FF1"/>
    <w:rsid w:val="00071B39"/>
    <w:rsid w:val="0007265D"/>
    <w:rsid w:val="0007301F"/>
    <w:rsid w:val="00074DD8"/>
    <w:rsid w:val="00075742"/>
    <w:rsid w:val="00075759"/>
    <w:rsid w:val="000758EC"/>
    <w:rsid w:val="000806F7"/>
    <w:rsid w:val="00080C64"/>
    <w:rsid w:val="0008656F"/>
    <w:rsid w:val="00086906"/>
    <w:rsid w:val="00092305"/>
    <w:rsid w:val="00092ECB"/>
    <w:rsid w:val="00093004"/>
    <w:rsid w:val="00093B02"/>
    <w:rsid w:val="00095966"/>
    <w:rsid w:val="00097840"/>
    <w:rsid w:val="00097A0E"/>
    <w:rsid w:val="000A16D8"/>
    <w:rsid w:val="000A56F4"/>
    <w:rsid w:val="000A7BED"/>
    <w:rsid w:val="000A7C30"/>
    <w:rsid w:val="000B0727"/>
    <w:rsid w:val="000B19C5"/>
    <w:rsid w:val="000B323E"/>
    <w:rsid w:val="000B3F66"/>
    <w:rsid w:val="000B3F99"/>
    <w:rsid w:val="000B3FC6"/>
    <w:rsid w:val="000B6FBB"/>
    <w:rsid w:val="000C135D"/>
    <w:rsid w:val="000C4742"/>
    <w:rsid w:val="000C4C2E"/>
    <w:rsid w:val="000D0123"/>
    <w:rsid w:val="000D1D43"/>
    <w:rsid w:val="000D225C"/>
    <w:rsid w:val="000D2A5C"/>
    <w:rsid w:val="000D2F00"/>
    <w:rsid w:val="000D3262"/>
    <w:rsid w:val="000D39F0"/>
    <w:rsid w:val="000D7E5C"/>
    <w:rsid w:val="000E0918"/>
    <w:rsid w:val="000E567C"/>
    <w:rsid w:val="000E677E"/>
    <w:rsid w:val="000E70A4"/>
    <w:rsid w:val="000E7199"/>
    <w:rsid w:val="000E7901"/>
    <w:rsid w:val="000E799C"/>
    <w:rsid w:val="000E79A9"/>
    <w:rsid w:val="000F2E7E"/>
    <w:rsid w:val="000F360F"/>
    <w:rsid w:val="000F62BF"/>
    <w:rsid w:val="001011C3"/>
    <w:rsid w:val="001011F3"/>
    <w:rsid w:val="00102446"/>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0806"/>
    <w:rsid w:val="00131443"/>
    <w:rsid w:val="0013205B"/>
    <w:rsid w:val="00133651"/>
    <w:rsid w:val="00134145"/>
    <w:rsid w:val="0013637A"/>
    <w:rsid w:val="00136736"/>
    <w:rsid w:val="00136D67"/>
    <w:rsid w:val="00140ADB"/>
    <w:rsid w:val="001423B6"/>
    <w:rsid w:val="00143957"/>
    <w:rsid w:val="001448A7"/>
    <w:rsid w:val="00146621"/>
    <w:rsid w:val="00151077"/>
    <w:rsid w:val="00153446"/>
    <w:rsid w:val="0015465E"/>
    <w:rsid w:val="001558C6"/>
    <w:rsid w:val="00156EC0"/>
    <w:rsid w:val="00157896"/>
    <w:rsid w:val="001617E3"/>
    <w:rsid w:val="00161DE5"/>
    <w:rsid w:val="00162325"/>
    <w:rsid w:val="00163D43"/>
    <w:rsid w:val="00171616"/>
    <w:rsid w:val="00174A1D"/>
    <w:rsid w:val="00180822"/>
    <w:rsid w:val="00182785"/>
    <w:rsid w:val="00187DDC"/>
    <w:rsid w:val="00192BBD"/>
    <w:rsid w:val="00192CA3"/>
    <w:rsid w:val="00193AA0"/>
    <w:rsid w:val="001951DA"/>
    <w:rsid w:val="00197D40"/>
    <w:rsid w:val="001A0F2D"/>
    <w:rsid w:val="001A32E4"/>
    <w:rsid w:val="001B011C"/>
    <w:rsid w:val="001B053D"/>
    <w:rsid w:val="001B313A"/>
    <w:rsid w:val="001B52E0"/>
    <w:rsid w:val="001C147B"/>
    <w:rsid w:val="001C3269"/>
    <w:rsid w:val="001D19B6"/>
    <w:rsid w:val="001D1C78"/>
    <w:rsid w:val="001D1DB4"/>
    <w:rsid w:val="001D23F1"/>
    <w:rsid w:val="001D25F9"/>
    <w:rsid w:val="001D2EEB"/>
    <w:rsid w:val="001D4695"/>
    <w:rsid w:val="001D49A5"/>
    <w:rsid w:val="001D61ED"/>
    <w:rsid w:val="001E0386"/>
    <w:rsid w:val="001E0B4B"/>
    <w:rsid w:val="001E5B2D"/>
    <w:rsid w:val="001F1ADC"/>
    <w:rsid w:val="001F24BC"/>
    <w:rsid w:val="001F4ABF"/>
    <w:rsid w:val="001F770C"/>
    <w:rsid w:val="00200D3A"/>
    <w:rsid w:val="0020156C"/>
    <w:rsid w:val="00203905"/>
    <w:rsid w:val="002064CD"/>
    <w:rsid w:val="002130F5"/>
    <w:rsid w:val="002137DE"/>
    <w:rsid w:val="0021392B"/>
    <w:rsid w:val="00213AEF"/>
    <w:rsid w:val="002153B1"/>
    <w:rsid w:val="00216634"/>
    <w:rsid w:val="00217196"/>
    <w:rsid w:val="002200E0"/>
    <w:rsid w:val="002214CE"/>
    <w:rsid w:val="002239FF"/>
    <w:rsid w:val="00226513"/>
    <w:rsid w:val="00227AAE"/>
    <w:rsid w:val="00231082"/>
    <w:rsid w:val="00231B77"/>
    <w:rsid w:val="00232DEC"/>
    <w:rsid w:val="0023674F"/>
    <w:rsid w:val="00237288"/>
    <w:rsid w:val="00241963"/>
    <w:rsid w:val="00241FA7"/>
    <w:rsid w:val="0024273B"/>
    <w:rsid w:val="00242D31"/>
    <w:rsid w:val="002442BD"/>
    <w:rsid w:val="002448FA"/>
    <w:rsid w:val="00247B69"/>
    <w:rsid w:val="00251473"/>
    <w:rsid w:val="00251D3D"/>
    <w:rsid w:val="00253348"/>
    <w:rsid w:val="002537BF"/>
    <w:rsid w:val="00253CEC"/>
    <w:rsid w:val="002540B1"/>
    <w:rsid w:val="0025481E"/>
    <w:rsid w:val="002574F9"/>
    <w:rsid w:val="00260894"/>
    <w:rsid w:val="00262B61"/>
    <w:rsid w:val="00262CC6"/>
    <w:rsid w:val="00263E08"/>
    <w:rsid w:val="002664D9"/>
    <w:rsid w:val="002669F1"/>
    <w:rsid w:val="00266C29"/>
    <w:rsid w:val="00266DDB"/>
    <w:rsid w:val="0027180D"/>
    <w:rsid w:val="00271D23"/>
    <w:rsid w:val="002726D2"/>
    <w:rsid w:val="00272C59"/>
    <w:rsid w:val="0027656D"/>
    <w:rsid w:val="00276811"/>
    <w:rsid w:val="00280125"/>
    <w:rsid w:val="00280BDF"/>
    <w:rsid w:val="00282699"/>
    <w:rsid w:val="0028424C"/>
    <w:rsid w:val="00285253"/>
    <w:rsid w:val="00286680"/>
    <w:rsid w:val="00287D3F"/>
    <w:rsid w:val="00290A7E"/>
    <w:rsid w:val="00292408"/>
    <w:rsid w:val="002926DF"/>
    <w:rsid w:val="00296697"/>
    <w:rsid w:val="00297B38"/>
    <w:rsid w:val="002A2E23"/>
    <w:rsid w:val="002A471E"/>
    <w:rsid w:val="002A655D"/>
    <w:rsid w:val="002B0472"/>
    <w:rsid w:val="002B04AF"/>
    <w:rsid w:val="002B3C0D"/>
    <w:rsid w:val="002B4995"/>
    <w:rsid w:val="002B6282"/>
    <w:rsid w:val="002B6B12"/>
    <w:rsid w:val="002C157F"/>
    <w:rsid w:val="002C1FD9"/>
    <w:rsid w:val="002C21F0"/>
    <w:rsid w:val="002C3E5F"/>
    <w:rsid w:val="002C4469"/>
    <w:rsid w:val="002C4774"/>
    <w:rsid w:val="002C645D"/>
    <w:rsid w:val="002C70F6"/>
    <w:rsid w:val="002D01DF"/>
    <w:rsid w:val="002D2B89"/>
    <w:rsid w:val="002D30C7"/>
    <w:rsid w:val="002D4F2B"/>
    <w:rsid w:val="002D6769"/>
    <w:rsid w:val="002E1608"/>
    <w:rsid w:val="002E175E"/>
    <w:rsid w:val="002E229C"/>
    <w:rsid w:val="002E386D"/>
    <w:rsid w:val="002E3EB3"/>
    <w:rsid w:val="002E4DAD"/>
    <w:rsid w:val="002E5A8F"/>
    <w:rsid w:val="002E6140"/>
    <w:rsid w:val="002E6985"/>
    <w:rsid w:val="002E71B6"/>
    <w:rsid w:val="002F11E8"/>
    <w:rsid w:val="002F1645"/>
    <w:rsid w:val="002F35F6"/>
    <w:rsid w:val="002F44E9"/>
    <w:rsid w:val="002F5768"/>
    <w:rsid w:val="002F6C66"/>
    <w:rsid w:val="002F77C8"/>
    <w:rsid w:val="00302A3F"/>
    <w:rsid w:val="00302E96"/>
    <w:rsid w:val="00303497"/>
    <w:rsid w:val="00304F22"/>
    <w:rsid w:val="00306C7C"/>
    <w:rsid w:val="0031107D"/>
    <w:rsid w:val="003120D1"/>
    <w:rsid w:val="00313330"/>
    <w:rsid w:val="00314F86"/>
    <w:rsid w:val="00315802"/>
    <w:rsid w:val="00315FB4"/>
    <w:rsid w:val="00317F4D"/>
    <w:rsid w:val="00321A22"/>
    <w:rsid w:val="00321B3E"/>
    <w:rsid w:val="00322EDD"/>
    <w:rsid w:val="00323407"/>
    <w:rsid w:val="003260BE"/>
    <w:rsid w:val="003265B2"/>
    <w:rsid w:val="003309FA"/>
    <w:rsid w:val="00330D24"/>
    <w:rsid w:val="00331686"/>
    <w:rsid w:val="00331A75"/>
    <w:rsid w:val="00331B29"/>
    <w:rsid w:val="00332320"/>
    <w:rsid w:val="00335908"/>
    <w:rsid w:val="00342D75"/>
    <w:rsid w:val="00345E06"/>
    <w:rsid w:val="00345EAA"/>
    <w:rsid w:val="00347D72"/>
    <w:rsid w:val="00350E19"/>
    <w:rsid w:val="003521FF"/>
    <w:rsid w:val="00352E86"/>
    <w:rsid w:val="00353F45"/>
    <w:rsid w:val="0035677A"/>
    <w:rsid w:val="00357611"/>
    <w:rsid w:val="0036229D"/>
    <w:rsid w:val="00362A9B"/>
    <w:rsid w:val="0036432A"/>
    <w:rsid w:val="00364AF9"/>
    <w:rsid w:val="00367237"/>
    <w:rsid w:val="0037077F"/>
    <w:rsid w:val="003718CD"/>
    <w:rsid w:val="00372411"/>
    <w:rsid w:val="00372B84"/>
    <w:rsid w:val="00373882"/>
    <w:rsid w:val="00377432"/>
    <w:rsid w:val="00377A43"/>
    <w:rsid w:val="003806A0"/>
    <w:rsid w:val="003825E0"/>
    <w:rsid w:val="003843DB"/>
    <w:rsid w:val="00386015"/>
    <w:rsid w:val="00390580"/>
    <w:rsid w:val="0039064A"/>
    <w:rsid w:val="00391259"/>
    <w:rsid w:val="00393761"/>
    <w:rsid w:val="003946F9"/>
    <w:rsid w:val="00394E26"/>
    <w:rsid w:val="00396691"/>
    <w:rsid w:val="00397D18"/>
    <w:rsid w:val="003A1B36"/>
    <w:rsid w:val="003A21F8"/>
    <w:rsid w:val="003A2A72"/>
    <w:rsid w:val="003A2B07"/>
    <w:rsid w:val="003B1454"/>
    <w:rsid w:val="003B15C6"/>
    <w:rsid w:val="003B18B6"/>
    <w:rsid w:val="003B3863"/>
    <w:rsid w:val="003B3D7D"/>
    <w:rsid w:val="003B54B6"/>
    <w:rsid w:val="003B668D"/>
    <w:rsid w:val="003C025A"/>
    <w:rsid w:val="003C161B"/>
    <w:rsid w:val="003C430B"/>
    <w:rsid w:val="003C507B"/>
    <w:rsid w:val="003C59E0"/>
    <w:rsid w:val="003C5CC0"/>
    <w:rsid w:val="003C6C8D"/>
    <w:rsid w:val="003C75B2"/>
    <w:rsid w:val="003D2656"/>
    <w:rsid w:val="003D4F95"/>
    <w:rsid w:val="003D5F42"/>
    <w:rsid w:val="003D60A9"/>
    <w:rsid w:val="003E14E3"/>
    <w:rsid w:val="003E16FF"/>
    <w:rsid w:val="003E76F6"/>
    <w:rsid w:val="003F1D96"/>
    <w:rsid w:val="003F3FFD"/>
    <w:rsid w:val="003F458E"/>
    <w:rsid w:val="003F4C97"/>
    <w:rsid w:val="003F5475"/>
    <w:rsid w:val="003F666D"/>
    <w:rsid w:val="003F7FE6"/>
    <w:rsid w:val="00400193"/>
    <w:rsid w:val="0040084E"/>
    <w:rsid w:val="00401D2E"/>
    <w:rsid w:val="00403B0D"/>
    <w:rsid w:val="00403EAE"/>
    <w:rsid w:val="00404EA3"/>
    <w:rsid w:val="00405DFE"/>
    <w:rsid w:val="00406856"/>
    <w:rsid w:val="00410F71"/>
    <w:rsid w:val="00411A97"/>
    <w:rsid w:val="00416EAF"/>
    <w:rsid w:val="00420219"/>
    <w:rsid w:val="004212E7"/>
    <w:rsid w:val="00423C88"/>
    <w:rsid w:val="0042403F"/>
    <w:rsid w:val="0042446D"/>
    <w:rsid w:val="004267AC"/>
    <w:rsid w:val="00427BF8"/>
    <w:rsid w:val="0043051A"/>
    <w:rsid w:val="00431BF5"/>
    <w:rsid w:val="00431C02"/>
    <w:rsid w:val="00434FE7"/>
    <w:rsid w:val="00437395"/>
    <w:rsid w:val="00441DCD"/>
    <w:rsid w:val="004442D0"/>
    <w:rsid w:val="00444D37"/>
    <w:rsid w:val="00445047"/>
    <w:rsid w:val="00445AA3"/>
    <w:rsid w:val="00446749"/>
    <w:rsid w:val="00446D34"/>
    <w:rsid w:val="004528E0"/>
    <w:rsid w:val="00453672"/>
    <w:rsid w:val="00453EB7"/>
    <w:rsid w:val="00457394"/>
    <w:rsid w:val="00457427"/>
    <w:rsid w:val="00463E39"/>
    <w:rsid w:val="004657FC"/>
    <w:rsid w:val="00466A99"/>
    <w:rsid w:val="004733F6"/>
    <w:rsid w:val="00473557"/>
    <w:rsid w:val="00474E69"/>
    <w:rsid w:val="00477F4E"/>
    <w:rsid w:val="0048136E"/>
    <w:rsid w:val="00481DDE"/>
    <w:rsid w:val="00483E9F"/>
    <w:rsid w:val="00484B12"/>
    <w:rsid w:val="00485759"/>
    <w:rsid w:val="00485A2C"/>
    <w:rsid w:val="00486E0E"/>
    <w:rsid w:val="00491E76"/>
    <w:rsid w:val="0049246F"/>
    <w:rsid w:val="0049621B"/>
    <w:rsid w:val="004A1D19"/>
    <w:rsid w:val="004A28E4"/>
    <w:rsid w:val="004A399C"/>
    <w:rsid w:val="004A406A"/>
    <w:rsid w:val="004A6AC0"/>
    <w:rsid w:val="004B0408"/>
    <w:rsid w:val="004B56CA"/>
    <w:rsid w:val="004B57EA"/>
    <w:rsid w:val="004B678F"/>
    <w:rsid w:val="004B6CDA"/>
    <w:rsid w:val="004C1895"/>
    <w:rsid w:val="004C1D0E"/>
    <w:rsid w:val="004C6D40"/>
    <w:rsid w:val="004C7FB6"/>
    <w:rsid w:val="004D004E"/>
    <w:rsid w:val="004D06EF"/>
    <w:rsid w:val="004D4209"/>
    <w:rsid w:val="004D4DB8"/>
    <w:rsid w:val="004E0C32"/>
    <w:rsid w:val="004E1E09"/>
    <w:rsid w:val="004E28B4"/>
    <w:rsid w:val="004E607F"/>
    <w:rsid w:val="004E6AA8"/>
    <w:rsid w:val="004F0C3C"/>
    <w:rsid w:val="004F2280"/>
    <w:rsid w:val="004F23BB"/>
    <w:rsid w:val="004F3CD5"/>
    <w:rsid w:val="004F5C10"/>
    <w:rsid w:val="004F63FC"/>
    <w:rsid w:val="00500489"/>
    <w:rsid w:val="0050328A"/>
    <w:rsid w:val="00503585"/>
    <w:rsid w:val="00505A92"/>
    <w:rsid w:val="005067F2"/>
    <w:rsid w:val="00511823"/>
    <w:rsid w:val="00511E14"/>
    <w:rsid w:val="00513768"/>
    <w:rsid w:val="00513C95"/>
    <w:rsid w:val="00517366"/>
    <w:rsid w:val="005203F1"/>
    <w:rsid w:val="00521BC3"/>
    <w:rsid w:val="005232C7"/>
    <w:rsid w:val="005233CF"/>
    <w:rsid w:val="00523B60"/>
    <w:rsid w:val="005244EC"/>
    <w:rsid w:val="0052656C"/>
    <w:rsid w:val="00527B78"/>
    <w:rsid w:val="00531FB0"/>
    <w:rsid w:val="00533632"/>
    <w:rsid w:val="00534013"/>
    <w:rsid w:val="00536E55"/>
    <w:rsid w:val="00540C5C"/>
    <w:rsid w:val="005415D3"/>
    <w:rsid w:val="00541666"/>
    <w:rsid w:val="00541E6E"/>
    <w:rsid w:val="00542252"/>
    <w:rsid w:val="0054251F"/>
    <w:rsid w:val="00543DA2"/>
    <w:rsid w:val="00550234"/>
    <w:rsid w:val="00551392"/>
    <w:rsid w:val="005520D8"/>
    <w:rsid w:val="005520F3"/>
    <w:rsid w:val="00555CFB"/>
    <w:rsid w:val="00556CF1"/>
    <w:rsid w:val="00556DCC"/>
    <w:rsid w:val="00562D83"/>
    <w:rsid w:val="005637E3"/>
    <w:rsid w:val="0057109D"/>
    <w:rsid w:val="0057289C"/>
    <w:rsid w:val="0057332C"/>
    <w:rsid w:val="00573991"/>
    <w:rsid w:val="005762A7"/>
    <w:rsid w:val="00576EE6"/>
    <w:rsid w:val="0058463C"/>
    <w:rsid w:val="00587CEE"/>
    <w:rsid w:val="00590015"/>
    <w:rsid w:val="005916D7"/>
    <w:rsid w:val="00593C33"/>
    <w:rsid w:val="0059427F"/>
    <w:rsid w:val="005945EB"/>
    <w:rsid w:val="0059603E"/>
    <w:rsid w:val="0059780C"/>
    <w:rsid w:val="005A0E54"/>
    <w:rsid w:val="005A4E00"/>
    <w:rsid w:val="005A51C8"/>
    <w:rsid w:val="005A698C"/>
    <w:rsid w:val="005A736D"/>
    <w:rsid w:val="005B06F3"/>
    <w:rsid w:val="005B17ED"/>
    <w:rsid w:val="005B1F61"/>
    <w:rsid w:val="005B26E9"/>
    <w:rsid w:val="005B538E"/>
    <w:rsid w:val="005B5488"/>
    <w:rsid w:val="005B5788"/>
    <w:rsid w:val="005B5820"/>
    <w:rsid w:val="005C0CAC"/>
    <w:rsid w:val="005C1525"/>
    <w:rsid w:val="005C15B6"/>
    <w:rsid w:val="005C590B"/>
    <w:rsid w:val="005D062E"/>
    <w:rsid w:val="005D121F"/>
    <w:rsid w:val="005D1394"/>
    <w:rsid w:val="005D1A32"/>
    <w:rsid w:val="005D3C7C"/>
    <w:rsid w:val="005D657C"/>
    <w:rsid w:val="005D6955"/>
    <w:rsid w:val="005E0799"/>
    <w:rsid w:val="005E10F9"/>
    <w:rsid w:val="005E1200"/>
    <w:rsid w:val="005E1389"/>
    <w:rsid w:val="005E2CC7"/>
    <w:rsid w:val="005E68A5"/>
    <w:rsid w:val="005E793B"/>
    <w:rsid w:val="005F45EE"/>
    <w:rsid w:val="005F4A8B"/>
    <w:rsid w:val="005F5A80"/>
    <w:rsid w:val="00601433"/>
    <w:rsid w:val="00601E24"/>
    <w:rsid w:val="006044FF"/>
    <w:rsid w:val="00607CC5"/>
    <w:rsid w:val="0061179B"/>
    <w:rsid w:val="006125F9"/>
    <w:rsid w:val="006243F5"/>
    <w:rsid w:val="00624DA1"/>
    <w:rsid w:val="006254CD"/>
    <w:rsid w:val="00626A59"/>
    <w:rsid w:val="00626DB6"/>
    <w:rsid w:val="00627887"/>
    <w:rsid w:val="006305DD"/>
    <w:rsid w:val="006314C7"/>
    <w:rsid w:val="00633014"/>
    <w:rsid w:val="0063437B"/>
    <w:rsid w:val="0063617A"/>
    <w:rsid w:val="00636E2C"/>
    <w:rsid w:val="0064017E"/>
    <w:rsid w:val="00641735"/>
    <w:rsid w:val="00643272"/>
    <w:rsid w:val="00645703"/>
    <w:rsid w:val="00647B5C"/>
    <w:rsid w:val="00650CA3"/>
    <w:rsid w:val="006523BA"/>
    <w:rsid w:val="0065267F"/>
    <w:rsid w:val="006530C5"/>
    <w:rsid w:val="00654BB6"/>
    <w:rsid w:val="0066285C"/>
    <w:rsid w:val="00664FFB"/>
    <w:rsid w:val="00666100"/>
    <w:rsid w:val="006673CA"/>
    <w:rsid w:val="0066751D"/>
    <w:rsid w:val="00670C24"/>
    <w:rsid w:val="00671156"/>
    <w:rsid w:val="00673C26"/>
    <w:rsid w:val="00674DE5"/>
    <w:rsid w:val="00675D10"/>
    <w:rsid w:val="006764FF"/>
    <w:rsid w:val="00677ACA"/>
    <w:rsid w:val="006812AF"/>
    <w:rsid w:val="0068327D"/>
    <w:rsid w:val="006848E4"/>
    <w:rsid w:val="00687523"/>
    <w:rsid w:val="00691534"/>
    <w:rsid w:val="0069194C"/>
    <w:rsid w:val="0069276C"/>
    <w:rsid w:val="00693880"/>
    <w:rsid w:val="00693D2B"/>
    <w:rsid w:val="00694493"/>
    <w:rsid w:val="00694AF0"/>
    <w:rsid w:val="0069552C"/>
    <w:rsid w:val="00695A5C"/>
    <w:rsid w:val="006A2932"/>
    <w:rsid w:val="006A4686"/>
    <w:rsid w:val="006A472D"/>
    <w:rsid w:val="006A53B2"/>
    <w:rsid w:val="006A5DC0"/>
    <w:rsid w:val="006A7CB5"/>
    <w:rsid w:val="006B0E9E"/>
    <w:rsid w:val="006B486D"/>
    <w:rsid w:val="006B5AE4"/>
    <w:rsid w:val="006B5B9D"/>
    <w:rsid w:val="006C10E2"/>
    <w:rsid w:val="006C1B76"/>
    <w:rsid w:val="006C3D9E"/>
    <w:rsid w:val="006D1507"/>
    <w:rsid w:val="006D167E"/>
    <w:rsid w:val="006D4054"/>
    <w:rsid w:val="006D4224"/>
    <w:rsid w:val="006D47F2"/>
    <w:rsid w:val="006D74F0"/>
    <w:rsid w:val="006E02EC"/>
    <w:rsid w:val="006E1229"/>
    <w:rsid w:val="006E3371"/>
    <w:rsid w:val="006E3C4F"/>
    <w:rsid w:val="006E5DA5"/>
    <w:rsid w:val="006E6F41"/>
    <w:rsid w:val="006E73E6"/>
    <w:rsid w:val="006F0F11"/>
    <w:rsid w:val="006F1AF5"/>
    <w:rsid w:val="006F1F24"/>
    <w:rsid w:val="006F72B9"/>
    <w:rsid w:val="006F7BE1"/>
    <w:rsid w:val="0070046F"/>
    <w:rsid w:val="00701680"/>
    <w:rsid w:val="0070216F"/>
    <w:rsid w:val="00702B1C"/>
    <w:rsid w:val="00705A38"/>
    <w:rsid w:val="00705D19"/>
    <w:rsid w:val="007108D3"/>
    <w:rsid w:val="00710F28"/>
    <w:rsid w:val="00711AD9"/>
    <w:rsid w:val="007145BC"/>
    <w:rsid w:val="00720B05"/>
    <w:rsid w:val="007211B1"/>
    <w:rsid w:val="00721FBB"/>
    <w:rsid w:val="0072379F"/>
    <w:rsid w:val="00727559"/>
    <w:rsid w:val="007277DA"/>
    <w:rsid w:val="00730795"/>
    <w:rsid w:val="00731BEB"/>
    <w:rsid w:val="00731D27"/>
    <w:rsid w:val="007346B2"/>
    <w:rsid w:val="007424B6"/>
    <w:rsid w:val="00743792"/>
    <w:rsid w:val="007440C6"/>
    <w:rsid w:val="00746187"/>
    <w:rsid w:val="00746814"/>
    <w:rsid w:val="00746B84"/>
    <w:rsid w:val="007500BD"/>
    <w:rsid w:val="00750AB8"/>
    <w:rsid w:val="00751277"/>
    <w:rsid w:val="00755481"/>
    <w:rsid w:val="0076254F"/>
    <w:rsid w:val="0076383B"/>
    <w:rsid w:val="00766EE4"/>
    <w:rsid w:val="0077121F"/>
    <w:rsid w:val="00772293"/>
    <w:rsid w:val="0077314A"/>
    <w:rsid w:val="00774668"/>
    <w:rsid w:val="007756CB"/>
    <w:rsid w:val="007762FA"/>
    <w:rsid w:val="007801F5"/>
    <w:rsid w:val="007816C0"/>
    <w:rsid w:val="00782147"/>
    <w:rsid w:val="007825A5"/>
    <w:rsid w:val="00783A20"/>
    <w:rsid w:val="00783CA4"/>
    <w:rsid w:val="007842FB"/>
    <w:rsid w:val="00785608"/>
    <w:rsid w:val="00786124"/>
    <w:rsid w:val="00792546"/>
    <w:rsid w:val="0079514B"/>
    <w:rsid w:val="00795252"/>
    <w:rsid w:val="00797434"/>
    <w:rsid w:val="007A2DC1"/>
    <w:rsid w:val="007A6717"/>
    <w:rsid w:val="007A6932"/>
    <w:rsid w:val="007B49E9"/>
    <w:rsid w:val="007C0389"/>
    <w:rsid w:val="007C5DE3"/>
    <w:rsid w:val="007D05A1"/>
    <w:rsid w:val="007D0869"/>
    <w:rsid w:val="007D14C4"/>
    <w:rsid w:val="007D1899"/>
    <w:rsid w:val="007D2D48"/>
    <w:rsid w:val="007D3319"/>
    <w:rsid w:val="007D335D"/>
    <w:rsid w:val="007D605C"/>
    <w:rsid w:val="007E00CB"/>
    <w:rsid w:val="007E03F6"/>
    <w:rsid w:val="007E2342"/>
    <w:rsid w:val="007E3314"/>
    <w:rsid w:val="007E3514"/>
    <w:rsid w:val="007E4B03"/>
    <w:rsid w:val="007E59A0"/>
    <w:rsid w:val="007E6F11"/>
    <w:rsid w:val="007F0108"/>
    <w:rsid w:val="007F14B1"/>
    <w:rsid w:val="007F2069"/>
    <w:rsid w:val="007F2B1A"/>
    <w:rsid w:val="007F2BC9"/>
    <w:rsid w:val="007F324B"/>
    <w:rsid w:val="007F5B1E"/>
    <w:rsid w:val="007F675C"/>
    <w:rsid w:val="00800827"/>
    <w:rsid w:val="00805072"/>
    <w:rsid w:val="0080553C"/>
    <w:rsid w:val="00805B46"/>
    <w:rsid w:val="00805DB4"/>
    <w:rsid w:val="008077CE"/>
    <w:rsid w:val="00810599"/>
    <w:rsid w:val="008170A6"/>
    <w:rsid w:val="00817DDF"/>
    <w:rsid w:val="00821B53"/>
    <w:rsid w:val="00822E90"/>
    <w:rsid w:val="00823593"/>
    <w:rsid w:val="00825DC2"/>
    <w:rsid w:val="00826205"/>
    <w:rsid w:val="00832A14"/>
    <w:rsid w:val="00832D83"/>
    <w:rsid w:val="00834AD3"/>
    <w:rsid w:val="0083692E"/>
    <w:rsid w:val="00836BE2"/>
    <w:rsid w:val="00843795"/>
    <w:rsid w:val="00843F2E"/>
    <w:rsid w:val="00844717"/>
    <w:rsid w:val="00845C50"/>
    <w:rsid w:val="00846E76"/>
    <w:rsid w:val="00847F0F"/>
    <w:rsid w:val="00850FAD"/>
    <w:rsid w:val="00851428"/>
    <w:rsid w:val="00852448"/>
    <w:rsid w:val="00855117"/>
    <w:rsid w:val="00863791"/>
    <w:rsid w:val="008641DA"/>
    <w:rsid w:val="00870FA8"/>
    <w:rsid w:val="00871AF2"/>
    <w:rsid w:val="008729F7"/>
    <w:rsid w:val="00872F0D"/>
    <w:rsid w:val="00873A96"/>
    <w:rsid w:val="00873E14"/>
    <w:rsid w:val="00876389"/>
    <w:rsid w:val="00877F6C"/>
    <w:rsid w:val="0088258A"/>
    <w:rsid w:val="008839F7"/>
    <w:rsid w:val="00886332"/>
    <w:rsid w:val="008867DC"/>
    <w:rsid w:val="00887A8A"/>
    <w:rsid w:val="008911E2"/>
    <w:rsid w:val="008925F0"/>
    <w:rsid w:val="00892DFE"/>
    <w:rsid w:val="00893E27"/>
    <w:rsid w:val="0089448A"/>
    <w:rsid w:val="00896D9D"/>
    <w:rsid w:val="00897115"/>
    <w:rsid w:val="00897877"/>
    <w:rsid w:val="00897922"/>
    <w:rsid w:val="008A26D9"/>
    <w:rsid w:val="008A47B0"/>
    <w:rsid w:val="008A4B6E"/>
    <w:rsid w:val="008A5C1E"/>
    <w:rsid w:val="008A7B5B"/>
    <w:rsid w:val="008B0817"/>
    <w:rsid w:val="008B12D2"/>
    <w:rsid w:val="008B1848"/>
    <w:rsid w:val="008B4A37"/>
    <w:rsid w:val="008B71F1"/>
    <w:rsid w:val="008C0C29"/>
    <w:rsid w:val="008C248D"/>
    <w:rsid w:val="008C682B"/>
    <w:rsid w:val="008C77F9"/>
    <w:rsid w:val="008C7F39"/>
    <w:rsid w:val="008D02DA"/>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4347"/>
    <w:rsid w:val="00905935"/>
    <w:rsid w:val="0090684A"/>
    <w:rsid w:val="00906E52"/>
    <w:rsid w:val="009104D4"/>
    <w:rsid w:val="00911ACF"/>
    <w:rsid w:val="009127BA"/>
    <w:rsid w:val="00916135"/>
    <w:rsid w:val="00920436"/>
    <w:rsid w:val="00920AAE"/>
    <w:rsid w:val="009227A6"/>
    <w:rsid w:val="00925F3D"/>
    <w:rsid w:val="00927009"/>
    <w:rsid w:val="00933EC1"/>
    <w:rsid w:val="00936CE3"/>
    <w:rsid w:val="00940019"/>
    <w:rsid w:val="009408B9"/>
    <w:rsid w:val="00940AE5"/>
    <w:rsid w:val="00941517"/>
    <w:rsid w:val="00942025"/>
    <w:rsid w:val="009425C0"/>
    <w:rsid w:val="009446AD"/>
    <w:rsid w:val="0094749C"/>
    <w:rsid w:val="00950C92"/>
    <w:rsid w:val="0095206E"/>
    <w:rsid w:val="009530DB"/>
    <w:rsid w:val="00953435"/>
    <w:rsid w:val="00953676"/>
    <w:rsid w:val="00956B1E"/>
    <w:rsid w:val="00956F30"/>
    <w:rsid w:val="009611B4"/>
    <w:rsid w:val="00966C9A"/>
    <w:rsid w:val="00966CB9"/>
    <w:rsid w:val="009705EE"/>
    <w:rsid w:val="00974405"/>
    <w:rsid w:val="00974A54"/>
    <w:rsid w:val="00974D29"/>
    <w:rsid w:val="00977927"/>
    <w:rsid w:val="0098135C"/>
    <w:rsid w:val="0098156A"/>
    <w:rsid w:val="009826E4"/>
    <w:rsid w:val="0098398B"/>
    <w:rsid w:val="00984157"/>
    <w:rsid w:val="009859B9"/>
    <w:rsid w:val="00986D3C"/>
    <w:rsid w:val="009873E1"/>
    <w:rsid w:val="009914EA"/>
    <w:rsid w:val="00991BAC"/>
    <w:rsid w:val="00993775"/>
    <w:rsid w:val="00993E20"/>
    <w:rsid w:val="009A0B98"/>
    <w:rsid w:val="009A0EB0"/>
    <w:rsid w:val="009A26B9"/>
    <w:rsid w:val="009A68CA"/>
    <w:rsid w:val="009A6EA0"/>
    <w:rsid w:val="009B155D"/>
    <w:rsid w:val="009B1972"/>
    <w:rsid w:val="009C12A7"/>
    <w:rsid w:val="009C1335"/>
    <w:rsid w:val="009C1AB2"/>
    <w:rsid w:val="009C1F4B"/>
    <w:rsid w:val="009C7251"/>
    <w:rsid w:val="009D20CC"/>
    <w:rsid w:val="009D466C"/>
    <w:rsid w:val="009E0D43"/>
    <w:rsid w:val="009E25E1"/>
    <w:rsid w:val="009E2E91"/>
    <w:rsid w:val="009E7BEF"/>
    <w:rsid w:val="009F3994"/>
    <w:rsid w:val="00A01B40"/>
    <w:rsid w:val="00A0371A"/>
    <w:rsid w:val="00A047FE"/>
    <w:rsid w:val="00A05677"/>
    <w:rsid w:val="00A10BA5"/>
    <w:rsid w:val="00A139F5"/>
    <w:rsid w:val="00A14146"/>
    <w:rsid w:val="00A1700A"/>
    <w:rsid w:val="00A17F3F"/>
    <w:rsid w:val="00A21EC8"/>
    <w:rsid w:val="00A23CC1"/>
    <w:rsid w:val="00A24A85"/>
    <w:rsid w:val="00A2668F"/>
    <w:rsid w:val="00A2736A"/>
    <w:rsid w:val="00A27DDD"/>
    <w:rsid w:val="00A32B36"/>
    <w:rsid w:val="00A32E16"/>
    <w:rsid w:val="00A3352D"/>
    <w:rsid w:val="00A3528D"/>
    <w:rsid w:val="00A365F4"/>
    <w:rsid w:val="00A36FCB"/>
    <w:rsid w:val="00A41DCB"/>
    <w:rsid w:val="00A44B8F"/>
    <w:rsid w:val="00A46590"/>
    <w:rsid w:val="00A47D80"/>
    <w:rsid w:val="00A47F5A"/>
    <w:rsid w:val="00A503D7"/>
    <w:rsid w:val="00A52B4E"/>
    <w:rsid w:val="00A53132"/>
    <w:rsid w:val="00A563F2"/>
    <w:rsid w:val="00A566E8"/>
    <w:rsid w:val="00A56D33"/>
    <w:rsid w:val="00A61856"/>
    <w:rsid w:val="00A61E4F"/>
    <w:rsid w:val="00A62D30"/>
    <w:rsid w:val="00A64716"/>
    <w:rsid w:val="00A660B4"/>
    <w:rsid w:val="00A66347"/>
    <w:rsid w:val="00A70D66"/>
    <w:rsid w:val="00A73F73"/>
    <w:rsid w:val="00A755A6"/>
    <w:rsid w:val="00A810F9"/>
    <w:rsid w:val="00A82D31"/>
    <w:rsid w:val="00A82EED"/>
    <w:rsid w:val="00A85E7E"/>
    <w:rsid w:val="00A86ECC"/>
    <w:rsid w:val="00A86FCC"/>
    <w:rsid w:val="00A90A6D"/>
    <w:rsid w:val="00A910B5"/>
    <w:rsid w:val="00A971E5"/>
    <w:rsid w:val="00AA0698"/>
    <w:rsid w:val="00AA710D"/>
    <w:rsid w:val="00AB5FC7"/>
    <w:rsid w:val="00AB64F3"/>
    <w:rsid w:val="00AB6D25"/>
    <w:rsid w:val="00AC0DF2"/>
    <w:rsid w:val="00AC3ECE"/>
    <w:rsid w:val="00AC5074"/>
    <w:rsid w:val="00AD062C"/>
    <w:rsid w:val="00AD086E"/>
    <w:rsid w:val="00AD0C58"/>
    <w:rsid w:val="00AD0E56"/>
    <w:rsid w:val="00AD0F56"/>
    <w:rsid w:val="00AD1704"/>
    <w:rsid w:val="00AD7641"/>
    <w:rsid w:val="00AD7D81"/>
    <w:rsid w:val="00AE02E2"/>
    <w:rsid w:val="00AE229B"/>
    <w:rsid w:val="00AE2D4B"/>
    <w:rsid w:val="00AE4F99"/>
    <w:rsid w:val="00AF1E52"/>
    <w:rsid w:val="00AF499E"/>
    <w:rsid w:val="00AF78A6"/>
    <w:rsid w:val="00B00E71"/>
    <w:rsid w:val="00B01F63"/>
    <w:rsid w:val="00B0542D"/>
    <w:rsid w:val="00B0673B"/>
    <w:rsid w:val="00B06F75"/>
    <w:rsid w:val="00B11B69"/>
    <w:rsid w:val="00B13878"/>
    <w:rsid w:val="00B13BAC"/>
    <w:rsid w:val="00B1432B"/>
    <w:rsid w:val="00B14952"/>
    <w:rsid w:val="00B14E84"/>
    <w:rsid w:val="00B14FBA"/>
    <w:rsid w:val="00B151CA"/>
    <w:rsid w:val="00B16871"/>
    <w:rsid w:val="00B23582"/>
    <w:rsid w:val="00B25B45"/>
    <w:rsid w:val="00B267FF"/>
    <w:rsid w:val="00B30564"/>
    <w:rsid w:val="00B31DB9"/>
    <w:rsid w:val="00B31E5A"/>
    <w:rsid w:val="00B35453"/>
    <w:rsid w:val="00B42251"/>
    <w:rsid w:val="00B44934"/>
    <w:rsid w:val="00B45F13"/>
    <w:rsid w:val="00B46326"/>
    <w:rsid w:val="00B465D8"/>
    <w:rsid w:val="00B46CBE"/>
    <w:rsid w:val="00B47359"/>
    <w:rsid w:val="00B53DDD"/>
    <w:rsid w:val="00B55DCF"/>
    <w:rsid w:val="00B569A2"/>
    <w:rsid w:val="00B579AB"/>
    <w:rsid w:val="00B57B7E"/>
    <w:rsid w:val="00B62D0B"/>
    <w:rsid w:val="00B653AB"/>
    <w:rsid w:val="00B65F9E"/>
    <w:rsid w:val="00B6639B"/>
    <w:rsid w:val="00B66B19"/>
    <w:rsid w:val="00B77D57"/>
    <w:rsid w:val="00B81C8F"/>
    <w:rsid w:val="00B8473F"/>
    <w:rsid w:val="00B85789"/>
    <w:rsid w:val="00B872AC"/>
    <w:rsid w:val="00B914E9"/>
    <w:rsid w:val="00B916F1"/>
    <w:rsid w:val="00B92C97"/>
    <w:rsid w:val="00B956EE"/>
    <w:rsid w:val="00B95BE9"/>
    <w:rsid w:val="00B96ED8"/>
    <w:rsid w:val="00B97AAF"/>
    <w:rsid w:val="00B97F31"/>
    <w:rsid w:val="00BA2BA1"/>
    <w:rsid w:val="00BA2BA7"/>
    <w:rsid w:val="00BA3447"/>
    <w:rsid w:val="00BA3562"/>
    <w:rsid w:val="00BB02B7"/>
    <w:rsid w:val="00BB0BDB"/>
    <w:rsid w:val="00BB3BB2"/>
    <w:rsid w:val="00BB4793"/>
    <w:rsid w:val="00BB4F09"/>
    <w:rsid w:val="00BC0EDF"/>
    <w:rsid w:val="00BC12E2"/>
    <w:rsid w:val="00BC2D48"/>
    <w:rsid w:val="00BC36E6"/>
    <w:rsid w:val="00BC66BD"/>
    <w:rsid w:val="00BD4E33"/>
    <w:rsid w:val="00BE077B"/>
    <w:rsid w:val="00BE2813"/>
    <w:rsid w:val="00BE383F"/>
    <w:rsid w:val="00BE5C88"/>
    <w:rsid w:val="00BE7F14"/>
    <w:rsid w:val="00BF1D5B"/>
    <w:rsid w:val="00BF27FA"/>
    <w:rsid w:val="00BF2E69"/>
    <w:rsid w:val="00BF2F72"/>
    <w:rsid w:val="00BF4AA9"/>
    <w:rsid w:val="00BF768F"/>
    <w:rsid w:val="00C013B9"/>
    <w:rsid w:val="00C030DE"/>
    <w:rsid w:val="00C051A8"/>
    <w:rsid w:val="00C1037A"/>
    <w:rsid w:val="00C10C66"/>
    <w:rsid w:val="00C14F50"/>
    <w:rsid w:val="00C1689D"/>
    <w:rsid w:val="00C20615"/>
    <w:rsid w:val="00C21F58"/>
    <w:rsid w:val="00C22105"/>
    <w:rsid w:val="00C244B6"/>
    <w:rsid w:val="00C247E0"/>
    <w:rsid w:val="00C24B22"/>
    <w:rsid w:val="00C27248"/>
    <w:rsid w:val="00C27BF1"/>
    <w:rsid w:val="00C307AB"/>
    <w:rsid w:val="00C32E34"/>
    <w:rsid w:val="00C34FFB"/>
    <w:rsid w:val="00C35801"/>
    <w:rsid w:val="00C35E76"/>
    <w:rsid w:val="00C36C83"/>
    <w:rsid w:val="00C3702F"/>
    <w:rsid w:val="00C4379C"/>
    <w:rsid w:val="00C4500A"/>
    <w:rsid w:val="00C50128"/>
    <w:rsid w:val="00C5133E"/>
    <w:rsid w:val="00C52FFC"/>
    <w:rsid w:val="00C56B13"/>
    <w:rsid w:val="00C60F60"/>
    <w:rsid w:val="00C62238"/>
    <w:rsid w:val="00C64A37"/>
    <w:rsid w:val="00C70F38"/>
    <w:rsid w:val="00C7158E"/>
    <w:rsid w:val="00C7250B"/>
    <w:rsid w:val="00C72EF8"/>
    <w:rsid w:val="00C72FE2"/>
    <w:rsid w:val="00C7346B"/>
    <w:rsid w:val="00C74D92"/>
    <w:rsid w:val="00C74DD5"/>
    <w:rsid w:val="00C76710"/>
    <w:rsid w:val="00C76936"/>
    <w:rsid w:val="00C77C0E"/>
    <w:rsid w:val="00C77E23"/>
    <w:rsid w:val="00C82D90"/>
    <w:rsid w:val="00C83715"/>
    <w:rsid w:val="00C845E3"/>
    <w:rsid w:val="00C91687"/>
    <w:rsid w:val="00C924A8"/>
    <w:rsid w:val="00C945FE"/>
    <w:rsid w:val="00C96FAA"/>
    <w:rsid w:val="00C97A04"/>
    <w:rsid w:val="00CA09BB"/>
    <w:rsid w:val="00CA1065"/>
    <w:rsid w:val="00CA107B"/>
    <w:rsid w:val="00CA300E"/>
    <w:rsid w:val="00CA37FA"/>
    <w:rsid w:val="00CA484D"/>
    <w:rsid w:val="00CA4BEC"/>
    <w:rsid w:val="00CA4FB6"/>
    <w:rsid w:val="00CA7541"/>
    <w:rsid w:val="00CB1E65"/>
    <w:rsid w:val="00CB23CF"/>
    <w:rsid w:val="00CB2CEB"/>
    <w:rsid w:val="00CB2F90"/>
    <w:rsid w:val="00CB689D"/>
    <w:rsid w:val="00CB6AD4"/>
    <w:rsid w:val="00CC0A00"/>
    <w:rsid w:val="00CC0FE6"/>
    <w:rsid w:val="00CC1CB1"/>
    <w:rsid w:val="00CC4420"/>
    <w:rsid w:val="00CC4524"/>
    <w:rsid w:val="00CC4EBB"/>
    <w:rsid w:val="00CC5694"/>
    <w:rsid w:val="00CC635A"/>
    <w:rsid w:val="00CC739E"/>
    <w:rsid w:val="00CC73D2"/>
    <w:rsid w:val="00CD0C94"/>
    <w:rsid w:val="00CD1EBB"/>
    <w:rsid w:val="00CD2410"/>
    <w:rsid w:val="00CD28CF"/>
    <w:rsid w:val="00CD402E"/>
    <w:rsid w:val="00CD58B7"/>
    <w:rsid w:val="00CD7967"/>
    <w:rsid w:val="00CE04FB"/>
    <w:rsid w:val="00CE3094"/>
    <w:rsid w:val="00CE4B64"/>
    <w:rsid w:val="00CF076D"/>
    <w:rsid w:val="00CF0D68"/>
    <w:rsid w:val="00CF111C"/>
    <w:rsid w:val="00CF1261"/>
    <w:rsid w:val="00CF18EE"/>
    <w:rsid w:val="00CF278D"/>
    <w:rsid w:val="00CF30BD"/>
    <w:rsid w:val="00CF4099"/>
    <w:rsid w:val="00CF5EBF"/>
    <w:rsid w:val="00D00796"/>
    <w:rsid w:val="00D02342"/>
    <w:rsid w:val="00D0314E"/>
    <w:rsid w:val="00D04A10"/>
    <w:rsid w:val="00D10688"/>
    <w:rsid w:val="00D11050"/>
    <w:rsid w:val="00D1265D"/>
    <w:rsid w:val="00D15BA6"/>
    <w:rsid w:val="00D15D1B"/>
    <w:rsid w:val="00D261A2"/>
    <w:rsid w:val="00D262A8"/>
    <w:rsid w:val="00D2709F"/>
    <w:rsid w:val="00D275E4"/>
    <w:rsid w:val="00D30000"/>
    <w:rsid w:val="00D307AD"/>
    <w:rsid w:val="00D30ADE"/>
    <w:rsid w:val="00D31400"/>
    <w:rsid w:val="00D3203A"/>
    <w:rsid w:val="00D37A6A"/>
    <w:rsid w:val="00D40538"/>
    <w:rsid w:val="00D408A5"/>
    <w:rsid w:val="00D43306"/>
    <w:rsid w:val="00D43565"/>
    <w:rsid w:val="00D45393"/>
    <w:rsid w:val="00D541D7"/>
    <w:rsid w:val="00D61557"/>
    <w:rsid w:val="00D616D2"/>
    <w:rsid w:val="00D6351C"/>
    <w:rsid w:val="00D63B5F"/>
    <w:rsid w:val="00D66006"/>
    <w:rsid w:val="00D70EF7"/>
    <w:rsid w:val="00D71810"/>
    <w:rsid w:val="00D762A5"/>
    <w:rsid w:val="00D76F96"/>
    <w:rsid w:val="00D80AAB"/>
    <w:rsid w:val="00D81836"/>
    <w:rsid w:val="00D82888"/>
    <w:rsid w:val="00D8397C"/>
    <w:rsid w:val="00D94EED"/>
    <w:rsid w:val="00D96026"/>
    <w:rsid w:val="00D972F6"/>
    <w:rsid w:val="00D97E1E"/>
    <w:rsid w:val="00DA331D"/>
    <w:rsid w:val="00DA3C88"/>
    <w:rsid w:val="00DA7C1C"/>
    <w:rsid w:val="00DB0536"/>
    <w:rsid w:val="00DB147A"/>
    <w:rsid w:val="00DB1B7A"/>
    <w:rsid w:val="00DB3752"/>
    <w:rsid w:val="00DB3817"/>
    <w:rsid w:val="00DB5F7D"/>
    <w:rsid w:val="00DB706E"/>
    <w:rsid w:val="00DC08DE"/>
    <w:rsid w:val="00DC6708"/>
    <w:rsid w:val="00DC7DCB"/>
    <w:rsid w:val="00DC7EFF"/>
    <w:rsid w:val="00DD011A"/>
    <w:rsid w:val="00DD109F"/>
    <w:rsid w:val="00DD21BA"/>
    <w:rsid w:val="00DD382C"/>
    <w:rsid w:val="00DD569A"/>
    <w:rsid w:val="00DD62BE"/>
    <w:rsid w:val="00DE2400"/>
    <w:rsid w:val="00DE58F1"/>
    <w:rsid w:val="00DE6B58"/>
    <w:rsid w:val="00DF0BAD"/>
    <w:rsid w:val="00DF4F52"/>
    <w:rsid w:val="00DF587A"/>
    <w:rsid w:val="00DF5D38"/>
    <w:rsid w:val="00DF5E32"/>
    <w:rsid w:val="00DF708F"/>
    <w:rsid w:val="00E01436"/>
    <w:rsid w:val="00E027F0"/>
    <w:rsid w:val="00E02F90"/>
    <w:rsid w:val="00E03E79"/>
    <w:rsid w:val="00E045BD"/>
    <w:rsid w:val="00E04D6C"/>
    <w:rsid w:val="00E10104"/>
    <w:rsid w:val="00E10F08"/>
    <w:rsid w:val="00E17B77"/>
    <w:rsid w:val="00E231AB"/>
    <w:rsid w:val="00E23337"/>
    <w:rsid w:val="00E245B1"/>
    <w:rsid w:val="00E259EA"/>
    <w:rsid w:val="00E25D33"/>
    <w:rsid w:val="00E2641A"/>
    <w:rsid w:val="00E315B9"/>
    <w:rsid w:val="00E32061"/>
    <w:rsid w:val="00E33F48"/>
    <w:rsid w:val="00E33F66"/>
    <w:rsid w:val="00E34B20"/>
    <w:rsid w:val="00E35558"/>
    <w:rsid w:val="00E40A56"/>
    <w:rsid w:val="00E42FF9"/>
    <w:rsid w:val="00E44790"/>
    <w:rsid w:val="00E4714C"/>
    <w:rsid w:val="00E5178D"/>
    <w:rsid w:val="00E51AEB"/>
    <w:rsid w:val="00E522A7"/>
    <w:rsid w:val="00E52651"/>
    <w:rsid w:val="00E5349E"/>
    <w:rsid w:val="00E54452"/>
    <w:rsid w:val="00E54772"/>
    <w:rsid w:val="00E55166"/>
    <w:rsid w:val="00E56776"/>
    <w:rsid w:val="00E572D9"/>
    <w:rsid w:val="00E60642"/>
    <w:rsid w:val="00E610C8"/>
    <w:rsid w:val="00E61970"/>
    <w:rsid w:val="00E63B0C"/>
    <w:rsid w:val="00E664C5"/>
    <w:rsid w:val="00E671A2"/>
    <w:rsid w:val="00E70F8F"/>
    <w:rsid w:val="00E7195E"/>
    <w:rsid w:val="00E76D26"/>
    <w:rsid w:val="00E76EE5"/>
    <w:rsid w:val="00E8524C"/>
    <w:rsid w:val="00E93DB8"/>
    <w:rsid w:val="00E948A5"/>
    <w:rsid w:val="00E948B2"/>
    <w:rsid w:val="00E953FE"/>
    <w:rsid w:val="00E95B8E"/>
    <w:rsid w:val="00E96919"/>
    <w:rsid w:val="00E96E0C"/>
    <w:rsid w:val="00EA016D"/>
    <w:rsid w:val="00EA10BC"/>
    <w:rsid w:val="00EA3CB1"/>
    <w:rsid w:val="00EB0537"/>
    <w:rsid w:val="00EB11FA"/>
    <w:rsid w:val="00EB1390"/>
    <w:rsid w:val="00EB2C71"/>
    <w:rsid w:val="00EB2E72"/>
    <w:rsid w:val="00EB3333"/>
    <w:rsid w:val="00EB4340"/>
    <w:rsid w:val="00EB4F67"/>
    <w:rsid w:val="00EB556D"/>
    <w:rsid w:val="00EB5A7D"/>
    <w:rsid w:val="00EB685E"/>
    <w:rsid w:val="00EC2817"/>
    <w:rsid w:val="00EC512C"/>
    <w:rsid w:val="00EC5D08"/>
    <w:rsid w:val="00EC73D3"/>
    <w:rsid w:val="00ED3F4D"/>
    <w:rsid w:val="00ED460F"/>
    <w:rsid w:val="00ED55C0"/>
    <w:rsid w:val="00ED5DBC"/>
    <w:rsid w:val="00ED682B"/>
    <w:rsid w:val="00ED7EB8"/>
    <w:rsid w:val="00EE41D5"/>
    <w:rsid w:val="00EE4563"/>
    <w:rsid w:val="00EE665E"/>
    <w:rsid w:val="00EE79FF"/>
    <w:rsid w:val="00EF1488"/>
    <w:rsid w:val="00EF4291"/>
    <w:rsid w:val="00F0166F"/>
    <w:rsid w:val="00F020AB"/>
    <w:rsid w:val="00F037A4"/>
    <w:rsid w:val="00F049AB"/>
    <w:rsid w:val="00F0570B"/>
    <w:rsid w:val="00F07A42"/>
    <w:rsid w:val="00F107D9"/>
    <w:rsid w:val="00F10AD7"/>
    <w:rsid w:val="00F142DB"/>
    <w:rsid w:val="00F145A8"/>
    <w:rsid w:val="00F15EA6"/>
    <w:rsid w:val="00F16054"/>
    <w:rsid w:val="00F16692"/>
    <w:rsid w:val="00F243A7"/>
    <w:rsid w:val="00F24AFD"/>
    <w:rsid w:val="00F24B16"/>
    <w:rsid w:val="00F2640F"/>
    <w:rsid w:val="00F27C8F"/>
    <w:rsid w:val="00F27EAD"/>
    <w:rsid w:val="00F27FDC"/>
    <w:rsid w:val="00F32742"/>
    <w:rsid w:val="00F32749"/>
    <w:rsid w:val="00F33074"/>
    <w:rsid w:val="00F3358C"/>
    <w:rsid w:val="00F33B9E"/>
    <w:rsid w:val="00F37172"/>
    <w:rsid w:val="00F403A0"/>
    <w:rsid w:val="00F430D1"/>
    <w:rsid w:val="00F4359C"/>
    <w:rsid w:val="00F435E5"/>
    <w:rsid w:val="00F4477E"/>
    <w:rsid w:val="00F46269"/>
    <w:rsid w:val="00F46E9C"/>
    <w:rsid w:val="00F477E1"/>
    <w:rsid w:val="00F47FF9"/>
    <w:rsid w:val="00F50468"/>
    <w:rsid w:val="00F526E6"/>
    <w:rsid w:val="00F56F3E"/>
    <w:rsid w:val="00F57481"/>
    <w:rsid w:val="00F60BA8"/>
    <w:rsid w:val="00F619F2"/>
    <w:rsid w:val="00F62E3D"/>
    <w:rsid w:val="00F63267"/>
    <w:rsid w:val="00F64988"/>
    <w:rsid w:val="00F654F7"/>
    <w:rsid w:val="00F66E32"/>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2D8A"/>
    <w:rsid w:val="00F95292"/>
    <w:rsid w:val="00F96CFE"/>
    <w:rsid w:val="00F97721"/>
    <w:rsid w:val="00FA1273"/>
    <w:rsid w:val="00FA1FD6"/>
    <w:rsid w:val="00FA2171"/>
    <w:rsid w:val="00FA5128"/>
    <w:rsid w:val="00FA5211"/>
    <w:rsid w:val="00FA723C"/>
    <w:rsid w:val="00FB1999"/>
    <w:rsid w:val="00FB42D4"/>
    <w:rsid w:val="00FB48B1"/>
    <w:rsid w:val="00FB5417"/>
    <w:rsid w:val="00FB5906"/>
    <w:rsid w:val="00FB762F"/>
    <w:rsid w:val="00FB78C8"/>
    <w:rsid w:val="00FC23E1"/>
    <w:rsid w:val="00FC2AED"/>
    <w:rsid w:val="00FC3E51"/>
    <w:rsid w:val="00FD5EA7"/>
    <w:rsid w:val="00FD63C7"/>
    <w:rsid w:val="00FD7AC4"/>
    <w:rsid w:val="00FE0121"/>
    <w:rsid w:val="00FE11F9"/>
    <w:rsid w:val="00FE36CF"/>
    <w:rsid w:val="00FE5069"/>
    <w:rsid w:val="00FE5AEA"/>
    <w:rsid w:val="00FF0246"/>
    <w:rsid w:val="00FF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A853A570-116D-4F29-B1F1-019B4DD6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Nota"/>
    <w:basedOn w:val="Domylnaczcionkaakapitu"/>
    <w:uiPriority w:val="99"/>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 w:type="paragraph" w:customStyle="1" w:styleId="Tekstzbokuwramcenaszarympolu">
    <w:name w:val="Tekst z boku w ramce na szarym polu"/>
    <w:basedOn w:val="Normalny"/>
    <w:qFormat/>
    <w:rsid w:val="00F57481"/>
    <w:pPr>
      <w:suppressAutoHyphens/>
      <w:spacing w:before="0" w:after="0"/>
    </w:pPr>
    <w:rPr>
      <w:rFonts w:eastAsia="Times New Roman" w:cs="Times New Roman"/>
      <w:bCs/>
      <w:color w:val="001D77"/>
      <w:sz w:val="18"/>
      <w:szCs w:val="18"/>
      <w:lang w:val="en-GB" w:eastAsia="pl-PL"/>
    </w:rPr>
  </w:style>
  <w:style w:type="character" w:styleId="Odwoaniedelikatne">
    <w:name w:val="Subtle Reference"/>
    <w:basedOn w:val="Domylnaczcionkaakapitu"/>
    <w:uiPriority w:val="31"/>
    <w:qFormat/>
    <w:rsid w:val="0066285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285552297">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1849055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13174990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525552377">
      <w:bodyDiv w:val="1"/>
      <w:marLeft w:val="0"/>
      <w:marRight w:val="0"/>
      <w:marTop w:val="0"/>
      <w:marBottom w:val="0"/>
      <w:divBdr>
        <w:top w:val="none" w:sz="0" w:space="0" w:color="auto"/>
        <w:left w:val="none" w:sz="0" w:space="0" w:color="auto"/>
        <w:bottom w:val="none" w:sz="0" w:space="0" w:color="auto"/>
        <w:right w:val="none" w:sz="0" w:space="0" w:color="auto"/>
      </w:divBdr>
    </w:div>
    <w:div w:id="1553538392">
      <w:bodyDiv w:val="1"/>
      <w:marLeft w:val="0"/>
      <w:marRight w:val="0"/>
      <w:marTop w:val="0"/>
      <w:marBottom w:val="0"/>
      <w:divBdr>
        <w:top w:val="none" w:sz="0" w:space="0" w:color="auto"/>
        <w:left w:val="none" w:sz="0" w:space="0" w:color="auto"/>
        <w:bottom w:val="none" w:sz="0" w:space="0" w:color="auto"/>
        <w:right w:val="none" w:sz="0" w:space="0" w:color="auto"/>
      </w:divBdr>
    </w:div>
    <w:div w:id="1646350863">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 w:id="1954625894">
      <w:bodyDiv w:val="1"/>
      <w:marLeft w:val="0"/>
      <w:marRight w:val="0"/>
      <w:marTop w:val="0"/>
      <w:marBottom w:val="0"/>
      <w:divBdr>
        <w:top w:val="none" w:sz="0" w:space="0" w:color="auto"/>
        <w:left w:val="none" w:sz="0" w:space="0" w:color="auto"/>
        <w:bottom w:val="none" w:sz="0" w:space="0" w:color="auto"/>
        <w:right w:val="none" w:sz="0" w:space="0" w:color="auto"/>
      </w:divBdr>
    </w:div>
    <w:div w:id="20394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hyperlink" Target="https://www.youtube.com/channel/UC0wiQMElFgYszpAoYgTnXtg/featured" TargetMode="External"/><Relationship Id="rId39" Type="http://schemas.openxmlformats.org/officeDocument/2006/relationships/hyperlink" Target="https://stat.gov.pl/en/metainformation/glossary/terms-used-in-official-statistics/364,term.html" TargetMode="External"/><Relationship Id="rId21" Type="http://schemas.openxmlformats.org/officeDocument/2006/relationships/image" Target="media/image8.png"/><Relationship Id="rId34" Type="http://schemas.openxmlformats.org/officeDocument/2006/relationships/hyperlink" Target="https://stat.gov.pl/en/metainformation/glossary/terms-used-in-official-statistics/3774,term.html" TargetMode="External"/><Relationship Id="rId42" Type="http://schemas.openxmlformats.org/officeDocument/2006/relationships/hyperlink" Target="https://stat.gov.pl/en/metainformation/glossary/terms-used-in-official-statistics/3768,term.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stat.gov.pl/en/experimental-statistics/national-accounts-regional-accounts/report-on-methodological-work-culture-satellite-account,8,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instagram.com/gus_stat/" TargetMode="External"/><Relationship Id="rId32" Type="http://schemas.openxmlformats.org/officeDocument/2006/relationships/hyperlink" Target="https://stat.gov.pl/en/topics/culture-tourism-sport/culture/culture-and-national-heritage-in-2023,1,16.html" TargetMode="External"/><Relationship Id="rId37" Type="http://schemas.openxmlformats.org/officeDocument/2006/relationships/hyperlink" Target="https://stat.gov.pl/en/metainformation/glossary/terms-used-in-official-statistics/220,term.html" TargetMode="External"/><Relationship Id="rId40" Type="http://schemas.openxmlformats.org/officeDocument/2006/relationships/hyperlink" Target="https://stat.gov.pl/en/metainformation/glossary/terms-used-in-official-statistics/467,term.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image" Target="media/image11.png"/><Relationship Id="rId36" Type="http://schemas.openxmlformats.org/officeDocument/2006/relationships/hyperlink" Target="https://stat.gov.pl/en/metainformation/glossary/terms-used-in-official-statistics/159,term.html" TargetMode="External"/><Relationship Id="rId10" Type="http://schemas.openxmlformats.org/officeDocument/2006/relationships/endnotes" Target="endnotes.xml"/><Relationship Id="rId19" Type="http://schemas.openxmlformats.org/officeDocument/2006/relationships/hyperlink" Target="https://stat.gov.pl/en/" TargetMode="External"/><Relationship Id="rId31" Type="http://schemas.openxmlformats.org/officeDocument/2006/relationships/hyperlink" Target="https://stat.gov.pl/en/topics/culture-tourism-sport/culture/cultural-and-creative-industries-in-2022,14,6.html"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acebook.com/GlownyUrzadStatystyczny/" TargetMode="External"/><Relationship Id="rId27" Type="http://schemas.openxmlformats.org/officeDocument/2006/relationships/hyperlink" Target="https://pl.linkedin.com/company/glownyurzadstatystyczny" TargetMode="External"/><Relationship Id="rId30" Type="http://schemas.openxmlformats.org/officeDocument/2006/relationships/hyperlink" Target="https://stat.gov.pl/en/topics/culture-tourism-sport/culture/cultural-and-creative-industries-2017-2021,12,2.html" TargetMode="External"/><Relationship Id="rId35" Type="http://schemas.openxmlformats.org/officeDocument/2006/relationships/hyperlink" Target="https://stat.gov.pl/en/metainformation/glossary/terms-used-in-official-statistics/3775,term.html"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tel:+48124204050" TargetMode="External"/><Relationship Id="rId25" Type="http://schemas.openxmlformats.org/officeDocument/2006/relationships/image" Target="media/image10.png"/><Relationship Id="rId33" Type="http://schemas.openxmlformats.org/officeDocument/2006/relationships/hyperlink" Target="https://stat.gov.pl/en/metainformation/glossary/terms-used-in-official-statistics/6,term.html" TargetMode="External"/><Relationship Id="rId38" Type="http://schemas.openxmlformats.org/officeDocument/2006/relationships/hyperlink" Target="https://stat.gov.pl/en/metainformation/glossary/terms-used-in-official-statistics/361,term.html" TargetMode="External"/><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hyperlink" Target="https://stat.gov.pl/en/metainformation/glossary/terms-used-in-official-statistics/563,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1. Wyniki finansowe instytucji kultury w okresie styczeń–wrzesień 2022 r.docx.docx</NazwaPliku>
    <Osoba xmlns="AD3641B4-23D9-4536-AF9E-7D0EADDEB824">STAT\piwowarczykm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7B78-E118-4B87-A243-489012129A67}">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FAD3860D-A843-4C34-8D15-97ADF51F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91DC-937A-4A5F-AFA2-DD9901ED3D56}">
  <ds:schemaRefs>
    <ds:schemaRef ds:uri="http://www.w3.org/2001/XMLSchema"/>
    <ds:schemaRef ds:uri="http://www.zhaw.ch/AccessibilityAddIn"/>
  </ds:schemaRefs>
</ds:datastoreItem>
</file>

<file path=customXml/itemProps4.xml><?xml version="1.0" encoding="utf-8"?>
<ds:datastoreItem xmlns:ds="http://schemas.openxmlformats.org/officeDocument/2006/customXml" ds:itemID="{698E2B89-4A1A-41D2-8DDF-C7CF33A2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8</Pages>
  <Words>2460</Words>
  <Characters>14765</Characters>
  <DocSecurity>0</DocSecurity>
  <Lines>123</Lines>
  <Paragraphs>34</Paragraphs>
  <ScaleCrop>false</ScaleCrop>
  <HeadingPairs>
    <vt:vector size="2" baseType="variant">
      <vt:variant>
        <vt:lpstr>Tytuł</vt:lpstr>
      </vt:variant>
      <vt:variant>
        <vt:i4>1</vt:i4>
      </vt:variant>
    </vt:vector>
  </HeadingPairs>
  <TitlesOfParts>
    <vt:vector size="1" baseType="lpstr">
      <vt:lpstr>Culture satellite account for 2019</vt:lpstr>
    </vt:vector>
  </TitlesOfParts>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2023-02-24T09:20:00Z</cp:lastPrinted>
  <dcterms:created xsi:type="dcterms:W3CDTF">2025-01-28T09:10:00Z</dcterms:created>
  <dcterms:modified xsi:type="dcterms:W3CDTF">2025-02-26T13:55:00Z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