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375DC5E5" w:rsidR="00393761" w:rsidRPr="004D004E" w:rsidRDefault="00566098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FA47D4">
        <w:rPr>
          <w:lang w:val="en-GB"/>
        </w:rPr>
        <w:t>Cinematography</w:t>
      </w:r>
      <w:r>
        <w:rPr>
          <w:rFonts w:cs="Fira Sans Extra Condensed SemiB"/>
          <w:bCs/>
          <w:spacing w:val="-2"/>
          <w:szCs w:val="40"/>
          <w:lang w:val="en-GB"/>
        </w:rPr>
        <w:t xml:space="preserve"> </w:t>
      </w:r>
      <w:r w:rsidR="00E462A5">
        <w:rPr>
          <w:rFonts w:cs="Fira Sans Extra Condensed SemiB"/>
          <w:bCs/>
          <w:spacing w:val="-2"/>
          <w:szCs w:val="40"/>
          <w:lang w:val="en-GB"/>
        </w:rPr>
        <w:t>in 2024</w:t>
      </w:r>
    </w:p>
    <w:p w14:paraId="24C79ED3" w14:textId="24738924" w:rsidR="00B54D76" w:rsidRDefault="00E462A5" w:rsidP="004F3E62">
      <w:pPr>
        <w:pStyle w:val="LID"/>
        <w:spacing w:before="360" w:after="0"/>
        <w:rPr>
          <w:lang w:val="en-GB"/>
        </w:rPr>
      </w:pPr>
      <w:r>
        <w:rPr>
          <w:lang w:val="en-GB"/>
        </w:rPr>
        <w:t>In 2024, there were 535</w:t>
      </w:r>
      <w:r w:rsidRPr="00FA47D4">
        <w:rPr>
          <w:lang w:val="en-GB"/>
        </w:rPr>
        <w:t xml:space="preserve"> </w:t>
      </w:r>
      <w:r>
        <w:rPr>
          <w:lang w:val="en-GB"/>
        </w:rPr>
        <w:t>indoor cinemas with 1.6</w:t>
      </w:r>
      <w:r w:rsidR="00602DB8">
        <w:rPr>
          <w:lang w:val="en-GB"/>
        </w:rPr>
        <w:t> </w:t>
      </w:r>
      <w:r>
        <w:rPr>
          <w:lang w:val="en-GB"/>
        </w:rPr>
        <w:t xml:space="preserve">thousand screens and 290.4 thousand seats for the audience. </w:t>
      </w:r>
      <w:r w:rsidR="00B54D76" w:rsidRPr="004D004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170157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representing  2.9% increase in the number of audience in indoor cinemas in comparison to 2023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03D8B128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E462A5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2.9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1CC4F004" w:rsidR="00241FA7" w:rsidRPr="00F16692" w:rsidRDefault="00604FC4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="00C60F60">
                              <w:rPr>
                                <w:lang w:val="en-GB"/>
                              </w:rPr>
                              <w:t xml:space="preserve">ncrease in the number of </w:t>
                            </w:r>
                            <w:r w:rsidR="002E7AA3">
                              <w:rPr>
                                <w:lang w:val="en-GB"/>
                              </w:rPr>
                              <w:t>film screenings</w:t>
                            </w:r>
                            <w:r w:rsidR="002C1F2E">
                              <w:rPr>
                                <w:lang w:val="en-GB"/>
                              </w:rPr>
                              <w:t xml:space="preserve"> in indoor cinemas in comparison </w:t>
                            </w:r>
                            <w:r w:rsidR="00E462A5">
                              <w:rPr>
                                <w:lang w:val="en-GB"/>
                              </w:rPr>
                              <w:t>to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representing  2.9% increase in the number of audience in indoor cinemas in comparison to 2023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" fillcolor="#001d77" stroked="f">
                <v:stroke joinstyle="miter"/>
                <v:textbox>
                  <w:txbxContent>
                    <w:p w14:paraId="0321F3D8" w14:textId="03D8B128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E462A5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2.9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1CC4F004" w:rsidR="00241FA7" w:rsidRPr="00F16692" w:rsidRDefault="00604FC4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="00C60F60">
                        <w:rPr>
                          <w:lang w:val="en-GB"/>
                        </w:rPr>
                        <w:t xml:space="preserve">ncrease in the number of </w:t>
                      </w:r>
                      <w:r w:rsidR="002E7AA3">
                        <w:rPr>
                          <w:lang w:val="en-GB"/>
                        </w:rPr>
                        <w:t>film screenings</w:t>
                      </w:r>
                      <w:r w:rsidR="002C1F2E">
                        <w:rPr>
                          <w:lang w:val="en-GB"/>
                        </w:rPr>
                        <w:t xml:space="preserve"> in indoor cinemas in comparison </w:t>
                      </w:r>
                      <w:r w:rsidR="00E462A5">
                        <w:rPr>
                          <w:lang w:val="en-GB"/>
                        </w:rPr>
                        <w:t>to 2023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64222">
        <w:rPr>
          <w:lang w:val="en-GB"/>
        </w:rPr>
        <w:t>2</w:t>
      </w:r>
      <w:r>
        <w:rPr>
          <w:lang w:val="en-GB"/>
        </w:rPr>
        <w:t>.2</w:t>
      </w:r>
      <w:r w:rsidR="00464222" w:rsidRPr="00FA47D4">
        <w:rPr>
          <w:lang w:val="en-GB"/>
        </w:rPr>
        <w:t xml:space="preserve"> mill</w:t>
      </w:r>
      <w:r w:rsidR="00464222">
        <w:rPr>
          <w:lang w:val="en-GB"/>
        </w:rPr>
        <w:t>i</w:t>
      </w:r>
      <w:r w:rsidR="00464222" w:rsidRPr="00FA47D4">
        <w:rPr>
          <w:lang w:val="en-GB"/>
        </w:rPr>
        <w:t xml:space="preserve">on </w:t>
      </w:r>
      <w:r w:rsidR="00D00114">
        <w:rPr>
          <w:lang w:val="en-GB"/>
        </w:rPr>
        <w:t xml:space="preserve">film </w:t>
      </w:r>
      <w:r>
        <w:rPr>
          <w:lang w:val="en-GB"/>
        </w:rPr>
        <w:t>screenings were shown, watched by 49.5</w:t>
      </w:r>
      <w:r w:rsidR="00464222" w:rsidRPr="00FA47D4">
        <w:rPr>
          <w:lang w:val="en-GB"/>
        </w:rPr>
        <w:t xml:space="preserve"> millio</w:t>
      </w:r>
      <w:r w:rsidR="00464222">
        <w:rPr>
          <w:lang w:val="en-GB"/>
        </w:rPr>
        <w:t xml:space="preserve">n viewers. </w:t>
      </w:r>
    </w:p>
    <w:p w14:paraId="57FB7B71" w14:textId="1489E146" w:rsidR="003521FF" w:rsidRPr="00464222" w:rsidRDefault="00E462A5" w:rsidP="006565D9">
      <w:pPr>
        <w:pStyle w:val="LID"/>
        <w:spacing w:before="0" w:after="1440"/>
        <w:rPr>
          <w:lang w:val="en-GB"/>
        </w:rPr>
      </w:pPr>
      <w:r>
        <w:rPr>
          <w:lang w:val="en-GB"/>
        </w:rPr>
        <w:t>2</w:t>
      </w:r>
      <w:r w:rsidR="00464222">
        <w:rPr>
          <w:lang w:val="en-GB"/>
        </w:rPr>
        <w:t>62</w:t>
      </w:r>
      <w:r w:rsidR="00D00114">
        <w:rPr>
          <w:lang w:val="en-GB"/>
        </w:rPr>
        <w:t xml:space="preserve"> films </w:t>
      </w:r>
      <w:r w:rsidR="002E7AA3">
        <w:rPr>
          <w:lang w:val="en-GB"/>
        </w:rPr>
        <w:t xml:space="preserve">for </w:t>
      </w:r>
      <w:r w:rsidR="002E7AA3" w:rsidRPr="00B95357">
        <w:rPr>
          <w:lang w:val="en-GB"/>
        </w:rPr>
        <w:t xml:space="preserve">cinema </w:t>
      </w:r>
      <w:r w:rsidR="002E7AA3" w:rsidRPr="00464222">
        <w:rPr>
          <w:lang w:val="en-GB"/>
        </w:rPr>
        <w:t>and television</w:t>
      </w:r>
      <w:r w:rsidR="002E7AA3">
        <w:rPr>
          <w:lang w:val="en-GB"/>
        </w:rPr>
        <w:t xml:space="preserve"> </w:t>
      </w:r>
      <w:r w:rsidR="00D00114">
        <w:rPr>
          <w:lang w:val="en-GB"/>
        </w:rPr>
        <w:t>were produced</w:t>
      </w:r>
      <w:r w:rsidR="00464222" w:rsidRPr="00464222">
        <w:rPr>
          <w:lang w:val="en-GB"/>
        </w:rPr>
        <w:t>.</w:t>
      </w:r>
    </w:p>
    <w:p w14:paraId="307D50DD" w14:textId="77777777" w:rsidR="00464222" w:rsidRPr="00FA47D4" w:rsidRDefault="00464222" w:rsidP="00464222">
      <w:pPr>
        <w:pStyle w:val="Nagwek1"/>
        <w:rPr>
          <w:noProof/>
          <w:lang w:val="en-GB"/>
        </w:rPr>
      </w:pPr>
      <w:r w:rsidRPr="00FA47D4">
        <w:rPr>
          <w:noProof/>
          <w:lang w:val="en-GB"/>
        </w:rPr>
        <w:t>Cinemas activity</w:t>
      </w:r>
    </w:p>
    <w:p w14:paraId="6C016DAA" w14:textId="5083BF04" w:rsidR="00E462A5" w:rsidRDefault="00E462A5" w:rsidP="00464222">
      <w:pPr>
        <w:spacing w:line="288" w:lineRule="auto"/>
        <w:rPr>
          <w:lang w:val="en-GB"/>
        </w:rPr>
      </w:pPr>
      <w:r>
        <w:rPr>
          <w:lang w:val="en-GB"/>
        </w:rPr>
        <w:t xml:space="preserve">At the end of 2024, there were 535 indoor cinemas </w:t>
      </w:r>
      <w:r w:rsidR="00376B4D">
        <w:rPr>
          <w:lang w:val="en-GB"/>
        </w:rPr>
        <w:t>operat</w:t>
      </w:r>
      <w:r w:rsidR="00C27AA2">
        <w:rPr>
          <w:lang w:val="en-GB"/>
        </w:rPr>
        <w:t>ing</w:t>
      </w:r>
      <w:r w:rsidR="00376B4D">
        <w:rPr>
          <w:lang w:val="en-GB"/>
        </w:rPr>
        <w:t xml:space="preserve"> </w:t>
      </w:r>
      <w:r>
        <w:rPr>
          <w:lang w:val="en-GB"/>
        </w:rPr>
        <w:t>in Poland</w:t>
      </w:r>
      <w:r w:rsidR="00907BD7">
        <w:rPr>
          <w:lang w:val="en-GB"/>
        </w:rPr>
        <w:t>. T</w:t>
      </w:r>
      <w:r>
        <w:rPr>
          <w:lang w:val="en-GB"/>
        </w:rPr>
        <w:t>he number of indoor cinemas has not changed</w:t>
      </w:r>
      <w:r w:rsidR="00907BD7">
        <w:rPr>
          <w:lang w:val="en-GB"/>
        </w:rPr>
        <w:t xml:space="preserve"> compared to 2023</w:t>
      </w:r>
      <w:r>
        <w:rPr>
          <w:lang w:val="en-GB"/>
        </w:rPr>
        <w:t xml:space="preserve">. The largest number of indoor cinemas operated in Mazowieckie Voivodship (81), and the lowest in </w:t>
      </w:r>
      <w:proofErr w:type="spellStart"/>
      <w:r w:rsidRPr="009A3963">
        <w:rPr>
          <w:lang w:val="en-GB"/>
        </w:rPr>
        <w:t>Podlaskie</w:t>
      </w:r>
      <w:proofErr w:type="spellEnd"/>
      <w:r>
        <w:rPr>
          <w:lang w:val="en-GB"/>
        </w:rPr>
        <w:t xml:space="preserve"> Voivodship (12).</w:t>
      </w:r>
      <w:r w:rsidR="003F60C4">
        <w:rPr>
          <w:lang w:val="en-GB"/>
        </w:rPr>
        <w:t xml:space="preserve"> Indoor cinemas had</w:t>
      </w:r>
      <w:r w:rsidR="003F60C4" w:rsidRPr="003F60C4">
        <w:rPr>
          <w:lang w:val="en-GB"/>
        </w:rPr>
        <w:t xml:space="preserve"> 1.6 thousand screens and 290.4 thousand seats for the audience</w:t>
      </w:r>
      <w:r w:rsidR="003F60C4">
        <w:rPr>
          <w:lang w:val="en-GB"/>
        </w:rPr>
        <w:t>.</w:t>
      </w:r>
    </w:p>
    <w:p w14:paraId="254D7B2B" w14:textId="5C05A652" w:rsidR="003F60C4" w:rsidRDefault="003F60C4" w:rsidP="00464222">
      <w:pPr>
        <w:spacing w:line="288" w:lineRule="auto"/>
        <w:rPr>
          <w:lang w:val="en-GB"/>
        </w:rPr>
      </w:pPr>
      <w:r>
        <w:rPr>
          <w:lang w:val="en-GB"/>
        </w:rPr>
        <w:t>During the year, indoor</w:t>
      </w:r>
      <w:r w:rsidRPr="003F60C4">
        <w:rPr>
          <w:lang w:val="en-GB"/>
        </w:rPr>
        <w:t xml:space="preserve"> cinemas </w:t>
      </w:r>
      <w:r w:rsidR="00C27AA2">
        <w:rPr>
          <w:lang w:val="en-GB"/>
        </w:rPr>
        <w:t xml:space="preserve">attracted </w:t>
      </w:r>
      <w:r>
        <w:rPr>
          <w:lang w:val="en-GB"/>
        </w:rPr>
        <w:t xml:space="preserve">49.5 million </w:t>
      </w:r>
      <w:r w:rsidR="00C27AA2">
        <w:rPr>
          <w:lang w:val="en-GB"/>
        </w:rPr>
        <w:t>viewers</w:t>
      </w:r>
      <w:r>
        <w:rPr>
          <w:lang w:val="en-GB"/>
        </w:rPr>
        <w:t xml:space="preserve"> (0.4% less</w:t>
      </w:r>
      <w:r w:rsidRPr="003F60C4">
        <w:rPr>
          <w:lang w:val="en-GB"/>
        </w:rPr>
        <w:t xml:space="preserve"> than in 2023</w:t>
      </w:r>
      <w:r>
        <w:rPr>
          <w:lang w:val="en-GB"/>
        </w:rPr>
        <w:t xml:space="preserve">). The largest number of </w:t>
      </w:r>
      <w:proofErr w:type="gramStart"/>
      <w:r>
        <w:rPr>
          <w:lang w:val="en-GB"/>
        </w:rPr>
        <w:t>audience</w:t>
      </w:r>
      <w:proofErr w:type="gramEnd"/>
      <w:r w:rsidRPr="003F60C4">
        <w:rPr>
          <w:lang w:val="en-GB"/>
        </w:rPr>
        <w:t xml:space="preserve"> </w:t>
      </w:r>
      <w:r w:rsidR="00395C91">
        <w:rPr>
          <w:lang w:val="en-GB"/>
        </w:rPr>
        <w:t>per indoor</w:t>
      </w:r>
      <w:r w:rsidRPr="003F60C4">
        <w:rPr>
          <w:lang w:val="en-GB"/>
        </w:rPr>
        <w:t xml:space="preserve"> cinema was in</w:t>
      </w:r>
      <w:r>
        <w:rPr>
          <w:lang w:val="en-GB"/>
        </w:rPr>
        <w:t xml:space="preserve"> </w:t>
      </w:r>
      <w:proofErr w:type="spellStart"/>
      <w:r w:rsidRPr="009A3963">
        <w:rPr>
          <w:lang w:val="en-GB"/>
        </w:rPr>
        <w:t>Kujawsko-</w:t>
      </w:r>
      <w:r w:rsidR="00C27AA2" w:rsidRPr="009A3963">
        <w:rPr>
          <w:lang w:val="en-GB"/>
        </w:rPr>
        <w:t>p</w:t>
      </w:r>
      <w:r w:rsidRPr="009A3963">
        <w:rPr>
          <w:lang w:val="en-GB"/>
        </w:rPr>
        <w:t>omorskie</w:t>
      </w:r>
      <w:proofErr w:type="spellEnd"/>
      <w:r>
        <w:rPr>
          <w:lang w:val="en-GB"/>
        </w:rPr>
        <w:t xml:space="preserve"> Voivod</w:t>
      </w:r>
      <w:r w:rsidRPr="003F60C4">
        <w:rPr>
          <w:lang w:val="en-GB"/>
        </w:rPr>
        <w:t>ship</w:t>
      </w:r>
      <w:r w:rsidR="00395C91">
        <w:rPr>
          <w:lang w:val="en-GB"/>
        </w:rPr>
        <w:t xml:space="preserve"> (118.9</w:t>
      </w:r>
      <w:r w:rsidR="006565D9">
        <w:rPr>
          <w:lang w:val="en-GB"/>
        </w:rPr>
        <w:t> </w:t>
      </w:r>
      <w:r w:rsidR="00395C91">
        <w:rPr>
          <w:lang w:val="en-GB"/>
        </w:rPr>
        <w:t>thousand), and the few</w:t>
      </w:r>
      <w:r w:rsidRPr="003F60C4">
        <w:rPr>
          <w:lang w:val="en-GB"/>
        </w:rPr>
        <w:t>est</w:t>
      </w:r>
      <w:r>
        <w:rPr>
          <w:lang w:val="en-GB"/>
        </w:rPr>
        <w:t xml:space="preserve"> – in </w:t>
      </w:r>
      <w:proofErr w:type="spellStart"/>
      <w:r w:rsidRPr="009A3963">
        <w:rPr>
          <w:lang w:val="en-GB"/>
        </w:rPr>
        <w:t>Świętokrzyskie</w:t>
      </w:r>
      <w:proofErr w:type="spellEnd"/>
      <w:r>
        <w:rPr>
          <w:lang w:val="en-GB"/>
        </w:rPr>
        <w:t xml:space="preserve"> Voivod</w:t>
      </w:r>
      <w:r w:rsidRPr="003F60C4">
        <w:rPr>
          <w:lang w:val="en-GB"/>
        </w:rPr>
        <w:t>ship (53.0 thousand).</w:t>
      </w:r>
    </w:p>
    <w:p w14:paraId="6E3BA1D1" w14:textId="555A8D4D" w:rsidR="00A00B33" w:rsidRDefault="002C3AC4" w:rsidP="00F13245">
      <w:pPr>
        <w:pStyle w:val="Tytuwykresu0"/>
        <w:rPr>
          <w:rFonts w:ascii="Fira Sans" w:hAnsi="Fira Sans"/>
          <w:lang w:val="en-GB"/>
        </w:rPr>
      </w:pPr>
      <w:r>
        <w:rPr>
          <w:bCs w:val="0"/>
          <w:shd w:val="clear" w:color="auto" w:fill="FFFFFF"/>
        </w:rPr>
        <w:drawing>
          <wp:anchor distT="0" distB="0" distL="114300" distR="114300" simplePos="0" relativeHeight="251875328" behindDoc="0" locked="0" layoutInCell="1" allowOverlap="1" wp14:anchorId="0E2DE47D" wp14:editId="1DBD3E0C">
            <wp:simplePos x="0" y="0"/>
            <wp:positionH relativeFrom="margin">
              <wp:posOffset>29210</wp:posOffset>
            </wp:positionH>
            <wp:positionV relativeFrom="paragraph">
              <wp:posOffset>356235</wp:posOffset>
            </wp:positionV>
            <wp:extent cx="4998720" cy="3517900"/>
            <wp:effectExtent l="0" t="0" r="0" b="6350"/>
            <wp:wrapTopAndBottom/>
            <wp:docPr id="26" name="Obraz 26" descr="Map 1. Map of Poland by voivodships presenting the number of indoor cinemas (as of 31 December) and number of audience per one indoor cinemas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apa kina ang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" t="5589"/>
                    <a:stretch/>
                  </pic:blipFill>
                  <pic:spPr bwMode="auto">
                    <a:xfrm>
                      <a:off x="0" y="0"/>
                      <a:ext cx="4998720" cy="351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7A" w:rsidRPr="004D004E"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3B29CB11">
                <wp:simplePos x="0" y="0"/>
                <wp:positionH relativeFrom="column">
                  <wp:posOffset>5287010</wp:posOffset>
                </wp:positionH>
                <wp:positionV relativeFrom="paragraph">
                  <wp:posOffset>487680</wp:posOffset>
                </wp:positionV>
                <wp:extent cx="1725295" cy="1003300"/>
                <wp:effectExtent l="0" t="0" r="0" b="6350"/>
                <wp:wrapTight wrapText="bothSides">
                  <wp:wrapPolygon edited="0">
                    <wp:start x="715" y="0"/>
                    <wp:lineTo x="715" y="21327"/>
                    <wp:lineTo x="20749" y="21327"/>
                    <wp:lineTo x="20749" y="0"/>
                    <wp:lineTo x="715" y="0"/>
                  </wp:wrapPolygon>
                </wp:wrapTight>
                <wp:docPr id="24" name="Prostokąt 24" descr="Indoor cinemas gathered almost one-fifth of the total number of audience in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0033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445D1E6E" w:rsidR="00FB78C8" w:rsidRPr="00DD62BE" w:rsidRDefault="005168AE" w:rsidP="00FB78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Indoor cinemas </w:t>
                            </w:r>
                            <w:r w:rsidR="00066555">
                              <w:rPr>
                                <w:lang w:val="en-GB"/>
                              </w:rPr>
                              <w:t xml:space="preserve">in </w:t>
                            </w:r>
                            <w:proofErr w:type="spellStart"/>
                            <w:r w:rsidR="00066555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="00066555">
                              <w:rPr>
                                <w:lang w:val="en-GB"/>
                              </w:rPr>
                              <w:t xml:space="preserve"> Voivodship</w:t>
                            </w:r>
                            <w:r w:rsidR="00066555" w:rsidRPr="00395C9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95C91" w:rsidRPr="00395C91">
                              <w:rPr>
                                <w:lang w:val="en-GB"/>
                              </w:rPr>
                              <w:t>gathered</w:t>
                            </w:r>
                            <w:r w:rsidR="00395C91">
                              <w:rPr>
                                <w:lang w:val="en-GB"/>
                              </w:rPr>
                              <w:t xml:space="preserve"> almost one-fifth of the total number of </w:t>
                            </w:r>
                            <w:proofErr w:type="gramStart"/>
                            <w:r w:rsidR="00395C91">
                              <w:rPr>
                                <w:lang w:val="en-GB"/>
                              </w:rPr>
                              <w:t>audience</w:t>
                            </w:r>
                            <w:proofErr w:type="gramEnd"/>
                            <w:r w:rsidR="00991A9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Indoor cinemas gathered almost one-fifth of the total number of audience in Mazowieckie Voivodship" style="position:absolute;margin-left:416.3pt;margin-top:38.4pt;width:135.85pt;height:79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" filled="f" stroked="f" strokeweight=".26mm">
                <v:textbox>
                  <w:txbxContent>
                    <w:p w14:paraId="369CA229" w14:textId="445D1E6E" w:rsidR="00FB78C8" w:rsidRPr="00DD62BE" w:rsidRDefault="005168AE" w:rsidP="00FB78C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Indoor cinemas </w:t>
                      </w:r>
                      <w:r w:rsidR="00066555">
                        <w:rPr>
                          <w:lang w:val="en-GB"/>
                        </w:rPr>
                        <w:t xml:space="preserve">in </w:t>
                      </w:r>
                      <w:proofErr w:type="spellStart"/>
                      <w:r w:rsidR="00066555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="00066555">
                        <w:rPr>
                          <w:lang w:val="en-GB"/>
                        </w:rPr>
                        <w:t xml:space="preserve"> Voivodship</w:t>
                      </w:r>
                      <w:r w:rsidR="00066555" w:rsidRPr="00395C91">
                        <w:rPr>
                          <w:lang w:val="en-GB"/>
                        </w:rPr>
                        <w:t xml:space="preserve"> </w:t>
                      </w:r>
                      <w:r w:rsidR="00395C91" w:rsidRPr="00395C91">
                        <w:rPr>
                          <w:lang w:val="en-GB"/>
                        </w:rPr>
                        <w:t>gathered</w:t>
                      </w:r>
                      <w:r w:rsidR="00395C91">
                        <w:rPr>
                          <w:lang w:val="en-GB"/>
                        </w:rPr>
                        <w:t xml:space="preserve"> almost one-fifth of the total number of </w:t>
                      </w:r>
                      <w:proofErr w:type="gramStart"/>
                      <w:r w:rsidR="00395C91">
                        <w:rPr>
                          <w:lang w:val="en-GB"/>
                        </w:rPr>
                        <w:t>audience</w:t>
                      </w:r>
                      <w:proofErr w:type="gramEnd"/>
                      <w:r w:rsidR="00991A9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A437A">
        <w:rPr>
          <w:rFonts w:ascii="Fira Sans" w:hAnsi="Fira Sans"/>
          <w:lang w:val="en-GB"/>
        </w:rPr>
        <w:t>Map 1. Indoor cinemas</w:t>
      </w:r>
      <w:r w:rsidR="00E462A5">
        <w:rPr>
          <w:rFonts w:ascii="Fira Sans" w:hAnsi="Fira Sans"/>
          <w:lang w:val="en-GB"/>
        </w:rPr>
        <w:t xml:space="preserve"> in 2024</w:t>
      </w:r>
    </w:p>
    <w:p w14:paraId="44345AF8" w14:textId="4BA15E1D" w:rsidR="00A00B33" w:rsidRPr="00C401F3" w:rsidRDefault="00EA64E9" w:rsidP="00C401F3">
      <w:pPr>
        <w:spacing w:line="288" w:lineRule="auto"/>
        <w:rPr>
          <w:spacing w:val="-2"/>
          <w:szCs w:val="19"/>
          <w:lang w:val="en-GB"/>
        </w:rPr>
      </w:pPr>
      <w:r w:rsidRPr="00FA47D4">
        <w:rPr>
          <w:bCs/>
          <w:noProof/>
          <w:highlight w:val="yellow"/>
          <w:shd w:val="clear" w:color="auto" w:fill="FFFFFF"/>
          <w:lang w:eastAsia="pl-PL"/>
        </w:rPr>
        <mc:AlternateContent>
          <mc:Choice Requires="wps">
            <w:drawing>
              <wp:anchor distT="0" distB="45720" distL="114300" distR="114300" simplePos="0" relativeHeight="251858944" behindDoc="1" locked="0" layoutInCell="1" allowOverlap="1" wp14:anchorId="678A42EB" wp14:editId="60FCA25D">
                <wp:simplePos x="0" y="0"/>
                <wp:positionH relativeFrom="rightMargin">
                  <wp:posOffset>171781</wp:posOffset>
                </wp:positionH>
                <wp:positionV relativeFrom="paragraph">
                  <wp:posOffset>3453765</wp:posOffset>
                </wp:positionV>
                <wp:extent cx="1780540" cy="685800"/>
                <wp:effectExtent l="0" t="0" r="0" b="0"/>
                <wp:wrapTight wrapText="bothSides">
                  <wp:wrapPolygon edited="0">
                    <wp:start x="693" y="0"/>
                    <wp:lineTo x="693" y="21000"/>
                    <wp:lineTo x="20799" y="21000"/>
                    <wp:lineTo x="20799" y="0"/>
                    <wp:lineTo x="693" y="0"/>
                  </wp:wrapPolygon>
                </wp:wrapTight>
                <wp:docPr id="386" name="Pole tekstowe 2" descr="59.1% of the total number of indoor cinemas had one scre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374D5" w14:textId="6154DDF5" w:rsidR="003A1BD8" w:rsidRPr="00FA47D4" w:rsidRDefault="00395C91" w:rsidP="003A1BD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59.1</w:t>
                            </w:r>
                            <w:r w:rsidR="003A1BD8" w:rsidRPr="00FA47D4">
                              <w:rPr>
                                <w:lang w:val="en-GB"/>
                              </w:rPr>
                              <w:t xml:space="preserve">% of </w:t>
                            </w:r>
                            <w:r w:rsidR="003A1BD8">
                              <w:rPr>
                                <w:lang w:val="en-GB"/>
                              </w:rPr>
                              <w:t xml:space="preserve">the total number of indoor cinemas </w:t>
                            </w:r>
                            <w:r w:rsidR="00497E93">
                              <w:rPr>
                                <w:lang w:val="en-GB"/>
                              </w:rPr>
                              <w:t>were single-screen cinemas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42E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59.1% of the total number of indoor cinemas had one screen" style="position:absolute;margin-left:13.55pt;margin-top:271.95pt;width:140.2pt;height:54pt;z-index:-251457536;visibility:visible;mso-wrap-style:square;mso-width-percent:0;mso-height-percent:0;mso-wrap-distance-left:9pt;mso-wrap-distance-top:0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" filled="f" stroked="f">
                <v:textbox>
                  <w:txbxContent>
                    <w:p w14:paraId="5B5374D5" w14:textId="6154DDF5" w:rsidR="003A1BD8" w:rsidRPr="00FA47D4" w:rsidRDefault="00395C91" w:rsidP="003A1BD8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59.1</w:t>
                      </w:r>
                      <w:r w:rsidR="003A1BD8" w:rsidRPr="00FA47D4">
                        <w:rPr>
                          <w:lang w:val="en-GB"/>
                        </w:rPr>
                        <w:t xml:space="preserve">% of </w:t>
                      </w:r>
                      <w:r w:rsidR="003A1BD8">
                        <w:rPr>
                          <w:lang w:val="en-GB"/>
                        </w:rPr>
                        <w:t xml:space="preserve">the total number of indoor cinemas </w:t>
                      </w:r>
                      <w:r w:rsidR="00497E93">
                        <w:rPr>
                          <w:lang w:val="en-GB"/>
                        </w:rPr>
                        <w:t>were single-screen cinemas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95C91" w:rsidRPr="00602DB8">
        <w:rPr>
          <w:bCs/>
          <w:noProof/>
          <w:shd w:val="clear" w:color="auto" w:fill="FFFFFF"/>
          <w:lang w:val="en-GB" w:eastAsia="pl-PL"/>
        </w:rPr>
        <w:t xml:space="preserve">As in 2023, more than half of indoor cinemas (59.1%) </w:t>
      </w:r>
      <w:r w:rsidR="001F55F3">
        <w:rPr>
          <w:bCs/>
          <w:noProof/>
          <w:shd w:val="clear" w:color="auto" w:fill="FFFFFF"/>
          <w:lang w:val="en-GB" w:eastAsia="pl-PL"/>
        </w:rPr>
        <w:t>were single-</w:t>
      </w:r>
      <w:r w:rsidR="00395C91" w:rsidRPr="00602DB8">
        <w:rPr>
          <w:bCs/>
          <w:noProof/>
          <w:shd w:val="clear" w:color="auto" w:fill="FFFFFF"/>
          <w:lang w:val="en-GB" w:eastAsia="pl-PL"/>
        </w:rPr>
        <w:t>screen</w:t>
      </w:r>
      <w:r w:rsidR="00497E93">
        <w:rPr>
          <w:bCs/>
          <w:noProof/>
          <w:shd w:val="clear" w:color="auto" w:fill="FFFFFF"/>
          <w:lang w:val="en-GB" w:eastAsia="pl-PL"/>
        </w:rPr>
        <w:t xml:space="preserve"> cinemas</w:t>
      </w:r>
      <w:r w:rsidR="00395C91" w:rsidRPr="00602DB8">
        <w:rPr>
          <w:bCs/>
          <w:noProof/>
          <w:shd w:val="clear" w:color="auto" w:fill="FFFFFF"/>
          <w:lang w:val="en-GB" w:eastAsia="pl-PL"/>
        </w:rPr>
        <w:t xml:space="preserve">. </w:t>
      </w:r>
      <w:proofErr w:type="spellStart"/>
      <w:r w:rsidR="00BA6AC9">
        <w:rPr>
          <w:shd w:val="clear" w:color="auto" w:fill="FFFFFF"/>
          <w:lang w:val="en-GB"/>
        </w:rPr>
        <w:t>Miniplexes</w:t>
      </w:r>
      <w:proofErr w:type="spellEnd"/>
      <w:r w:rsidR="00BA6AC9">
        <w:rPr>
          <w:shd w:val="clear" w:color="auto" w:fill="FFFFFF"/>
          <w:lang w:val="en-GB"/>
        </w:rPr>
        <w:t xml:space="preserve"> (with </w:t>
      </w:r>
      <w:r w:rsidR="00395C91">
        <w:rPr>
          <w:shd w:val="clear" w:color="auto" w:fill="FFFFFF"/>
          <w:lang w:val="en-GB"/>
        </w:rPr>
        <w:t>3 to 7 screens) constituted 20.7</w:t>
      </w:r>
      <w:r w:rsidR="00BA6AC9">
        <w:rPr>
          <w:shd w:val="clear" w:color="auto" w:fill="FFFFFF"/>
          <w:lang w:val="en-GB"/>
        </w:rPr>
        <w:t>% of the total number of indoor cinemas, multiplexes (with 8 or more screens)</w:t>
      </w:r>
      <w:r w:rsidR="00BA6AC9" w:rsidRPr="00BA6AC9">
        <w:rPr>
          <w:shd w:val="clear" w:color="auto" w:fill="FFFFFF"/>
          <w:lang w:val="en-GB"/>
        </w:rPr>
        <w:t xml:space="preserve"> </w:t>
      </w:r>
      <w:r w:rsidR="00BA6AC9">
        <w:rPr>
          <w:shd w:val="clear" w:color="auto" w:fill="FFFFFF"/>
          <w:lang w:val="en-GB"/>
        </w:rPr>
        <w:t>– 11.</w:t>
      </w:r>
      <w:r w:rsidR="00395C91">
        <w:rPr>
          <w:shd w:val="clear" w:color="auto" w:fill="FFFFFF"/>
          <w:lang w:val="en-GB"/>
        </w:rPr>
        <w:t>2</w:t>
      </w:r>
      <w:r w:rsidR="00BA6AC9" w:rsidRPr="00BA6AC9">
        <w:rPr>
          <w:shd w:val="clear" w:color="auto" w:fill="FFFFFF"/>
          <w:lang w:val="en-GB"/>
        </w:rPr>
        <w:t>%,</w:t>
      </w:r>
      <w:r w:rsidR="00BA6AC9">
        <w:rPr>
          <w:shd w:val="clear" w:color="auto" w:fill="FFFFFF"/>
          <w:lang w:val="en-GB"/>
        </w:rPr>
        <w:t xml:space="preserve"> while indoor cinemas with two screens – 9.0%.</w:t>
      </w:r>
      <w:r w:rsidR="003C38C4">
        <w:rPr>
          <w:shd w:val="clear" w:color="auto" w:fill="FFFFFF"/>
          <w:lang w:val="en-GB"/>
        </w:rPr>
        <w:t xml:space="preserve"> M</w:t>
      </w:r>
      <w:r w:rsidR="00395C91">
        <w:rPr>
          <w:shd w:val="clear" w:color="auto" w:fill="FFFFFF"/>
          <w:lang w:val="en-GB"/>
        </w:rPr>
        <w:t>ultiplexes displayed 49.4</w:t>
      </w:r>
      <w:r w:rsidR="00934CE9">
        <w:rPr>
          <w:shd w:val="clear" w:color="auto" w:fill="FFFFFF"/>
          <w:lang w:val="en-GB"/>
        </w:rPr>
        <w:t>% of the total numbe</w:t>
      </w:r>
      <w:r w:rsidR="00395C91">
        <w:rPr>
          <w:shd w:val="clear" w:color="auto" w:fill="FFFFFF"/>
          <w:lang w:val="en-GB"/>
        </w:rPr>
        <w:t>r of screenings, watched by 49.9</w:t>
      </w:r>
      <w:r w:rsidR="003C38C4">
        <w:rPr>
          <w:shd w:val="clear" w:color="auto" w:fill="FFFFFF"/>
          <w:lang w:val="en-GB"/>
        </w:rPr>
        <w:t xml:space="preserve">% of the total audience. </w:t>
      </w:r>
      <w:proofErr w:type="spellStart"/>
      <w:r w:rsidR="003C38C4">
        <w:rPr>
          <w:shd w:val="clear" w:color="auto" w:fill="FFFFFF"/>
          <w:lang w:val="en-GB"/>
        </w:rPr>
        <w:t>M</w:t>
      </w:r>
      <w:r w:rsidR="00934CE9">
        <w:rPr>
          <w:shd w:val="clear" w:color="auto" w:fill="FFFFFF"/>
          <w:lang w:val="en-GB"/>
        </w:rPr>
        <w:t>iniplexes</w:t>
      </w:r>
      <w:proofErr w:type="spellEnd"/>
      <w:r w:rsidR="00395C91">
        <w:rPr>
          <w:shd w:val="clear" w:color="auto" w:fill="FFFFFF"/>
          <w:lang w:val="en-GB"/>
        </w:rPr>
        <w:t xml:space="preserve"> displayed 37.5% of screenings, watched by 36.0</w:t>
      </w:r>
      <w:r w:rsidR="00934CE9">
        <w:rPr>
          <w:shd w:val="clear" w:color="auto" w:fill="FFFFFF"/>
          <w:lang w:val="en-GB"/>
        </w:rPr>
        <w:t>% of audience. One multiplex had an average of 2.0 thousand seats for the audienc</w:t>
      </w:r>
      <w:r w:rsidR="00395C91">
        <w:rPr>
          <w:shd w:val="clear" w:color="auto" w:fill="FFFFFF"/>
          <w:lang w:val="en-GB"/>
        </w:rPr>
        <w:t>e and displayed an average of 18</w:t>
      </w:r>
      <w:r w:rsidR="00934CE9">
        <w:rPr>
          <w:shd w:val="clear" w:color="auto" w:fill="FFFFFF"/>
          <w:lang w:val="en-GB"/>
        </w:rPr>
        <w:t>.1 thousand screenings.</w:t>
      </w:r>
    </w:p>
    <w:p w14:paraId="5EAC985C" w14:textId="4E092033" w:rsidR="00A17F3F" w:rsidRPr="00C60C18" w:rsidRDefault="00A17F3F" w:rsidP="00A17F3F">
      <w:pPr>
        <w:pStyle w:val="tytuwykresu"/>
        <w:spacing w:before="0" w:after="0"/>
        <w:ind w:left="709" w:hanging="709"/>
        <w:rPr>
          <w:b w:val="0"/>
          <w:sz w:val="19"/>
          <w:szCs w:val="19"/>
          <w:lang w:val="en-GB"/>
        </w:rPr>
      </w:pPr>
      <w:r w:rsidRPr="00C60C18">
        <w:rPr>
          <w:sz w:val="19"/>
          <w:szCs w:val="19"/>
          <w:lang w:val="en-GB"/>
        </w:rPr>
        <w:lastRenderedPageBreak/>
        <w:t>Chart 1</w:t>
      </w:r>
      <w:r w:rsidR="00DD62BE" w:rsidRPr="00C60C18">
        <w:rPr>
          <w:sz w:val="19"/>
          <w:szCs w:val="19"/>
          <w:lang w:val="en-GB"/>
        </w:rPr>
        <w:t xml:space="preserve">. </w:t>
      </w:r>
      <w:r w:rsidR="00167DAA">
        <w:rPr>
          <w:sz w:val="19"/>
          <w:szCs w:val="19"/>
          <w:lang w:val="en-GB"/>
        </w:rPr>
        <w:t>Indoor cinemas by number of screens in</w:t>
      </w:r>
      <w:r w:rsidR="00395C91">
        <w:rPr>
          <w:sz w:val="19"/>
          <w:szCs w:val="19"/>
          <w:lang w:val="en-GB"/>
        </w:rPr>
        <w:t xml:space="preserve"> 2024</w:t>
      </w:r>
      <w:r w:rsidRPr="00C60C18">
        <w:rPr>
          <w:b w:val="0"/>
          <w:sz w:val="19"/>
          <w:szCs w:val="19"/>
          <w:lang w:val="en-GB"/>
        </w:rPr>
        <w:t xml:space="preserve"> </w:t>
      </w:r>
    </w:p>
    <w:p w14:paraId="4A1C4158" w14:textId="4F252389" w:rsidR="00A17F3F" w:rsidRDefault="00E40C44" w:rsidP="00A17F3F">
      <w:pPr>
        <w:pStyle w:val="tytuwykresu"/>
        <w:spacing w:before="0"/>
        <w:ind w:firstLine="709"/>
        <w:rPr>
          <w:b w:val="0"/>
          <w:sz w:val="19"/>
          <w:szCs w:val="19"/>
          <w:lang w:val="en-GB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874304" behindDoc="0" locked="0" layoutInCell="1" allowOverlap="1" wp14:anchorId="6D1B78A7" wp14:editId="69664DED">
            <wp:simplePos x="0" y="0"/>
            <wp:positionH relativeFrom="margin">
              <wp:align>left</wp:align>
            </wp:positionH>
            <wp:positionV relativeFrom="paragraph">
              <wp:posOffset>195469</wp:posOffset>
            </wp:positionV>
            <wp:extent cx="5017135" cy="1134110"/>
            <wp:effectExtent l="0" t="0" r="0" b="0"/>
            <wp:wrapTopAndBottom/>
            <wp:docPr id="22" name="Obraz 22" descr="Chart 1. Bar chart presenting the indoor cinemas by number of screens in 2024 (as of 31 Decemb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3F">
        <w:rPr>
          <w:b w:val="0"/>
          <w:szCs w:val="19"/>
          <w:lang w:val="en-GB"/>
        </w:rPr>
        <w:t>A</w:t>
      </w:r>
      <w:r w:rsidR="00A17F3F">
        <w:rPr>
          <w:b w:val="0"/>
          <w:sz w:val="19"/>
          <w:szCs w:val="19"/>
          <w:lang w:val="en-GB"/>
        </w:rPr>
        <w:t>s of 31 December</w:t>
      </w:r>
    </w:p>
    <w:p w14:paraId="0D7F6565" w14:textId="3747017C" w:rsidR="00555E11" w:rsidRPr="00FA47D4" w:rsidRDefault="00555E11" w:rsidP="00555E11">
      <w:pPr>
        <w:pStyle w:val="Nagwek1"/>
        <w:rPr>
          <w:noProof/>
          <w:lang w:val="en-GB"/>
        </w:rPr>
      </w:pPr>
      <w:r>
        <w:rPr>
          <w:noProof/>
          <w:lang w:val="en-GB"/>
        </w:rPr>
        <w:t>Film production</w:t>
      </w:r>
    </w:p>
    <w:p w14:paraId="177CEEF1" w14:textId="3D5836C6" w:rsidR="00555E11" w:rsidRDefault="00395C91" w:rsidP="00807E32">
      <w:pPr>
        <w:spacing w:line="288" w:lineRule="auto"/>
        <w:rPr>
          <w:lang w:val="en-GB"/>
        </w:rPr>
      </w:pPr>
      <w:r>
        <w:rPr>
          <w:lang w:val="en-GB"/>
        </w:rPr>
        <w:t>In 2024</w:t>
      </w:r>
      <w:r w:rsidR="001F5179">
        <w:rPr>
          <w:lang w:val="en-GB"/>
        </w:rPr>
        <w:t>,</w:t>
      </w:r>
      <w:r w:rsidR="003C38C4">
        <w:rPr>
          <w:lang w:val="en-GB"/>
        </w:rPr>
        <w:t xml:space="preserve"> 262 films (27.6% less than in 2023) were produced in Poland, including</w:t>
      </w:r>
      <w:r w:rsidR="001F5179">
        <w:rPr>
          <w:lang w:val="en-GB"/>
        </w:rPr>
        <w:t xml:space="preserve"> </w:t>
      </w:r>
      <w:r>
        <w:rPr>
          <w:lang w:val="en-GB"/>
        </w:rPr>
        <w:t>92</w:t>
      </w:r>
      <w:r w:rsidR="00555E11">
        <w:rPr>
          <w:lang w:val="en-GB"/>
        </w:rPr>
        <w:t xml:space="preserve"> full-length films </w:t>
      </w:r>
      <w:r>
        <w:rPr>
          <w:lang w:val="en-GB"/>
        </w:rPr>
        <w:t>(13.2% less than in 2023) and 170</w:t>
      </w:r>
      <w:r w:rsidR="00555E11">
        <w:rPr>
          <w:lang w:val="en-GB"/>
        </w:rPr>
        <w:t xml:space="preserve"> medium- and short-length films </w:t>
      </w:r>
      <w:r>
        <w:rPr>
          <w:lang w:val="en-GB"/>
        </w:rPr>
        <w:t>(33.6% less than in 2023)</w:t>
      </w:r>
      <w:r w:rsidR="003C38C4">
        <w:rPr>
          <w:lang w:val="en-GB"/>
        </w:rPr>
        <w:t>.</w:t>
      </w:r>
    </w:p>
    <w:p w14:paraId="0D438A90" w14:textId="4BA233B3" w:rsidR="00FF5D37" w:rsidRPr="00FA47D4" w:rsidRDefault="00F70034" w:rsidP="00FF5D37">
      <w:pPr>
        <w:pStyle w:val="Tytuwykresu0"/>
        <w:rPr>
          <w:rFonts w:ascii="Fira Sans" w:hAnsi="Fira Sans"/>
          <w:lang w:val="en-GB"/>
        </w:rPr>
      </w:pPr>
      <w:r>
        <w:rPr>
          <w:lang w:val="en-GB"/>
        </w:rPr>
        <w:drawing>
          <wp:anchor distT="0" distB="0" distL="114300" distR="114300" simplePos="0" relativeHeight="251876352" behindDoc="0" locked="0" layoutInCell="1" allowOverlap="1" wp14:anchorId="04A6A2C2" wp14:editId="7223A343">
            <wp:simplePos x="0" y="0"/>
            <wp:positionH relativeFrom="column">
              <wp:posOffset>-83820</wp:posOffset>
            </wp:positionH>
            <wp:positionV relativeFrom="paragraph">
              <wp:posOffset>359410</wp:posOffset>
            </wp:positionV>
            <wp:extent cx="5052060" cy="2192004"/>
            <wp:effectExtent l="0" t="0" r="0" b="0"/>
            <wp:wrapTopAndBottom/>
            <wp:docPr id="4" name="Obraz 4" descr="Chart 2. Bar chart presenting films produced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2192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5C91">
        <w:rPr>
          <w:rFonts w:ascii="Fira Sans" w:hAnsi="Fira Sans"/>
          <w:lang w:val="en-GB"/>
        </w:rPr>
        <w:t>Chart 2. Films produced in 2024</w:t>
      </w:r>
    </w:p>
    <w:p w14:paraId="5A099C03" w14:textId="461A4BFE" w:rsidR="00395C91" w:rsidRDefault="002422FF" w:rsidP="00F70034">
      <w:pPr>
        <w:spacing w:before="360" w:line="288" w:lineRule="auto"/>
        <w:rPr>
          <w:lang w:val="en-GB"/>
        </w:rPr>
      </w:pPr>
      <w:r>
        <w:rPr>
          <w:lang w:val="en-GB"/>
        </w:rPr>
        <w:t xml:space="preserve">The majority of </w:t>
      </w:r>
      <w:r w:rsidR="009238B1">
        <w:rPr>
          <w:lang w:val="en-GB"/>
        </w:rPr>
        <w:t>full-length</w:t>
      </w:r>
      <w:r w:rsidR="009238B1" w:rsidRPr="00395C91">
        <w:rPr>
          <w:lang w:val="en-GB"/>
        </w:rPr>
        <w:t xml:space="preserve"> films </w:t>
      </w:r>
      <w:r>
        <w:rPr>
          <w:lang w:val="en-GB"/>
        </w:rPr>
        <w:t xml:space="preserve">produced </w:t>
      </w:r>
      <w:r w:rsidR="00395C91" w:rsidRPr="00395C91">
        <w:rPr>
          <w:lang w:val="en-GB"/>
        </w:rPr>
        <w:t>were</w:t>
      </w:r>
      <w:r>
        <w:rPr>
          <w:lang w:val="en-GB"/>
        </w:rPr>
        <w:t xml:space="preserve"> cinema</w:t>
      </w:r>
      <w:r w:rsidR="00395C91" w:rsidRPr="00395C91">
        <w:rPr>
          <w:lang w:val="en-GB"/>
        </w:rPr>
        <w:t xml:space="preserve"> films (67.4%), while among </w:t>
      </w:r>
      <w:r>
        <w:rPr>
          <w:lang w:val="en-GB"/>
        </w:rPr>
        <w:t xml:space="preserve">medium- and short-length films </w:t>
      </w:r>
      <w:r w:rsidR="009238B1">
        <w:rPr>
          <w:lang w:val="en-GB"/>
        </w:rPr>
        <w:t xml:space="preserve">were </w:t>
      </w:r>
      <w:r w:rsidR="00395C91" w:rsidRPr="00395C91">
        <w:rPr>
          <w:lang w:val="en-GB"/>
        </w:rPr>
        <w:t>television films</w:t>
      </w:r>
      <w:r>
        <w:rPr>
          <w:lang w:val="en-GB"/>
        </w:rPr>
        <w:t xml:space="preserve"> (81.8%). Feature films (57.0%) dominated in case of cinema films, while documentaries (62.7%) </w:t>
      </w:r>
      <w:r w:rsidRPr="00395C91">
        <w:rPr>
          <w:lang w:val="en-GB"/>
        </w:rPr>
        <w:t xml:space="preserve">dominated </w:t>
      </w:r>
      <w:r>
        <w:rPr>
          <w:lang w:val="en-GB"/>
        </w:rPr>
        <w:t>among</w:t>
      </w:r>
      <w:r w:rsidR="00395C91" w:rsidRPr="00395C91">
        <w:rPr>
          <w:lang w:val="en-GB"/>
        </w:rPr>
        <w:t xml:space="preserve"> tel</w:t>
      </w:r>
      <w:r>
        <w:rPr>
          <w:lang w:val="en-GB"/>
        </w:rPr>
        <w:t>evision films</w:t>
      </w:r>
      <w:r w:rsidR="00395C91" w:rsidRPr="00395C91">
        <w:rPr>
          <w:lang w:val="en-GB"/>
        </w:rPr>
        <w:t>. Compared t</w:t>
      </w:r>
      <w:r w:rsidR="00745A3D">
        <w:rPr>
          <w:lang w:val="en-GB"/>
        </w:rPr>
        <w:t xml:space="preserve">o 2023, the number of </w:t>
      </w:r>
      <w:r w:rsidR="009238B1">
        <w:rPr>
          <w:lang w:val="en-GB"/>
        </w:rPr>
        <w:t>all</w:t>
      </w:r>
      <w:r w:rsidR="00745A3D">
        <w:rPr>
          <w:lang w:val="en-GB"/>
        </w:rPr>
        <w:t xml:space="preserve"> cinema</w:t>
      </w:r>
      <w:r w:rsidR="00BE33DD">
        <w:rPr>
          <w:lang w:val="en-GB"/>
        </w:rPr>
        <w:t xml:space="preserve"> films </w:t>
      </w:r>
      <w:r w:rsidR="009238B1">
        <w:rPr>
          <w:lang w:val="en-GB"/>
        </w:rPr>
        <w:t xml:space="preserve">produced </w:t>
      </w:r>
      <w:r w:rsidR="00BE33DD">
        <w:rPr>
          <w:lang w:val="en-GB"/>
        </w:rPr>
        <w:t>decreased by 5.1</w:t>
      </w:r>
      <w:r w:rsidR="00395C91" w:rsidRPr="00395C91">
        <w:rPr>
          <w:lang w:val="en-GB"/>
        </w:rPr>
        <w:t>%, and television films by 36.0%.</w:t>
      </w:r>
    </w:p>
    <w:p w14:paraId="70EE211B" w14:textId="76F391DC" w:rsidR="00E40C44" w:rsidRPr="00C21720" w:rsidRDefault="00E40C44" w:rsidP="00E40C44">
      <w:pPr>
        <w:pStyle w:val="Tytuwykresu0"/>
        <w:keepNext w:val="0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873280" behindDoc="0" locked="0" layoutInCell="1" allowOverlap="1" wp14:anchorId="067F49FF" wp14:editId="1978B946">
            <wp:simplePos x="0" y="0"/>
            <wp:positionH relativeFrom="margin">
              <wp:align>right</wp:align>
            </wp:positionH>
            <wp:positionV relativeFrom="paragraph">
              <wp:posOffset>373877</wp:posOffset>
            </wp:positionV>
            <wp:extent cx="5121275" cy="1444625"/>
            <wp:effectExtent l="0" t="0" r="0" b="3175"/>
            <wp:wrapTopAndBottom/>
            <wp:docPr id="20" name="Obraz 20" descr="Chart 3. Bar chart presenting films produced by type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E32" w:rsidRPr="00FA47D4">
        <w:rPr>
          <w:rFonts w:ascii="Fira Sans" w:hAnsi="Fira Sans"/>
        </w:rPr>
        <mc:AlternateContent>
          <mc:Choice Requires="wps">
            <w:drawing>
              <wp:anchor distT="45720" distB="45720" distL="114300" distR="114300" simplePos="0" relativeHeight="251862016" behindDoc="1" locked="0" layoutInCell="1" allowOverlap="1" wp14:anchorId="7F3EDCB2" wp14:editId="0C70B148">
                <wp:simplePos x="0" y="0"/>
                <wp:positionH relativeFrom="page">
                  <wp:posOffset>5753100</wp:posOffset>
                </wp:positionH>
                <wp:positionV relativeFrom="paragraph">
                  <wp:posOffset>156845</wp:posOffset>
                </wp:positionV>
                <wp:extent cx="1676400" cy="786765"/>
                <wp:effectExtent l="0" t="0" r="0" b="0"/>
                <wp:wrapTight wrapText="bothSides">
                  <wp:wrapPolygon edited="0">
                    <wp:start x="736" y="0"/>
                    <wp:lineTo x="736" y="20920"/>
                    <wp:lineTo x="20618" y="20920"/>
                    <wp:lineTo x="20618" y="0"/>
                    <wp:lineTo x="736" y="0"/>
                  </wp:wrapPolygon>
                </wp:wrapTight>
                <wp:docPr id="474" name="Pole tekstowe 474" descr="Documentary films accounted for 51.9% of the total number of produced fil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F8280" w14:textId="56D2D8FE" w:rsidR="00FF5D37" w:rsidRPr="0034484C" w:rsidRDefault="00FF5D37" w:rsidP="00FF5D37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4484C">
                              <w:rPr>
                                <w:lang w:val="en-GB"/>
                              </w:rPr>
                              <w:t>Docu</w:t>
                            </w:r>
                            <w:r w:rsidR="00395C91">
                              <w:rPr>
                                <w:lang w:val="en-GB"/>
                              </w:rPr>
                              <w:t>mentary films accounted for 51.9</w:t>
                            </w:r>
                            <w:r w:rsidRPr="0034484C">
                              <w:rPr>
                                <w:lang w:val="en-GB"/>
                              </w:rPr>
                              <w:t>% of the total number of films</w:t>
                            </w:r>
                            <w:r w:rsidR="009238B1" w:rsidRPr="009238B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9238B1">
                              <w:rPr>
                                <w:lang w:val="en-GB"/>
                              </w:rPr>
                              <w:t>produced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DCB2" id="Pole tekstowe 474" o:spid="_x0000_s1029" type="#_x0000_t202" alt="Documentary films accounted for 51.9% of the total number of produced films" style="position:absolute;margin-left:453pt;margin-top:12.35pt;width:132pt;height:61.95pt;z-index:-251454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" filled="f" stroked="f">
                <v:textbox>
                  <w:txbxContent>
                    <w:p w14:paraId="175F8280" w14:textId="56D2D8FE" w:rsidR="00FF5D37" w:rsidRPr="0034484C" w:rsidRDefault="00FF5D37" w:rsidP="00FF5D37">
                      <w:pPr>
                        <w:pStyle w:val="tekstzboku"/>
                        <w:rPr>
                          <w:lang w:val="en-GB"/>
                        </w:rPr>
                      </w:pPr>
                      <w:r w:rsidRPr="0034484C">
                        <w:rPr>
                          <w:lang w:val="en-GB"/>
                        </w:rPr>
                        <w:t>Docu</w:t>
                      </w:r>
                      <w:r w:rsidR="00395C91">
                        <w:rPr>
                          <w:lang w:val="en-GB"/>
                        </w:rPr>
                        <w:t>mentary films accounted for 51.9</w:t>
                      </w:r>
                      <w:r w:rsidRPr="0034484C">
                        <w:rPr>
                          <w:lang w:val="en-GB"/>
                        </w:rPr>
                        <w:t>% of the total number of films</w:t>
                      </w:r>
                      <w:r w:rsidR="009238B1" w:rsidRPr="009238B1">
                        <w:rPr>
                          <w:lang w:val="en-GB"/>
                        </w:rPr>
                        <w:t xml:space="preserve"> </w:t>
                      </w:r>
                      <w:r w:rsidR="009238B1">
                        <w:rPr>
                          <w:lang w:val="en-GB"/>
                        </w:rPr>
                        <w:t>produced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270F9">
        <w:rPr>
          <w:rFonts w:ascii="Fira Sans" w:hAnsi="Fira Sans"/>
          <w:lang w:val="en-GB"/>
        </w:rPr>
        <w:t>Chart 3. F</w:t>
      </w:r>
      <w:r w:rsidR="00FF5D37">
        <w:rPr>
          <w:rFonts w:ascii="Fira Sans" w:hAnsi="Fira Sans"/>
          <w:lang w:val="en-GB"/>
        </w:rPr>
        <w:t xml:space="preserve">ilms </w:t>
      </w:r>
      <w:r w:rsidR="00C21720">
        <w:rPr>
          <w:rFonts w:ascii="Fira Sans" w:hAnsi="Fira Sans"/>
          <w:lang w:val="en-GB"/>
        </w:rPr>
        <w:t>produced by type in 2024</w:t>
      </w:r>
    </w:p>
    <w:p w14:paraId="017B7BED" w14:textId="099A5557" w:rsidR="00C21720" w:rsidRPr="00C21720" w:rsidRDefault="00C21720" w:rsidP="00E96329">
      <w:pPr>
        <w:spacing w:before="760"/>
        <w:rPr>
          <w:rFonts w:eastAsia="Times New Roman" w:cs="Times New Roman"/>
          <w:szCs w:val="19"/>
          <w:lang w:val="en-GB" w:eastAsia="pl-PL"/>
        </w:rPr>
      </w:pPr>
      <w:r w:rsidRPr="002E615C">
        <w:rPr>
          <w:rFonts w:eastAsia="Times New Roman" w:cs="Times New Roman"/>
          <w:szCs w:val="19"/>
          <w:lang w:val="en-GB" w:eastAsia="pl-PL"/>
        </w:rPr>
        <w:t>Data presented in this study come from the survey on the K-0</w:t>
      </w:r>
      <w:r w:rsidR="009238B1">
        <w:rPr>
          <w:rFonts w:eastAsia="Times New Roman" w:cs="Times New Roman"/>
          <w:szCs w:val="19"/>
          <w:lang w:val="en-GB" w:eastAsia="pl-PL"/>
        </w:rPr>
        <w:t>6</w:t>
      </w:r>
      <w:r w:rsidRPr="002E615C">
        <w:rPr>
          <w:rFonts w:eastAsia="Times New Roman" w:cs="Times New Roman"/>
          <w:szCs w:val="19"/>
          <w:lang w:val="en-GB" w:eastAsia="pl-PL"/>
        </w:rPr>
        <w:t xml:space="preserve"> form </w:t>
      </w:r>
      <w:r w:rsidRPr="00C21720">
        <w:rPr>
          <w:rFonts w:eastAsia="Times New Roman" w:cs="Times New Roman"/>
          <w:i/>
          <w:szCs w:val="19"/>
          <w:lang w:val="en-GB" w:eastAsia="pl-PL"/>
        </w:rPr>
        <w:t>Report on Film Production</w:t>
      </w:r>
      <w:r>
        <w:rPr>
          <w:rFonts w:eastAsia="Times New Roman" w:cs="Times New Roman"/>
          <w:i/>
          <w:szCs w:val="19"/>
          <w:lang w:val="en-GB" w:eastAsia="pl-PL"/>
        </w:rPr>
        <w:t xml:space="preserve"> </w:t>
      </w:r>
      <w:r w:rsidRPr="00C21720">
        <w:rPr>
          <w:rFonts w:eastAsia="Times New Roman" w:cs="Times New Roman"/>
          <w:szCs w:val="19"/>
          <w:lang w:val="en-GB" w:eastAsia="pl-PL"/>
        </w:rPr>
        <w:t>and K-08</w:t>
      </w:r>
      <w:r w:rsidR="00BE33DD">
        <w:rPr>
          <w:rFonts w:eastAsia="Times New Roman" w:cs="Times New Roman"/>
          <w:szCs w:val="19"/>
          <w:lang w:val="en-GB" w:eastAsia="pl-PL"/>
        </w:rPr>
        <w:t xml:space="preserve"> form</w:t>
      </w:r>
      <w:r w:rsidRPr="00602DB8">
        <w:rPr>
          <w:lang w:val="en-GB"/>
        </w:rPr>
        <w:t xml:space="preserve"> </w:t>
      </w:r>
      <w:r w:rsidRPr="00602DB8">
        <w:rPr>
          <w:i/>
          <w:lang w:val="en-GB"/>
        </w:rPr>
        <w:t>Cinema Report</w:t>
      </w:r>
      <w:r w:rsidRPr="002E615C">
        <w:rPr>
          <w:rFonts w:eastAsia="Times New Roman" w:cs="Times New Roman"/>
          <w:szCs w:val="19"/>
          <w:lang w:val="en-GB" w:eastAsia="pl-PL"/>
        </w:rPr>
        <w:t xml:space="preserve">. Information on the survey methodology can be found in the </w:t>
      </w:r>
      <w:hyperlink r:id="rId15" w:tooltip="link to publication &quot;Methodological report. Culture Statistics&quot;" w:history="1">
        <w:r>
          <w:rPr>
            <w:rStyle w:val="Hipercze"/>
            <w:rFonts w:eastAsia="Times New Roman"/>
            <w:szCs w:val="19"/>
            <w:lang w:val="en-GB" w:eastAsia="pl-PL"/>
          </w:rPr>
          <w:t>Methodological report. Culture Statistics</w:t>
        </w:r>
      </w:hyperlink>
      <w:r w:rsidRPr="002E615C">
        <w:rPr>
          <w:rFonts w:eastAsia="Times New Roman" w:cs="Times New Roman"/>
          <w:szCs w:val="19"/>
          <w:lang w:val="en-GB" w:eastAsia="pl-PL"/>
        </w:rPr>
        <w:t>.</w:t>
      </w:r>
    </w:p>
    <w:p w14:paraId="3F5E8000" w14:textId="33A8BFEB" w:rsidR="00C21720" w:rsidRDefault="00C21720" w:rsidP="00C21720">
      <w:pPr>
        <w:spacing w:before="600" w:line="288" w:lineRule="auto"/>
        <w:rPr>
          <w:spacing w:val="-2"/>
          <w:szCs w:val="19"/>
          <w:lang w:val="en-GB" w:eastAsia="pl-PL"/>
        </w:rPr>
      </w:pPr>
      <w:r>
        <w:rPr>
          <w:shd w:val="clear" w:color="auto" w:fill="FFFFFF"/>
          <w:lang w:val="en-GB"/>
        </w:rPr>
        <w:t>I</w:t>
      </w:r>
      <w:r w:rsidRPr="008635DD">
        <w:rPr>
          <w:shd w:val="clear" w:color="auto" w:fill="FFFFFF"/>
          <w:lang w:val="en-GB"/>
        </w:rPr>
        <w:t xml:space="preserve">n </w:t>
      </w:r>
      <w:r w:rsidRPr="008635D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56C4248D" w14:textId="77777777" w:rsidR="00C21720" w:rsidRPr="00807E32" w:rsidRDefault="00C21720" w:rsidP="00024F28">
      <w:pPr>
        <w:spacing w:before="600" w:line="288" w:lineRule="auto"/>
        <w:rPr>
          <w:lang w:val="en-GB"/>
        </w:rPr>
        <w:sectPr w:rsidR="00C21720" w:rsidRPr="00807E32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F3E62" w:rsidRPr="006565D9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2BCEBFDD" w14:textId="77777777" w:rsidR="004F3E62" w:rsidRPr="00287211" w:rsidRDefault="004F3E62" w:rsidP="004F3E6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Pr="00287211">
              <w:rPr>
                <w:rFonts w:cs="Arial"/>
                <w:sz w:val="20"/>
                <w:lang w:val="en-GB"/>
              </w:rPr>
              <w:t>:</w:t>
            </w:r>
          </w:p>
          <w:p w14:paraId="35A34240" w14:textId="77777777" w:rsidR="004F3E62" w:rsidRPr="00287211" w:rsidRDefault="004F3E62" w:rsidP="004F3E6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5331573B" w14:textId="77777777" w:rsidR="004F3E62" w:rsidRDefault="004F3E62" w:rsidP="004F3E62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336CE0C4" w14:textId="26EC654D" w:rsidR="004F3E62" w:rsidRPr="0077282A" w:rsidRDefault="004F3E62" w:rsidP="004F3E62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>
              <w:rPr>
                <w:lang w:val="en-GB"/>
              </w:rPr>
              <w:t>Phone:</w:t>
            </w:r>
            <w:r w:rsidRPr="00827493">
              <w:rPr>
                <w:color w:val="000000" w:themeColor="text1"/>
                <w:lang w:val="en-GB"/>
              </w:rPr>
              <w:t xml:space="preserve"> </w:t>
            </w:r>
            <w:hyperlink r:id="rId20" w:tooltip="click to call" w:history="1">
              <w:r w:rsidRPr="004B534C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4B534C">
              <w:rPr>
                <w:lang w:val="en-GB"/>
              </w:rPr>
              <w:t xml:space="preserve"> </w:t>
            </w:r>
            <w:r w:rsidRPr="004B534C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7FC44550" w14:textId="77777777" w:rsidR="004F3E62" w:rsidRPr="00F40BB1" w:rsidRDefault="004F3E62" w:rsidP="004F3E62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F40BB1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27A40CB1" w14:textId="77777777" w:rsidR="004F3E62" w:rsidRPr="00F40BB1" w:rsidRDefault="004F3E62" w:rsidP="004F3E62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5B87BB3D" w14:textId="77777777" w:rsidR="004F3E62" w:rsidRPr="00F40BB1" w:rsidRDefault="004F3E62" w:rsidP="004F3E62">
            <w:pPr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>Mobile: (+48) 695 255 032</w:t>
            </w:r>
          </w:p>
          <w:p w14:paraId="0127044E" w14:textId="77777777" w:rsidR="004F3E62" w:rsidRPr="00F40BB1" w:rsidRDefault="004F3E62" w:rsidP="004F3E62">
            <w:pPr>
              <w:spacing w:after="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50DCE273" w14:textId="77777777" w:rsidR="004F3E62" w:rsidRPr="00F40BB1" w:rsidRDefault="004F3E62" w:rsidP="004F3E62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4E845DF" w:rsidR="004F3E62" w:rsidRPr="0077282A" w:rsidRDefault="004F3E62" w:rsidP="004F3E62">
            <w:pPr>
              <w:spacing w:before="0"/>
              <w:rPr>
                <w:b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</w:t>
            </w:r>
            <w:r w:rsidRPr="004B534C">
              <w:rPr>
                <w:b/>
                <w:sz w:val="20"/>
                <w:szCs w:val="20"/>
                <w:lang w:val="en-GB"/>
              </w:rPr>
              <w:t>:</w:t>
            </w:r>
            <w:r w:rsidRPr="004B534C">
              <w:rPr>
                <w:sz w:val="20"/>
                <w:szCs w:val="20"/>
                <w:lang w:val="en-GB"/>
              </w:rPr>
              <w:t xml:space="preserve"> </w:t>
            </w:r>
            <w:hyperlink r:id="rId21" w:tooltip="obslugaprasowa@stat.gov.pl" w:history="1">
              <w:r w:rsidRPr="004B534C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4F3E62" w:rsidRPr="00287211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1DCD5720" w:rsidR="004F3E62" w:rsidRPr="00287211" w:rsidRDefault="004F3E62" w:rsidP="004F3E6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76C1EF2D" w:rsidR="004F3E62" w:rsidRPr="0077282A" w:rsidRDefault="004F3E62" w:rsidP="004F3E62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5088" behindDoc="0" locked="0" layoutInCell="1" allowOverlap="1" wp14:anchorId="09018C4F" wp14:editId="1B7069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website SO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4F3E62" w:rsidRPr="00287211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578AB70D" w:rsidR="004F3E62" w:rsidRPr="0077282A" w:rsidRDefault="004F3E62" w:rsidP="004F3E62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4B534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6112" behindDoc="0" locked="0" layoutInCell="1" allowOverlap="1" wp14:anchorId="7F9D4A2E" wp14:editId="5033CC7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6" name="Obraz 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4C">
              <w:rPr>
                <w:color w:val="000000" w:themeColor="text1"/>
              </w:rPr>
              <w:t>@</w:t>
            </w:r>
            <w:proofErr w:type="spellStart"/>
            <w:r>
              <w:rPr>
                <w:rStyle w:val="Hipercze"/>
                <w:color w:val="000000" w:themeColor="text1"/>
                <w:u w:val="none"/>
              </w:rPr>
              <w:fldChar w:fldCharType="begin"/>
            </w:r>
            <w:r>
              <w:rPr>
                <w:rStyle w:val="Hipercze"/>
                <w:color w:val="000000" w:themeColor="text1"/>
                <w:u w:val="none"/>
              </w:rPr>
              <w:instrText xml:space="preserve"> HYPERLINK "https://twitter.com/StatPoland" \o "twitter" </w:instrText>
            </w:r>
            <w:r>
              <w:rPr>
                <w:rStyle w:val="Hipercze"/>
                <w:color w:val="000000" w:themeColor="text1"/>
                <w:u w:val="none"/>
              </w:rPr>
              <w:fldChar w:fldCharType="separate"/>
            </w:r>
            <w:r w:rsidRPr="004B534C">
              <w:rPr>
                <w:rStyle w:val="Hipercze"/>
                <w:color w:val="000000" w:themeColor="text1"/>
                <w:u w:val="none"/>
              </w:rPr>
              <w:t>StatPoland</w:t>
            </w:r>
            <w:proofErr w:type="spellEnd"/>
            <w:r>
              <w:rPr>
                <w:rStyle w:val="Hipercze"/>
                <w:color w:val="000000" w:themeColor="text1"/>
                <w:u w:val="none"/>
              </w:rPr>
              <w:fldChar w:fldCharType="end"/>
            </w:r>
          </w:p>
        </w:tc>
      </w:tr>
      <w:tr w:rsidR="004F3E62" w:rsidRPr="00287211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6349F861" w:rsidR="004F3E62" w:rsidRPr="0077282A" w:rsidRDefault="004F3E62" w:rsidP="004F3E62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7136" behindDoc="0" locked="0" layoutInCell="1" allowOverlap="1" wp14:anchorId="27CA8711" wp14:editId="1FAC6B3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facebook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4B534C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4F3E62" w:rsidRPr="00287211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3E77636F" w:rsidR="004F3E62" w:rsidRPr="0077282A" w:rsidRDefault="004F3E62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8160" behindDoc="0" locked="0" layoutInCell="1" allowOverlap="1" wp14:anchorId="052E7112" wp14:editId="61B4678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9" name="Obraz 9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intagram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4F3E62" w:rsidRPr="00287211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415385BE" w:rsidR="004F3E62" w:rsidRPr="0077282A" w:rsidRDefault="004F3E62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9184" behindDoc="0" locked="0" layoutInCell="1" allowOverlap="1" wp14:anchorId="3C3EABA8" wp14:editId="4B4C198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0" name="Obraz 10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tooltip="youtube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4F3E62" w:rsidRPr="00287211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3592AC01" w:rsidR="004F3E62" w:rsidRPr="0077282A" w:rsidRDefault="00756AB5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31" w:tooltip="linkedin GUS" w:history="1">
              <w:r w:rsidR="004F3E62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bookmarkStart w:id="0" w:name="_GoBack"/>
              <w:r w:rsidR="004F3E62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70208" behindDoc="0" locked="0" layoutInCell="1" allowOverlap="1" wp14:anchorId="56DD7F80" wp14:editId="0A7122E0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bookmarkEnd w:id="0"/>
            </w:hyperlink>
          </w:p>
        </w:tc>
      </w:tr>
      <w:tr w:rsidR="0077282A" w:rsidRPr="00287211" w14:paraId="503ADA62" w14:textId="77777777" w:rsidTr="00EA64E9">
        <w:trPr>
          <w:cantSplit/>
          <w:trHeight w:val="3283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EA64E9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EA64E9">
              <w:rPr>
                <w:b/>
                <w:lang w:val="en-GB"/>
              </w:rPr>
              <w:t>Related information</w:t>
            </w:r>
          </w:p>
          <w:p w14:paraId="537035F6" w14:textId="77777777" w:rsidR="00E96329" w:rsidRPr="005638D0" w:rsidRDefault="00E96329" w:rsidP="00E96329">
            <w:pPr>
              <w:spacing w:line="288" w:lineRule="auto"/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Pr="001B0910">
              <w:rPr>
                <w:rFonts w:cs="Times New Roman"/>
                <w:lang w:val="en-GB"/>
              </w:rPr>
              <w:instrText>HYPERLINK "https://stat.gov.pl/en/topics/culture-tourism-sport/culture/culture-and-national-heritage-in-2023,1,16.html" \o "link do publikacji pt.\"Kultura i dziedzictwo narodowe w 2023 r.\" "</w:instrText>
            </w:r>
            <w:r>
              <w:rPr>
                <w:rFonts w:cs="Times New Roman"/>
              </w:rPr>
              <w:fldChar w:fldCharType="separate"/>
            </w:r>
            <w:hyperlink r:id="rId33" w:tooltip="link to publication &quot;Culture and national heritage in 2023 r.&quot;" w:history="1">
              <w:r w:rsidRPr="003E237A">
                <w:rPr>
                  <w:rStyle w:val="Hipercze"/>
                  <w:lang w:val="en-GB"/>
                </w:rPr>
                <w:t>Culture and national heritage in 2023</w:t>
              </w:r>
            </w:hyperlink>
          </w:p>
          <w:p w14:paraId="4C698BE4" w14:textId="294EB55B" w:rsidR="0077282A" w:rsidRDefault="00E96329" w:rsidP="00E9632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hyperlink r:id="rId34" w:tooltip="link to publication &quot;Cinematography in 2023&quot;" w:history="1">
              <w:r>
                <w:rPr>
                  <w:rStyle w:val="Hipercze"/>
                  <w:lang w:val="en-GB"/>
                </w:rPr>
                <w:t>Cinematography in 2023</w:t>
              </w:r>
            </w:hyperlink>
          </w:p>
          <w:p w14:paraId="4B903CB3" w14:textId="77757FCB" w:rsidR="009238B1" w:rsidRDefault="00756AB5" w:rsidP="00E9632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5" w:tooltip="link to publication &quot;Methodological report. Culture Statistics&quot;" w:history="1">
              <w:r w:rsidR="009238B1">
                <w:rPr>
                  <w:rStyle w:val="Hipercze"/>
                  <w:rFonts w:eastAsia="Times New Roman"/>
                  <w:szCs w:val="19"/>
                  <w:lang w:val="en-GB" w:eastAsia="pl-PL"/>
                </w:rPr>
                <w:t>Methodological report. Culture Statistics</w:t>
              </w:r>
            </w:hyperlink>
          </w:p>
          <w:p w14:paraId="3EFB7720" w14:textId="77777777" w:rsidR="00E96329" w:rsidRPr="00A2581C" w:rsidRDefault="00E96329" w:rsidP="00E96329">
            <w:pPr>
              <w:shd w:val="clear" w:color="auto" w:fill="D9D9D9" w:themeFill="background1" w:themeFillShade="D9"/>
              <w:spacing w:before="360" w:line="288" w:lineRule="auto"/>
              <w:rPr>
                <w:b/>
                <w:lang w:val="en-GB"/>
              </w:rPr>
            </w:pPr>
            <w:r w:rsidRPr="00A2581C">
              <w:rPr>
                <w:b/>
                <w:lang w:val="en-GB"/>
              </w:rPr>
              <w:t>Topic available in databases</w:t>
            </w:r>
          </w:p>
          <w:p w14:paraId="5015D1B4" w14:textId="498BD605" w:rsidR="00E96329" w:rsidRPr="005678E0" w:rsidRDefault="00E96329" w:rsidP="00E96329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Pr="00602DB8">
              <w:rPr>
                <w:rFonts w:cs="Times New Roman"/>
                <w:lang w:val="en-GB"/>
              </w:rPr>
              <w:instrText>HYPERLINK "https://dbw.stat.gov.pl/en/baza-danych" \o "link to database \"Knowledge Databases – Society – Culture – Cinematography\" "</w:instrText>
            </w:r>
            <w:r>
              <w:rPr>
                <w:rFonts w:cs="Times New Roman"/>
              </w:rPr>
              <w:fldChar w:fldCharType="separate"/>
            </w:r>
            <w:r w:rsidRPr="005678E0">
              <w:rPr>
                <w:rStyle w:val="Hipercze"/>
                <w:lang w:val="en-GB"/>
              </w:rPr>
              <w:t xml:space="preserve">Knowledge Databases </w:t>
            </w:r>
            <w:r w:rsidRPr="00B96777">
              <w:rPr>
                <w:rStyle w:val="Hipercze"/>
                <w:lang w:val="en-GB"/>
              </w:rPr>
              <w:t>– Society</w:t>
            </w:r>
            <w:r>
              <w:rPr>
                <w:rStyle w:val="Hipercze"/>
                <w:lang w:val="en-GB"/>
              </w:rPr>
              <w:t xml:space="preserve"> – Culture</w:t>
            </w:r>
            <w:r w:rsidRPr="00E96329">
              <w:rPr>
                <w:rStyle w:val="Hipercze"/>
                <w:lang w:val="en-GB"/>
              </w:rPr>
              <w:t xml:space="preserve"> –</w:t>
            </w:r>
            <w:r>
              <w:rPr>
                <w:rStyle w:val="Hipercze"/>
                <w:lang w:val="en-GB"/>
              </w:rPr>
              <w:t xml:space="preserve"> Cinematography</w:t>
            </w:r>
          </w:p>
          <w:p w14:paraId="1EC79457" w14:textId="6CB3273A" w:rsidR="00E96329" w:rsidRPr="005678E0" w:rsidRDefault="00E96329" w:rsidP="00E96329">
            <w:pPr>
              <w:shd w:val="clear" w:color="auto" w:fill="D9D9D9" w:themeFill="background1" w:themeFillShade="D9"/>
              <w:rPr>
                <w:rStyle w:val="Hipercze"/>
                <w:b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 w:rsidRPr="00602DB8">
              <w:rPr>
                <w:rFonts w:cs="Times New Roman"/>
                <w:lang w:val="en-GB"/>
              </w:rPr>
              <w:instrText>HYPERLINK "https://bdl.stat.gov.pl/bdl/dane/podgrup/temat" \o "link to database \"Local Data Bank – Culture – Cinemas\"</w:instrText>
            </w:r>
            <w:r>
              <w:rPr>
                <w:rFonts w:cs="Times New Roman"/>
              </w:rPr>
              <w:fldChar w:fldCharType="separate"/>
            </w:r>
            <w:r>
              <w:rPr>
                <w:rStyle w:val="Hipercze"/>
                <w:lang w:val="en-GB"/>
              </w:rPr>
              <w:t>L</w:t>
            </w:r>
            <w:r w:rsidRPr="00B12E09">
              <w:rPr>
                <w:rStyle w:val="Hipercze"/>
                <w:lang w:val="en-GB"/>
              </w:rPr>
              <w:t>ocal Data Bank</w:t>
            </w:r>
            <w:r w:rsidRPr="005678E0">
              <w:rPr>
                <w:rStyle w:val="Hipercze"/>
                <w:lang w:val="en-GB"/>
              </w:rPr>
              <w:t xml:space="preserve"> –</w:t>
            </w:r>
            <w:r w:rsidRPr="00B96777">
              <w:rPr>
                <w:rStyle w:val="Hipercze"/>
                <w:lang w:val="en-GB"/>
              </w:rPr>
              <w:t xml:space="preserve"> Culture – </w:t>
            </w:r>
            <w:r>
              <w:rPr>
                <w:rStyle w:val="Hipercze"/>
                <w:lang w:val="en-GB"/>
              </w:rPr>
              <w:t>Cinemas</w:t>
            </w:r>
          </w:p>
          <w:p w14:paraId="08289162" w14:textId="6992A33F" w:rsidR="0077282A" w:rsidRPr="00EA64E9" w:rsidRDefault="00E96329" w:rsidP="00E96329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77282A" w:rsidRPr="00EA64E9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2CC1DC8C" w14:textId="430B433D" w:rsidR="00EA64E9" w:rsidRPr="00FA47D4" w:rsidRDefault="00756AB5" w:rsidP="00EA64E9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6" w:tooltip="link to term &quot;indoor cinema&quot;" w:history="1">
              <w:r w:rsidR="00EA64E9" w:rsidRPr="00FA47D4">
                <w:rPr>
                  <w:rStyle w:val="Hipercze"/>
                  <w:lang w:val="en-GB"/>
                </w:rPr>
                <w:t>Indoor cinema</w:t>
              </w:r>
            </w:hyperlink>
          </w:p>
          <w:p w14:paraId="2436BE74" w14:textId="7E2389CE" w:rsidR="00EA64E9" w:rsidRPr="00FA47D4" w:rsidRDefault="00756AB5" w:rsidP="00EA64E9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7" w:tooltip="link to term &quot;audience&quot;" w:history="1">
              <w:r w:rsidR="00EA64E9" w:rsidRPr="00FA47D4">
                <w:rPr>
                  <w:rStyle w:val="Hipercze"/>
                  <w:lang w:val="en-GB"/>
                </w:rPr>
                <w:t>Audience</w:t>
              </w:r>
            </w:hyperlink>
          </w:p>
          <w:p w14:paraId="77ECBDD0" w14:textId="13966765" w:rsidR="0077282A" w:rsidRPr="00287211" w:rsidRDefault="00756AB5" w:rsidP="00EA64E9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8" w:tooltip="link to term &quot;film&quot;" w:history="1">
              <w:r w:rsidR="00EA64E9" w:rsidRPr="00FA47D4">
                <w:rPr>
                  <w:rStyle w:val="Hipercze"/>
                  <w:lang w:val="en-GB"/>
                </w:rPr>
                <w:t>Film</w:t>
              </w:r>
            </w:hyperlink>
          </w:p>
        </w:tc>
      </w:tr>
    </w:tbl>
    <w:p w14:paraId="6CD67820" w14:textId="77777777" w:rsidR="0077282A" w:rsidRPr="004D004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D004E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0EC9E" w14:textId="77777777" w:rsidR="0060139E" w:rsidRDefault="0060139E" w:rsidP="000662E2">
      <w:pPr>
        <w:spacing w:after="0" w:line="240" w:lineRule="auto"/>
      </w:pPr>
      <w:r>
        <w:separator/>
      </w:r>
    </w:p>
  </w:endnote>
  <w:endnote w:type="continuationSeparator" w:id="0">
    <w:p w14:paraId="1D4082CE" w14:textId="77777777" w:rsidR="0060139E" w:rsidRDefault="006013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AC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AC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D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4E2DA" w14:textId="77777777" w:rsidR="0060139E" w:rsidRDefault="0060139E" w:rsidP="000662E2">
      <w:pPr>
        <w:spacing w:after="0" w:line="240" w:lineRule="auto"/>
      </w:pPr>
      <w:r>
        <w:separator/>
      </w:r>
    </w:p>
  </w:footnote>
  <w:footnote w:type="continuationSeparator" w:id="0">
    <w:p w14:paraId="4C71A67F" w14:textId="77777777" w:rsidR="0060139E" w:rsidRDefault="006013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12" name="Obraz 12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7405A7D0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2.05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69D0B367" w:rsidR="007762FA" w:rsidRPr="00A01B40" w:rsidRDefault="00497F82" w:rsidP="0057332C">
                          <w:pPr>
                            <w:pStyle w:val="Datainformacjisygnalnej"/>
                          </w:pPr>
                          <w:r>
                            <w:t>12</w:t>
                          </w:r>
                          <w:r w:rsidR="00566098">
                            <w:t>.05</w:t>
                          </w:r>
                          <w:r w:rsidR="008C682B">
                            <w:t>.202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12.05.2025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" filled="f" stroked="f">
              <v:textbox>
                <w:txbxContent>
                  <w:p w14:paraId="2103FAD6" w14:textId="69D0B367" w:rsidR="007762FA" w:rsidRPr="00A01B40" w:rsidRDefault="00497F82" w:rsidP="0057332C">
                    <w:pPr>
                      <w:pStyle w:val="Datainformacjisygnalnej"/>
                    </w:pPr>
                    <w:r>
                      <w:t>12</w:t>
                    </w:r>
                    <w:r w:rsidR="00566098">
                      <w:t>.05</w:t>
                    </w:r>
                    <w:r w:rsidR="008C682B">
                      <w:t>.202</w:t>
                    </w:r>
                    <w:r>
                      <w:t>5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1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30.0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30.0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4F28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555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6621"/>
    <w:rsid w:val="00151077"/>
    <w:rsid w:val="00153446"/>
    <w:rsid w:val="0015465E"/>
    <w:rsid w:val="00156EC0"/>
    <w:rsid w:val="00157896"/>
    <w:rsid w:val="001617E3"/>
    <w:rsid w:val="00162325"/>
    <w:rsid w:val="00163D43"/>
    <w:rsid w:val="0016407B"/>
    <w:rsid w:val="00167DAA"/>
    <w:rsid w:val="00174A1D"/>
    <w:rsid w:val="00180822"/>
    <w:rsid w:val="00187DDC"/>
    <w:rsid w:val="00193AA0"/>
    <w:rsid w:val="001951DA"/>
    <w:rsid w:val="00197D40"/>
    <w:rsid w:val="001A0F2D"/>
    <w:rsid w:val="001A32E4"/>
    <w:rsid w:val="001A7DBB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5179"/>
    <w:rsid w:val="001F55F3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39FF"/>
    <w:rsid w:val="00225AF2"/>
    <w:rsid w:val="00226513"/>
    <w:rsid w:val="002270F9"/>
    <w:rsid w:val="00231082"/>
    <w:rsid w:val="00231B77"/>
    <w:rsid w:val="0023674F"/>
    <w:rsid w:val="00241963"/>
    <w:rsid w:val="00241FA7"/>
    <w:rsid w:val="002422FF"/>
    <w:rsid w:val="0024273B"/>
    <w:rsid w:val="00242D31"/>
    <w:rsid w:val="002442BD"/>
    <w:rsid w:val="00245F91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5389"/>
    <w:rsid w:val="002A655D"/>
    <w:rsid w:val="002B0472"/>
    <w:rsid w:val="002B3C0D"/>
    <w:rsid w:val="002B4995"/>
    <w:rsid w:val="002B6282"/>
    <w:rsid w:val="002B6B12"/>
    <w:rsid w:val="002C157F"/>
    <w:rsid w:val="002C1F2E"/>
    <w:rsid w:val="002C21F0"/>
    <w:rsid w:val="002C3AC4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E7AA3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68C7"/>
    <w:rsid w:val="00317F4D"/>
    <w:rsid w:val="00321B3E"/>
    <w:rsid w:val="00322EDD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64C1"/>
    <w:rsid w:val="00347D72"/>
    <w:rsid w:val="00350E19"/>
    <w:rsid w:val="003520C6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6B4D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5C91"/>
    <w:rsid w:val="00396691"/>
    <w:rsid w:val="00397D18"/>
    <w:rsid w:val="003A1B36"/>
    <w:rsid w:val="003A1BD8"/>
    <w:rsid w:val="003A2A72"/>
    <w:rsid w:val="003A2B07"/>
    <w:rsid w:val="003B1454"/>
    <w:rsid w:val="003B15C6"/>
    <w:rsid w:val="003B18B6"/>
    <w:rsid w:val="003B3863"/>
    <w:rsid w:val="003B3D7D"/>
    <w:rsid w:val="003B54B6"/>
    <w:rsid w:val="003B668D"/>
    <w:rsid w:val="003C025A"/>
    <w:rsid w:val="003C161B"/>
    <w:rsid w:val="003C38C4"/>
    <w:rsid w:val="003C430B"/>
    <w:rsid w:val="003C507B"/>
    <w:rsid w:val="003C59E0"/>
    <w:rsid w:val="003C5CC0"/>
    <w:rsid w:val="003C6C0E"/>
    <w:rsid w:val="003C6C8D"/>
    <w:rsid w:val="003C75B2"/>
    <w:rsid w:val="003D2656"/>
    <w:rsid w:val="003D2A92"/>
    <w:rsid w:val="003D2AB3"/>
    <w:rsid w:val="003D4F95"/>
    <w:rsid w:val="003D5F42"/>
    <w:rsid w:val="003D60A9"/>
    <w:rsid w:val="003E14E3"/>
    <w:rsid w:val="003E16FF"/>
    <w:rsid w:val="003E76F6"/>
    <w:rsid w:val="003F1D96"/>
    <w:rsid w:val="003F3FFD"/>
    <w:rsid w:val="003F458E"/>
    <w:rsid w:val="003F4C97"/>
    <w:rsid w:val="003F5475"/>
    <w:rsid w:val="003F60C4"/>
    <w:rsid w:val="003F666D"/>
    <w:rsid w:val="003F7FE6"/>
    <w:rsid w:val="00400193"/>
    <w:rsid w:val="0040084E"/>
    <w:rsid w:val="00401D2E"/>
    <w:rsid w:val="00403EAE"/>
    <w:rsid w:val="00404EA3"/>
    <w:rsid w:val="00405DFE"/>
    <w:rsid w:val="00406856"/>
    <w:rsid w:val="00410F71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58EE"/>
    <w:rsid w:val="00457394"/>
    <w:rsid w:val="00457427"/>
    <w:rsid w:val="00463E39"/>
    <w:rsid w:val="00464222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97E93"/>
    <w:rsid w:val="00497F82"/>
    <w:rsid w:val="004A1D19"/>
    <w:rsid w:val="004A28E4"/>
    <w:rsid w:val="004A399C"/>
    <w:rsid w:val="004A406A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D636A"/>
    <w:rsid w:val="004E0C32"/>
    <w:rsid w:val="004E1DBD"/>
    <w:rsid w:val="004E28B4"/>
    <w:rsid w:val="004E6AA8"/>
    <w:rsid w:val="004F0C3C"/>
    <w:rsid w:val="004F2280"/>
    <w:rsid w:val="004F23BB"/>
    <w:rsid w:val="004F3E62"/>
    <w:rsid w:val="004F63FC"/>
    <w:rsid w:val="00500489"/>
    <w:rsid w:val="0050328A"/>
    <w:rsid w:val="00503585"/>
    <w:rsid w:val="00505A92"/>
    <w:rsid w:val="005067F2"/>
    <w:rsid w:val="00511823"/>
    <w:rsid w:val="00511E14"/>
    <w:rsid w:val="00513768"/>
    <w:rsid w:val="00513C95"/>
    <w:rsid w:val="005168AE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1392"/>
    <w:rsid w:val="005520D8"/>
    <w:rsid w:val="005520F3"/>
    <w:rsid w:val="00555CFB"/>
    <w:rsid w:val="00555E11"/>
    <w:rsid w:val="00556CF1"/>
    <w:rsid w:val="00556DCC"/>
    <w:rsid w:val="00566098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B96"/>
    <w:rsid w:val="005A0E54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E68A5"/>
    <w:rsid w:val="005E793B"/>
    <w:rsid w:val="005F45EE"/>
    <w:rsid w:val="005F4A8B"/>
    <w:rsid w:val="005F5A80"/>
    <w:rsid w:val="0060139E"/>
    <w:rsid w:val="00602DB8"/>
    <w:rsid w:val="006044FF"/>
    <w:rsid w:val="00604FC4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BB6"/>
    <w:rsid w:val="006565D9"/>
    <w:rsid w:val="00664FFB"/>
    <w:rsid w:val="00666100"/>
    <w:rsid w:val="006673CA"/>
    <w:rsid w:val="0066751D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12FF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1312A"/>
    <w:rsid w:val="00720B05"/>
    <w:rsid w:val="007211B1"/>
    <w:rsid w:val="00721FBB"/>
    <w:rsid w:val="0072379F"/>
    <w:rsid w:val="00727559"/>
    <w:rsid w:val="007277DA"/>
    <w:rsid w:val="00730795"/>
    <w:rsid w:val="00731BEB"/>
    <w:rsid w:val="00731D27"/>
    <w:rsid w:val="007346B2"/>
    <w:rsid w:val="007424B6"/>
    <w:rsid w:val="00743792"/>
    <w:rsid w:val="007440C6"/>
    <w:rsid w:val="00745A3D"/>
    <w:rsid w:val="00746187"/>
    <w:rsid w:val="00746814"/>
    <w:rsid w:val="00746B84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07E32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5766F"/>
    <w:rsid w:val="00863791"/>
    <w:rsid w:val="008641DA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37A"/>
    <w:rsid w:val="008A47B0"/>
    <w:rsid w:val="008A4B6E"/>
    <w:rsid w:val="008A5C1E"/>
    <w:rsid w:val="008A7B5B"/>
    <w:rsid w:val="008B12D2"/>
    <w:rsid w:val="008B71F1"/>
    <w:rsid w:val="008C0C29"/>
    <w:rsid w:val="008C445E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48C1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07BD7"/>
    <w:rsid w:val="009104D4"/>
    <w:rsid w:val="00911ACF"/>
    <w:rsid w:val="009127BA"/>
    <w:rsid w:val="00916135"/>
    <w:rsid w:val="00920436"/>
    <w:rsid w:val="00920AAE"/>
    <w:rsid w:val="009227A6"/>
    <w:rsid w:val="009238B1"/>
    <w:rsid w:val="00927009"/>
    <w:rsid w:val="00933EC1"/>
    <w:rsid w:val="00934CE9"/>
    <w:rsid w:val="00936CE3"/>
    <w:rsid w:val="009408B9"/>
    <w:rsid w:val="00940AE5"/>
    <w:rsid w:val="00941517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466F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A9C"/>
    <w:rsid w:val="00991BAC"/>
    <w:rsid w:val="00993775"/>
    <w:rsid w:val="00993E20"/>
    <w:rsid w:val="009A0B98"/>
    <w:rsid w:val="009A0EB0"/>
    <w:rsid w:val="009A26B9"/>
    <w:rsid w:val="009A3963"/>
    <w:rsid w:val="009A68CA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0B33"/>
    <w:rsid w:val="00A01B40"/>
    <w:rsid w:val="00A040CB"/>
    <w:rsid w:val="00A05677"/>
    <w:rsid w:val="00A07010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0B4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4D76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6AC9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3DD"/>
    <w:rsid w:val="00BE383F"/>
    <w:rsid w:val="00BE7F14"/>
    <w:rsid w:val="00BF1D5B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689D"/>
    <w:rsid w:val="00C20615"/>
    <w:rsid w:val="00C21720"/>
    <w:rsid w:val="00C21F58"/>
    <w:rsid w:val="00C22105"/>
    <w:rsid w:val="00C244B6"/>
    <w:rsid w:val="00C247E0"/>
    <w:rsid w:val="00C24B22"/>
    <w:rsid w:val="00C27248"/>
    <w:rsid w:val="00C27AA2"/>
    <w:rsid w:val="00C27BF1"/>
    <w:rsid w:val="00C307AB"/>
    <w:rsid w:val="00C32E34"/>
    <w:rsid w:val="00C34FFB"/>
    <w:rsid w:val="00C35801"/>
    <w:rsid w:val="00C35E76"/>
    <w:rsid w:val="00C36C83"/>
    <w:rsid w:val="00C3702F"/>
    <w:rsid w:val="00C401F3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3D9E"/>
    <w:rsid w:val="00CA484D"/>
    <w:rsid w:val="00CA4BEC"/>
    <w:rsid w:val="00CA4FB6"/>
    <w:rsid w:val="00CB1E65"/>
    <w:rsid w:val="00CB23CF"/>
    <w:rsid w:val="00CB2CEB"/>
    <w:rsid w:val="00CB2F90"/>
    <w:rsid w:val="00CB689D"/>
    <w:rsid w:val="00CB6AD4"/>
    <w:rsid w:val="00CB74B8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114"/>
    <w:rsid w:val="00D00796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2FEB"/>
    <w:rsid w:val="00DA331D"/>
    <w:rsid w:val="00DA3C88"/>
    <w:rsid w:val="00DA7C1C"/>
    <w:rsid w:val="00DB0536"/>
    <w:rsid w:val="00DB147A"/>
    <w:rsid w:val="00DB1B7A"/>
    <w:rsid w:val="00DB3752"/>
    <w:rsid w:val="00DB3817"/>
    <w:rsid w:val="00DB5F7D"/>
    <w:rsid w:val="00DB706E"/>
    <w:rsid w:val="00DC485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3526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0C44"/>
    <w:rsid w:val="00E42FF9"/>
    <w:rsid w:val="00E44790"/>
    <w:rsid w:val="00E462A5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329"/>
    <w:rsid w:val="00E96919"/>
    <w:rsid w:val="00E96E0C"/>
    <w:rsid w:val="00EA016D"/>
    <w:rsid w:val="00EA0844"/>
    <w:rsid w:val="00EA3CB1"/>
    <w:rsid w:val="00EA64E9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2CDF"/>
    <w:rsid w:val="00EC512C"/>
    <w:rsid w:val="00EC73D3"/>
    <w:rsid w:val="00ED460F"/>
    <w:rsid w:val="00ED55C0"/>
    <w:rsid w:val="00ED5DBC"/>
    <w:rsid w:val="00ED682B"/>
    <w:rsid w:val="00EE41D5"/>
    <w:rsid w:val="00EE4563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3245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034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2754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E54B5"/>
    <w:rsid w:val="00FF0246"/>
    <w:rsid w:val="00FF0BD5"/>
    <w:rsid w:val="00FF379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yperlink" Target="https://www.facebook.com/GlownyUrzadStatystyczny/" TargetMode="External"/><Relationship Id="rId39" Type="http://schemas.openxmlformats.org/officeDocument/2006/relationships/header" Target="header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topics/culture-tourism-sport/culture/cinematography-in-2023,15,5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tel:+48124204050" TargetMode="External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stat.gov.pl/en/metainformation/glossary/terms-used-in-official-statistics/566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stat.gov.pl/en/topics/culture-tourism-sport/methodological-reports/methodological-report-culture-statistics,1,1.html" TargetMode="External"/><Relationship Id="rId23" Type="http://schemas.openxmlformats.org/officeDocument/2006/relationships/hyperlink" Target="https://stat.gov.pl/en/" TargetMode="External"/><Relationship Id="rId28" Type="http://schemas.openxmlformats.org/officeDocument/2006/relationships/hyperlink" Target="https://www.instagram.com/gus_stat/" TargetMode="External"/><Relationship Id="rId36" Type="http://schemas.openxmlformats.org/officeDocument/2006/relationships/hyperlink" Target="https://stat.gov.pl/en/metainformation/glossary/terms-used-in-official-statistics/2115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pl.linkedin.com/company/glownyurzadstatystycz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hyperlink" Target="https://www.youtube.com/channel/UC0wiQMElFgYszpAoYgTnXtg/featured" TargetMode="External"/><Relationship Id="rId35" Type="http://schemas.openxmlformats.org/officeDocument/2006/relationships/hyperlink" Target="https://stat.gov.pl/en/topics/culture-tourism-sport/methodological-reports/methodological-report-culture-statistics,1,1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10.png"/><Relationship Id="rId33" Type="http://schemas.openxmlformats.org/officeDocument/2006/relationships/hyperlink" Target="https://stat.gov.pl/en/topics/culture-tourism-sport/culture/culture-and-national-heritage-in-2023,1,16.html" TargetMode="External"/><Relationship Id="rId38" Type="http://schemas.openxmlformats.org/officeDocument/2006/relationships/hyperlink" Target="https://stat.gov.pl/en/metainformation/glossary/terms-used-in-official-statistics/9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77B78-E118-4B87-A243-489012129A67}">
  <ds:schemaRefs>
    <ds:schemaRef ds:uri="http://purl.org/dc/terms/"/>
    <ds:schemaRef ds:uri="http://www.w3.org/XML/1998/namespace"/>
    <ds:schemaRef ds:uri="AD3641B4-23D9-4536-AF9E-7D0EADDEB824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1997DC-6A44-4874-B679-7B6E4EB4B882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8F4D0518-7E27-4BBB-8484-D133DA3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806</Words>
  <Characters>4842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Cinematography in 2024</vt:lpstr>
    </vt:vector>
  </TitlesOfParts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2025-05-09T09:11:00Z</cp:lastPrinted>
  <dcterms:created xsi:type="dcterms:W3CDTF">2025-05-08T10:45:00Z</dcterms:created>
  <dcterms:modified xsi:type="dcterms:W3CDTF">2025-05-09T09:19:00Z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