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08B5C" w14:textId="235D9467" w:rsidR="00393761" w:rsidRPr="009358D3" w:rsidRDefault="006D4224" w:rsidP="005B5788">
      <w:pPr>
        <w:pStyle w:val="Tytuinfomacjisygnalnej"/>
        <w:rPr>
          <w:rFonts w:cs="Fira Sans Extra Condensed SemiB"/>
          <w:bCs/>
          <w:spacing w:val="-2"/>
          <w:szCs w:val="40"/>
          <w:lang w:val="en-GB"/>
        </w:rPr>
      </w:pPr>
      <w:r w:rsidRPr="009358D3">
        <w:rPr>
          <w:rFonts w:cs="Fira Sans Extra Condensed SemiB"/>
          <w:bCs/>
          <w:spacing w:val="-2"/>
          <w:szCs w:val="40"/>
          <w:lang w:val="en-GB"/>
        </w:rPr>
        <w:t>Cultural and creative industries in 2023</w:t>
      </w:r>
    </w:p>
    <w:p w14:paraId="4510452F" w14:textId="019CAA7E" w:rsidR="00AC139D" w:rsidRPr="009358D3" w:rsidRDefault="00241FA7" w:rsidP="009358D3">
      <w:pPr>
        <w:pStyle w:val="Lead"/>
        <w:spacing w:after="960"/>
        <w:rPr>
          <w:lang w:val="en-GB"/>
        </w:rPr>
      </w:pPr>
      <w:r w:rsidRPr="009358D3">
        <w:rPr>
          <w:color w:val="001D77"/>
          <w:lang w:val="en-GB"/>
        </w:rPr>
        <mc:AlternateContent>
          <mc:Choice Requires="wps">
            <w:drawing>
              <wp:anchor distT="45720" distB="45720" distL="114300" distR="114300" simplePos="0" relativeHeight="251783168" behindDoc="0" locked="0" layoutInCell="1" allowOverlap="1" wp14:anchorId="309455C4" wp14:editId="41344ED2">
                <wp:simplePos x="0" y="0"/>
                <wp:positionH relativeFrom="margin">
                  <wp:align>left</wp:align>
                </wp:positionH>
                <wp:positionV relativeFrom="paragraph">
                  <wp:posOffset>6985</wp:posOffset>
                </wp:positionV>
                <wp:extent cx="2103120" cy="1638300"/>
                <wp:effectExtent l="0" t="0" r="0" b="0"/>
                <wp:wrapSquare wrapText="bothSides"/>
                <wp:docPr id="3" name="Pole tekstowe 2" descr="Downward-pointing arrow icon indicating a 4.7% decrease in the number of entities belonging to the cultural and creative industries in comparison to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638604"/>
                        </a:xfrm>
                        <a:prstGeom prst="roundRect">
                          <a:avLst/>
                        </a:prstGeom>
                        <a:solidFill>
                          <a:srgbClr val="001D77"/>
                        </a:solidFill>
                        <a:ln w="9525">
                          <a:noFill/>
                          <a:miter lim="800000"/>
                          <a:headEnd/>
                          <a:tailEnd/>
                        </a:ln>
                      </wps:spPr>
                      <wps:txbx>
                        <w:txbxContent>
                          <w:p w14:paraId="4F5165EB" w14:textId="605238E1" w:rsidR="00241FA7" w:rsidRPr="000D5874" w:rsidRDefault="00D82245" w:rsidP="00241FA7">
                            <w:pPr>
                              <w:autoSpaceDE w:val="0"/>
                              <w:autoSpaceDN w:val="0"/>
                              <w:adjustRightInd w:val="0"/>
                              <w:spacing w:before="0" w:after="0" w:line="240" w:lineRule="auto"/>
                              <w:rPr>
                                <w:rFonts w:ascii="Fira Sans SemiBold" w:hAnsi="Fira Sans SemiBold"/>
                                <w:color w:val="FFFFFF" w:themeColor="background1"/>
                                <w:sz w:val="72"/>
                                <w:szCs w:val="72"/>
                                <w:lang w:val="en-GB"/>
                              </w:rPr>
                            </w:pPr>
                            <w:r w:rsidRPr="001E208F">
                              <w:rPr>
                                <w:rStyle w:val="IkonawskanikaZnak"/>
                                <w:sz w:val="72"/>
                                <w:szCs w:val="72"/>
                              </w:rPr>
                              <w:sym w:font="Wingdings" w:char="F0F2"/>
                            </w:r>
                            <w:r w:rsidR="00241FA7" w:rsidRPr="000D5874">
                              <w:rPr>
                                <w:rStyle w:val="WartowskanikaZnak"/>
                                <w:lang w:val="en-GB"/>
                              </w:rPr>
                              <w:t xml:space="preserve"> </w:t>
                            </w:r>
                            <w:r w:rsidR="00285D02" w:rsidRPr="000D5874">
                              <w:rPr>
                                <w:rStyle w:val="WartowskanikaZnak"/>
                                <w:sz w:val="72"/>
                                <w:szCs w:val="72"/>
                                <w:lang w:val="en-GB"/>
                              </w:rPr>
                              <w:t>4</w:t>
                            </w:r>
                            <w:r w:rsidR="00DE1CB4" w:rsidRPr="000D5874">
                              <w:rPr>
                                <w:rStyle w:val="WartowskanikaZnak"/>
                                <w:sz w:val="72"/>
                                <w:szCs w:val="72"/>
                                <w:lang w:val="en-GB"/>
                              </w:rPr>
                              <w:t>.</w:t>
                            </w:r>
                            <w:r w:rsidR="00285D02" w:rsidRPr="000D5874">
                              <w:rPr>
                                <w:rStyle w:val="WartowskanikaZnak"/>
                                <w:sz w:val="72"/>
                                <w:szCs w:val="72"/>
                                <w:lang w:val="en-GB"/>
                              </w:rPr>
                              <w:t>7%</w:t>
                            </w:r>
                          </w:p>
                          <w:p w14:paraId="569EB95B" w14:textId="48C64747" w:rsidR="00241FA7" w:rsidRPr="000D5874" w:rsidRDefault="00AE6BD7" w:rsidP="00241FA7">
                            <w:pPr>
                              <w:pStyle w:val="Opiswskanika"/>
                              <w:spacing w:before="120"/>
                              <w:rPr>
                                <w:sz w:val="18"/>
                                <w:szCs w:val="20"/>
                                <w:lang w:val="en-GB"/>
                              </w:rPr>
                            </w:pPr>
                            <w:r w:rsidRPr="000D5874">
                              <w:rPr>
                                <w:lang w:val="en-GB"/>
                              </w:rPr>
                              <w:t xml:space="preserve">Decrease in the number of entities </w:t>
                            </w:r>
                            <w:r w:rsidR="00DE1CB4" w:rsidRPr="000D5874">
                              <w:rPr>
                                <w:color w:val="FFFFFF"/>
                                <w:szCs w:val="20"/>
                                <w:lang w:val="en-GB"/>
                              </w:rPr>
                              <w:t>belonging to the</w:t>
                            </w:r>
                            <w:r w:rsidR="006D4224" w:rsidRPr="000D5874">
                              <w:rPr>
                                <w:color w:val="FFFFFF"/>
                                <w:szCs w:val="20"/>
                                <w:lang w:val="en-GB"/>
                              </w:rPr>
                              <w:t xml:space="preserve"> cultural and creative industries </w:t>
                            </w:r>
                            <w:r w:rsidR="00DE1CB4" w:rsidRPr="000D5874">
                              <w:rPr>
                                <w:color w:val="FFFFFF"/>
                                <w:szCs w:val="20"/>
                                <w:lang w:val="en-GB"/>
                              </w:rPr>
                              <w:t>in comparison</w:t>
                            </w:r>
                            <w:r w:rsidR="006D4224" w:rsidRPr="000D5874">
                              <w:rPr>
                                <w:color w:val="FFFFFF"/>
                                <w:szCs w:val="20"/>
                                <w:lang w:val="en-GB"/>
                              </w:rPr>
                              <w:t xml:space="preserve"> to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09455C4" id="Pole tekstowe 2" o:spid="_x0000_s1026" alt="Downward-pointing arrow icon indicating a 4.7% decrease in the number of entities belonging to the cultural and creative industries in comparison to 2022" style="position:absolute;margin-left:0;margin-top:.55pt;width:165.6pt;height:129pt;z-index:251783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" fillcolor="#001d77" stroked="f">
                <v:stroke joinstyle="miter"/>
                <v:textbox>
                  <w:txbxContent>
                    <w:p w14:paraId="4F5165EB" w14:textId="605238E1" w:rsidR="00241FA7" w:rsidRPr="000D5874" w:rsidRDefault="00D82245" w:rsidP="00241FA7">
                      <w:pPr>
                        <w:autoSpaceDE w:val="0"/>
                        <w:autoSpaceDN w:val="0"/>
                        <w:adjustRightInd w:val="0"/>
                        <w:spacing w:before="0" w:after="0" w:line="240" w:lineRule="auto"/>
                        <w:rPr>
                          <w:rFonts w:ascii="Fira Sans SemiBold" w:hAnsi="Fira Sans SemiBold"/>
                          <w:color w:val="FFFFFF" w:themeColor="background1"/>
                          <w:sz w:val="72"/>
                          <w:szCs w:val="72"/>
                          <w:lang w:val="en-GB"/>
                        </w:rPr>
                      </w:pPr>
                      <w:r w:rsidRPr="001E208F">
                        <w:rPr>
                          <w:rStyle w:val="IkonawskanikaZnak"/>
                          <w:sz w:val="72"/>
                          <w:szCs w:val="72"/>
                        </w:rPr>
                        <w:sym w:font="Wingdings" w:char="F0F2"/>
                      </w:r>
                      <w:r w:rsidR="00241FA7" w:rsidRPr="000D5874">
                        <w:rPr>
                          <w:rStyle w:val="WartowskanikaZnak"/>
                          <w:lang w:val="en-GB"/>
                        </w:rPr>
                        <w:t xml:space="preserve"> </w:t>
                      </w:r>
                      <w:r w:rsidR="00285D02" w:rsidRPr="000D5874">
                        <w:rPr>
                          <w:rStyle w:val="WartowskanikaZnak"/>
                          <w:sz w:val="72"/>
                          <w:szCs w:val="72"/>
                          <w:lang w:val="en-GB"/>
                        </w:rPr>
                        <w:t>4</w:t>
                      </w:r>
                      <w:r w:rsidR="00DE1CB4" w:rsidRPr="000D5874">
                        <w:rPr>
                          <w:rStyle w:val="WartowskanikaZnak"/>
                          <w:sz w:val="72"/>
                          <w:szCs w:val="72"/>
                          <w:lang w:val="en-GB"/>
                        </w:rPr>
                        <w:t>.</w:t>
                      </w:r>
                      <w:r w:rsidR="00285D02" w:rsidRPr="000D5874">
                        <w:rPr>
                          <w:rStyle w:val="WartowskanikaZnak"/>
                          <w:sz w:val="72"/>
                          <w:szCs w:val="72"/>
                          <w:lang w:val="en-GB"/>
                        </w:rPr>
                        <w:t>7%</w:t>
                      </w:r>
                    </w:p>
                    <w:p w14:paraId="569EB95B" w14:textId="48C64747" w:rsidR="00241FA7" w:rsidRPr="000D5874" w:rsidRDefault="00AE6BD7" w:rsidP="00241FA7">
                      <w:pPr>
                        <w:pStyle w:val="Opiswskanika"/>
                        <w:spacing w:before="120"/>
                        <w:rPr>
                          <w:sz w:val="18"/>
                          <w:szCs w:val="20"/>
                          <w:lang w:val="en-GB"/>
                        </w:rPr>
                      </w:pPr>
                      <w:r w:rsidRPr="000D5874">
                        <w:rPr>
                          <w:lang w:val="en-GB"/>
                        </w:rPr>
                        <w:t xml:space="preserve">Decrease in the number of entities </w:t>
                      </w:r>
                      <w:r w:rsidR="00DE1CB4" w:rsidRPr="000D5874">
                        <w:rPr>
                          <w:color w:val="FFFFFF"/>
                          <w:szCs w:val="20"/>
                          <w:lang w:val="en-GB"/>
                        </w:rPr>
                        <w:t>belonging to the</w:t>
                      </w:r>
                      <w:r w:rsidR="006D4224" w:rsidRPr="000D5874">
                        <w:rPr>
                          <w:color w:val="FFFFFF"/>
                          <w:szCs w:val="20"/>
                          <w:lang w:val="en-GB"/>
                        </w:rPr>
                        <w:t xml:space="preserve"> cultural and creative industries </w:t>
                      </w:r>
                      <w:r w:rsidR="00DE1CB4" w:rsidRPr="000D5874">
                        <w:rPr>
                          <w:color w:val="FFFFFF"/>
                          <w:szCs w:val="20"/>
                          <w:lang w:val="en-GB"/>
                        </w:rPr>
                        <w:t>in comparison</w:t>
                      </w:r>
                      <w:r w:rsidR="006D4224" w:rsidRPr="000D5874">
                        <w:rPr>
                          <w:color w:val="FFFFFF"/>
                          <w:szCs w:val="20"/>
                          <w:lang w:val="en-GB"/>
                        </w:rPr>
                        <w:t xml:space="preserve"> to 2022</w:t>
                      </w:r>
                    </w:p>
                  </w:txbxContent>
                </v:textbox>
                <w10:wrap type="square" anchorx="margin"/>
              </v:roundrect>
            </w:pict>
          </mc:Fallback>
        </mc:AlternateContent>
      </w:r>
      <w:r w:rsidR="006D4224" w:rsidRPr="009358D3">
        <w:rPr>
          <w:lang w:val="en-GB"/>
        </w:rPr>
        <w:t>In 2023, there were 124.1 thousand enterprises classified as cultural and creative industries, of which 99.1% were micro-enterprises. The number of employed people amounted to 236.7 thousand people, and the average</w:t>
      </w:r>
      <w:r w:rsidR="00791831" w:rsidRPr="009358D3">
        <w:rPr>
          <w:lang w:val="en-GB"/>
        </w:rPr>
        <w:t xml:space="preserve"> paid</w:t>
      </w:r>
      <w:r w:rsidR="006D4224" w:rsidRPr="009358D3">
        <w:rPr>
          <w:lang w:val="en-GB"/>
        </w:rPr>
        <w:t xml:space="preserve"> employment </w:t>
      </w:r>
      <w:r w:rsidR="00791831" w:rsidRPr="009358D3">
        <w:rPr>
          <w:lang w:val="en-GB"/>
        </w:rPr>
        <w:t>amounted to</w:t>
      </w:r>
      <w:r w:rsidR="006D4224" w:rsidRPr="009358D3">
        <w:rPr>
          <w:lang w:val="en-GB"/>
        </w:rPr>
        <w:t xml:space="preserve"> 92.5 thousand </w:t>
      </w:r>
      <w:r w:rsidR="00791831" w:rsidRPr="009358D3">
        <w:rPr>
          <w:lang w:val="en-GB"/>
        </w:rPr>
        <w:t>full-time jobs</w:t>
      </w:r>
      <w:r w:rsidR="00AC139D" w:rsidRPr="009358D3">
        <w:rPr>
          <w:lang w:val="en-GB"/>
        </w:rPr>
        <w:t>. On average, t</w:t>
      </w:r>
      <w:r w:rsidR="006D4224" w:rsidRPr="009358D3">
        <w:rPr>
          <w:lang w:val="en-GB"/>
        </w:rPr>
        <w:t xml:space="preserve">he gross monthly salary per one employee amounted to PLN 8,868. </w:t>
      </w:r>
    </w:p>
    <w:p w14:paraId="73CE7378" w14:textId="77D20696" w:rsidR="009F245B" w:rsidRPr="009358D3" w:rsidRDefault="00AC139D" w:rsidP="00AC139D">
      <w:pPr>
        <w:rPr>
          <w:lang w:val="en-GB" w:eastAsia="pl-PL"/>
        </w:rPr>
      </w:pPr>
      <w:r w:rsidRPr="009358D3">
        <w:rPr>
          <w:lang w:val="en-GB" w:eastAsia="pl-PL"/>
        </w:rPr>
        <w:t>Cultural and creative industries are the part of non-financial enterprises</w:t>
      </w:r>
      <w:r w:rsidR="00CA4990" w:rsidRPr="009358D3">
        <w:rPr>
          <w:lang w:val="en-GB" w:eastAsia="pl-PL"/>
        </w:rPr>
        <w:t xml:space="preserve">, separated according to specific PKD classes. </w:t>
      </w:r>
      <w:r w:rsidR="009F245B" w:rsidRPr="009358D3">
        <w:rPr>
          <w:lang w:val="en-GB" w:eastAsia="pl-PL"/>
        </w:rPr>
        <w:t>These are economic entities engaged in mass production and sale of cultural and creative goods and services. Cultural industries produce cultural goods and services based on copyright, using industrial production techniques, and these are primarily: the publishing industry, the p</w:t>
      </w:r>
      <w:r w:rsidR="00A01CB7" w:rsidRPr="009358D3">
        <w:rPr>
          <w:lang w:val="en-GB" w:eastAsia="pl-PL"/>
        </w:rPr>
        <w:t>honographic industry, TV</w:t>
      </w:r>
      <w:r w:rsidR="009F245B" w:rsidRPr="009358D3">
        <w:rPr>
          <w:lang w:val="en-GB" w:eastAsia="pl-PL"/>
        </w:rPr>
        <w:t>, radio, the fi</w:t>
      </w:r>
      <w:r w:rsidR="00A01CB7" w:rsidRPr="009358D3">
        <w:rPr>
          <w:lang w:val="en-GB" w:eastAsia="pl-PL"/>
        </w:rPr>
        <w:t>lm industry and creating</w:t>
      </w:r>
      <w:r w:rsidR="009F245B" w:rsidRPr="009358D3">
        <w:rPr>
          <w:lang w:val="en-GB" w:eastAsia="pl-PL"/>
        </w:rPr>
        <w:t xml:space="preserve"> computer games. Creative</w:t>
      </w:r>
      <w:r w:rsidR="002E28CE" w:rsidRPr="009358D3">
        <w:rPr>
          <w:lang w:val="en-GB" w:eastAsia="pl-PL"/>
        </w:rPr>
        <w:t xml:space="preserve"> industries </w:t>
      </w:r>
      <w:r w:rsidR="009F245B" w:rsidRPr="009358D3">
        <w:rPr>
          <w:lang w:val="en-GB" w:eastAsia="pl-PL"/>
        </w:rPr>
        <w:t>are created by entities whose activities are prima</w:t>
      </w:r>
      <w:r w:rsidR="00163AA7" w:rsidRPr="009358D3">
        <w:rPr>
          <w:lang w:val="en-GB" w:eastAsia="pl-PL"/>
        </w:rPr>
        <w:t xml:space="preserve">rily related to design, </w:t>
      </w:r>
      <w:r w:rsidR="009F245B" w:rsidRPr="009358D3">
        <w:rPr>
          <w:lang w:val="en-GB" w:eastAsia="pl-PL"/>
        </w:rPr>
        <w:t>architecture</w:t>
      </w:r>
      <w:r w:rsidR="00A01CB7" w:rsidRPr="009358D3">
        <w:rPr>
          <w:lang w:val="en-GB" w:eastAsia="pl-PL"/>
        </w:rPr>
        <w:t xml:space="preserve">, advertising and translations </w:t>
      </w:r>
      <w:r w:rsidR="00A01CB7" w:rsidRPr="009358D3">
        <w:rPr>
          <w:lang w:val="en-GB"/>
        </w:rPr>
        <w:t>–</w:t>
      </w:r>
      <w:r w:rsidR="009F245B" w:rsidRPr="009358D3">
        <w:rPr>
          <w:lang w:val="en-GB" w:eastAsia="pl-PL"/>
        </w:rPr>
        <w:t xml:space="preserve"> culture is an inspiration and creative contribution here.</w:t>
      </w:r>
    </w:p>
    <w:p w14:paraId="3884FF75" w14:textId="28C99B87" w:rsidR="006D4224" w:rsidRPr="009358D3" w:rsidRDefault="006D4224" w:rsidP="00856629">
      <w:pPr>
        <w:pStyle w:val="Nagwek1"/>
        <w:rPr>
          <w:lang w:val="en-GB"/>
        </w:rPr>
      </w:pPr>
      <w:r w:rsidRPr="009358D3">
        <w:rPr>
          <w:lang w:val="en-GB"/>
        </w:rPr>
        <w:t xml:space="preserve">Number and types of entities </w:t>
      </w:r>
      <w:r w:rsidR="00DE1CB4" w:rsidRPr="009358D3">
        <w:rPr>
          <w:lang w:val="en-GB"/>
        </w:rPr>
        <w:t>belonging to the</w:t>
      </w:r>
      <w:r w:rsidRPr="009358D3">
        <w:rPr>
          <w:lang w:val="en-GB"/>
        </w:rPr>
        <w:t xml:space="preserve"> cultural and creative industries</w:t>
      </w:r>
    </w:p>
    <w:p w14:paraId="56A2722C" w14:textId="411E256E" w:rsidR="003A52B7" w:rsidRPr="009358D3" w:rsidRDefault="003A52B7" w:rsidP="008911E2">
      <w:pPr>
        <w:rPr>
          <w:lang w:val="en-GB"/>
        </w:rPr>
      </w:pPr>
      <w:r w:rsidRPr="009358D3">
        <w:rPr>
          <w:lang w:val="en-GB"/>
        </w:rPr>
        <w:t xml:space="preserve">In 2023, the number of entities </w:t>
      </w:r>
      <w:r w:rsidR="003F11D0" w:rsidRPr="009358D3">
        <w:rPr>
          <w:lang w:val="en-GB"/>
        </w:rPr>
        <w:t>belonging to the</w:t>
      </w:r>
      <w:r w:rsidRPr="009358D3">
        <w:rPr>
          <w:lang w:val="en-GB"/>
        </w:rPr>
        <w:t xml:space="preserve"> cultural and creative industries amounted to 124.1 thousand</w:t>
      </w:r>
      <w:r w:rsidR="0028417C" w:rsidRPr="009358D3">
        <w:rPr>
          <w:lang w:val="en-GB"/>
        </w:rPr>
        <w:t>, i.e. 4.7% less than in 2022</w:t>
      </w:r>
      <w:r w:rsidRPr="009358D3">
        <w:rPr>
          <w:lang w:val="en-GB"/>
        </w:rPr>
        <w:t xml:space="preserve">. </w:t>
      </w:r>
    </w:p>
    <w:p w14:paraId="3EC51CB7" w14:textId="1F4C1973" w:rsidR="00905935" w:rsidRPr="009358D3" w:rsidRDefault="00586C85" w:rsidP="008911E2">
      <w:pPr>
        <w:pStyle w:val="Tytuwykresu0"/>
        <w:rPr>
          <w:rFonts w:ascii="Fira Sans" w:hAnsi="Fira Sans"/>
          <w:lang w:val="en-GB"/>
        </w:rPr>
      </w:pPr>
      <w:r w:rsidRPr="009358D3">
        <w:rPr>
          <w:lang w:val="en-GB"/>
        </w:rPr>
        <w:drawing>
          <wp:anchor distT="0" distB="0" distL="114300" distR="114300" simplePos="0" relativeHeight="251852800" behindDoc="0" locked="0" layoutInCell="1" allowOverlap="1" wp14:anchorId="67A4FA41" wp14:editId="52C3F3D2">
            <wp:simplePos x="0" y="0"/>
            <wp:positionH relativeFrom="column">
              <wp:posOffset>0</wp:posOffset>
            </wp:positionH>
            <wp:positionV relativeFrom="paragraph">
              <wp:posOffset>443865</wp:posOffset>
            </wp:positionV>
            <wp:extent cx="5005070" cy="2950845"/>
            <wp:effectExtent l="0" t="0" r="0" b="0"/>
            <wp:wrapTopAndBottom/>
            <wp:docPr id="5" name="Obraz 5" descr="Chart 1. The bar chart presenting number of enterprises belonging to the cultural and creative indus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5070" cy="2950845"/>
                    </a:xfrm>
                    <a:prstGeom prst="rect">
                      <a:avLst/>
                    </a:prstGeom>
                    <a:noFill/>
                  </pic:spPr>
                </pic:pic>
              </a:graphicData>
            </a:graphic>
          </wp:anchor>
        </w:drawing>
      </w:r>
      <w:r w:rsidR="00D82BFB" w:rsidRPr="009358D3">
        <w:rPr>
          <w:lang w:val="en-GB"/>
        </w:rPr>
        <w:t xml:space="preserve"> </w:t>
      </w:r>
      <w:r w:rsidR="006D4224" w:rsidRPr="009358D3">
        <w:rPr>
          <w:rFonts w:ascii="Fira Sans" w:hAnsi="Fira Sans"/>
          <w:shd w:val="clear" w:color="auto" w:fill="FFFFFF"/>
          <w:lang w:val="en-GB"/>
        </w:rPr>
        <w:t>Chart</w:t>
      </w:r>
      <w:r w:rsidR="00BE7F14" w:rsidRPr="009358D3">
        <w:rPr>
          <w:rFonts w:ascii="Fira Sans" w:hAnsi="Fira Sans"/>
          <w:lang w:val="en-GB"/>
        </w:rPr>
        <w:t xml:space="preserve"> 1. Number of ent</w:t>
      </w:r>
      <w:r w:rsidR="001D471D" w:rsidRPr="009358D3">
        <w:rPr>
          <w:rFonts w:ascii="Fira Sans" w:hAnsi="Fira Sans"/>
          <w:lang w:val="en-GB"/>
        </w:rPr>
        <w:t>erprises belonging to the</w:t>
      </w:r>
      <w:r w:rsidR="00BE7F14" w:rsidRPr="009358D3">
        <w:rPr>
          <w:rFonts w:ascii="Fira Sans" w:hAnsi="Fira Sans"/>
          <w:lang w:val="en-GB"/>
        </w:rPr>
        <w:t xml:space="preserve"> cultural and creative industries</w:t>
      </w:r>
    </w:p>
    <w:p w14:paraId="77E4F8DF" w14:textId="3B2ED432" w:rsidR="00326A69" w:rsidRPr="009358D3" w:rsidRDefault="00326A69" w:rsidP="00586C85">
      <w:pPr>
        <w:spacing w:before="360"/>
        <w:rPr>
          <w:lang w:val="en-GB"/>
        </w:rPr>
      </w:pPr>
      <w:r w:rsidRPr="009358D3">
        <w:rPr>
          <w:spacing w:val="-2"/>
          <w:lang w:val="en-GB"/>
        </w:rPr>
        <w:t xml:space="preserve">The largest number of entities operated in the </w:t>
      </w:r>
      <w:r w:rsidR="00DD2DE6" w:rsidRPr="009358D3">
        <w:rPr>
          <w:iCs/>
          <w:spacing w:val="-2"/>
          <w:lang w:val="en-GB"/>
        </w:rPr>
        <w:t>V</w:t>
      </w:r>
      <w:r w:rsidRPr="009358D3">
        <w:rPr>
          <w:iCs/>
          <w:spacing w:val="-2"/>
          <w:lang w:val="en-GB"/>
        </w:rPr>
        <w:t>isual arts</w:t>
      </w:r>
      <w:r w:rsidR="000137E6" w:rsidRPr="009358D3">
        <w:rPr>
          <w:iCs/>
          <w:spacing w:val="-2"/>
          <w:lang w:val="en-GB"/>
        </w:rPr>
        <w:t xml:space="preserve"> domain</w:t>
      </w:r>
      <w:r w:rsidR="0028417C" w:rsidRPr="009358D3">
        <w:rPr>
          <w:iCs/>
          <w:spacing w:val="-2"/>
          <w:lang w:val="en-GB"/>
        </w:rPr>
        <w:t xml:space="preserve"> </w:t>
      </w:r>
      <w:r w:rsidR="0028417C" w:rsidRPr="009358D3">
        <w:rPr>
          <w:spacing w:val="-2"/>
          <w:lang w:val="en-GB"/>
        </w:rPr>
        <w:t>(33.5 thousand)</w:t>
      </w:r>
      <w:r w:rsidRPr="009358D3">
        <w:rPr>
          <w:iCs/>
          <w:spacing w:val="-2"/>
          <w:lang w:val="en-GB"/>
        </w:rPr>
        <w:t>,</w:t>
      </w:r>
      <w:r w:rsidR="00C3757A" w:rsidRPr="009358D3">
        <w:rPr>
          <w:spacing w:val="-2"/>
          <w:lang w:val="en-GB"/>
        </w:rPr>
        <w:t xml:space="preserve"> and the fewest – </w:t>
      </w:r>
      <w:r w:rsidRPr="009358D3">
        <w:rPr>
          <w:iCs/>
          <w:spacing w:val="-2"/>
          <w:lang w:val="en-GB"/>
        </w:rPr>
        <w:t xml:space="preserve">Libraries and archives </w:t>
      </w:r>
      <w:r w:rsidR="00667496" w:rsidRPr="009358D3">
        <w:rPr>
          <w:spacing w:val="-2"/>
          <w:lang w:val="en-GB"/>
        </w:rPr>
        <w:t>(0.1 thousand). T</w:t>
      </w:r>
      <w:r w:rsidRPr="009358D3">
        <w:rPr>
          <w:spacing w:val="-2"/>
          <w:lang w:val="en-GB"/>
        </w:rPr>
        <w:t xml:space="preserve">he structure of entities </w:t>
      </w:r>
      <w:r w:rsidR="00DD2DE6" w:rsidRPr="009358D3">
        <w:rPr>
          <w:spacing w:val="-2"/>
          <w:lang w:val="en-GB"/>
        </w:rPr>
        <w:t>belonging to the</w:t>
      </w:r>
      <w:r w:rsidRPr="009358D3">
        <w:rPr>
          <w:spacing w:val="-2"/>
          <w:lang w:val="en-GB"/>
        </w:rPr>
        <w:t xml:space="preserve"> cultural and creative industries by </w:t>
      </w:r>
      <w:r w:rsidR="00282D3D" w:rsidRPr="009358D3">
        <w:rPr>
          <w:spacing w:val="-2"/>
          <w:lang w:val="en-GB"/>
        </w:rPr>
        <w:t>domains</w:t>
      </w:r>
      <w:r w:rsidR="00667496" w:rsidRPr="009358D3">
        <w:rPr>
          <w:spacing w:val="-2"/>
          <w:lang w:val="en-GB"/>
        </w:rPr>
        <w:t xml:space="preserve"> of culture has not changed in comparison to 2022</w:t>
      </w:r>
      <w:r w:rsidRPr="009358D3">
        <w:rPr>
          <w:spacing w:val="-2"/>
          <w:lang w:val="en-GB"/>
        </w:rPr>
        <w:t>.</w:t>
      </w:r>
      <w:r w:rsidRPr="009358D3">
        <w:rPr>
          <w:lang w:val="en-GB"/>
        </w:rPr>
        <w:t xml:space="preserve"> A decrease in the number of entities in all </w:t>
      </w:r>
      <w:r w:rsidR="00282D3D" w:rsidRPr="009358D3">
        <w:rPr>
          <w:lang w:val="en-GB"/>
        </w:rPr>
        <w:t>domains</w:t>
      </w:r>
      <w:r w:rsidRPr="009358D3">
        <w:rPr>
          <w:lang w:val="en-GB"/>
        </w:rPr>
        <w:t xml:space="preserve"> of culture was observed, and the largest decrease was observed in the </w:t>
      </w:r>
      <w:r w:rsidR="00B470E8" w:rsidRPr="009358D3">
        <w:rPr>
          <w:iCs/>
          <w:lang w:val="en-GB"/>
        </w:rPr>
        <w:t>Books and press</w:t>
      </w:r>
      <w:r w:rsidRPr="009358D3">
        <w:rPr>
          <w:lang w:val="en-GB"/>
        </w:rPr>
        <w:t xml:space="preserve"> </w:t>
      </w:r>
      <w:r w:rsidR="00282D3D" w:rsidRPr="009358D3">
        <w:rPr>
          <w:lang w:val="en-GB"/>
        </w:rPr>
        <w:t xml:space="preserve">domain </w:t>
      </w:r>
      <w:r w:rsidRPr="009358D3">
        <w:rPr>
          <w:lang w:val="en-GB"/>
        </w:rPr>
        <w:t>(by 10.1%).</w:t>
      </w:r>
    </w:p>
    <w:p w14:paraId="29D838F2" w14:textId="13866040" w:rsidR="00FB78C8" w:rsidRPr="009358D3" w:rsidRDefault="009D26CD" w:rsidP="00E662C4">
      <w:pPr>
        <w:rPr>
          <w:rFonts w:eastAsia="Times New Roman" w:cs="Times New Roman"/>
          <w:b/>
          <w:bCs/>
          <w:noProof/>
          <w:szCs w:val="24"/>
          <w:lang w:val="en-GB" w:eastAsia="pl-PL"/>
        </w:rPr>
      </w:pPr>
      <w:r w:rsidRPr="009358D3">
        <w:rPr>
          <w:noProof/>
          <w:lang w:val="en-GB" w:eastAsia="pl-PL"/>
        </w:rPr>
        <mc:AlternateContent>
          <mc:Choice Requires="wps">
            <w:drawing>
              <wp:anchor distT="45720" distB="45720" distL="114300" distR="114300" simplePos="0" relativeHeight="251797504" behindDoc="1" locked="0" layoutInCell="1" allowOverlap="1" wp14:anchorId="24A9C92F" wp14:editId="1D11D6B4">
                <wp:simplePos x="0" y="0"/>
                <wp:positionH relativeFrom="column">
                  <wp:posOffset>5307330</wp:posOffset>
                </wp:positionH>
                <wp:positionV relativeFrom="paragraph">
                  <wp:posOffset>781050</wp:posOffset>
                </wp:positionV>
                <wp:extent cx="1629410" cy="1234440"/>
                <wp:effectExtent l="0" t="0" r="0" b="3810"/>
                <wp:wrapTight wrapText="bothSides">
                  <wp:wrapPolygon edited="0">
                    <wp:start x="758" y="0"/>
                    <wp:lineTo x="758" y="21333"/>
                    <wp:lineTo x="20708" y="21333"/>
                    <wp:lineTo x="20708" y="0"/>
                    <wp:lineTo x="758" y="0"/>
                  </wp:wrapPolygon>
                </wp:wrapTight>
                <wp:docPr id="24" name="Prostokąt 24" descr="The largest number of enterprises belonging to the cultural and creative industries operated in the Visual arts domain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9410" cy="1234440"/>
                        </a:xfrm>
                        <a:prstGeom prst="rect">
                          <a:avLst/>
                        </a:prstGeom>
                        <a:noFill/>
                        <a:ln w="9360">
                          <a:noFill/>
                        </a:ln>
                      </wps:spPr>
                      <wps:style>
                        <a:lnRef idx="0">
                          <a:scrgbClr r="0" g="0" b="0"/>
                        </a:lnRef>
                        <a:fillRef idx="0">
                          <a:scrgbClr r="0" g="0" b="0"/>
                        </a:fillRef>
                        <a:effectRef idx="0">
                          <a:scrgbClr r="0" g="0" b="0"/>
                        </a:effectRef>
                        <a:fontRef idx="minor"/>
                      </wps:style>
                      <wps:txbx>
                        <w:txbxContent>
                          <w:p w14:paraId="369CA229" w14:textId="5290C580" w:rsidR="00FB78C8" w:rsidRPr="000D5874" w:rsidRDefault="00E02F90" w:rsidP="00D41ED6">
                            <w:pPr>
                              <w:pStyle w:val="tekstzboku"/>
                              <w:rPr>
                                <w:lang w:val="en-GB"/>
                              </w:rPr>
                            </w:pPr>
                            <w:r w:rsidRPr="000D5874">
                              <w:rPr>
                                <w:lang w:val="en-GB"/>
                              </w:rPr>
                              <w:t xml:space="preserve">The largest number of enterprises </w:t>
                            </w:r>
                            <w:r w:rsidR="00DD2DE6" w:rsidRPr="000D5874">
                              <w:rPr>
                                <w:lang w:val="en-GB"/>
                              </w:rPr>
                              <w:t>belonging to the</w:t>
                            </w:r>
                            <w:r w:rsidRPr="000D5874">
                              <w:rPr>
                                <w:lang w:val="en-GB"/>
                              </w:rPr>
                              <w:t xml:space="preserve"> cultural and creative industries </w:t>
                            </w:r>
                            <w:r w:rsidR="00DD2DE6" w:rsidRPr="000D5874">
                              <w:rPr>
                                <w:lang w:val="en-GB"/>
                              </w:rPr>
                              <w:t>operated</w:t>
                            </w:r>
                            <w:r w:rsidRPr="000D5874">
                              <w:rPr>
                                <w:lang w:val="en-GB"/>
                              </w:rPr>
                              <w:t xml:space="preserve"> in the </w:t>
                            </w:r>
                            <w:r w:rsidR="00DD2DE6" w:rsidRPr="00410EFC">
                              <w:rPr>
                                <w:lang w:val="en-GB"/>
                              </w:rPr>
                              <w:t>V</w:t>
                            </w:r>
                            <w:r w:rsidRPr="00410EFC">
                              <w:rPr>
                                <w:lang w:val="en-GB"/>
                              </w:rPr>
                              <w:t xml:space="preserve">isual arts </w:t>
                            </w:r>
                            <w:r w:rsidR="00282D3D" w:rsidRPr="00410EFC">
                              <w:rPr>
                                <w:lang w:val="en-GB"/>
                              </w:rPr>
                              <w:t>domain</w:t>
                            </w:r>
                            <w:r w:rsidR="00282D3D">
                              <w:rPr>
                                <w:lang w:val="en-GB"/>
                              </w:rPr>
                              <w:t xml:space="preserve"> </w:t>
                            </w:r>
                            <w:r w:rsidRPr="000D5874">
                              <w:rPr>
                                <w:lang w:val="en-GB"/>
                              </w:rPr>
                              <w:t>(27.0%)</w:t>
                            </w:r>
                          </w:p>
                        </w:txbxContent>
                      </wps:txbx>
                      <wps:bodyPr wrap="square">
                        <a:noAutofit/>
                      </wps:bodyPr>
                    </wps:wsp>
                  </a:graphicData>
                </a:graphic>
                <wp14:sizeRelH relativeFrom="page">
                  <wp14:pctWidth>0</wp14:pctWidth>
                </wp14:sizeRelH>
                <wp14:sizeRelV relativeFrom="margin">
                  <wp14:pctHeight>0</wp14:pctHeight>
                </wp14:sizeRelV>
              </wp:anchor>
            </w:drawing>
          </mc:Choice>
          <mc:Fallback>
            <w:pict>
              <v:rect w14:anchorId="24A9C92F" id="Prostokąt 24" o:spid="_x0000_s1027" alt="The largest number of enterprises belonging to the cultural and creative industries operated in the Visual arts domain (27.0%)" style="position:absolute;margin-left:417.9pt;margin-top:61.5pt;width:128.3pt;height:97.2pt;z-index:-251518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" filled="f" stroked="f" strokeweight=".26mm">
                <v:textbox>
                  <w:txbxContent>
                    <w:p w14:paraId="369CA229" w14:textId="5290C580" w:rsidR="00FB78C8" w:rsidRPr="000D5874" w:rsidRDefault="00E02F90" w:rsidP="00D41ED6">
                      <w:pPr>
                        <w:pStyle w:val="tekstzboku"/>
                        <w:rPr>
                          <w:lang w:val="en-GB"/>
                        </w:rPr>
                      </w:pPr>
                      <w:r w:rsidRPr="000D5874">
                        <w:rPr>
                          <w:lang w:val="en-GB"/>
                        </w:rPr>
                        <w:t xml:space="preserve">The largest number of enterprises </w:t>
                      </w:r>
                      <w:r w:rsidR="00DD2DE6" w:rsidRPr="000D5874">
                        <w:rPr>
                          <w:lang w:val="en-GB"/>
                        </w:rPr>
                        <w:t>belonging to the</w:t>
                      </w:r>
                      <w:r w:rsidRPr="000D5874">
                        <w:rPr>
                          <w:lang w:val="en-GB"/>
                        </w:rPr>
                        <w:t xml:space="preserve"> cultural and creative industries </w:t>
                      </w:r>
                      <w:r w:rsidR="00DD2DE6" w:rsidRPr="000D5874">
                        <w:rPr>
                          <w:lang w:val="en-GB"/>
                        </w:rPr>
                        <w:t>operated</w:t>
                      </w:r>
                      <w:r w:rsidRPr="000D5874">
                        <w:rPr>
                          <w:lang w:val="en-GB"/>
                        </w:rPr>
                        <w:t xml:space="preserve"> in the </w:t>
                      </w:r>
                      <w:r w:rsidR="00DD2DE6" w:rsidRPr="00410EFC">
                        <w:rPr>
                          <w:lang w:val="en-GB"/>
                        </w:rPr>
                        <w:t>V</w:t>
                      </w:r>
                      <w:r w:rsidRPr="00410EFC">
                        <w:rPr>
                          <w:lang w:val="en-GB"/>
                        </w:rPr>
                        <w:t xml:space="preserve">isual arts </w:t>
                      </w:r>
                      <w:r w:rsidR="00282D3D" w:rsidRPr="00410EFC">
                        <w:rPr>
                          <w:lang w:val="en-GB"/>
                        </w:rPr>
                        <w:t>domain</w:t>
                      </w:r>
                      <w:r w:rsidR="00282D3D">
                        <w:rPr>
                          <w:lang w:val="en-GB"/>
                        </w:rPr>
                        <w:t xml:space="preserve"> </w:t>
                      </w:r>
                      <w:r w:rsidRPr="000D5874">
                        <w:rPr>
                          <w:lang w:val="en-GB"/>
                        </w:rPr>
                        <w:t>(27.0%)</w:t>
                      </w:r>
                    </w:p>
                  </w:txbxContent>
                </v:textbox>
                <w10:wrap type="tight"/>
              </v:rect>
            </w:pict>
          </mc:Fallback>
        </mc:AlternateContent>
      </w:r>
      <w:r w:rsidR="00FB78C8" w:rsidRPr="009358D3">
        <w:rPr>
          <w:b/>
          <w:bCs/>
          <w:lang w:val="en-GB"/>
        </w:rPr>
        <w:t>C</w:t>
      </w:r>
      <w:r w:rsidR="00FB78C8" w:rsidRPr="009358D3">
        <w:rPr>
          <w:rFonts w:eastAsia="Times New Roman" w:cs="Times New Roman"/>
          <w:b/>
          <w:bCs/>
          <w:noProof/>
          <w:szCs w:val="24"/>
          <w:lang w:val="en-GB" w:eastAsia="pl-PL"/>
        </w:rPr>
        <w:t xml:space="preserve">hart 2. Entities classified as cultural and creative industries by </w:t>
      </w:r>
      <w:r w:rsidR="00E662C4" w:rsidRPr="009358D3">
        <w:rPr>
          <w:rFonts w:eastAsia="Times New Roman" w:cs="Times New Roman"/>
          <w:b/>
          <w:bCs/>
          <w:noProof/>
          <w:szCs w:val="24"/>
          <w:lang w:val="en-GB" w:eastAsia="pl-PL"/>
        </w:rPr>
        <w:t>domain</w:t>
      </w:r>
      <w:r w:rsidR="00FB78C8" w:rsidRPr="009358D3">
        <w:rPr>
          <w:rFonts w:eastAsia="Times New Roman" w:cs="Times New Roman"/>
          <w:b/>
          <w:bCs/>
          <w:noProof/>
          <w:szCs w:val="24"/>
          <w:lang w:val="en-GB" w:eastAsia="pl-PL"/>
        </w:rPr>
        <w:t xml:space="preserve"> of culture in 2023</w:t>
      </w:r>
    </w:p>
    <w:p w14:paraId="670D5C6D" w14:textId="25272D0D" w:rsidR="00FB78C8" w:rsidRPr="009358D3" w:rsidRDefault="009D26CD" w:rsidP="00586C85">
      <w:pPr>
        <w:spacing w:before="360"/>
        <w:rPr>
          <w:highlight w:val="yellow"/>
          <w:lang w:val="en-GB"/>
        </w:rPr>
      </w:pPr>
      <w:r w:rsidRPr="009358D3">
        <w:rPr>
          <w:b/>
          <w:bCs/>
          <w:noProof/>
          <w:lang w:val="en-GB" w:eastAsia="pl-PL"/>
        </w:rPr>
        <mc:AlternateContent>
          <mc:Choice Requires="wps">
            <w:drawing>
              <wp:anchor distT="45720" distB="45720" distL="114300" distR="114300" simplePos="0" relativeHeight="251799552" behindDoc="1" locked="0" layoutInCell="1" allowOverlap="1" wp14:anchorId="377D75D7" wp14:editId="4FF8F1EE">
                <wp:simplePos x="0" y="0"/>
                <wp:positionH relativeFrom="page">
                  <wp:posOffset>5835650</wp:posOffset>
                </wp:positionH>
                <wp:positionV relativeFrom="paragraph">
                  <wp:posOffset>3424555</wp:posOffset>
                </wp:positionV>
                <wp:extent cx="1494790" cy="1613535"/>
                <wp:effectExtent l="0" t="0" r="0" b="5715"/>
                <wp:wrapTight wrapText="bothSides">
                  <wp:wrapPolygon edited="0">
                    <wp:start x="826" y="0"/>
                    <wp:lineTo x="826" y="21421"/>
                    <wp:lineTo x="20646" y="21421"/>
                    <wp:lineTo x="20646" y="0"/>
                    <wp:lineTo x="826" y="0"/>
                  </wp:wrapPolygon>
                </wp:wrapTight>
                <wp:docPr id="29" name="Prostokąt 29" descr="The overwhelming majority of entities belonging to the cultural and creative industries are micro-enterprises. They accounted for 5.5% of all non-financial micro-enterprises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4790" cy="1613535"/>
                        </a:xfrm>
                        <a:prstGeom prst="rect">
                          <a:avLst/>
                        </a:prstGeom>
                        <a:noFill/>
                        <a:ln w="9360">
                          <a:noFill/>
                        </a:ln>
                      </wps:spPr>
                      <wps:style>
                        <a:lnRef idx="0">
                          <a:scrgbClr r="0" g="0" b="0"/>
                        </a:lnRef>
                        <a:fillRef idx="0">
                          <a:scrgbClr r="0" g="0" b="0"/>
                        </a:fillRef>
                        <a:effectRef idx="0">
                          <a:scrgbClr r="0" g="0" b="0"/>
                        </a:effectRef>
                        <a:fontRef idx="minor"/>
                      </wps:style>
                      <wps:txbx>
                        <w:txbxContent>
                          <w:p w14:paraId="683C8529" w14:textId="3170F504" w:rsidR="00FB78C8" w:rsidRDefault="009B36DB" w:rsidP="00FB78C8">
                            <w:pPr>
                              <w:pStyle w:val="tekstzboku"/>
                              <w:spacing w:before="0" w:after="120"/>
                            </w:pPr>
                            <w:r w:rsidRPr="000D5874">
                              <w:rPr>
                                <w:lang w:val="en-GB"/>
                              </w:rPr>
                              <w:t xml:space="preserve">The overwhelming majority of entities </w:t>
                            </w:r>
                            <w:r w:rsidR="0002450A" w:rsidRPr="000D5874">
                              <w:rPr>
                                <w:lang w:val="en-GB"/>
                              </w:rPr>
                              <w:t>belonging to the</w:t>
                            </w:r>
                            <w:r w:rsidRPr="000D5874">
                              <w:rPr>
                                <w:lang w:val="en-GB"/>
                              </w:rPr>
                              <w:t xml:space="preserve"> cultural and creative industries are micro-enterprises. </w:t>
                            </w:r>
                            <w:r w:rsidRPr="005C53D2">
                              <w:rPr>
                                <w:lang w:val="en-GB"/>
                              </w:rPr>
                              <w:t>They accounted</w:t>
                            </w:r>
                            <w:r w:rsidRPr="009B36DB">
                              <w:t xml:space="preserve"> </w:t>
                            </w:r>
                            <w:r w:rsidRPr="005C53D2">
                              <w:rPr>
                                <w:lang w:val="en-GB"/>
                              </w:rPr>
                              <w:t>for 5.5% of all non-financial micro-enterprises</w:t>
                            </w:r>
                            <w:r w:rsidRPr="009B36DB">
                              <w:t xml:space="preserve"> </w:t>
                            </w:r>
                          </w:p>
                          <w:p w14:paraId="74CD7498" w14:textId="77777777" w:rsidR="00FB78C8" w:rsidRDefault="00FB78C8" w:rsidP="00FB78C8">
                            <w:pPr>
                              <w:pStyle w:val="Zawartoramki"/>
                              <w:spacing w:after="0"/>
                            </w:pP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377D75D7" id="Prostokąt 29" o:spid="_x0000_s1028" alt="The overwhelming majority of entities belonging to the cultural and creative industries are micro-enterprises. They accounted for 5.5% of all non-financial micro-enterprises " style="position:absolute;margin-left:459.5pt;margin-top:269.65pt;width:117.7pt;height:127.05pt;z-index:-2515169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" filled="f" stroked="f" strokeweight=".26mm">
                <v:textbox>
                  <w:txbxContent>
                    <w:p w14:paraId="683C8529" w14:textId="3170F504" w:rsidR="00FB78C8" w:rsidRDefault="009B36DB" w:rsidP="00FB78C8">
                      <w:pPr>
                        <w:pStyle w:val="tekstzboku"/>
                        <w:spacing w:before="0" w:after="120"/>
                      </w:pPr>
                      <w:r w:rsidRPr="000D5874">
                        <w:rPr>
                          <w:lang w:val="en-GB"/>
                        </w:rPr>
                        <w:t xml:space="preserve">The overwhelming majority of entities </w:t>
                      </w:r>
                      <w:r w:rsidR="0002450A" w:rsidRPr="000D5874">
                        <w:rPr>
                          <w:lang w:val="en-GB"/>
                        </w:rPr>
                        <w:t>belonging to the</w:t>
                      </w:r>
                      <w:r w:rsidRPr="000D5874">
                        <w:rPr>
                          <w:lang w:val="en-GB"/>
                        </w:rPr>
                        <w:t xml:space="preserve"> cultural and creative industries are micro-enterprises. </w:t>
                      </w:r>
                      <w:r w:rsidRPr="005C53D2">
                        <w:rPr>
                          <w:lang w:val="en-GB"/>
                        </w:rPr>
                        <w:t>They accounted</w:t>
                      </w:r>
                      <w:r w:rsidRPr="009B36DB">
                        <w:t xml:space="preserve"> </w:t>
                      </w:r>
                      <w:r w:rsidRPr="005C53D2">
                        <w:rPr>
                          <w:lang w:val="en-GB"/>
                        </w:rPr>
                        <w:t>for 5.5% of all non-financial micro-enterprises</w:t>
                      </w:r>
                      <w:r w:rsidRPr="009B36DB">
                        <w:t xml:space="preserve"> </w:t>
                      </w:r>
                    </w:p>
                    <w:p w14:paraId="74CD7498" w14:textId="77777777" w:rsidR="00FB78C8" w:rsidRDefault="00FB78C8" w:rsidP="00FB78C8">
                      <w:pPr>
                        <w:pStyle w:val="Zawartoramki"/>
                        <w:spacing w:after="0"/>
                      </w:pPr>
                    </w:p>
                  </w:txbxContent>
                </v:textbox>
                <w10:wrap type="tight" anchorx="page"/>
              </v:rect>
            </w:pict>
          </mc:Fallback>
        </mc:AlternateContent>
      </w:r>
      <w:r w:rsidR="00AA429C" w:rsidRPr="009358D3">
        <w:rPr>
          <w:noProof/>
          <w:lang w:val="en-GB" w:eastAsia="pl-PL"/>
        </w:rPr>
        <w:drawing>
          <wp:anchor distT="0" distB="0" distL="114300" distR="114300" simplePos="0" relativeHeight="251853824" behindDoc="0" locked="0" layoutInCell="1" allowOverlap="1" wp14:anchorId="4489E92D" wp14:editId="3575EDD6">
            <wp:simplePos x="0" y="0"/>
            <wp:positionH relativeFrom="column">
              <wp:posOffset>0</wp:posOffset>
            </wp:positionH>
            <wp:positionV relativeFrom="paragraph">
              <wp:posOffset>0</wp:posOffset>
            </wp:positionV>
            <wp:extent cx="4871085" cy="3298190"/>
            <wp:effectExtent l="0" t="0" r="0" b="0"/>
            <wp:wrapTopAndBottom/>
            <wp:docPr id="2" name="Obraz 2" descr="Chart 2. The pie chart presenting the entities classified as cultural and creative industries by domain of culture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1085" cy="3298190"/>
                    </a:xfrm>
                    <a:prstGeom prst="rect">
                      <a:avLst/>
                    </a:prstGeom>
                    <a:noFill/>
                  </pic:spPr>
                </pic:pic>
              </a:graphicData>
            </a:graphic>
          </wp:anchor>
        </w:drawing>
      </w:r>
      <w:r w:rsidR="00396AAA" w:rsidRPr="009358D3">
        <w:rPr>
          <w:lang w:val="en-GB"/>
        </w:rPr>
        <w:t xml:space="preserve">Entities </w:t>
      </w:r>
      <w:r w:rsidR="0002450A" w:rsidRPr="009358D3">
        <w:rPr>
          <w:lang w:val="en-GB"/>
        </w:rPr>
        <w:t>belonging to the</w:t>
      </w:r>
      <w:r w:rsidR="00396AAA" w:rsidRPr="009358D3">
        <w:rPr>
          <w:lang w:val="en-GB"/>
        </w:rPr>
        <w:t xml:space="preserve"> cultural and creative industries accounted for 5.4% of all non-financial enterprises in Poland. The overwhelming majority</w:t>
      </w:r>
      <w:r w:rsidR="00A846FA" w:rsidRPr="009358D3">
        <w:rPr>
          <w:lang w:val="en-GB"/>
        </w:rPr>
        <w:t xml:space="preserve"> of entities were micro-enterprises</w:t>
      </w:r>
      <w:r w:rsidR="00A846FA" w:rsidRPr="009358D3">
        <w:rPr>
          <w:rStyle w:val="Odwoanieprzypisudolnego"/>
          <w:lang w:val="en-GB"/>
        </w:rPr>
        <w:footnoteReference w:id="1"/>
      </w:r>
      <w:r w:rsidR="00A846FA" w:rsidRPr="009358D3">
        <w:rPr>
          <w:lang w:val="en-GB"/>
        </w:rPr>
        <w:t xml:space="preserve"> </w:t>
      </w:r>
      <w:r w:rsidR="003B30E3" w:rsidRPr="009358D3">
        <w:rPr>
          <w:lang w:val="en-GB"/>
        </w:rPr>
        <w:t>(</w:t>
      </w:r>
      <w:r w:rsidR="00396AAA" w:rsidRPr="009358D3">
        <w:rPr>
          <w:lang w:val="en-GB"/>
        </w:rPr>
        <w:t>122.9 thousand entities</w:t>
      </w:r>
      <w:r w:rsidR="003B30E3" w:rsidRPr="009358D3">
        <w:rPr>
          <w:lang w:val="en-GB"/>
        </w:rPr>
        <w:t>, i.e. 99.1%</w:t>
      </w:r>
      <w:r w:rsidR="00396AAA" w:rsidRPr="009358D3">
        <w:rPr>
          <w:lang w:val="en-GB"/>
        </w:rPr>
        <w:t xml:space="preserve"> </w:t>
      </w:r>
      <w:r w:rsidR="0002450A" w:rsidRPr="009358D3">
        <w:rPr>
          <w:lang w:val="en-GB"/>
        </w:rPr>
        <w:t>belonging to the</w:t>
      </w:r>
      <w:r w:rsidR="00396AAA" w:rsidRPr="009358D3">
        <w:rPr>
          <w:lang w:val="en-GB"/>
        </w:rPr>
        <w:t xml:space="preserve"> cultural and creative industries</w:t>
      </w:r>
      <w:r w:rsidR="003B30E3" w:rsidRPr="009358D3">
        <w:rPr>
          <w:lang w:val="en-GB"/>
        </w:rPr>
        <w:t>)</w:t>
      </w:r>
      <w:r w:rsidR="00A846FA" w:rsidRPr="009358D3">
        <w:rPr>
          <w:lang w:val="en-GB"/>
        </w:rPr>
        <w:t xml:space="preserve">, which constituted </w:t>
      </w:r>
      <w:r w:rsidR="00396AAA" w:rsidRPr="009358D3">
        <w:rPr>
          <w:lang w:val="en-GB"/>
        </w:rPr>
        <w:t xml:space="preserve">5.5% of all </w:t>
      </w:r>
      <w:r w:rsidR="00A846FA" w:rsidRPr="009358D3">
        <w:rPr>
          <w:lang w:val="en-GB"/>
        </w:rPr>
        <w:t>non-financial micro-enterprises.</w:t>
      </w:r>
      <w:r w:rsidR="00396AAA" w:rsidRPr="009358D3">
        <w:rPr>
          <w:lang w:val="en-GB"/>
        </w:rPr>
        <w:t xml:space="preserve"> 1.9% of small e</w:t>
      </w:r>
      <w:r w:rsidR="0002450A" w:rsidRPr="009358D3">
        <w:rPr>
          <w:lang w:val="en-GB"/>
        </w:rPr>
        <w:t>nterprises</w:t>
      </w:r>
      <w:r w:rsidR="00396AAA" w:rsidRPr="009358D3">
        <w:rPr>
          <w:lang w:val="en-GB"/>
        </w:rPr>
        <w:t xml:space="preserve"> and 1.2% of medium and large enterprises.</w:t>
      </w:r>
      <w:r w:rsidR="00F93E44" w:rsidRPr="009358D3">
        <w:rPr>
          <w:lang w:val="en-GB"/>
        </w:rPr>
        <w:t xml:space="preserve"> In the others enterprise size classes, the share of cultural and creative industries in the group of non-financial enterprises was as follows: small –</w:t>
      </w:r>
      <w:r w:rsidR="00943B77" w:rsidRPr="009358D3">
        <w:rPr>
          <w:lang w:val="en-GB"/>
        </w:rPr>
        <w:t xml:space="preserve"> 1.9%, medium</w:t>
      </w:r>
      <w:r w:rsidR="00F93E44" w:rsidRPr="009358D3">
        <w:rPr>
          <w:lang w:val="en-GB"/>
        </w:rPr>
        <w:t xml:space="preserve"> and large – 1.2% each.</w:t>
      </w:r>
    </w:p>
    <w:p w14:paraId="41F4CC44" w14:textId="48A0996F" w:rsidR="006D4224" w:rsidRPr="009358D3" w:rsidRDefault="006D4224" w:rsidP="00E96A80">
      <w:pPr>
        <w:pStyle w:val="Nagwek1"/>
        <w:spacing w:before="240"/>
        <w:rPr>
          <w:lang w:val="en-GB"/>
        </w:rPr>
      </w:pPr>
      <w:r w:rsidRPr="009358D3">
        <w:rPr>
          <w:lang w:val="en-GB"/>
        </w:rPr>
        <w:t>Employed</w:t>
      </w:r>
      <w:r w:rsidR="0002450A" w:rsidRPr="009358D3">
        <w:rPr>
          <w:lang w:val="en-GB"/>
        </w:rPr>
        <w:t xml:space="preserve"> persons</w:t>
      </w:r>
      <w:r w:rsidRPr="009358D3">
        <w:rPr>
          <w:lang w:val="en-GB"/>
        </w:rPr>
        <w:t xml:space="preserve">, average </w:t>
      </w:r>
      <w:r w:rsidR="0002450A" w:rsidRPr="009358D3">
        <w:rPr>
          <w:lang w:val="en-GB"/>
        </w:rPr>
        <w:t>employment</w:t>
      </w:r>
      <w:r w:rsidRPr="009358D3">
        <w:rPr>
          <w:lang w:val="en-GB"/>
        </w:rPr>
        <w:t xml:space="preserve"> and salaries</w:t>
      </w:r>
    </w:p>
    <w:p w14:paraId="3DBA41B4" w14:textId="02215839" w:rsidR="00C02563" w:rsidRPr="009358D3" w:rsidRDefault="00234969">
      <w:pPr>
        <w:rPr>
          <w:lang w:val="en-GB"/>
        </w:rPr>
      </w:pPr>
      <w:r w:rsidRPr="009358D3">
        <w:rPr>
          <w:lang w:val="en-GB"/>
        </w:rPr>
        <w:t xml:space="preserve">Along with the decrease in the number of entities </w:t>
      </w:r>
      <w:r w:rsidR="0002450A" w:rsidRPr="009358D3">
        <w:rPr>
          <w:lang w:val="en-GB"/>
        </w:rPr>
        <w:t>belonging to the</w:t>
      </w:r>
      <w:r w:rsidRPr="009358D3">
        <w:rPr>
          <w:lang w:val="en-GB"/>
        </w:rPr>
        <w:t xml:space="preserve"> cultural and creative industries, there was a decre</w:t>
      </w:r>
      <w:r w:rsidR="0078339C" w:rsidRPr="009358D3">
        <w:rPr>
          <w:lang w:val="en-GB"/>
        </w:rPr>
        <w:t xml:space="preserve">ase in the number of employees </w:t>
      </w:r>
      <w:r w:rsidRPr="009358D3">
        <w:rPr>
          <w:lang w:val="en-GB"/>
        </w:rPr>
        <w:t xml:space="preserve">and </w:t>
      </w:r>
      <w:r w:rsidR="00E64ACB" w:rsidRPr="009358D3">
        <w:rPr>
          <w:lang w:val="en-GB"/>
        </w:rPr>
        <w:t xml:space="preserve">average </w:t>
      </w:r>
      <w:r w:rsidRPr="009358D3">
        <w:rPr>
          <w:lang w:val="en-GB"/>
        </w:rPr>
        <w:t xml:space="preserve">employment. As </w:t>
      </w:r>
      <w:r w:rsidR="00A560C6" w:rsidRPr="009358D3">
        <w:rPr>
          <w:lang w:val="en-GB"/>
        </w:rPr>
        <w:t>of</w:t>
      </w:r>
      <w:r w:rsidRPr="009358D3">
        <w:rPr>
          <w:lang w:val="en-GB"/>
        </w:rPr>
        <w:t xml:space="preserve"> the end</w:t>
      </w:r>
      <w:r w:rsidR="0078339C" w:rsidRPr="009358D3">
        <w:rPr>
          <w:lang w:val="en-GB"/>
        </w:rPr>
        <w:t xml:space="preserve"> of 2023, the number of employees in enterprises belonging to the cultural and</w:t>
      </w:r>
      <w:r w:rsidR="0087097A" w:rsidRPr="009358D3">
        <w:rPr>
          <w:lang w:val="en-GB"/>
        </w:rPr>
        <w:t xml:space="preserve"> creative industries</w:t>
      </w:r>
      <w:r w:rsidRPr="009358D3">
        <w:rPr>
          <w:lang w:val="en-GB"/>
        </w:rPr>
        <w:t xml:space="preserve"> was 236.7 thousand people</w:t>
      </w:r>
      <w:r w:rsidR="0028417C" w:rsidRPr="009358D3">
        <w:rPr>
          <w:lang w:val="en-GB"/>
        </w:rPr>
        <w:t xml:space="preserve"> (7.6% less than in 2022)</w:t>
      </w:r>
      <w:r w:rsidRPr="009358D3">
        <w:rPr>
          <w:lang w:val="en-GB"/>
        </w:rPr>
        <w:t xml:space="preserve">, and the average employment during the year was 92.5 thousand </w:t>
      </w:r>
      <w:r w:rsidR="0002450A" w:rsidRPr="009358D3">
        <w:rPr>
          <w:lang w:val="en-GB"/>
        </w:rPr>
        <w:t>ful</w:t>
      </w:r>
      <w:r w:rsidR="00E64ACB" w:rsidRPr="009358D3">
        <w:rPr>
          <w:lang w:val="en-GB"/>
        </w:rPr>
        <w:t>l</w:t>
      </w:r>
      <w:r w:rsidR="0002450A" w:rsidRPr="009358D3">
        <w:rPr>
          <w:lang w:val="en-GB"/>
        </w:rPr>
        <w:t>-time jobs</w:t>
      </w:r>
      <w:r w:rsidRPr="009358D3">
        <w:rPr>
          <w:lang w:val="en-GB"/>
        </w:rPr>
        <w:t xml:space="preserve"> (</w:t>
      </w:r>
      <w:r w:rsidR="0028417C" w:rsidRPr="009358D3">
        <w:rPr>
          <w:lang w:val="en-GB"/>
        </w:rPr>
        <w:t>8.9%</w:t>
      </w:r>
      <w:r w:rsidRPr="009358D3">
        <w:rPr>
          <w:lang w:val="en-GB"/>
        </w:rPr>
        <w:t xml:space="preserve"> </w:t>
      </w:r>
      <w:r w:rsidR="0028417C" w:rsidRPr="009358D3">
        <w:rPr>
          <w:lang w:val="en-GB"/>
        </w:rPr>
        <w:t>less than in the previous year</w:t>
      </w:r>
      <w:r w:rsidRPr="009358D3">
        <w:rPr>
          <w:lang w:val="en-GB"/>
        </w:rPr>
        <w:t>).</w:t>
      </w:r>
    </w:p>
    <w:p w14:paraId="3D48F569" w14:textId="3B0F5D9E" w:rsidR="00377AE8" w:rsidRPr="009358D3" w:rsidRDefault="00137669">
      <w:pPr>
        <w:rPr>
          <w:highlight w:val="yellow"/>
          <w:lang w:val="en-GB"/>
        </w:rPr>
      </w:pPr>
      <w:r w:rsidRPr="009358D3">
        <w:rPr>
          <w:lang w:val="en-GB"/>
        </w:rPr>
        <w:t xml:space="preserve">In comparison to 2022, there was a decrease in entities belonging to cultural and creative industries </w:t>
      </w:r>
      <w:r w:rsidR="00976EC8" w:rsidRPr="009358D3">
        <w:rPr>
          <w:lang w:val="en-GB"/>
        </w:rPr>
        <w:t>in both the number of employed persons</w:t>
      </w:r>
      <w:r w:rsidRPr="009358D3">
        <w:rPr>
          <w:lang w:val="en-GB"/>
        </w:rPr>
        <w:t xml:space="preserve"> and the average employment in </w:t>
      </w:r>
      <w:r w:rsidR="00976EC8" w:rsidRPr="009358D3">
        <w:rPr>
          <w:lang w:val="en-GB"/>
        </w:rPr>
        <w:t xml:space="preserve">micro and large enterprises (in micro-enterprises by 9.1% and </w:t>
      </w:r>
      <w:r w:rsidR="0028417C" w:rsidRPr="009358D3">
        <w:rPr>
          <w:lang w:val="en-GB"/>
        </w:rPr>
        <w:t xml:space="preserve">by </w:t>
      </w:r>
      <w:r w:rsidR="00976EC8" w:rsidRPr="009358D3">
        <w:rPr>
          <w:lang w:val="en-GB"/>
        </w:rPr>
        <w:t xml:space="preserve">19.0%, respectively, in large enterprises – by 9.6% and </w:t>
      </w:r>
      <w:r w:rsidR="0028417C" w:rsidRPr="009358D3">
        <w:rPr>
          <w:lang w:val="en-GB"/>
        </w:rPr>
        <w:t xml:space="preserve">by </w:t>
      </w:r>
      <w:r w:rsidR="00976EC8" w:rsidRPr="009358D3">
        <w:rPr>
          <w:lang w:val="en-GB"/>
        </w:rPr>
        <w:t>8.9%). In small and medium enterprises, the number of employed</w:t>
      </w:r>
      <w:r w:rsidR="00E64ACB" w:rsidRPr="009358D3">
        <w:rPr>
          <w:lang w:val="en-GB"/>
        </w:rPr>
        <w:t xml:space="preserve"> persons</w:t>
      </w:r>
      <w:r w:rsidR="00976EC8" w:rsidRPr="009358D3">
        <w:rPr>
          <w:lang w:val="en-GB"/>
        </w:rPr>
        <w:t xml:space="preserve"> increased by 2.0% and </w:t>
      </w:r>
      <w:r w:rsidR="0028417C" w:rsidRPr="009358D3">
        <w:rPr>
          <w:lang w:val="en-GB"/>
        </w:rPr>
        <w:t xml:space="preserve">by </w:t>
      </w:r>
      <w:r w:rsidR="00976EC8" w:rsidRPr="009358D3">
        <w:rPr>
          <w:lang w:val="en-GB"/>
        </w:rPr>
        <w:t xml:space="preserve">3.3%, respectively, and the average employment </w:t>
      </w:r>
      <w:r w:rsidRPr="009358D3">
        <w:rPr>
          <w:lang w:val="en-GB"/>
        </w:rPr>
        <w:t xml:space="preserve">increased </w:t>
      </w:r>
      <w:r w:rsidR="00976EC8" w:rsidRPr="009358D3">
        <w:rPr>
          <w:lang w:val="en-GB"/>
        </w:rPr>
        <w:t xml:space="preserve">– by 2.5% and </w:t>
      </w:r>
      <w:r w:rsidR="0028417C" w:rsidRPr="009358D3">
        <w:rPr>
          <w:lang w:val="en-GB"/>
        </w:rPr>
        <w:t xml:space="preserve">by </w:t>
      </w:r>
      <w:r w:rsidR="00976EC8" w:rsidRPr="009358D3">
        <w:rPr>
          <w:lang w:val="en-GB"/>
        </w:rPr>
        <w:t xml:space="preserve">4.4%. </w:t>
      </w:r>
    </w:p>
    <w:p w14:paraId="2399D1FF" w14:textId="618151A1" w:rsidR="00137669" w:rsidRPr="009358D3" w:rsidRDefault="00137669" w:rsidP="007A00C6">
      <w:pPr>
        <w:rPr>
          <w:lang w:val="en-GB"/>
        </w:rPr>
      </w:pPr>
      <w:r w:rsidRPr="009358D3">
        <w:rPr>
          <w:lang w:val="en-GB"/>
        </w:rPr>
        <w:t xml:space="preserve">In </w:t>
      </w:r>
      <w:r w:rsidR="00CD1026" w:rsidRPr="009358D3">
        <w:rPr>
          <w:lang w:val="en-GB"/>
        </w:rPr>
        <w:t xml:space="preserve">the </w:t>
      </w:r>
      <w:r w:rsidRPr="009358D3">
        <w:rPr>
          <w:lang w:val="en-GB"/>
        </w:rPr>
        <w:t>group of micro-enterprises belonging to the cu</w:t>
      </w:r>
      <w:r w:rsidR="00CD1026" w:rsidRPr="009358D3">
        <w:rPr>
          <w:lang w:val="en-GB"/>
        </w:rPr>
        <w:t xml:space="preserve">ltural and creative </w:t>
      </w:r>
      <w:r w:rsidRPr="009358D3">
        <w:rPr>
          <w:lang w:val="en-GB"/>
        </w:rPr>
        <w:t>industries, the ratio of average emplo</w:t>
      </w:r>
      <w:r w:rsidR="00943B77" w:rsidRPr="009358D3">
        <w:rPr>
          <w:lang w:val="en-GB"/>
        </w:rPr>
        <w:t>yment to the number of employed persons</w:t>
      </w:r>
      <w:r w:rsidRPr="009358D3">
        <w:rPr>
          <w:lang w:val="en-GB"/>
        </w:rPr>
        <w:t xml:space="preserve"> in 2023 was 1:5 (</w:t>
      </w:r>
      <w:r w:rsidR="00CD1026" w:rsidRPr="009358D3">
        <w:rPr>
          <w:lang w:val="en-GB"/>
        </w:rPr>
        <w:t>32.4 thousand full-time job</w:t>
      </w:r>
      <w:r w:rsidRPr="009358D3">
        <w:rPr>
          <w:lang w:val="en-GB"/>
        </w:rPr>
        <w:t xml:space="preserve">s compared </w:t>
      </w:r>
      <w:r w:rsidR="00CD1026" w:rsidRPr="009358D3">
        <w:rPr>
          <w:lang w:val="en-GB"/>
        </w:rPr>
        <w:t>to 173.2 thousand of employees</w:t>
      </w:r>
      <w:r w:rsidRPr="009358D3">
        <w:rPr>
          <w:lang w:val="en-GB"/>
        </w:rPr>
        <w:t xml:space="preserve">). In the case of other enterprise size classes, the ratio of average employment to the number of employees was approximately 1:1 (small enterprises </w:t>
      </w:r>
      <w:r w:rsidR="00CD1026" w:rsidRPr="009358D3">
        <w:rPr>
          <w:lang w:val="en-GB"/>
        </w:rPr>
        <w:t>–</w:t>
      </w:r>
      <w:r w:rsidRPr="009358D3">
        <w:rPr>
          <w:lang w:val="en-GB"/>
        </w:rPr>
        <w:t xml:space="preserve"> </w:t>
      </w:r>
      <w:r w:rsidR="00CD1026" w:rsidRPr="009358D3">
        <w:rPr>
          <w:lang w:val="en-GB"/>
        </w:rPr>
        <w:t>16.9 thousand full-time job</w:t>
      </w:r>
      <w:r w:rsidRPr="009358D3">
        <w:rPr>
          <w:lang w:val="en-GB"/>
        </w:rPr>
        <w:t>s against 18.1 thousa</w:t>
      </w:r>
      <w:r w:rsidR="00943B77" w:rsidRPr="009358D3">
        <w:rPr>
          <w:lang w:val="en-GB"/>
        </w:rPr>
        <w:t>nd employed persons; medium</w:t>
      </w:r>
      <w:r w:rsidRPr="009358D3">
        <w:rPr>
          <w:lang w:val="en-GB"/>
        </w:rPr>
        <w:t xml:space="preserve"> enterprises </w:t>
      </w:r>
      <w:r w:rsidR="00D41ED6">
        <w:rPr>
          <w:lang w:val="en-GB"/>
        </w:rPr>
        <w:t>–</w:t>
      </w:r>
      <w:r w:rsidRPr="009358D3">
        <w:rPr>
          <w:lang w:val="en-GB"/>
        </w:rPr>
        <w:t xml:space="preserve"> 16.9 thousand against 17.8 thousand; large enterprises </w:t>
      </w:r>
      <w:r w:rsidR="00D41ED6">
        <w:rPr>
          <w:lang w:val="en-GB"/>
        </w:rPr>
        <w:t>–</w:t>
      </w:r>
      <w:r w:rsidRPr="009358D3">
        <w:rPr>
          <w:lang w:val="en-GB"/>
        </w:rPr>
        <w:t xml:space="preserve"> 26.4 thousand </w:t>
      </w:r>
      <w:r w:rsidRPr="009358D3">
        <w:rPr>
          <w:lang w:val="en-GB"/>
        </w:rPr>
        <w:lastRenderedPageBreak/>
        <w:t>against 27.5 thousand). These data allow us to conc</w:t>
      </w:r>
      <w:r w:rsidR="00856629" w:rsidRPr="009358D3">
        <w:rPr>
          <w:lang w:val="en-GB"/>
        </w:rPr>
        <w:t>lude, that in the group of micro-</w:t>
      </w:r>
      <w:r w:rsidRPr="009358D3">
        <w:rPr>
          <w:lang w:val="en-GB"/>
        </w:rPr>
        <w:t>enterprises the majority of people employed under employment contracts worked part-time or periodically.</w:t>
      </w:r>
    </w:p>
    <w:p w14:paraId="6EB2F19C" w14:textId="5937F393" w:rsidR="00E45899" w:rsidRPr="009358D3" w:rsidRDefault="00E45899" w:rsidP="007A00C6">
      <w:pPr>
        <w:rPr>
          <w:lang w:val="en-GB"/>
        </w:rPr>
      </w:pPr>
      <w:r w:rsidRPr="009358D3">
        <w:rPr>
          <w:lang w:val="en-GB"/>
        </w:rPr>
        <w:t>The gross monthly</w:t>
      </w:r>
      <w:r w:rsidR="001B1805" w:rsidRPr="009358D3">
        <w:rPr>
          <w:lang w:val="en-GB"/>
        </w:rPr>
        <w:t xml:space="preserve"> wages and</w:t>
      </w:r>
      <w:r w:rsidRPr="009358D3">
        <w:rPr>
          <w:lang w:val="en-GB"/>
        </w:rPr>
        <w:t xml:space="preserve"> salar</w:t>
      </w:r>
      <w:r w:rsidR="001B1805" w:rsidRPr="009358D3">
        <w:rPr>
          <w:lang w:val="en-GB"/>
        </w:rPr>
        <w:t>ies</w:t>
      </w:r>
      <w:r w:rsidRPr="009358D3">
        <w:rPr>
          <w:lang w:val="en-GB"/>
        </w:rPr>
        <w:t xml:space="preserve"> per </w:t>
      </w:r>
      <w:r w:rsidR="00B2133B" w:rsidRPr="009358D3">
        <w:rPr>
          <w:lang w:val="en-GB"/>
        </w:rPr>
        <w:t xml:space="preserve">one </w:t>
      </w:r>
      <w:r w:rsidRPr="009358D3">
        <w:rPr>
          <w:lang w:val="en-GB"/>
        </w:rPr>
        <w:t>employ</w:t>
      </w:r>
      <w:r w:rsidR="007244DD" w:rsidRPr="009358D3">
        <w:rPr>
          <w:lang w:val="en-GB"/>
        </w:rPr>
        <w:t xml:space="preserve">ee in 2023 was PLN 8,868, i.e. </w:t>
      </w:r>
      <w:r w:rsidRPr="009358D3">
        <w:rPr>
          <w:lang w:val="en-GB"/>
        </w:rPr>
        <w:t>11.1%</w:t>
      </w:r>
      <w:r w:rsidR="007244DD" w:rsidRPr="009358D3">
        <w:rPr>
          <w:lang w:val="en-GB"/>
        </w:rPr>
        <w:t xml:space="preserve"> more than in</w:t>
      </w:r>
      <w:r w:rsidRPr="009358D3">
        <w:rPr>
          <w:lang w:val="en-GB"/>
        </w:rPr>
        <w:t xml:space="preserve"> 2022. </w:t>
      </w:r>
      <w:r w:rsidR="001B1805" w:rsidRPr="009358D3">
        <w:rPr>
          <w:lang w:val="en-GB"/>
        </w:rPr>
        <w:t>In comparison, t</w:t>
      </w:r>
      <w:r w:rsidRPr="009358D3">
        <w:rPr>
          <w:lang w:val="en-GB"/>
        </w:rPr>
        <w:t xml:space="preserve">he average gross </w:t>
      </w:r>
      <w:r w:rsidR="001B1805" w:rsidRPr="009358D3">
        <w:rPr>
          <w:lang w:val="en-GB"/>
        </w:rPr>
        <w:t xml:space="preserve">wages and </w:t>
      </w:r>
      <w:r w:rsidRPr="009358D3">
        <w:rPr>
          <w:lang w:val="en-GB"/>
        </w:rPr>
        <w:t>salar</w:t>
      </w:r>
      <w:r w:rsidR="001B1805" w:rsidRPr="009358D3">
        <w:rPr>
          <w:lang w:val="en-GB"/>
        </w:rPr>
        <w:t>ies</w:t>
      </w:r>
      <w:r w:rsidRPr="009358D3">
        <w:rPr>
          <w:lang w:val="en-GB"/>
        </w:rPr>
        <w:t xml:space="preserve"> </w:t>
      </w:r>
      <w:r w:rsidR="001B1805" w:rsidRPr="009358D3">
        <w:rPr>
          <w:lang w:val="en-GB"/>
        </w:rPr>
        <w:t xml:space="preserve">for </w:t>
      </w:r>
      <w:r w:rsidRPr="009358D3">
        <w:rPr>
          <w:lang w:val="en-GB"/>
        </w:rPr>
        <w:t>all non-financial</w:t>
      </w:r>
      <w:r w:rsidR="00CD1026" w:rsidRPr="009358D3">
        <w:rPr>
          <w:lang w:val="en-GB"/>
        </w:rPr>
        <w:t xml:space="preserve"> enterprises</w:t>
      </w:r>
      <w:r w:rsidR="007244DD" w:rsidRPr="009358D3">
        <w:rPr>
          <w:lang w:val="en-GB"/>
        </w:rPr>
        <w:t xml:space="preserve"> increased by 13.1%</w:t>
      </w:r>
      <w:r w:rsidR="00CD1026" w:rsidRPr="009358D3">
        <w:rPr>
          <w:lang w:val="en-GB"/>
        </w:rPr>
        <w:t xml:space="preserve"> to PLN 7,610.</w:t>
      </w:r>
    </w:p>
    <w:p w14:paraId="7AFB5AC6" w14:textId="500BDB33" w:rsidR="00377AE8" w:rsidRPr="009358D3" w:rsidRDefault="00352D7B" w:rsidP="00CA09BB">
      <w:pPr>
        <w:rPr>
          <w:lang w:val="en-GB"/>
        </w:rPr>
      </w:pPr>
      <w:r w:rsidRPr="009358D3">
        <w:rPr>
          <w:lang w:val="en-GB"/>
        </w:rPr>
        <w:t xml:space="preserve">The value of the average </w:t>
      </w:r>
      <w:r w:rsidR="00D512A4" w:rsidRPr="009358D3">
        <w:rPr>
          <w:lang w:val="en-GB"/>
        </w:rPr>
        <w:t xml:space="preserve">wages and </w:t>
      </w:r>
      <w:r w:rsidRPr="009358D3">
        <w:rPr>
          <w:lang w:val="en-GB"/>
        </w:rPr>
        <w:t>salar</w:t>
      </w:r>
      <w:r w:rsidR="001B1805" w:rsidRPr="009358D3">
        <w:rPr>
          <w:lang w:val="en-GB"/>
        </w:rPr>
        <w:t>ies</w:t>
      </w:r>
      <w:r w:rsidRPr="009358D3">
        <w:rPr>
          <w:lang w:val="en-GB"/>
        </w:rPr>
        <w:t xml:space="preserve"> increased </w:t>
      </w:r>
      <w:r w:rsidR="00C81B97" w:rsidRPr="009358D3">
        <w:rPr>
          <w:lang w:val="en-GB"/>
        </w:rPr>
        <w:t xml:space="preserve">– although to varying degrees – in all classes </w:t>
      </w:r>
      <w:r w:rsidRPr="009358D3">
        <w:rPr>
          <w:lang w:val="en-GB"/>
        </w:rPr>
        <w:t xml:space="preserve">of enterprises </w:t>
      </w:r>
      <w:r w:rsidR="00B2133B" w:rsidRPr="009358D3">
        <w:rPr>
          <w:lang w:val="en-GB"/>
        </w:rPr>
        <w:t>belonging to the</w:t>
      </w:r>
      <w:r w:rsidRPr="009358D3">
        <w:rPr>
          <w:lang w:val="en-GB"/>
        </w:rPr>
        <w:t xml:space="preserve"> cultural and creative industries, with the highest increase recorded </w:t>
      </w:r>
      <w:r w:rsidR="001B1805" w:rsidRPr="009358D3">
        <w:rPr>
          <w:lang w:val="en-GB"/>
        </w:rPr>
        <w:t>for</w:t>
      </w:r>
      <w:r w:rsidRPr="009358D3">
        <w:rPr>
          <w:lang w:val="en-GB"/>
        </w:rPr>
        <w:t xml:space="preserve"> small enterprises – by 11.8% (to PLN 9,280). In medium enterprises, the average </w:t>
      </w:r>
      <w:r w:rsidR="001B1805" w:rsidRPr="009358D3">
        <w:rPr>
          <w:lang w:val="en-GB"/>
        </w:rPr>
        <w:t xml:space="preserve">wages and </w:t>
      </w:r>
      <w:r w:rsidRPr="009358D3">
        <w:rPr>
          <w:lang w:val="en-GB"/>
        </w:rPr>
        <w:t>salar</w:t>
      </w:r>
      <w:r w:rsidR="001B1805" w:rsidRPr="009358D3">
        <w:rPr>
          <w:lang w:val="en-GB"/>
        </w:rPr>
        <w:t>ies</w:t>
      </w:r>
      <w:r w:rsidRPr="009358D3">
        <w:rPr>
          <w:lang w:val="en-GB"/>
        </w:rPr>
        <w:t xml:space="preserve"> increased by 8.8%, in micro-enterprises – by 8.2%, and in large enterprises – by 7.6%. The highest gross monthly </w:t>
      </w:r>
      <w:r w:rsidR="001B1805" w:rsidRPr="009358D3">
        <w:rPr>
          <w:lang w:val="en-GB"/>
        </w:rPr>
        <w:t xml:space="preserve">wages and </w:t>
      </w:r>
      <w:r w:rsidRPr="009358D3">
        <w:rPr>
          <w:lang w:val="en-GB"/>
        </w:rPr>
        <w:t>salar</w:t>
      </w:r>
      <w:r w:rsidR="00966623" w:rsidRPr="009358D3">
        <w:rPr>
          <w:lang w:val="en-GB"/>
        </w:rPr>
        <w:t>ies</w:t>
      </w:r>
      <w:r w:rsidRPr="009358D3">
        <w:rPr>
          <w:lang w:val="en-GB"/>
        </w:rPr>
        <w:t xml:space="preserve"> per</w:t>
      </w:r>
      <w:r w:rsidR="00B2133B" w:rsidRPr="009358D3">
        <w:rPr>
          <w:lang w:val="en-GB"/>
        </w:rPr>
        <w:t xml:space="preserve"> one</w:t>
      </w:r>
      <w:r w:rsidRPr="009358D3">
        <w:rPr>
          <w:lang w:val="en-GB"/>
        </w:rPr>
        <w:t xml:space="preserve"> employee was recorded in large ent</w:t>
      </w:r>
      <w:r w:rsidR="007244DD" w:rsidRPr="009358D3">
        <w:rPr>
          <w:lang w:val="en-GB"/>
        </w:rPr>
        <w:t>erprises – PLN 11,392, i.e.</w:t>
      </w:r>
      <w:r w:rsidRPr="009358D3">
        <w:rPr>
          <w:lang w:val="en-GB"/>
        </w:rPr>
        <w:t xml:space="preserve"> more than twice as high as in the case of micro-enterprises (PLN 5,610).</w:t>
      </w:r>
    </w:p>
    <w:p w14:paraId="6EED6802" w14:textId="1AF4E775" w:rsidR="006B091D" w:rsidRPr="009358D3" w:rsidRDefault="00FD7AC4" w:rsidP="007420B7">
      <w:pPr>
        <w:rPr>
          <w:shd w:val="clear" w:color="auto" w:fill="FFFFFF"/>
          <w:lang w:val="en-GB"/>
        </w:rPr>
      </w:pPr>
      <w:r w:rsidRPr="009358D3">
        <w:rPr>
          <w:noProof/>
          <w:lang w:val="en-GB" w:eastAsia="pl-PL"/>
        </w:rPr>
        <mc:AlternateContent>
          <mc:Choice Requires="wps">
            <w:drawing>
              <wp:anchor distT="45720" distB="45720" distL="114300" distR="114300" simplePos="0" relativeHeight="251788288" behindDoc="1" locked="0" layoutInCell="1" allowOverlap="1" wp14:anchorId="1C5DC3C7" wp14:editId="5631D898">
                <wp:simplePos x="0" y="0"/>
                <wp:positionH relativeFrom="page">
                  <wp:posOffset>5669280</wp:posOffset>
                </wp:positionH>
                <wp:positionV relativeFrom="paragraph">
                  <wp:posOffset>-2540</wp:posOffset>
                </wp:positionV>
                <wp:extent cx="1701165" cy="1335405"/>
                <wp:effectExtent l="0" t="0" r="0" b="0"/>
                <wp:wrapTight wrapText="bothSides">
                  <wp:wrapPolygon edited="0">
                    <wp:start x="726" y="0"/>
                    <wp:lineTo x="726" y="21261"/>
                    <wp:lineTo x="20802" y="21261"/>
                    <wp:lineTo x="20802" y="0"/>
                    <wp:lineTo x="726" y="0"/>
                  </wp:wrapPolygon>
                </wp:wrapTight>
                <wp:docPr id="11" name="Prostokąt 11" descr="Gross monthly wages and salaries per one employee in the cultural and creative industries was higher by PLN 1,258 compared to the total non-financial enterpris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165" cy="1335405"/>
                        </a:xfrm>
                        <a:prstGeom prst="rect">
                          <a:avLst/>
                        </a:prstGeom>
                        <a:noFill/>
                        <a:ln w="9360">
                          <a:noFill/>
                        </a:ln>
                      </wps:spPr>
                      <wps:style>
                        <a:lnRef idx="0">
                          <a:scrgbClr r="0" g="0" b="0"/>
                        </a:lnRef>
                        <a:fillRef idx="0">
                          <a:scrgbClr r="0" g="0" b="0"/>
                        </a:fillRef>
                        <a:effectRef idx="0">
                          <a:scrgbClr r="0" g="0" b="0"/>
                        </a:effectRef>
                        <a:fontRef idx="minor"/>
                      </wps:style>
                      <wps:txbx>
                        <w:txbxContent>
                          <w:p w14:paraId="4AC3DE24" w14:textId="45850D7B" w:rsidR="006D4224" w:rsidRPr="000D5874" w:rsidRDefault="0057289C" w:rsidP="00543DA2">
                            <w:pPr>
                              <w:pStyle w:val="tekstzboku"/>
                              <w:rPr>
                                <w:lang w:val="en-GB"/>
                              </w:rPr>
                            </w:pPr>
                            <w:r w:rsidRPr="000D5874">
                              <w:rPr>
                                <w:lang w:val="en-GB"/>
                              </w:rPr>
                              <w:t xml:space="preserve">Gross monthly </w:t>
                            </w:r>
                            <w:r w:rsidR="00D512A4">
                              <w:rPr>
                                <w:lang w:val="en-GB"/>
                              </w:rPr>
                              <w:t xml:space="preserve">wages and </w:t>
                            </w:r>
                            <w:r w:rsidRPr="000D5874">
                              <w:rPr>
                                <w:lang w:val="en-GB"/>
                              </w:rPr>
                              <w:t>salar</w:t>
                            </w:r>
                            <w:r w:rsidR="00D512A4">
                              <w:rPr>
                                <w:lang w:val="en-GB"/>
                              </w:rPr>
                              <w:t>ies</w:t>
                            </w:r>
                            <w:r w:rsidRPr="000D5874">
                              <w:rPr>
                                <w:lang w:val="en-GB"/>
                              </w:rPr>
                              <w:t xml:space="preserve"> per</w:t>
                            </w:r>
                            <w:r w:rsidR="002738E8" w:rsidRPr="000D5874">
                              <w:rPr>
                                <w:lang w:val="en-GB"/>
                              </w:rPr>
                              <w:t xml:space="preserve"> one</w:t>
                            </w:r>
                            <w:r w:rsidRPr="000D5874">
                              <w:rPr>
                                <w:lang w:val="en-GB"/>
                              </w:rPr>
                              <w:t xml:space="preserve"> employee in the cultural and creative industries was higher by PLN 1,258 compared to</w:t>
                            </w:r>
                            <w:r w:rsidR="002738E8" w:rsidRPr="000D5874">
                              <w:rPr>
                                <w:lang w:val="en-GB"/>
                              </w:rPr>
                              <w:t xml:space="preserve"> the total</w:t>
                            </w:r>
                            <w:r w:rsidRPr="000D5874">
                              <w:rPr>
                                <w:lang w:val="en-GB"/>
                              </w:rPr>
                              <w:t xml:space="preserve"> non-financial enterprises</w:t>
                            </w:r>
                          </w:p>
                        </w:txbxContent>
                      </wps:txbx>
                      <wps:bodyPr wrap="square">
                        <a:noAutofit/>
                      </wps:bodyPr>
                    </wps:wsp>
                  </a:graphicData>
                </a:graphic>
                <wp14:sizeRelH relativeFrom="page">
                  <wp14:pctWidth>0</wp14:pctWidth>
                </wp14:sizeRelH>
                <wp14:sizeRelV relativeFrom="margin">
                  <wp14:pctHeight>0</wp14:pctHeight>
                </wp14:sizeRelV>
              </wp:anchor>
            </w:drawing>
          </mc:Choice>
          <mc:Fallback>
            <w:pict>
              <v:rect w14:anchorId="1C5DC3C7" id="Prostokąt 11" o:spid="_x0000_s1029" alt="Gross monthly wages and salaries per one employee in the cultural and creative industries was higher by PLN 1,258 compared to the total non-financial enterprises" style="position:absolute;margin-left:446.4pt;margin-top:-.2pt;width:133.95pt;height:105.15pt;z-index:-251528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" filled="f" stroked="f" strokeweight=".26mm">
                <v:textbox>
                  <w:txbxContent>
                    <w:p w14:paraId="4AC3DE24" w14:textId="45850D7B" w:rsidR="006D4224" w:rsidRPr="000D5874" w:rsidRDefault="0057289C" w:rsidP="00543DA2">
                      <w:pPr>
                        <w:pStyle w:val="tekstzboku"/>
                        <w:rPr>
                          <w:lang w:val="en-GB"/>
                        </w:rPr>
                      </w:pPr>
                      <w:r w:rsidRPr="000D5874">
                        <w:rPr>
                          <w:lang w:val="en-GB"/>
                        </w:rPr>
                        <w:t xml:space="preserve">Gross monthly </w:t>
                      </w:r>
                      <w:r w:rsidR="00D512A4">
                        <w:rPr>
                          <w:lang w:val="en-GB"/>
                        </w:rPr>
                        <w:t xml:space="preserve">wages and </w:t>
                      </w:r>
                      <w:r w:rsidRPr="000D5874">
                        <w:rPr>
                          <w:lang w:val="en-GB"/>
                        </w:rPr>
                        <w:t>salar</w:t>
                      </w:r>
                      <w:r w:rsidR="00D512A4">
                        <w:rPr>
                          <w:lang w:val="en-GB"/>
                        </w:rPr>
                        <w:t>ies</w:t>
                      </w:r>
                      <w:r w:rsidRPr="000D5874">
                        <w:rPr>
                          <w:lang w:val="en-GB"/>
                        </w:rPr>
                        <w:t xml:space="preserve"> per</w:t>
                      </w:r>
                      <w:r w:rsidR="002738E8" w:rsidRPr="000D5874">
                        <w:rPr>
                          <w:lang w:val="en-GB"/>
                        </w:rPr>
                        <w:t xml:space="preserve"> one</w:t>
                      </w:r>
                      <w:r w:rsidRPr="000D5874">
                        <w:rPr>
                          <w:lang w:val="en-GB"/>
                        </w:rPr>
                        <w:t xml:space="preserve"> employee in the cultural and creative industries was higher by PLN 1,258 compared to</w:t>
                      </w:r>
                      <w:r w:rsidR="002738E8" w:rsidRPr="000D5874">
                        <w:rPr>
                          <w:lang w:val="en-GB"/>
                        </w:rPr>
                        <w:t xml:space="preserve"> the total</w:t>
                      </w:r>
                      <w:r w:rsidRPr="000D5874">
                        <w:rPr>
                          <w:lang w:val="en-GB"/>
                        </w:rPr>
                        <w:t xml:space="preserve"> non-financial enterprises</w:t>
                      </w:r>
                    </w:p>
                  </w:txbxContent>
                </v:textbox>
                <w10:wrap type="tight" anchorx="page"/>
              </v:rect>
            </w:pict>
          </mc:Fallback>
        </mc:AlternateContent>
      </w:r>
      <w:r w:rsidR="006D4224" w:rsidRPr="009358D3">
        <w:rPr>
          <w:lang w:val="en-GB"/>
        </w:rPr>
        <w:t xml:space="preserve">Regardless of the size class of enterprises, in the cultural and creative industries, the gross monthly </w:t>
      </w:r>
      <w:r w:rsidR="002A65CE" w:rsidRPr="009358D3">
        <w:rPr>
          <w:lang w:val="en-GB"/>
        </w:rPr>
        <w:t xml:space="preserve">wages and </w:t>
      </w:r>
      <w:r w:rsidR="006D4224" w:rsidRPr="009358D3">
        <w:rPr>
          <w:lang w:val="en-GB"/>
        </w:rPr>
        <w:t>salar</w:t>
      </w:r>
      <w:r w:rsidR="00966623" w:rsidRPr="009358D3">
        <w:rPr>
          <w:lang w:val="en-GB"/>
        </w:rPr>
        <w:t>ies</w:t>
      </w:r>
      <w:r w:rsidR="006D4224" w:rsidRPr="009358D3">
        <w:rPr>
          <w:lang w:val="en-GB"/>
        </w:rPr>
        <w:t xml:space="preserve"> per employee was higher than in</w:t>
      </w:r>
      <w:r w:rsidR="002738E8" w:rsidRPr="009358D3">
        <w:rPr>
          <w:lang w:val="en-GB"/>
        </w:rPr>
        <w:t xml:space="preserve"> the total</w:t>
      </w:r>
      <w:r w:rsidR="006D4224" w:rsidRPr="009358D3">
        <w:rPr>
          <w:lang w:val="en-GB"/>
        </w:rPr>
        <w:t xml:space="preserve"> non-financial enterprises</w:t>
      </w:r>
      <w:r w:rsidR="002738E8" w:rsidRPr="009358D3">
        <w:rPr>
          <w:lang w:val="en-GB"/>
        </w:rPr>
        <w:t xml:space="preserve"> </w:t>
      </w:r>
      <w:r w:rsidR="006D4224" w:rsidRPr="009358D3">
        <w:rPr>
          <w:lang w:val="en-GB"/>
        </w:rPr>
        <w:t>– by PLN 1,258. In the largest group of entities</w:t>
      </w:r>
      <w:r w:rsidR="00CD1026" w:rsidRPr="009358D3">
        <w:rPr>
          <w:lang w:val="en-GB"/>
        </w:rPr>
        <w:t>, i.e. in micro-enterprises, this</w:t>
      </w:r>
      <w:r w:rsidR="006D4224" w:rsidRPr="009358D3">
        <w:rPr>
          <w:lang w:val="en-GB"/>
        </w:rPr>
        <w:t xml:space="preserve"> difference amounted to PLN 782, in small enterprises – PLN 2,023, in medium enterprises – PLN 2,636, and in large enterprises – PLN 2,612.</w:t>
      </w:r>
    </w:p>
    <w:p w14:paraId="163F6EFF" w14:textId="69C19DF7" w:rsidR="006D4224" w:rsidRPr="009358D3" w:rsidRDefault="006D4224" w:rsidP="007420B7">
      <w:pPr>
        <w:rPr>
          <w:shd w:val="clear" w:color="auto" w:fill="FFFFFF"/>
          <w:lang w:val="en-GB"/>
        </w:rPr>
      </w:pPr>
      <w:r w:rsidRPr="009358D3">
        <w:rPr>
          <w:lang w:val="en-GB"/>
        </w:rPr>
        <w:t xml:space="preserve">The share of gross </w:t>
      </w:r>
      <w:r w:rsidR="002A65CE" w:rsidRPr="009358D3">
        <w:rPr>
          <w:lang w:val="en-GB"/>
        </w:rPr>
        <w:t xml:space="preserve">wages and </w:t>
      </w:r>
      <w:r w:rsidRPr="009358D3">
        <w:rPr>
          <w:lang w:val="en-GB"/>
        </w:rPr>
        <w:t>salaries in total costs for enterprises classified as cultural and creative industries was 11.3% (0.3 percentage points less than in 2022).</w:t>
      </w:r>
    </w:p>
    <w:p w14:paraId="5C613671" w14:textId="74E54C99" w:rsidR="006D4224" w:rsidRPr="009358D3" w:rsidRDefault="00FB78C8" w:rsidP="00E130A6">
      <w:pPr>
        <w:pStyle w:val="Tytutablicy"/>
        <w:suppressAutoHyphens/>
        <w:spacing w:before="240"/>
        <w:ind w:left="709" w:hanging="709"/>
        <w:rPr>
          <w:lang w:val="en-GB"/>
        </w:rPr>
      </w:pPr>
      <w:r w:rsidRPr="009358D3">
        <w:rPr>
          <w:lang w:val="en-GB"/>
        </w:rPr>
        <w:t>Table 1. Employed persons, average employment</w:t>
      </w:r>
      <w:r w:rsidR="002738E8" w:rsidRPr="009358D3">
        <w:rPr>
          <w:lang w:val="en-GB"/>
        </w:rPr>
        <w:t>, gross</w:t>
      </w:r>
      <w:r w:rsidRPr="009358D3">
        <w:rPr>
          <w:lang w:val="en-GB"/>
        </w:rPr>
        <w:t xml:space="preserve"> wages</w:t>
      </w:r>
      <w:r w:rsidR="002738E8" w:rsidRPr="009358D3">
        <w:rPr>
          <w:lang w:val="en-GB"/>
        </w:rPr>
        <w:t xml:space="preserve"> and salaries</w:t>
      </w:r>
      <w:r w:rsidRPr="009358D3">
        <w:rPr>
          <w:lang w:val="en-GB"/>
        </w:rPr>
        <w:t xml:space="preserve"> in cultural and creative industries in 2023</w:t>
      </w:r>
    </w:p>
    <w:tbl>
      <w:tblPr>
        <w:tblStyle w:val="Siatkatabelijasna1"/>
        <w:tblW w:w="7768" w:type="dxa"/>
        <w:tblInd w:w="0" w:type="dxa"/>
        <w:tblBorders>
          <w:top w:val="single" w:sz="4" w:space="0" w:color="001D77"/>
          <w:left w:val="none" w:sz="0" w:space="0" w:color="auto"/>
          <w:bottom w:val="single" w:sz="4" w:space="0" w:color="001D77"/>
          <w:right w:val="none" w:sz="0" w:space="0" w:color="auto"/>
          <w:insideH w:val="single" w:sz="4" w:space="0" w:color="001D77"/>
          <w:insideV w:val="single" w:sz="2" w:space="0" w:color="001D77"/>
        </w:tblBorders>
        <w:tblLayout w:type="fixed"/>
        <w:tblCellMar>
          <w:top w:w="57" w:type="dxa"/>
          <w:bottom w:w="57" w:type="dxa"/>
        </w:tblCellMar>
        <w:tblLook w:val="04A0" w:firstRow="1" w:lastRow="0" w:firstColumn="1" w:lastColumn="0" w:noHBand="0" w:noVBand="1"/>
        <w:tblCaption w:val="Table 1. presenting employed persons, average employment, gross wages and salaries in cultural and creative industries in 2023"/>
      </w:tblPr>
      <w:tblGrid>
        <w:gridCol w:w="2552"/>
        <w:gridCol w:w="1304"/>
        <w:gridCol w:w="1304"/>
        <w:gridCol w:w="1304"/>
        <w:gridCol w:w="1304"/>
      </w:tblGrid>
      <w:tr w:rsidR="00E55166" w:rsidRPr="009358D3" w14:paraId="13B1404D" w14:textId="77777777" w:rsidTr="00ED30A6">
        <w:trPr>
          <w:trHeight w:val="113"/>
          <w:tblHeader/>
        </w:trPr>
        <w:tc>
          <w:tcPr>
            <w:tcW w:w="2552" w:type="dxa"/>
            <w:vAlign w:val="center"/>
            <w:hideMark/>
          </w:tcPr>
          <w:p w14:paraId="28D459F1" w14:textId="67A1D73D" w:rsidR="006D4224" w:rsidRPr="009358D3" w:rsidRDefault="00750AB8" w:rsidP="00EB0ED2">
            <w:pPr>
              <w:pStyle w:val="Tablicagwkarodek"/>
              <w:spacing w:before="0" w:after="0" w:line="240" w:lineRule="auto"/>
              <w:rPr>
                <w:rFonts w:cs="Arial"/>
                <w:color w:val="00000A"/>
                <w:lang w:val="en-GB" w:eastAsia="en-US"/>
              </w:rPr>
            </w:pPr>
            <w:r w:rsidRPr="009358D3">
              <w:rPr>
                <w:lang w:val="en-GB"/>
              </w:rPr>
              <w:t>Specification</w:t>
            </w:r>
          </w:p>
        </w:tc>
        <w:tc>
          <w:tcPr>
            <w:tcW w:w="1304" w:type="dxa"/>
            <w:tcMar>
              <w:top w:w="57" w:type="dxa"/>
              <w:left w:w="102" w:type="dxa"/>
              <w:bottom w:w="57" w:type="dxa"/>
              <w:right w:w="108" w:type="dxa"/>
            </w:tcMar>
            <w:vAlign w:val="center"/>
            <w:hideMark/>
          </w:tcPr>
          <w:p w14:paraId="05EA22B9" w14:textId="77777777" w:rsidR="00E55166" w:rsidRPr="009358D3" w:rsidRDefault="006D4224" w:rsidP="00EB0ED2">
            <w:pPr>
              <w:pStyle w:val="Tablicagwkarodek"/>
              <w:spacing w:before="0" w:after="0" w:line="240" w:lineRule="auto"/>
              <w:rPr>
                <w:lang w:val="en-GB"/>
              </w:rPr>
            </w:pPr>
            <w:r w:rsidRPr="009358D3">
              <w:rPr>
                <w:lang w:val="en-GB"/>
              </w:rPr>
              <w:t xml:space="preserve">Number </w:t>
            </w:r>
          </w:p>
          <w:p w14:paraId="7724A1DE" w14:textId="6914AD48" w:rsidR="006D4224" w:rsidRPr="009358D3" w:rsidRDefault="002738E8" w:rsidP="00EB0ED2">
            <w:pPr>
              <w:pStyle w:val="Tablicagwkarodek"/>
              <w:spacing w:before="0" w:after="0" w:line="240" w:lineRule="auto"/>
              <w:rPr>
                <w:vertAlign w:val="superscript"/>
                <w:lang w:val="en-GB"/>
              </w:rPr>
            </w:pPr>
            <w:r w:rsidRPr="009358D3">
              <w:rPr>
                <w:lang w:val="en-GB"/>
              </w:rPr>
              <w:t xml:space="preserve">of persons </w:t>
            </w:r>
            <w:proofErr w:type="spellStart"/>
            <w:r w:rsidRPr="009358D3">
              <w:rPr>
                <w:lang w:val="en-GB"/>
              </w:rPr>
              <w:t>employed</w:t>
            </w:r>
            <w:r w:rsidRPr="009358D3">
              <w:rPr>
                <w:vertAlign w:val="superscript"/>
                <w:lang w:val="en-GB"/>
              </w:rPr>
              <w:t>a</w:t>
            </w:r>
            <w:proofErr w:type="spellEnd"/>
          </w:p>
        </w:tc>
        <w:tc>
          <w:tcPr>
            <w:tcW w:w="1304" w:type="dxa"/>
            <w:tcMar>
              <w:top w:w="57" w:type="dxa"/>
              <w:left w:w="102" w:type="dxa"/>
              <w:bottom w:w="57" w:type="dxa"/>
              <w:right w:w="108" w:type="dxa"/>
            </w:tcMar>
            <w:vAlign w:val="center"/>
            <w:hideMark/>
          </w:tcPr>
          <w:p w14:paraId="5362AAC6" w14:textId="67C27507" w:rsidR="006D4224" w:rsidRPr="009358D3" w:rsidRDefault="006D4224" w:rsidP="00EB0ED2">
            <w:pPr>
              <w:pStyle w:val="Tablicagwkarodek"/>
              <w:spacing w:before="0" w:after="0" w:line="240" w:lineRule="auto"/>
              <w:rPr>
                <w:lang w:val="en-GB"/>
              </w:rPr>
            </w:pPr>
            <w:r w:rsidRPr="009358D3">
              <w:rPr>
                <w:lang w:val="en-GB"/>
              </w:rPr>
              <w:t>Average</w:t>
            </w:r>
            <w:r w:rsidR="002738E8" w:rsidRPr="009358D3">
              <w:rPr>
                <w:lang w:val="en-GB"/>
              </w:rPr>
              <w:t xml:space="preserve"> paid</w:t>
            </w:r>
            <w:r w:rsidRPr="009358D3">
              <w:rPr>
                <w:lang w:val="en-GB"/>
              </w:rPr>
              <w:t xml:space="preserve"> employment</w:t>
            </w:r>
          </w:p>
        </w:tc>
        <w:tc>
          <w:tcPr>
            <w:tcW w:w="1304" w:type="dxa"/>
            <w:tcMar>
              <w:top w:w="57" w:type="dxa"/>
              <w:left w:w="102" w:type="dxa"/>
              <w:bottom w:w="57" w:type="dxa"/>
              <w:right w:w="108" w:type="dxa"/>
            </w:tcMar>
            <w:vAlign w:val="center"/>
            <w:hideMark/>
          </w:tcPr>
          <w:p w14:paraId="725F2B7D" w14:textId="77777777" w:rsidR="00ED30A6" w:rsidRPr="009358D3" w:rsidRDefault="006D4224" w:rsidP="00EB0ED2">
            <w:pPr>
              <w:pStyle w:val="Tablicagwkarodek"/>
              <w:spacing w:before="0" w:after="0" w:line="240" w:lineRule="auto"/>
              <w:rPr>
                <w:lang w:val="en-GB"/>
              </w:rPr>
            </w:pPr>
            <w:r w:rsidRPr="009358D3">
              <w:rPr>
                <w:lang w:val="en-GB"/>
              </w:rPr>
              <w:t xml:space="preserve">Gross wages and salaries </w:t>
            </w:r>
          </w:p>
          <w:p w14:paraId="0B3E41C7" w14:textId="259C38B4" w:rsidR="006D4224" w:rsidRPr="009358D3" w:rsidRDefault="006D4224" w:rsidP="00EB0ED2">
            <w:pPr>
              <w:pStyle w:val="Tablicagwkarodek"/>
              <w:spacing w:before="0" w:after="0" w:line="240" w:lineRule="auto"/>
              <w:rPr>
                <w:lang w:val="en-GB"/>
              </w:rPr>
            </w:pPr>
            <w:r w:rsidRPr="009358D3">
              <w:rPr>
                <w:lang w:val="en-GB"/>
              </w:rPr>
              <w:t xml:space="preserve">in </w:t>
            </w:r>
            <w:r w:rsidR="002738E8" w:rsidRPr="009358D3">
              <w:rPr>
                <w:lang w:val="en-GB"/>
              </w:rPr>
              <w:t xml:space="preserve">thousand </w:t>
            </w:r>
            <w:r w:rsidRPr="009358D3">
              <w:rPr>
                <w:lang w:val="en-GB"/>
              </w:rPr>
              <w:t>PLN</w:t>
            </w:r>
          </w:p>
        </w:tc>
        <w:tc>
          <w:tcPr>
            <w:tcW w:w="1304" w:type="dxa"/>
            <w:tcMar>
              <w:top w:w="57" w:type="dxa"/>
              <w:left w:w="102" w:type="dxa"/>
              <w:bottom w:w="57" w:type="dxa"/>
              <w:right w:w="108" w:type="dxa"/>
            </w:tcMar>
            <w:vAlign w:val="center"/>
            <w:hideMark/>
          </w:tcPr>
          <w:p w14:paraId="6E6E2C95" w14:textId="1A90C954" w:rsidR="006D4224" w:rsidRPr="009358D3" w:rsidRDefault="002738E8" w:rsidP="00EB0ED2">
            <w:pPr>
              <w:pStyle w:val="Tablicagwkarodek"/>
              <w:spacing w:before="0" w:after="0" w:line="240" w:lineRule="auto"/>
              <w:rPr>
                <w:lang w:val="en-GB"/>
              </w:rPr>
            </w:pPr>
            <w:r w:rsidRPr="009358D3">
              <w:rPr>
                <w:rFonts w:cs="Arial"/>
                <w:bCs/>
                <w:color w:val="000000" w:themeColor="text1"/>
                <w:lang w:val="en-GB"/>
              </w:rPr>
              <w:t>Monthly gross wages and salar</w:t>
            </w:r>
            <w:r w:rsidR="00966623" w:rsidRPr="009358D3">
              <w:rPr>
                <w:rFonts w:cs="Arial"/>
                <w:bCs/>
                <w:color w:val="000000" w:themeColor="text1"/>
                <w:lang w:val="en-GB"/>
              </w:rPr>
              <w:t>ies</w:t>
            </w:r>
            <w:r w:rsidRPr="009358D3">
              <w:rPr>
                <w:rFonts w:cs="Arial"/>
                <w:bCs/>
                <w:color w:val="000000" w:themeColor="text1"/>
                <w:lang w:val="en-GB"/>
              </w:rPr>
              <w:t xml:space="preserve"> per 1 paid employee in PLN</w:t>
            </w:r>
          </w:p>
        </w:tc>
      </w:tr>
      <w:tr w:rsidR="009D33EE" w:rsidRPr="009358D3" w14:paraId="069F9267" w14:textId="77777777" w:rsidTr="00ED30A6">
        <w:trPr>
          <w:trHeight w:val="113"/>
          <w:tblHeader/>
        </w:trPr>
        <w:tc>
          <w:tcPr>
            <w:tcW w:w="2552" w:type="dxa"/>
            <w:vAlign w:val="center"/>
            <w:hideMark/>
          </w:tcPr>
          <w:p w14:paraId="11FC7A4E" w14:textId="7548486F" w:rsidR="009D33EE" w:rsidRPr="009358D3" w:rsidRDefault="009D33EE" w:rsidP="00EB0ED2">
            <w:pPr>
              <w:pStyle w:val="Tablicaboczek"/>
              <w:spacing w:before="0" w:after="0" w:line="240" w:lineRule="auto"/>
              <w:rPr>
                <w:rFonts w:cs="Fira Sans"/>
                <w:b/>
                <w:spacing w:val="-1"/>
                <w:lang w:val="en-GB"/>
              </w:rPr>
            </w:pPr>
            <w:r w:rsidRPr="009358D3">
              <w:rPr>
                <w:rFonts w:cs="Fira Sans"/>
                <w:b/>
                <w:spacing w:val="-1"/>
                <w:lang w:val="en-GB"/>
              </w:rPr>
              <w:t>Total</w:t>
            </w:r>
          </w:p>
        </w:tc>
        <w:tc>
          <w:tcPr>
            <w:tcW w:w="1304" w:type="dxa"/>
            <w:tcMar>
              <w:top w:w="57" w:type="dxa"/>
              <w:left w:w="102" w:type="dxa"/>
              <w:bottom w:w="57" w:type="dxa"/>
              <w:right w:w="108" w:type="dxa"/>
            </w:tcMar>
            <w:vAlign w:val="center"/>
            <w:hideMark/>
          </w:tcPr>
          <w:p w14:paraId="1DECBBE2" w14:textId="4737C4BA" w:rsidR="009D33EE" w:rsidRPr="009358D3" w:rsidRDefault="009D33EE" w:rsidP="00EB0ED2">
            <w:pPr>
              <w:pStyle w:val="Tablicadanerodek"/>
              <w:spacing w:before="0" w:after="0" w:line="240" w:lineRule="auto"/>
              <w:rPr>
                <w:b/>
                <w:lang w:val="en-GB"/>
              </w:rPr>
            </w:pPr>
            <w:r w:rsidRPr="009358D3">
              <w:rPr>
                <w:rFonts w:cs="Arial"/>
                <w:b/>
                <w:bCs/>
                <w:color w:val="000000"/>
                <w:lang w:val="en-GB"/>
              </w:rPr>
              <w:t>236</w:t>
            </w:r>
            <w:r w:rsidR="00E64ACB" w:rsidRPr="009358D3">
              <w:rPr>
                <w:rFonts w:cs="Arial"/>
                <w:b/>
                <w:bCs/>
                <w:color w:val="000000"/>
                <w:lang w:val="en-GB"/>
              </w:rPr>
              <w:t>,</w:t>
            </w:r>
            <w:r w:rsidRPr="009358D3">
              <w:rPr>
                <w:rFonts w:cs="Arial"/>
                <w:b/>
                <w:bCs/>
                <w:color w:val="000000"/>
                <w:lang w:val="en-GB"/>
              </w:rPr>
              <w:t>686</w:t>
            </w:r>
          </w:p>
        </w:tc>
        <w:tc>
          <w:tcPr>
            <w:tcW w:w="1304" w:type="dxa"/>
            <w:tcMar>
              <w:top w:w="57" w:type="dxa"/>
              <w:left w:w="102" w:type="dxa"/>
              <w:bottom w:w="57" w:type="dxa"/>
              <w:right w:w="108" w:type="dxa"/>
            </w:tcMar>
            <w:vAlign w:val="center"/>
            <w:hideMark/>
          </w:tcPr>
          <w:p w14:paraId="1DF093C3" w14:textId="27712A13" w:rsidR="009D33EE" w:rsidRPr="009358D3" w:rsidRDefault="002763E4" w:rsidP="00EB0ED2">
            <w:pPr>
              <w:pStyle w:val="Tablicadanerodek"/>
              <w:spacing w:before="0" w:after="0" w:line="240" w:lineRule="auto"/>
              <w:rPr>
                <w:b/>
                <w:lang w:val="en-GB"/>
              </w:rPr>
            </w:pPr>
            <w:r w:rsidRPr="009358D3">
              <w:rPr>
                <w:rFonts w:cs="Arial"/>
                <w:b/>
                <w:bCs/>
                <w:color w:val="000000"/>
                <w:lang w:val="en-GB"/>
              </w:rPr>
              <w:t>92</w:t>
            </w:r>
            <w:r w:rsidR="00E64ACB" w:rsidRPr="009358D3">
              <w:rPr>
                <w:rFonts w:cs="Arial"/>
                <w:b/>
                <w:bCs/>
                <w:color w:val="000000"/>
                <w:lang w:val="en-GB"/>
              </w:rPr>
              <w:t>,</w:t>
            </w:r>
            <w:r w:rsidRPr="009358D3">
              <w:rPr>
                <w:rFonts w:cs="Arial"/>
                <w:b/>
                <w:bCs/>
                <w:color w:val="000000"/>
                <w:lang w:val="en-GB"/>
              </w:rPr>
              <w:t>542</w:t>
            </w:r>
          </w:p>
        </w:tc>
        <w:tc>
          <w:tcPr>
            <w:tcW w:w="1304" w:type="dxa"/>
            <w:tcMar>
              <w:top w:w="57" w:type="dxa"/>
              <w:left w:w="102" w:type="dxa"/>
              <w:bottom w:w="57" w:type="dxa"/>
              <w:right w:w="108" w:type="dxa"/>
            </w:tcMar>
            <w:vAlign w:val="center"/>
            <w:hideMark/>
          </w:tcPr>
          <w:p w14:paraId="31615E55" w14:textId="742486B7" w:rsidR="009D33EE" w:rsidRPr="009358D3" w:rsidRDefault="009D33EE" w:rsidP="00EB0ED2">
            <w:pPr>
              <w:pStyle w:val="Tablicadanerodek"/>
              <w:spacing w:before="0" w:after="0" w:line="240" w:lineRule="auto"/>
              <w:rPr>
                <w:b/>
                <w:lang w:val="en-GB"/>
              </w:rPr>
            </w:pPr>
            <w:r w:rsidRPr="009358D3">
              <w:rPr>
                <w:rFonts w:cs="Arial"/>
                <w:b/>
                <w:bCs/>
                <w:color w:val="000000"/>
                <w:lang w:val="en-GB"/>
              </w:rPr>
              <w:t>9</w:t>
            </w:r>
            <w:r w:rsidR="00E64ACB" w:rsidRPr="009358D3">
              <w:rPr>
                <w:rFonts w:cs="Arial"/>
                <w:b/>
                <w:bCs/>
                <w:color w:val="000000"/>
                <w:lang w:val="en-GB"/>
              </w:rPr>
              <w:t>,</w:t>
            </w:r>
            <w:r w:rsidRPr="009358D3">
              <w:rPr>
                <w:rFonts w:cs="Arial"/>
                <w:b/>
                <w:bCs/>
                <w:color w:val="000000"/>
                <w:lang w:val="en-GB"/>
              </w:rPr>
              <w:t>847</w:t>
            </w:r>
            <w:r w:rsidR="00E64ACB" w:rsidRPr="009358D3">
              <w:rPr>
                <w:rFonts w:cs="Arial"/>
                <w:b/>
                <w:bCs/>
                <w:color w:val="000000"/>
                <w:lang w:val="en-GB"/>
              </w:rPr>
              <w:t>,</w:t>
            </w:r>
            <w:r w:rsidRPr="009358D3">
              <w:rPr>
                <w:rFonts w:cs="Arial"/>
                <w:b/>
                <w:bCs/>
                <w:color w:val="000000"/>
                <w:lang w:val="en-GB"/>
              </w:rPr>
              <w:t>861</w:t>
            </w:r>
          </w:p>
        </w:tc>
        <w:tc>
          <w:tcPr>
            <w:tcW w:w="1304" w:type="dxa"/>
            <w:tcMar>
              <w:top w:w="57" w:type="dxa"/>
              <w:left w:w="102" w:type="dxa"/>
              <w:bottom w:w="57" w:type="dxa"/>
              <w:right w:w="108" w:type="dxa"/>
            </w:tcMar>
            <w:vAlign w:val="center"/>
            <w:hideMark/>
          </w:tcPr>
          <w:p w14:paraId="7F6CA915" w14:textId="7F9F9E3E" w:rsidR="009D33EE" w:rsidRPr="009358D3" w:rsidRDefault="00FC4FA5" w:rsidP="00EB0ED2">
            <w:pPr>
              <w:pStyle w:val="Tablicadanerodek"/>
              <w:spacing w:before="0" w:after="0" w:line="240" w:lineRule="auto"/>
              <w:rPr>
                <w:b/>
                <w:lang w:val="en-GB"/>
              </w:rPr>
            </w:pPr>
            <w:r w:rsidRPr="009358D3">
              <w:rPr>
                <w:rFonts w:cs="Arial"/>
                <w:b/>
                <w:bCs/>
                <w:color w:val="000000"/>
                <w:lang w:val="en-GB"/>
              </w:rPr>
              <w:t>8</w:t>
            </w:r>
            <w:r w:rsidR="00E64ACB" w:rsidRPr="009358D3">
              <w:rPr>
                <w:rFonts w:cs="Arial"/>
                <w:b/>
                <w:bCs/>
                <w:color w:val="000000"/>
                <w:lang w:val="en-GB"/>
              </w:rPr>
              <w:t>,</w:t>
            </w:r>
            <w:r w:rsidRPr="009358D3">
              <w:rPr>
                <w:rFonts w:cs="Arial"/>
                <w:b/>
                <w:bCs/>
                <w:color w:val="000000"/>
                <w:lang w:val="en-GB"/>
              </w:rPr>
              <w:t>868</w:t>
            </w:r>
          </w:p>
        </w:tc>
      </w:tr>
      <w:tr w:rsidR="009D33EE" w:rsidRPr="009358D3" w14:paraId="5E0D76A5" w14:textId="77777777" w:rsidTr="00ED30A6">
        <w:trPr>
          <w:trHeight w:val="113"/>
          <w:tblHeader/>
        </w:trPr>
        <w:tc>
          <w:tcPr>
            <w:tcW w:w="2552" w:type="dxa"/>
            <w:vAlign w:val="center"/>
            <w:hideMark/>
          </w:tcPr>
          <w:p w14:paraId="32C031FD" w14:textId="4E0838DC" w:rsidR="009D33EE" w:rsidRPr="009358D3" w:rsidRDefault="00ED30A6" w:rsidP="00EB0ED2">
            <w:pPr>
              <w:pStyle w:val="Tablicaboczek"/>
              <w:spacing w:before="0" w:after="0" w:line="240" w:lineRule="auto"/>
              <w:ind w:left="176"/>
              <w:rPr>
                <w:rFonts w:cs="Fira Sans"/>
                <w:spacing w:val="-1"/>
                <w:lang w:val="en-GB"/>
              </w:rPr>
            </w:pPr>
            <w:r w:rsidRPr="009358D3">
              <w:rPr>
                <w:rFonts w:cs="Fira Sans"/>
                <w:spacing w:val="-1"/>
                <w:lang w:val="en-GB"/>
              </w:rPr>
              <w:t>Micro</w:t>
            </w:r>
            <w:r w:rsidR="002738E8" w:rsidRPr="009358D3">
              <w:rPr>
                <w:rFonts w:cs="Fira Sans"/>
                <w:spacing w:val="-1"/>
                <w:lang w:val="en-GB"/>
              </w:rPr>
              <w:t>-enterpris</w:t>
            </w:r>
            <w:r w:rsidR="009E7B41" w:rsidRPr="009358D3">
              <w:rPr>
                <w:rFonts w:cs="Fira Sans"/>
                <w:spacing w:val="-1"/>
                <w:lang w:val="en-GB"/>
              </w:rPr>
              <w:t>e</w:t>
            </w:r>
            <w:r w:rsidR="002738E8" w:rsidRPr="009358D3">
              <w:rPr>
                <w:rFonts w:cs="Fira Sans"/>
                <w:spacing w:val="-1"/>
                <w:lang w:val="en-GB"/>
              </w:rPr>
              <w:t>s</w:t>
            </w:r>
          </w:p>
        </w:tc>
        <w:tc>
          <w:tcPr>
            <w:tcW w:w="1304" w:type="dxa"/>
            <w:tcMar>
              <w:top w:w="57" w:type="dxa"/>
              <w:left w:w="102" w:type="dxa"/>
              <w:bottom w:w="57" w:type="dxa"/>
              <w:right w:w="108" w:type="dxa"/>
            </w:tcMar>
            <w:vAlign w:val="center"/>
            <w:hideMark/>
          </w:tcPr>
          <w:p w14:paraId="124A9612" w14:textId="56594CA3" w:rsidR="009D33EE" w:rsidRPr="009358D3" w:rsidRDefault="009D33EE" w:rsidP="00EB0ED2">
            <w:pPr>
              <w:pStyle w:val="Tablicadanerodek"/>
              <w:spacing w:before="0" w:after="0" w:line="240" w:lineRule="auto"/>
              <w:rPr>
                <w:lang w:val="en-GB"/>
              </w:rPr>
            </w:pPr>
            <w:r w:rsidRPr="009358D3">
              <w:rPr>
                <w:rFonts w:cs="Arial"/>
                <w:color w:val="000000"/>
                <w:lang w:val="en-GB"/>
              </w:rPr>
              <w:t>173</w:t>
            </w:r>
            <w:r w:rsidR="00E64ACB" w:rsidRPr="009358D3">
              <w:rPr>
                <w:rFonts w:cs="Arial"/>
                <w:color w:val="000000"/>
                <w:lang w:val="en-GB"/>
              </w:rPr>
              <w:t>,</w:t>
            </w:r>
            <w:r w:rsidRPr="009358D3">
              <w:rPr>
                <w:rFonts w:cs="Arial"/>
                <w:color w:val="000000"/>
                <w:lang w:val="en-GB"/>
              </w:rPr>
              <w:t>228</w:t>
            </w:r>
          </w:p>
        </w:tc>
        <w:tc>
          <w:tcPr>
            <w:tcW w:w="1304" w:type="dxa"/>
            <w:tcMar>
              <w:top w:w="57" w:type="dxa"/>
              <w:left w:w="102" w:type="dxa"/>
              <w:bottom w:w="57" w:type="dxa"/>
              <w:right w:w="108" w:type="dxa"/>
            </w:tcMar>
            <w:vAlign w:val="center"/>
            <w:hideMark/>
          </w:tcPr>
          <w:p w14:paraId="526BFE3D" w14:textId="19AA024D" w:rsidR="009D33EE" w:rsidRPr="009358D3" w:rsidRDefault="009D33EE" w:rsidP="00EB0ED2">
            <w:pPr>
              <w:pStyle w:val="Tablicadanerodek"/>
              <w:spacing w:before="0" w:after="0" w:line="240" w:lineRule="auto"/>
              <w:rPr>
                <w:lang w:val="en-GB"/>
              </w:rPr>
            </w:pPr>
            <w:r w:rsidRPr="009358D3">
              <w:rPr>
                <w:rFonts w:cs="Arial"/>
                <w:color w:val="000000"/>
                <w:lang w:val="en-GB"/>
              </w:rPr>
              <w:t>32</w:t>
            </w:r>
            <w:r w:rsidR="00E64ACB" w:rsidRPr="009358D3">
              <w:rPr>
                <w:rFonts w:cs="Arial"/>
                <w:color w:val="000000"/>
                <w:lang w:val="en-GB"/>
              </w:rPr>
              <w:t>,</w:t>
            </w:r>
            <w:r w:rsidRPr="009358D3">
              <w:rPr>
                <w:rFonts w:cs="Arial"/>
                <w:color w:val="000000"/>
                <w:lang w:val="en-GB"/>
              </w:rPr>
              <w:t>412</w:t>
            </w:r>
          </w:p>
        </w:tc>
        <w:tc>
          <w:tcPr>
            <w:tcW w:w="1304" w:type="dxa"/>
            <w:tcMar>
              <w:top w:w="57" w:type="dxa"/>
              <w:left w:w="102" w:type="dxa"/>
              <w:bottom w:w="57" w:type="dxa"/>
              <w:right w:w="108" w:type="dxa"/>
            </w:tcMar>
            <w:vAlign w:val="center"/>
            <w:hideMark/>
          </w:tcPr>
          <w:p w14:paraId="140551DD" w14:textId="1931CC11" w:rsidR="009D33EE" w:rsidRPr="009358D3" w:rsidRDefault="009D33EE" w:rsidP="00EB0ED2">
            <w:pPr>
              <w:pStyle w:val="Tablicadanerodek"/>
              <w:spacing w:before="0" w:after="0" w:line="240" w:lineRule="auto"/>
              <w:rPr>
                <w:lang w:val="en-GB"/>
              </w:rPr>
            </w:pPr>
            <w:r w:rsidRPr="009358D3">
              <w:rPr>
                <w:rFonts w:cs="Arial"/>
                <w:color w:val="000000"/>
                <w:lang w:val="en-GB"/>
              </w:rPr>
              <w:t>2</w:t>
            </w:r>
            <w:r w:rsidR="00E64ACB" w:rsidRPr="009358D3">
              <w:rPr>
                <w:rFonts w:cs="Arial"/>
                <w:color w:val="000000"/>
                <w:lang w:val="en-GB"/>
              </w:rPr>
              <w:t>,</w:t>
            </w:r>
            <w:r w:rsidRPr="009358D3">
              <w:rPr>
                <w:rFonts w:cs="Arial"/>
                <w:color w:val="000000"/>
                <w:lang w:val="en-GB"/>
              </w:rPr>
              <w:t>181</w:t>
            </w:r>
            <w:r w:rsidR="00E64ACB" w:rsidRPr="009358D3">
              <w:rPr>
                <w:rFonts w:cs="Arial"/>
                <w:color w:val="000000"/>
                <w:lang w:val="en-GB"/>
              </w:rPr>
              <w:t>,</w:t>
            </w:r>
            <w:r w:rsidRPr="009358D3">
              <w:rPr>
                <w:rFonts w:cs="Arial"/>
                <w:color w:val="000000"/>
                <w:lang w:val="en-GB"/>
              </w:rPr>
              <w:t>796</w:t>
            </w:r>
          </w:p>
        </w:tc>
        <w:tc>
          <w:tcPr>
            <w:tcW w:w="1304" w:type="dxa"/>
            <w:tcMar>
              <w:top w:w="57" w:type="dxa"/>
              <w:left w:w="102" w:type="dxa"/>
              <w:bottom w:w="57" w:type="dxa"/>
              <w:right w:w="108" w:type="dxa"/>
            </w:tcMar>
            <w:vAlign w:val="center"/>
            <w:hideMark/>
          </w:tcPr>
          <w:p w14:paraId="2B224DC0" w14:textId="2E258D88" w:rsidR="009D33EE" w:rsidRPr="009358D3" w:rsidRDefault="009D33EE" w:rsidP="00EB0ED2">
            <w:pPr>
              <w:pStyle w:val="Tablicadanerodek"/>
              <w:spacing w:before="0" w:after="0" w:line="240" w:lineRule="auto"/>
              <w:rPr>
                <w:lang w:val="en-GB"/>
              </w:rPr>
            </w:pPr>
            <w:r w:rsidRPr="009358D3">
              <w:rPr>
                <w:rFonts w:cs="Arial"/>
                <w:color w:val="000000"/>
                <w:lang w:val="en-GB"/>
              </w:rPr>
              <w:t>5</w:t>
            </w:r>
            <w:r w:rsidR="00E64ACB" w:rsidRPr="009358D3">
              <w:rPr>
                <w:rFonts w:cs="Arial"/>
                <w:color w:val="000000"/>
                <w:lang w:val="en-GB"/>
              </w:rPr>
              <w:t>,</w:t>
            </w:r>
            <w:r w:rsidRPr="009358D3">
              <w:rPr>
                <w:rFonts w:cs="Arial"/>
                <w:color w:val="000000"/>
                <w:lang w:val="en-GB"/>
              </w:rPr>
              <w:t>610</w:t>
            </w:r>
          </w:p>
        </w:tc>
      </w:tr>
      <w:tr w:rsidR="009D33EE" w:rsidRPr="009358D3" w14:paraId="35DC9906" w14:textId="77777777" w:rsidTr="00ED30A6">
        <w:trPr>
          <w:trHeight w:val="113"/>
          <w:tblHeader/>
        </w:trPr>
        <w:tc>
          <w:tcPr>
            <w:tcW w:w="2552" w:type="dxa"/>
            <w:vAlign w:val="center"/>
            <w:hideMark/>
          </w:tcPr>
          <w:p w14:paraId="458D851D" w14:textId="04772C44" w:rsidR="009D33EE" w:rsidRPr="009358D3" w:rsidRDefault="00ED30A6" w:rsidP="00EB0ED2">
            <w:pPr>
              <w:pStyle w:val="Tablicaboczek"/>
              <w:spacing w:before="0" w:after="0" w:line="240" w:lineRule="auto"/>
              <w:ind w:left="176"/>
              <w:rPr>
                <w:rFonts w:cs="Fira Sans"/>
                <w:spacing w:val="-1"/>
                <w:lang w:val="en-GB"/>
              </w:rPr>
            </w:pPr>
            <w:r w:rsidRPr="009358D3">
              <w:rPr>
                <w:rFonts w:cs="Fira Sans"/>
                <w:spacing w:val="-1"/>
                <w:lang w:val="en-GB"/>
              </w:rPr>
              <w:t xml:space="preserve">Small </w:t>
            </w:r>
            <w:r w:rsidR="002738E8" w:rsidRPr="009358D3">
              <w:rPr>
                <w:rFonts w:cs="Fira Sans"/>
                <w:spacing w:val="-1"/>
                <w:lang w:val="en-GB"/>
              </w:rPr>
              <w:t>enterprises</w:t>
            </w:r>
          </w:p>
        </w:tc>
        <w:tc>
          <w:tcPr>
            <w:tcW w:w="1304" w:type="dxa"/>
            <w:tcMar>
              <w:top w:w="57" w:type="dxa"/>
              <w:left w:w="102" w:type="dxa"/>
              <w:bottom w:w="57" w:type="dxa"/>
              <w:right w:w="108" w:type="dxa"/>
            </w:tcMar>
            <w:vAlign w:val="center"/>
            <w:hideMark/>
          </w:tcPr>
          <w:p w14:paraId="613875F6" w14:textId="6C56CD86" w:rsidR="009D33EE" w:rsidRPr="009358D3" w:rsidRDefault="009D33EE" w:rsidP="00EB0ED2">
            <w:pPr>
              <w:pStyle w:val="Tablicadanerodek"/>
              <w:spacing w:before="0" w:after="0" w:line="240" w:lineRule="auto"/>
              <w:rPr>
                <w:lang w:val="en-GB"/>
              </w:rPr>
            </w:pPr>
            <w:r w:rsidRPr="009358D3">
              <w:rPr>
                <w:rFonts w:cs="Arial"/>
                <w:color w:val="000000"/>
                <w:lang w:val="en-GB"/>
              </w:rPr>
              <w:t>18</w:t>
            </w:r>
            <w:r w:rsidR="00E64ACB" w:rsidRPr="009358D3">
              <w:rPr>
                <w:rFonts w:cs="Arial"/>
                <w:color w:val="000000"/>
                <w:lang w:val="en-GB"/>
              </w:rPr>
              <w:t>,</w:t>
            </w:r>
            <w:r w:rsidRPr="009358D3">
              <w:rPr>
                <w:rFonts w:cs="Arial"/>
                <w:color w:val="000000"/>
                <w:lang w:val="en-GB"/>
              </w:rPr>
              <w:t>111</w:t>
            </w:r>
          </w:p>
        </w:tc>
        <w:tc>
          <w:tcPr>
            <w:tcW w:w="1304" w:type="dxa"/>
            <w:tcMar>
              <w:top w:w="57" w:type="dxa"/>
              <w:left w:w="102" w:type="dxa"/>
              <w:bottom w:w="57" w:type="dxa"/>
              <w:right w:w="108" w:type="dxa"/>
            </w:tcMar>
            <w:vAlign w:val="center"/>
            <w:hideMark/>
          </w:tcPr>
          <w:p w14:paraId="4E1242B2" w14:textId="33127269" w:rsidR="009D33EE" w:rsidRPr="009358D3" w:rsidRDefault="009D33EE" w:rsidP="00EB0ED2">
            <w:pPr>
              <w:pStyle w:val="Tablicadanerodek"/>
              <w:spacing w:before="0" w:after="0" w:line="240" w:lineRule="auto"/>
              <w:rPr>
                <w:lang w:val="en-GB"/>
              </w:rPr>
            </w:pPr>
            <w:r w:rsidRPr="009358D3">
              <w:rPr>
                <w:rFonts w:cs="Arial"/>
                <w:color w:val="000000"/>
                <w:lang w:val="en-GB"/>
              </w:rPr>
              <w:t>16</w:t>
            </w:r>
            <w:r w:rsidR="00E64ACB" w:rsidRPr="009358D3">
              <w:rPr>
                <w:rFonts w:cs="Arial"/>
                <w:color w:val="000000"/>
                <w:lang w:val="en-GB"/>
              </w:rPr>
              <w:t>,</w:t>
            </w:r>
            <w:r w:rsidRPr="009358D3">
              <w:rPr>
                <w:rFonts w:cs="Arial"/>
                <w:color w:val="000000"/>
                <w:lang w:val="en-GB"/>
              </w:rPr>
              <w:t>850</w:t>
            </w:r>
          </w:p>
        </w:tc>
        <w:tc>
          <w:tcPr>
            <w:tcW w:w="1304" w:type="dxa"/>
            <w:tcMar>
              <w:top w:w="57" w:type="dxa"/>
              <w:left w:w="102" w:type="dxa"/>
              <w:bottom w:w="57" w:type="dxa"/>
              <w:right w:w="108" w:type="dxa"/>
            </w:tcMar>
            <w:vAlign w:val="center"/>
            <w:hideMark/>
          </w:tcPr>
          <w:p w14:paraId="2D9588D2" w14:textId="75232BCA" w:rsidR="009D33EE" w:rsidRPr="009358D3" w:rsidRDefault="009D33EE" w:rsidP="00EB0ED2">
            <w:pPr>
              <w:pStyle w:val="Tablicadanerodek"/>
              <w:spacing w:before="0" w:after="0" w:line="240" w:lineRule="auto"/>
              <w:rPr>
                <w:lang w:val="en-GB"/>
              </w:rPr>
            </w:pPr>
            <w:r w:rsidRPr="009358D3">
              <w:rPr>
                <w:rFonts w:cs="Arial"/>
                <w:color w:val="000000"/>
                <w:lang w:val="en-GB"/>
              </w:rPr>
              <w:t>1</w:t>
            </w:r>
            <w:r w:rsidR="00E64ACB" w:rsidRPr="009358D3">
              <w:rPr>
                <w:rFonts w:cs="Arial"/>
                <w:color w:val="000000"/>
                <w:lang w:val="en-GB"/>
              </w:rPr>
              <w:t>,</w:t>
            </w:r>
            <w:r w:rsidRPr="009358D3">
              <w:rPr>
                <w:rFonts w:cs="Arial"/>
                <w:color w:val="000000"/>
                <w:lang w:val="en-GB"/>
              </w:rPr>
              <w:t>876</w:t>
            </w:r>
            <w:r w:rsidR="00E64ACB" w:rsidRPr="009358D3">
              <w:rPr>
                <w:rFonts w:cs="Arial"/>
                <w:color w:val="000000"/>
                <w:lang w:val="en-GB"/>
              </w:rPr>
              <w:t>,</w:t>
            </w:r>
            <w:r w:rsidRPr="009358D3">
              <w:rPr>
                <w:rFonts w:cs="Arial"/>
                <w:color w:val="000000"/>
                <w:lang w:val="en-GB"/>
              </w:rPr>
              <w:t>423</w:t>
            </w:r>
          </w:p>
        </w:tc>
        <w:tc>
          <w:tcPr>
            <w:tcW w:w="1304" w:type="dxa"/>
            <w:tcMar>
              <w:top w:w="57" w:type="dxa"/>
              <w:left w:w="102" w:type="dxa"/>
              <w:bottom w:w="57" w:type="dxa"/>
              <w:right w:w="108" w:type="dxa"/>
            </w:tcMar>
            <w:vAlign w:val="center"/>
            <w:hideMark/>
          </w:tcPr>
          <w:p w14:paraId="5CAEB82E" w14:textId="07DC3BF9" w:rsidR="009D33EE" w:rsidRPr="009358D3" w:rsidRDefault="00FC4FA5" w:rsidP="00EB0ED2">
            <w:pPr>
              <w:pStyle w:val="Tablicadanerodek"/>
              <w:spacing w:before="0" w:after="0" w:line="240" w:lineRule="auto"/>
              <w:rPr>
                <w:lang w:val="en-GB"/>
              </w:rPr>
            </w:pPr>
            <w:r w:rsidRPr="009358D3">
              <w:rPr>
                <w:rFonts w:cs="Arial"/>
                <w:color w:val="000000"/>
                <w:lang w:val="en-GB"/>
              </w:rPr>
              <w:t>9</w:t>
            </w:r>
            <w:r w:rsidR="00E64ACB" w:rsidRPr="009358D3">
              <w:rPr>
                <w:rFonts w:cs="Arial"/>
                <w:color w:val="000000"/>
                <w:lang w:val="en-GB"/>
              </w:rPr>
              <w:t>,</w:t>
            </w:r>
            <w:r w:rsidRPr="009358D3">
              <w:rPr>
                <w:rFonts w:cs="Arial"/>
                <w:color w:val="000000"/>
                <w:lang w:val="en-GB"/>
              </w:rPr>
              <w:t>280</w:t>
            </w:r>
          </w:p>
        </w:tc>
      </w:tr>
      <w:tr w:rsidR="009D33EE" w:rsidRPr="009358D3" w14:paraId="2036B185" w14:textId="77777777" w:rsidTr="00ED30A6">
        <w:trPr>
          <w:trHeight w:val="113"/>
          <w:tblHeader/>
        </w:trPr>
        <w:tc>
          <w:tcPr>
            <w:tcW w:w="2552" w:type="dxa"/>
            <w:vAlign w:val="center"/>
            <w:hideMark/>
          </w:tcPr>
          <w:p w14:paraId="6AE74CA0" w14:textId="6AE9D097" w:rsidR="009D33EE" w:rsidRPr="009358D3" w:rsidRDefault="00ED30A6" w:rsidP="00EB0ED2">
            <w:pPr>
              <w:pStyle w:val="Tablicaboczek"/>
              <w:spacing w:before="0" w:after="0" w:line="240" w:lineRule="auto"/>
              <w:ind w:left="176"/>
              <w:rPr>
                <w:rFonts w:cs="Fira Sans"/>
                <w:spacing w:val="-1"/>
                <w:lang w:val="en-GB"/>
              </w:rPr>
            </w:pPr>
            <w:r w:rsidRPr="009358D3">
              <w:rPr>
                <w:rFonts w:cs="Fira Sans"/>
                <w:spacing w:val="-1"/>
                <w:lang w:val="en-GB"/>
              </w:rPr>
              <w:t>Medium enterprises</w:t>
            </w:r>
          </w:p>
        </w:tc>
        <w:tc>
          <w:tcPr>
            <w:tcW w:w="1304" w:type="dxa"/>
            <w:tcMar>
              <w:top w:w="57" w:type="dxa"/>
              <w:left w:w="102" w:type="dxa"/>
              <w:bottom w:w="57" w:type="dxa"/>
              <w:right w:w="108" w:type="dxa"/>
            </w:tcMar>
            <w:vAlign w:val="center"/>
            <w:hideMark/>
          </w:tcPr>
          <w:p w14:paraId="467380F9" w14:textId="764F1892" w:rsidR="009D33EE" w:rsidRPr="009358D3" w:rsidRDefault="009D33EE" w:rsidP="00EB0ED2">
            <w:pPr>
              <w:pStyle w:val="Tablicadanerodek"/>
              <w:spacing w:before="0" w:after="0" w:line="240" w:lineRule="auto"/>
              <w:rPr>
                <w:lang w:val="en-GB"/>
              </w:rPr>
            </w:pPr>
            <w:r w:rsidRPr="009358D3">
              <w:rPr>
                <w:rFonts w:cs="Arial"/>
                <w:color w:val="000000"/>
                <w:lang w:val="en-GB"/>
              </w:rPr>
              <w:t>17</w:t>
            </w:r>
            <w:r w:rsidR="00E64ACB" w:rsidRPr="009358D3">
              <w:rPr>
                <w:rFonts w:cs="Arial"/>
                <w:color w:val="000000"/>
                <w:lang w:val="en-GB"/>
              </w:rPr>
              <w:t>,</w:t>
            </w:r>
            <w:r w:rsidRPr="009358D3">
              <w:rPr>
                <w:rFonts w:cs="Arial"/>
                <w:color w:val="000000"/>
                <w:lang w:val="en-GB"/>
              </w:rPr>
              <w:t>828</w:t>
            </w:r>
          </w:p>
        </w:tc>
        <w:tc>
          <w:tcPr>
            <w:tcW w:w="1304" w:type="dxa"/>
            <w:tcMar>
              <w:top w:w="57" w:type="dxa"/>
              <w:left w:w="102" w:type="dxa"/>
              <w:bottom w:w="57" w:type="dxa"/>
              <w:right w:w="108" w:type="dxa"/>
            </w:tcMar>
            <w:vAlign w:val="center"/>
            <w:hideMark/>
          </w:tcPr>
          <w:p w14:paraId="5827AB32" w14:textId="7416C93B" w:rsidR="009D33EE" w:rsidRPr="009358D3" w:rsidRDefault="009D33EE" w:rsidP="00EB0ED2">
            <w:pPr>
              <w:pStyle w:val="Tablicadanerodek"/>
              <w:spacing w:before="0" w:after="0" w:line="240" w:lineRule="auto"/>
              <w:rPr>
                <w:lang w:val="en-GB"/>
              </w:rPr>
            </w:pPr>
            <w:r w:rsidRPr="009358D3">
              <w:rPr>
                <w:rFonts w:cs="Arial"/>
                <w:color w:val="000000"/>
                <w:lang w:val="en-GB"/>
              </w:rPr>
              <w:t>16</w:t>
            </w:r>
            <w:r w:rsidR="00E64ACB" w:rsidRPr="009358D3">
              <w:rPr>
                <w:rFonts w:cs="Arial"/>
                <w:color w:val="000000"/>
                <w:lang w:val="en-GB"/>
              </w:rPr>
              <w:t>,</w:t>
            </w:r>
            <w:r w:rsidRPr="009358D3">
              <w:rPr>
                <w:rFonts w:cs="Arial"/>
                <w:color w:val="000000"/>
                <w:lang w:val="en-GB"/>
              </w:rPr>
              <w:t>896</w:t>
            </w:r>
          </w:p>
        </w:tc>
        <w:tc>
          <w:tcPr>
            <w:tcW w:w="1304" w:type="dxa"/>
            <w:tcMar>
              <w:top w:w="57" w:type="dxa"/>
              <w:left w:w="102" w:type="dxa"/>
              <w:bottom w:w="57" w:type="dxa"/>
              <w:right w:w="108" w:type="dxa"/>
            </w:tcMar>
            <w:vAlign w:val="center"/>
            <w:hideMark/>
          </w:tcPr>
          <w:p w14:paraId="04DF75BC" w14:textId="6B133933" w:rsidR="009D33EE" w:rsidRPr="009358D3" w:rsidRDefault="00FC4FA5" w:rsidP="00EB0ED2">
            <w:pPr>
              <w:pStyle w:val="Tablicadanerodek"/>
              <w:spacing w:before="0" w:after="0" w:line="240" w:lineRule="auto"/>
              <w:rPr>
                <w:lang w:val="en-GB"/>
              </w:rPr>
            </w:pPr>
            <w:r w:rsidRPr="009358D3">
              <w:rPr>
                <w:rFonts w:cs="Arial"/>
                <w:color w:val="000000"/>
                <w:lang w:val="en-GB"/>
              </w:rPr>
              <w:t>2</w:t>
            </w:r>
            <w:r w:rsidR="00E64ACB" w:rsidRPr="009358D3">
              <w:rPr>
                <w:rFonts w:cs="Arial"/>
                <w:color w:val="000000"/>
                <w:lang w:val="en-GB"/>
              </w:rPr>
              <w:t>,</w:t>
            </w:r>
            <w:r w:rsidRPr="009358D3">
              <w:rPr>
                <w:rFonts w:cs="Arial"/>
                <w:color w:val="000000"/>
                <w:lang w:val="en-GB"/>
              </w:rPr>
              <w:t>182</w:t>
            </w:r>
            <w:r w:rsidR="00E64ACB" w:rsidRPr="009358D3">
              <w:rPr>
                <w:rFonts w:cs="Arial"/>
                <w:color w:val="000000"/>
                <w:lang w:val="en-GB"/>
              </w:rPr>
              <w:t>,</w:t>
            </w:r>
            <w:r w:rsidRPr="009358D3">
              <w:rPr>
                <w:rFonts w:cs="Arial"/>
                <w:color w:val="000000"/>
                <w:lang w:val="en-GB"/>
              </w:rPr>
              <w:t>828</w:t>
            </w:r>
          </w:p>
        </w:tc>
        <w:tc>
          <w:tcPr>
            <w:tcW w:w="1304" w:type="dxa"/>
            <w:tcMar>
              <w:top w:w="57" w:type="dxa"/>
              <w:left w:w="102" w:type="dxa"/>
              <w:bottom w:w="57" w:type="dxa"/>
              <w:right w:w="108" w:type="dxa"/>
            </w:tcMar>
            <w:vAlign w:val="center"/>
            <w:hideMark/>
          </w:tcPr>
          <w:p w14:paraId="0BB4553D" w14:textId="335234F6" w:rsidR="009D33EE" w:rsidRPr="009358D3" w:rsidRDefault="00FC4FA5" w:rsidP="00EB0ED2">
            <w:pPr>
              <w:pStyle w:val="Tablicadanerodek"/>
              <w:spacing w:before="0" w:after="0" w:line="240" w:lineRule="auto"/>
              <w:rPr>
                <w:lang w:val="en-GB"/>
              </w:rPr>
            </w:pPr>
            <w:r w:rsidRPr="009358D3">
              <w:rPr>
                <w:rFonts w:cs="Arial"/>
                <w:color w:val="000000"/>
                <w:lang w:val="en-GB"/>
              </w:rPr>
              <w:t>10</w:t>
            </w:r>
            <w:r w:rsidR="00E64ACB" w:rsidRPr="009358D3">
              <w:rPr>
                <w:rFonts w:cs="Arial"/>
                <w:color w:val="000000"/>
                <w:lang w:val="en-GB"/>
              </w:rPr>
              <w:t>,</w:t>
            </w:r>
            <w:r w:rsidRPr="009358D3">
              <w:rPr>
                <w:rFonts w:cs="Arial"/>
                <w:color w:val="000000"/>
                <w:lang w:val="en-GB"/>
              </w:rPr>
              <w:t>766</w:t>
            </w:r>
          </w:p>
        </w:tc>
      </w:tr>
      <w:tr w:rsidR="009D33EE" w:rsidRPr="009358D3" w14:paraId="71C3D1E5" w14:textId="77777777" w:rsidTr="00ED30A6">
        <w:trPr>
          <w:trHeight w:val="113"/>
          <w:tblHeader/>
        </w:trPr>
        <w:tc>
          <w:tcPr>
            <w:tcW w:w="2552" w:type="dxa"/>
            <w:vAlign w:val="center"/>
            <w:hideMark/>
          </w:tcPr>
          <w:p w14:paraId="6D45032C" w14:textId="01137DE3" w:rsidR="009D33EE" w:rsidRPr="009358D3" w:rsidRDefault="002738E8" w:rsidP="00EB0ED2">
            <w:pPr>
              <w:pStyle w:val="Tablicaboczek"/>
              <w:spacing w:before="0" w:after="0" w:line="240" w:lineRule="auto"/>
              <w:ind w:left="176"/>
              <w:rPr>
                <w:rFonts w:cs="Fira Sans"/>
                <w:spacing w:val="-1"/>
                <w:lang w:val="en-GB"/>
              </w:rPr>
            </w:pPr>
            <w:r w:rsidRPr="009358D3">
              <w:rPr>
                <w:rFonts w:cs="Fira Sans"/>
                <w:spacing w:val="-1"/>
                <w:lang w:val="en-GB"/>
              </w:rPr>
              <w:t>L</w:t>
            </w:r>
            <w:r w:rsidR="00ED30A6" w:rsidRPr="009358D3">
              <w:rPr>
                <w:rFonts w:cs="Fira Sans"/>
                <w:spacing w:val="-1"/>
                <w:lang w:val="en-GB"/>
              </w:rPr>
              <w:t>arge enterprises</w:t>
            </w:r>
          </w:p>
        </w:tc>
        <w:tc>
          <w:tcPr>
            <w:tcW w:w="1304" w:type="dxa"/>
            <w:tcMar>
              <w:top w:w="57" w:type="dxa"/>
              <w:left w:w="102" w:type="dxa"/>
              <w:bottom w:w="57" w:type="dxa"/>
              <w:right w:w="108" w:type="dxa"/>
            </w:tcMar>
            <w:vAlign w:val="center"/>
            <w:hideMark/>
          </w:tcPr>
          <w:p w14:paraId="0B97903F" w14:textId="513C7C69" w:rsidR="009D33EE" w:rsidRPr="009358D3" w:rsidRDefault="00FC4FA5" w:rsidP="00EB0ED2">
            <w:pPr>
              <w:pStyle w:val="Tablicadanerodek"/>
              <w:spacing w:before="0" w:after="0" w:line="240" w:lineRule="auto"/>
              <w:rPr>
                <w:lang w:val="en-GB"/>
              </w:rPr>
            </w:pPr>
            <w:r w:rsidRPr="009358D3">
              <w:rPr>
                <w:rFonts w:cs="Arial"/>
                <w:color w:val="000000"/>
                <w:lang w:val="en-GB"/>
              </w:rPr>
              <w:t>27</w:t>
            </w:r>
            <w:r w:rsidR="00E64ACB" w:rsidRPr="009358D3">
              <w:rPr>
                <w:rFonts w:cs="Arial"/>
                <w:color w:val="000000"/>
                <w:lang w:val="en-GB"/>
              </w:rPr>
              <w:t>,</w:t>
            </w:r>
            <w:r w:rsidRPr="009358D3">
              <w:rPr>
                <w:rFonts w:cs="Arial"/>
                <w:color w:val="000000"/>
                <w:lang w:val="en-GB"/>
              </w:rPr>
              <w:t>519</w:t>
            </w:r>
          </w:p>
        </w:tc>
        <w:tc>
          <w:tcPr>
            <w:tcW w:w="1304" w:type="dxa"/>
            <w:tcMar>
              <w:top w:w="57" w:type="dxa"/>
              <w:left w:w="102" w:type="dxa"/>
              <w:bottom w:w="57" w:type="dxa"/>
              <w:right w:w="108" w:type="dxa"/>
            </w:tcMar>
            <w:vAlign w:val="center"/>
            <w:hideMark/>
          </w:tcPr>
          <w:p w14:paraId="50856BAC" w14:textId="1D8F5ED3" w:rsidR="009D33EE" w:rsidRPr="009358D3" w:rsidRDefault="009D33EE" w:rsidP="00EB0ED2">
            <w:pPr>
              <w:pStyle w:val="Tablicadanerodek"/>
              <w:spacing w:before="0" w:after="0" w:line="240" w:lineRule="auto"/>
              <w:rPr>
                <w:lang w:val="en-GB"/>
              </w:rPr>
            </w:pPr>
            <w:r w:rsidRPr="009358D3">
              <w:rPr>
                <w:rFonts w:cs="Arial"/>
                <w:color w:val="000000"/>
                <w:lang w:val="en-GB"/>
              </w:rPr>
              <w:t>26</w:t>
            </w:r>
            <w:r w:rsidR="00E64ACB" w:rsidRPr="009358D3">
              <w:rPr>
                <w:rFonts w:cs="Arial"/>
                <w:color w:val="000000"/>
                <w:lang w:val="en-GB"/>
              </w:rPr>
              <w:t>,</w:t>
            </w:r>
            <w:r w:rsidRPr="009358D3">
              <w:rPr>
                <w:rFonts w:cs="Arial"/>
                <w:color w:val="000000"/>
                <w:lang w:val="en-GB"/>
              </w:rPr>
              <w:t>384</w:t>
            </w:r>
          </w:p>
        </w:tc>
        <w:tc>
          <w:tcPr>
            <w:tcW w:w="1304" w:type="dxa"/>
            <w:tcMar>
              <w:top w:w="57" w:type="dxa"/>
              <w:left w:w="102" w:type="dxa"/>
              <w:bottom w:w="57" w:type="dxa"/>
              <w:right w:w="108" w:type="dxa"/>
            </w:tcMar>
            <w:vAlign w:val="center"/>
            <w:hideMark/>
          </w:tcPr>
          <w:p w14:paraId="29807476" w14:textId="48F9F19D" w:rsidR="009D33EE" w:rsidRPr="009358D3" w:rsidRDefault="009D33EE" w:rsidP="00EB0ED2">
            <w:pPr>
              <w:pStyle w:val="Tablicadanerodek"/>
              <w:spacing w:before="0" w:after="0" w:line="240" w:lineRule="auto"/>
              <w:rPr>
                <w:lang w:val="en-GB"/>
              </w:rPr>
            </w:pPr>
            <w:r w:rsidRPr="009358D3">
              <w:rPr>
                <w:rFonts w:cs="Arial"/>
                <w:color w:val="000000"/>
                <w:lang w:val="en-GB"/>
              </w:rPr>
              <w:t>3</w:t>
            </w:r>
            <w:r w:rsidR="00E64ACB" w:rsidRPr="009358D3">
              <w:rPr>
                <w:rFonts w:cs="Arial"/>
                <w:color w:val="000000"/>
                <w:lang w:val="en-GB"/>
              </w:rPr>
              <w:t>,</w:t>
            </w:r>
            <w:r w:rsidRPr="009358D3">
              <w:rPr>
                <w:rFonts w:cs="Arial"/>
                <w:color w:val="000000"/>
                <w:lang w:val="en-GB"/>
              </w:rPr>
              <w:t>606</w:t>
            </w:r>
            <w:r w:rsidR="00E64ACB" w:rsidRPr="009358D3">
              <w:rPr>
                <w:rFonts w:cs="Arial"/>
                <w:color w:val="000000"/>
                <w:lang w:val="en-GB"/>
              </w:rPr>
              <w:t>,</w:t>
            </w:r>
            <w:r w:rsidRPr="009358D3">
              <w:rPr>
                <w:rFonts w:cs="Arial"/>
                <w:color w:val="000000"/>
                <w:lang w:val="en-GB"/>
              </w:rPr>
              <w:t>814</w:t>
            </w:r>
          </w:p>
        </w:tc>
        <w:tc>
          <w:tcPr>
            <w:tcW w:w="1304" w:type="dxa"/>
            <w:tcMar>
              <w:top w:w="57" w:type="dxa"/>
              <w:left w:w="102" w:type="dxa"/>
              <w:bottom w:w="57" w:type="dxa"/>
              <w:right w:w="108" w:type="dxa"/>
            </w:tcMar>
            <w:vAlign w:val="center"/>
            <w:hideMark/>
          </w:tcPr>
          <w:p w14:paraId="40009794" w14:textId="2201372C" w:rsidR="009D33EE" w:rsidRPr="009358D3" w:rsidRDefault="00FC4FA5" w:rsidP="00EB0ED2">
            <w:pPr>
              <w:pStyle w:val="Tablicadanerodek"/>
              <w:spacing w:before="0" w:after="0" w:line="240" w:lineRule="auto"/>
              <w:rPr>
                <w:lang w:val="en-GB"/>
              </w:rPr>
            </w:pPr>
            <w:r w:rsidRPr="009358D3">
              <w:rPr>
                <w:rFonts w:cs="Arial"/>
                <w:color w:val="000000"/>
                <w:lang w:val="en-GB"/>
              </w:rPr>
              <w:t>11</w:t>
            </w:r>
            <w:r w:rsidR="00E64ACB" w:rsidRPr="009358D3">
              <w:rPr>
                <w:rFonts w:cs="Arial"/>
                <w:color w:val="000000"/>
                <w:lang w:val="en-GB"/>
              </w:rPr>
              <w:t>,</w:t>
            </w:r>
            <w:r w:rsidRPr="009358D3">
              <w:rPr>
                <w:rFonts w:cs="Arial"/>
                <w:color w:val="000000"/>
                <w:lang w:val="en-GB"/>
              </w:rPr>
              <w:t>392</w:t>
            </w:r>
          </w:p>
        </w:tc>
      </w:tr>
    </w:tbl>
    <w:p w14:paraId="005822D3" w14:textId="60B293A7" w:rsidR="006D4224" w:rsidRPr="009358D3" w:rsidRDefault="00A36FCB" w:rsidP="00EB0ED2">
      <w:pPr>
        <w:spacing w:before="80" w:line="240" w:lineRule="auto"/>
        <w:rPr>
          <w:bCs/>
          <w:sz w:val="16"/>
          <w:szCs w:val="16"/>
          <w:lang w:val="en-GB"/>
        </w:rPr>
      </w:pPr>
      <w:r w:rsidRPr="009358D3">
        <w:rPr>
          <w:sz w:val="16"/>
          <w:szCs w:val="16"/>
          <w:shd w:val="clear" w:color="auto" w:fill="FFFFFF"/>
          <w:lang w:val="en-GB"/>
        </w:rPr>
        <w:t xml:space="preserve">a </w:t>
      </w:r>
      <w:proofErr w:type="gramStart"/>
      <w:r w:rsidRPr="009358D3">
        <w:rPr>
          <w:sz w:val="16"/>
          <w:szCs w:val="16"/>
          <w:shd w:val="clear" w:color="auto" w:fill="FFFFFF"/>
          <w:lang w:val="en-GB"/>
        </w:rPr>
        <w:t>As</w:t>
      </w:r>
      <w:proofErr w:type="gramEnd"/>
      <w:r w:rsidRPr="009358D3">
        <w:rPr>
          <w:sz w:val="16"/>
          <w:szCs w:val="16"/>
          <w:shd w:val="clear" w:color="auto" w:fill="FFFFFF"/>
          <w:lang w:val="en-GB"/>
        </w:rPr>
        <w:t xml:space="preserve"> of 31 December.</w:t>
      </w:r>
    </w:p>
    <w:p w14:paraId="4253C348" w14:textId="4CD3CF5E" w:rsidR="006D4224" w:rsidRPr="009358D3" w:rsidRDefault="005D5FF2" w:rsidP="00CA09BB">
      <w:pPr>
        <w:pStyle w:val="Nagwek1"/>
        <w:rPr>
          <w:lang w:val="en-GB"/>
        </w:rPr>
      </w:pPr>
      <w:r w:rsidRPr="009358D3">
        <w:rPr>
          <w:noProof/>
          <w:lang w:val="en-GB"/>
        </w:rPr>
        <mc:AlternateContent>
          <mc:Choice Requires="wps">
            <w:drawing>
              <wp:anchor distT="45720" distB="45720" distL="114300" distR="114300" simplePos="0" relativeHeight="251789312" behindDoc="1" locked="0" layoutInCell="1" allowOverlap="1" wp14:anchorId="542C74E5" wp14:editId="5C1F90C1">
                <wp:simplePos x="0" y="0"/>
                <wp:positionH relativeFrom="column">
                  <wp:posOffset>5227955</wp:posOffset>
                </wp:positionH>
                <wp:positionV relativeFrom="paragraph">
                  <wp:posOffset>377190</wp:posOffset>
                </wp:positionV>
                <wp:extent cx="1726565" cy="1009650"/>
                <wp:effectExtent l="0" t="0" r="0" b="0"/>
                <wp:wrapTight wrapText="bothSides">
                  <wp:wrapPolygon edited="0">
                    <wp:start x="715" y="0"/>
                    <wp:lineTo x="715" y="21192"/>
                    <wp:lineTo x="20734" y="21192"/>
                    <wp:lineTo x="20734" y="0"/>
                    <wp:lineTo x="715" y="0"/>
                  </wp:wrapPolygon>
                </wp:wrapTight>
                <wp:docPr id="16" name="Prostokąt 16" descr="The surplus of total revenues over total costs for cultural and creative industries amounted to PLN 16.8 bill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6565" cy="1009650"/>
                        </a:xfrm>
                        <a:prstGeom prst="rect">
                          <a:avLst/>
                        </a:prstGeom>
                        <a:noFill/>
                        <a:ln w="9360">
                          <a:noFill/>
                        </a:ln>
                      </wps:spPr>
                      <wps:style>
                        <a:lnRef idx="0">
                          <a:scrgbClr r="0" g="0" b="0"/>
                        </a:lnRef>
                        <a:fillRef idx="0">
                          <a:scrgbClr r="0" g="0" b="0"/>
                        </a:fillRef>
                        <a:effectRef idx="0">
                          <a:scrgbClr r="0" g="0" b="0"/>
                        </a:effectRef>
                        <a:fontRef idx="minor"/>
                      </wps:style>
                      <wps:txbx>
                        <w:txbxContent>
                          <w:p w14:paraId="15FEC531" w14:textId="594896EB" w:rsidR="006D4224" w:rsidRPr="000D5874" w:rsidRDefault="006D4224" w:rsidP="006D4224">
                            <w:pPr>
                              <w:pStyle w:val="tekstzboku"/>
                              <w:spacing w:before="0" w:after="120"/>
                              <w:rPr>
                                <w:lang w:val="en-GB"/>
                              </w:rPr>
                            </w:pPr>
                            <w:r w:rsidRPr="000D5874">
                              <w:rPr>
                                <w:lang w:val="en-GB"/>
                              </w:rPr>
                              <w:t>The surplus of total revenues over total costs for cultural and creative industries amounted to PLN 16.8 billion</w:t>
                            </w:r>
                          </w:p>
                        </w:txbxContent>
                      </wps:txbx>
                      <wps:bodyPr>
                        <a:noAutofit/>
                      </wps:bodyPr>
                    </wps:wsp>
                  </a:graphicData>
                </a:graphic>
                <wp14:sizeRelH relativeFrom="page">
                  <wp14:pctWidth>0</wp14:pctWidth>
                </wp14:sizeRelH>
                <wp14:sizeRelV relativeFrom="margin">
                  <wp14:pctHeight>0</wp14:pctHeight>
                </wp14:sizeRelV>
              </wp:anchor>
            </w:drawing>
          </mc:Choice>
          <mc:Fallback>
            <w:pict>
              <v:rect w14:anchorId="542C74E5" id="Prostokąt 16" o:spid="_x0000_s1030" alt="The surplus of total revenues over total costs for cultural and creative industries amounted to PLN 16.8 billion" style="position:absolute;margin-left:411.65pt;margin-top:29.7pt;width:135.95pt;height:79.5pt;z-index:-251527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" filled="f" stroked="f" strokeweight=".26mm">
                <v:textbox>
                  <w:txbxContent>
                    <w:p w14:paraId="15FEC531" w14:textId="594896EB" w:rsidR="006D4224" w:rsidRPr="000D5874" w:rsidRDefault="006D4224" w:rsidP="006D4224">
                      <w:pPr>
                        <w:pStyle w:val="tekstzboku"/>
                        <w:spacing w:before="0" w:after="120"/>
                        <w:rPr>
                          <w:lang w:val="en-GB"/>
                        </w:rPr>
                      </w:pPr>
                      <w:r w:rsidRPr="000D5874">
                        <w:rPr>
                          <w:lang w:val="en-GB"/>
                        </w:rPr>
                        <w:t>The surplus of total revenues over total costs for cultural and creative industries amounted to PLN 16.8 billion</w:t>
                      </w:r>
                    </w:p>
                  </w:txbxContent>
                </v:textbox>
                <w10:wrap type="tight"/>
              </v:rect>
            </w:pict>
          </mc:Fallback>
        </mc:AlternateContent>
      </w:r>
      <w:r w:rsidR="006D4224" w:rsidRPr="009358D3">
        <w:rPr>
          <w:lang w:val="en-GB"/>
        </w:rPr>
        <w:t>Financial results</w:t>
      </w:r>
    </w:p>
    <w:p w14:paraId="4D8ED114" w14:textId="1D2D4CC2" w:rsidR="00E96A80" w:rsidRPr="009358D3" w:rsidRDefault="00C81B97" w:rsidP="00E96A80">
      <w:pPr>
        <w:rPr>
          <w:lang w:val="en-GB"/>
        </w:rPr>
      </w:pPr>
      <w:r w:rsidRPr="009358D3">
        <w:rPr>
          <w:lang w:val="en-GB"/>
        </w:rPr>
        <w:t>In 2023, e</w:t>
      </w:r>
      <w:r w:rsidR="00F33B9E" w:rsidRPr="009358D3">
        <w:rPr>
          <w:lang w:val="en-GB"/>
        </w:rPr>
        <w:t xml:space="preserve">ntities classified as cultural and creative industries generated total revenues of PLN 104.3 billion, with total costs </w:t>
      </w:r>
      <w:r w:rsidR="002738E8" w:rsidRPr="009358D3">
        <w:rPr>
          <w:lang w:val="en-GB"/>
        </w:rPr>
        <w:t>of</w:t>
      </w:r>
      <w:r w:rsidR="00F33B9E" w:rsidRPr="009358D3">
        <w:rPr>
          <w:lang w:val="en-GB"/>
        </w:rPr>
        <w:t xml:space="preserve"> PLN 87.5 billion. As in previous years, a surplus of </w:t>
      </w:r>
      <w:r w:rsidR="002738E8" w:rsidRPr="009358D3">
        <w:rPr>
          <w:lang w:val="en-GB"/>
        </w:rPr>
        <w:t xml:space="preserve">total </w:t>
      </w:r>
      <w:r w:rsidR="00F33B9E" w:rsidRPr="009358D3">
        <w:rPr>
          <w:lang w:val="en-GB"/>
        </w:rPr>
        <w:t>revenues over total costs of PLN 16.8</w:t>
      </w:r>
      <w:r w:rsidR="001C7622" w:rsidRPr="009358D3">
        <w:rPr>
          <w:lang w:val="en-GB"/>
        </w:rPr>
        <w:t xml:space="preserve"> billion</w:t>
      </w:r>
      <w:r w:rsidR="00F33B9E" w:rsidRPr="009358D3">
        <w:rPr>
          <w:lang w:val="en-GB"/>
        </w:rPr>
        <w:t xml:space="preserve"> was recorded (PLN 1.1</w:t>
      </w:r>
      <w:r w:rsidR="001C7622" w:rsidRPr="009358D3">
        <w:rPr>
          <w:lang w:val="en-GB"/>
        </w:rPr>
        <w:t xml:space="preserve"> billion</w:t>
      </w:r>
      <w:r w:rsidR="00F33B9E" w:rsidRPr="009358D3">
        <w:rPr>
          <w:lang w:val="en-GB"/>
        </w:rPr>
        <w:t xml:space="preserve"> more than in 2022)</w:t>
      </w:r>
      <w:r w:rsidR="004636B1" w:rsidRPr="009358D3">
        <w:rPr>
          <w:lang w:val="en-GB"/>
        </w:rPr>
        <w:t>.</w:t>
      </w:r>
      <w:r w:rsidR="00F33B9E" w:rsidRPr="009358D3">
        <w:rPr>
          <w:lang w:val="en-GB"/>
        </w:rPr>
        <w:t xml:space="preserve"> Compared to 2022, total revenues increased by 4.6%, while total costs increased by 4.2%.</w:t>
      </w:r>
    </w:p>
    <w:p w14:paraId="3AFDB72A" w14:textId="0CC5D41F" w:rsidR="00C81B97" w:rsidRPr="009358D3" w:rsidRDefault="00C81B97" w:rsidP="00E96A80">
      <w:pPr>
        <w:rPr>
          <w:lang w:val="en-GB"/>
        </w:rPr>
      </w:pPr>
      <w:r w:rsidRPr="009358D3">
        <w:rPr>
          <w:lang w:val="en-GB"/>
        </w:rPr>
        <w:t>In 2023, the cost level indicator (the ratio of total costs to total revenues) for enterprises classified as cultural and creative industries amounted to 83.9% (a decrease of 0.3 percentage points compared to 2022) and was 8.0 percentage points lower compared to the cost level indicator for all non-financial enterprises.</w:t>
      </w:r>
    </w:p>
    <w:p w14:paraId="32F5F951" w14:textId="27563C8A" w:rsidR="006D4224" w:rsidRPr="009358D3" w:rsidRDefault="00C27F80" w:rsidP="00E130A6">
      <w:pPr>
        <w:pStyle w:val="tytuwykresu"/>
        <w:spacing w:after="0"/>
        <w:ind w:left="709" w:hanging="709"/>
        <w:rPr>
          <w:sz w:val="19"/>
          <w:szCs w:val="19"/>
          <w:lang w:val="en-GB"/>
        </w:rPr>
      </w:pPr>
      <w:r w:rsidRPr="009358D3">
        <w:rPr>
          <w:noProof/>
          <w:sz w:val="19"/>
          <w:szCs w:val="19"/>
          <w:lang w:val="en-GB" w:eastAsia="pl-PL"/>
        </w:rPr>
        <w:lastRenderedPageBreak/>
        <w:drawing>
          <wp:anchor distT="0" distB="0" distL="114300" distR="114300" simplePos="0" relativeHeight="251851776" behindDoc="0" locked="0" layoutInCell="1" allowOverlap="1" wp14:anchorId="0C896186" wp14:editId="65166519">
            <wp:simplePos x="0" y="0"/>
            <wp:positionH relativeFrom="margin">
              <wp:align>right</wp:align>
            </wp:positionH>
            <wp:positionV relativeFrom="paragraph">
              <wp:posOffset>353683</wp:posOffset>
            </wp:positionV>
            <wp:extent cx="5123815" cy="2776855"/>
            <wp:effectExtent l="0" t="0" r="0" b="4445"/>
            <wp:wrapTopAndBottom/>
            <wp:docPr id="22" name="Obraz 22" descr="Chart 3. The bar chart presenting gross financial resulta  in enterprises classified as cultural and creative industries by enterprise size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3815" cy="2776855"/>
                    </a:xfrm>
                    <a:prstGeom prst="rect">
                      <a:avLst/>
                    </a:prstGeom>
                    <a:noFill/>
                  </pic:spPr>
                </pic:pic>
              </a:graphicData>
            </a:graphic>
            <wp14:sizeRelH relativeFrom="margin">
              <wp14:pctWidth>0</wp14:pctWidth>
            </wp14:sizeRelH>
            <wp14:sizeRelV relativeFrom="margin">
              <wp14:pctHeight>0</wp14:pctHeight>
            </wp14:sizeRelV>
          </wp:anchor>
        </w:drawing>
      </w:r>
      <w:r w:rsidR="00FB78C8" w:rsidRPr="009358D3">
        <w:rPr>
          <w:sz w:val="19"/>
          <w:szCs w:val="19"/>
          <w:lang w:val="en-GB"/>
        </w:rPr>
        <w:t xml:space="preserve">Chart 3. Gross financial </w:t>
      </w:r>
      <w:proofErr w:type="spellStart"/>
      <w:proofErr w:type="gramStart"/>
      <w:r w:rsidR="00FB78C8" w:rsidRPr="009358D3">
        <w:rPr>
          <w:sz w:val="19"/>
          <w:szCs w:val="19"/>
          <w:lang w:val="en-GB"/>
        </w:rPr>
        <w:t>result</w:t>
      </w:r>
      <w:r w:rsidR="0099717F" w:rsidRPr="009358D3">
        <w:rPr>
          <w:sz w:val="19"/>
          <w:szCs w:val="19"/>
          <w:vertAlign w:val="superscript"/>
          <w:lang w:val="en-GB"/>
        </w:rPr>
        <w:t>a</w:t>
      </w:r>
      <w:proofErr w:type="spellEnd"/>
      <w:r w:rsidR="0099717F" w:rsidRPr="009358D3">
        <w:rPr>
          <w:sz w:val="19"/>
          <w:szCs w:val="19"/>
          <w:vertAlign w:val="superscript"/>
          <w:lang w:val="en-GB"/>
        </w:rPr>
        <w:t xml:space="preserve"> </w:t>
      </w:r>
      <w:r w:rsidR="001C7622" w:rsidRPr="009358D3">
        <w:rPr>
          <w:sz w:val="19"/>
          <w:szCs w:val="19"/>
          <w:vertAlign w:val="superscript"/>
          <w:lang w:val="en-GB"/>
        </w:rPr>
        <w:t xml:space="preserve"> </w:t>
      </w:r>
      <w:r w:rsidR="006D4224" w:rsidRPr="009358D3">
        <w:rPr>
          <w:sz w:val="19"/>
          <w:szCs w:val="19"/>
          <w:lang w:val="en-GB"/>
        </w:rPr>
        <w:t>in</w:t>
      </w:r>
      <w:proofErr w:type="gramEnd"/>
      <w:r w:rsidR="006D4224" w:rsidRPr="009358D3">
        <w:rPr>
          <w:sz w:val="19"/>
          <w:szCs w:val="19"/>
          <w:lang w:val="en-GB"/>
        </w:rPr>
        <w:t xml:space="preserve"> enterprises classified as cultural and creative industries by enterprise size class</w:t>
      </w:r>
    </w:p>
    <w:p w14:paraId="71D8FE0F" w14:textId="58D8D38E" w:rsidR="0099717F" w:rsidRPr="009358D3" w:rsidRDefault="0099717F" w:rsidP="00C27F80">
      <w:pPr>
        <w:spacing w:line="240" w:lineRule="auto"/>
        <w:rPr>
          <w:sz w:val="16"/>
          <w:szCs w:val="16"/>
          <w:lang w:val="en-GB"/>
        </w:rPr>
      </w:pPr>
      <w:r w:rsidRPr="009358D3">
        <w:rPr>
          <w:sz w:val="16"/>
          <w:szCs w:val="16"/>
          <w:lang w:val="en-GB"/>
        </w:rPr>
        <w:t>a Gross financial result is calculated as the difference between total revenues and total costs – in the case of a surplus of total costs over total revenues, the financial result is recorded with a (-) sign.</w:t>
      </w:r>
    </w:p>
    <w:p w14:paraId="60F82914" w14:textId="66247788" w:rsidR="00C24B22" w:rsidRPr="009358D3" w:rsidRDefault="00C24B22" w:rsidP="00774668">
      <w:pPr>
        <w:spacing w:before="240"/>
        <w:rPr>
          <w:lang w:val="en-GB"/>
        </w:rPr>
      </w:pPr>
      <w:r w:rsidRPr="009358D3">
        <w:rPr>
          <w:lang w:val="en-GB"/>
        </w:rPr>
        <w:t xml:space="preserve">Total costs per </w:t>
      </w:r>
      <w:r w:rsidR="001C7622" w:rsidRPr="009358D3">
        <w:rPr>
          <w:lang w:val="en-GB"/>
        </w:rPr>
        <w:t xml:space="preserve">one </w:t>
      </w:r>
      <w:r w:rsidRPr="009358D3">
        <w:rPr>
          <w:lang w:val="en-GB"/>
        </w:rPr>
        <w:t xml:space="preserve">entity amounted to PLN 705.5 thousand, while total revenues amounted to PLN 840.8 thousand. The share of total revenues and </w:t>
      </w:r>
      <w:r w:rsidR="001C7622" w:rsidRPr="009358D3">
        <w:rPr>
          <w:lang w:val="en-GB"/>
        </w:rPr>
        <w:t xml:space="preserve">total </w:t>
      </w:r>
      <w:r w:rsidRPr="009358D3">
        <w:rPr>
          <w:lang w:val="en-GB"/>
        </w:rPr>
        <w:t xml:space="preserve">costs generated by enterprises classified as cultural and creative industries in total revenues and </w:t>
      </w:r>
      <w:r w:rsidR="001C7622" w:rsidRPr="009358D3">
        <w:rPr>
          <w:lang w:val="en-GB"/>
        </w:rPr>
        <w:t xml:space="preserve">total </w:t>
      </w:r>
      <w:r w:rsidRPr="009358D3">
        <w:rPr>
          <w:lang w:val="en-GB"/>
        </w:rPr>
        <w:t>costs generated by all non-financial enterprises amounted to 1.3% and 1.2%, respectively.</w:t>
      </w:r>
    </w:p>
    <w:p w14:paraId="091C29FF" w14:textId="5A1FF45F" w:rsidR="006D4224" w:rsidRPr="009358D3" w:rsidRDefault="00F33B9E" w:rsidP="00936CE3">
      <w:pPr>
        <w:rPr>
          <w:rFonts w:cstheme="minorHAnsi"/>
          <w:szCs w:val="19"/>
          <w:lang w:val="en-GB"/>
        </w:rPr>
      </w:pPr>
      <w:r w:rsidRPr="009358D3">
        <w:rPr>
          <w:lang w:val="en-GB"/>
        </w:rPr>
        <w:t>Enterprises</w:t>
      </w:r>
      <w:r w:rsidR="001C7622" w:rsidRPr="009358D3">
        <w:rPr>
          <w:lang w:val="en-GB"/>
        </w:rPr>
        <w:t xml:space="preserve"> belonging to the</w:t>
      </w:r>
      <w:r w:rsidRPr="009358D3">
        <w:rPr>
          <w:lang w:val="en-GB"/>
        </w:rPr>
        <w:t xml:space="preserve"> cultural and creative industries generated </w:t>
      </w:r>
      <w:r w:rsidR="001C7622" w:rsidRPr="009358D3">
        <w:rPr>
          <w:lang w:val="en-GB"/>
        </w:rPr>
        <w:t xml:space="preserve">value </w:t>
      </w:r>
      <w:r w:rsidRPr="009358D3">
        <w:rPr>
          <w:lang w:val="en-GB"/>
        </w:rPr>
        <w:t>added of PLN</w:t>
      </w:r>
      <w:r w:rsidR="00EC6221" w:rsidRPr="009358D3">
        <w:rPr>
          <w:lang w:val="en-GB"/>
        </w:rPr>
        <w:t> </w:t>
      </w:r>
      <w:r w:rsidRPr="009358D3">
        <w:rPr>
          <w:lang w:val="en-GB"/>
        </w:rPr>
        <w:t>32.6 billion (PLN 1.5 billion more than in 2022), which accounted for 1.6% of the value added generated by all non-financial enterprises. Almost half of the</w:t>
      </w:r>
      <w:r w:rsidR="001C7622" w:rsidRPr="009358D3">
        <w:rPr>
          <w:lang w:val="en-GB"/>
        </w:rPr>
        <w:t xml:space="preserve"> value</w:t>
      </w:r>
      <w:r w:rsidRPr="009358D3">
        <w:rPr>
          <w:lang w:val="en-GB"/>
        </w:rPr>
        <w:t xml:space="preserve"> added was provided by micro-enterprises – PLN 14.7 billion. In case of large enterprises, it was PLN</w:t>
      </w:r>
      <w:r w:rsidR="00EC6221" w:rsidRPr="009358D3">
        <w:rPr>
          <w:lang w:val="en-GB"/>
        </w:rPr>
        <w:t> </w:t>
      </w:r>
      <w:r w:rsidRPr="009358D3">
        <w:rPr>
          <w:lang w:val="en-GB"/>
        </w:rPr>
        <w:t>9.3</w:t>
      </w:r>
      <w:r w:rsidR="00EC6221" w:rsidRPr="009358D3">
        <w:rPr>
          <w:lang w:val="en-GB"/>
        </w:rPr>
        <w:t> </w:t>
      </w:r>
      <w:r w:rsidRPr="009358D3">
        <w:rPr>
          <w:lang w:val="en-GB"/>
        </w:rPr>
        <w:t>billion, and in case of small and medium enterprises – PLN 3.9 billion and PLN</w:t>
      </w:r>
      <w:r w:rsidR="00EC6221" w:rsidRPr="009358D3">
        <w:rPr>
          <w:lang w:val="en-GB"/>
        </w:rPr>
        <w:t> </w:t>
      </w:r>
      <w:r w:rsidRPr="009358D3">
        <w:rPr>
          <w:lang w:val="en-GB"/>
        </w:rPr>
        <w:t>4.7</w:t>
      </w:r>
      <w:r w:rsidR="00EC6221" w:rsidRPr="009358D3">
        <w:rPr>
          <w:lang w:val="en-GB"/>
        </w:rPr>
        <w:t> </w:t>
      </w:r>
      <w:r w:rsidRPr="009358D3">
        <w:rPr>
          <w:lang w:val="en-GB"/>
        </w:rPr>
        <w:t xml:space="preserve">billion, respectively. Per </w:t>
      </w:r>
      <w:r w:rsidR="00914545" w:rsidRPr="009358D3">
        <w:rPr>
          <w:lang w:val="en-GB"/>
        </w:rPr>
        <w:t xml:space="preserve">one </w:t>
      </w:r>
      <w:r w:rsidRPr="009358D3">
        <w:rPr>
          <w:lang w:val="en-GB"/>
        </w:rPr>
        <w:t xml:space="preserve">enterprise, the total value added of </w:t>
      </w:r>
      <w:r w:rsidR="00914545" w:rsidRPr="009358D3">
        <w:rPr>
          <w:lang w:val="en-GB"/>
        </w:rPr>
        <w:t>the cultural and creative industries</w:t>
      </w:r>
      <w:r w:rsidRPr="009358D3">
        <w:rPr>
          <w:lang w:val="en-GB"/>
        </w:rPr>
        <w:t xml:space="preserve"> was more than three times lower than the value added per </w:t>
      </w:r>
      <w:r w:rsidR="00914545" w:rsidRPr="009358D3">
        <w:rPr>
          <w:lang w:val="en-GB"/>
        </w:rPr>
        <w:t xml:space="preserve">one </w:t>
      </w:r>
      <w:r w:rsidRPr="009358D3">
        <w:rPr>
          <w:lang w:val="en-GB"/>
        </w:rPr>
        <w:t>non-financial enterprise</w:t>
      </w:r>
      <w:r w:rsidR="006D4224" w:rsidRPr="009358D3">
        <w:rPr>
          <w:rFonts w:cstheme="minorHAnsi"/>
          <w:szCs w:val="19"/>
          <w:lang w:val="en-GB"/>
        </w:rPr>
        <w:t>.</w:t>
      </w:r>
    </w:p>
    <w:p w14:paraId="114ED87F" w14:textId="083F388B" w:rsidR="006D4224" w:rsidRPr="009358D3" w:rsidRDefault="006D4224" w:rsidP="00936CE3">
      <w:pPr>
        <w:pStyle w:val="Nagwek1"/>
        <w:rPr>
          <w:lang w:val="en-GB"/>
        </w:rPr>
      </w:pPr>
      <w:r w:rsidRPr="009358D3">
        <w:rPr>
          <w:lang w:val="en-GB"/>
        </w:rPr>
        <w:t xml:space="preserve">International </w:t>
      </w:r>
      <w:r w:rsidR="008A6234" w:rsidRPr="009358D3">
        <w:rPr>
          <w:lang w:val="en-GB"/>
        </w:rPr>
        <w:t>trade</w:t>
      </w:r>
      <w:r w:rsidRPr="009358D3">
        <w:rPr>
          <w:lang w:val="en-GB"/>
        </w:rPr>
        <w:t xml:space="preserve"> of cultural and creative goods and services</w:t>
      </w:r>
    </w:p>
    <w:p w14:paraId="7323006B" w14:textId="733CE116" w:rsidR="004377B0" w:rsidRPr="009358D3" w:rsidRDefault="006D4224" w:rsidP="004377B0">
      <w:pPr>
        <w:rPr>
          <w:rFonts w:cstheme="minorHAnsi"/>
          <w:szCs w:val="19"/>
          <w:lang w:val="en-GB"/>
        </w:rPr>
      </w:pPr>
      <w:r w:rsidRPr="009358D3">
        <w:rPr>
          <w:noProof/>
          <w:lang w:val="en-GB" w:eastAsia="pl-PL"/>
        </w:rPr>
        <mc:AlternateContent>
          <mc:Choice Requires="wps">
            <w:drawing>
              <wp:anchor distT="45720" distB="45720" distL="114300" distR="114300" simplePos="0" relativeHeight="251787264" behindDoc="1" locked="0" layoutInCell="1" allowOverlap="1" wp14:anchorId="71B30557" wp14:editId="4F89B9EB">
                <wp:simplePos x="0" y="0"/>
                <wp:positionH relativeFrom="page">
                  <wp:posOffset>5701030</wp:posOffset>
                </wp:positionH>
                <wp:positionV relativeFrom="paragraph">
                  <wp:posOffset>210820</wp:posOffset>
                </wp:positionV>
                <wp:extent cx="1748790" cy="1701165"/>
                <wp:effectExtent l="0" t="0" r="0" b="0"/>
                <wp:wrapTight wrapText="bothSides">
                  <wp:wrapPolygon edited="0">
                    <wp:start x="706" y="0"/>
                    <wp:lineTo x="706" y="21286"/>
                    <wp:lineTo x="20706" y="21286"/>
                    <wp:lineTo x="20706" y="0"/>
                    <wp:lineTo x="706" y="0"/>
                  </wp:wrapPolygon>
                </wp:wrapTight>
                <wp:docPr id="15" name="Prostokąt 15" descr="In 2023, a positive balance of international trade of cultural and creative goods was recorded in the amount of PLN 4.6 billion. The balance of trade of cultural and creative services was negative and amounted to minus PLN 3.0 billion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8790" cy="1701165"/>
                        </a:xfrm>
                        <a:prstGeom prst="rect">
                          <a:avLst/>
                        </a:prstGeom>
                        <a:noFill/>
                        <a:ln w="9360">
                          <a:noFill/>
                        </a:ln>
                      </wps:spPr>
                      <wps:style>
                        <a:lnRef idx="0">
                          <a:scrgbClr r="0" g="0" b="0"/>
                        </a:lnRef>
                        <a:fillRef idx="0">
                          <a:scrgbClr r="0" g="0" b="0"/>
                        </a:fillRef>
                        <a:effectRef idx="0">
                          <a:scrgbClr r="0" g="0" b="0"/>
                        </a:effectRef>
                        <a:fontRef idx="minor"/>
                      </wps:style>
                      <wps:txbx>
                        <w:txbxContent>
                          <w:p w14:paraId="46D38F6A" w14:textId="362F47EE" w:rsidR="006D4224" w:rsidRPr="000D5874" w:rsidRDefault="006D4224" w:rsidP="006D4224">
                            <w:pPr>
                              <w:pStyle w:val="tekstzboku"/>
                              <w:spacing w:before="0" w:after="120"/>
                              <w:rPr>
                                <w:lang w:val="en-GB"/>
                              </w:rPr>
                            </w:pPr>
                            <w:r w:rsidRPr="000D5874">
                              <w:rPr>
                                <w:lang w:val="en-GB"/>
                              </w:rPr>
                              <w:t xml:space="preserve">In 2023, a positive balance of international trade </w:t>
                            </w:r>
                            <w:r w:rsidR="003A1FC7" w:rsidRPr="000D5874">
                              <w:rPr>
                                <w:lang w:val="en-GB"/>
                              </w:rPr>
                              <w:t>of</w:t>
                            </w:r>
                            <w:r w:rsidRPr="000D5874">
                              <w:rPr>
                                <w:lang w:val="en-GB"/>
                              </w:rPr>
                              <w:t xml:space="preserve"> cultural and creative goods was recorded in the amount of PLN 4.6 billion. The balance of trade </w:t>
                            </w:r>
                            <w:r w:rsidR="007E6125" w:rsidRPr="000D5874">
                              <w:rPr>
                                <w:lang w:val="en-GB"/>
                              </w:rPr>
                              <w:t>of</w:t>
                            </w:r>
                            <w:r w:rsidRPr="000D5874">
                              <w:rPr>
                                <w:lang w:val="en-GB"/>
                              </w:rPr>
                              <w:t xml:space="preserve"> cultural and creative services was negative and </w:t>
                            </w:r>
                            <w:r w:rsidR="007E6125" w:rsidRPr="000D5874">
                              <w:rPr>
                                <w:lang w:val="en-GB"/>
                              </w:rPr>
                              <w:t>amounted to</w:t>
                            </w:r>
                            <w:r w:rsidRPr="000D5874">
                              <w:rPr>
                                <w:lang w:val="en-GB"/>
                              </w:rPr>
                              <w:t xml:space="preserve"> minus</w:t>
                            </w:r>
                            <w:r w:rsidR="00F43055" w:rsidRPr="000D5874">
                              <w:rPr>
                                <w:rFonts w:cstheme="minorHAnsi"/>
                                <w:szCs w:val="19"/>
                                <w:lang w:val="en-GB"/>
                              </w:rPr>
                              <w:t xml:space="preserve"> PLN 3.0</w:t>
                            </w:r>
                            <w:r w:rsidR="007E6125" w:rsidRPr="000D5874">
                              <w:rPr>
                                <w:rFonts w:cstheme="minorHAnsi"/>
                                <w:szCs w:val="19"/>
                                <w:lang w:val="en-GB"/>
                              </w:rPr>
                              <w:t xml:space="preserve"> billion</w:t>
                            </w:r>
                            <w:r w:rsidR="00F43055" w:rsidRPr="000D5874">
                              <w:rPr>
                                <w:rFonts w:cstheme="minorHAnsi"/>
                                <w:szCs w:val="19"/>
                                <w:lang w:val="en-GB"/>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1B30557" id="Prostokąt 15" o:spid="_x0000_s1031" alt="In 2023, a positive balance of international trade of cultural and creative goods was recorded in the amount of PLN 4.6 billion. The balance of trade of cultural and creative services was negative and amounted to minus PLN 3.0 billion " style="position:absolute;margin-left:448.9pt;margin-top:16.6pt;width:137.7pt;height:133.95pt;z-index:-251529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" filled="f" stroked="f" strokeweight=".26mm">
                <v:textbox>
                  <w:txbxContent>
                    <w:p w14:paraId="46D38F6A" w14:textId="362F47EE" w:rsidR="006D4224" w:rsidRPr="000D5874" w:rsidRDefault="006D4224" w:rsidP="006D4224">
                      <w:pPr>
                        <w:pStyle w:val="tekstzboku"/>
                        <w:spacing w:before="0" w:after="120"/>
                        <w:rPr>
                          <w:lang w:val="en-GB"/>
                        </w:rPr>
                      </w:pPr>
                      <w:r w:rsidRPr="000D5874">
                        <w:rPr>
                          <w:lang w:val="en-GB"/>
                        </w:rPr>
                        <w:t xml:space="preserve">In 2023, a positive balance of international trade </w:t>
                      </w:r>
                      <w:r w:rsidR="003A1FC7" w:rsidRPr="000D5874">
                        <w:rPr>
                          <w:lang w:val="en-GB"/>
                        </w:rPr>
                        <w:t>of</w:t>
                      </w:r>
                      <w:r w:rsidRPr="000D5874">
                        <w:rPr>
                          <w:lang w:val="en-GB"/>
                        </w:rPr>
                        <w:t xml:space="preserve"> cultural and creative goods was recorded in the amount of PLN 4.6 billion. The balance of trade </w:t>
                      </w:r>
                      <w:r w:rsidR="007E6125" w:rsidRPr="000D5874">
                        <w:rPr>
                          <w:lang w:val="en-GB"/>
                        </w:rPr>
                        <w:t>of</w:t>
                      </w:r>
                      <w:r w:rsidRPr="000D5874">
                        <w:rPr>
                          <w:lang w:val="en-GB"/>
                        </w:rPr>
                        <w:t xml:space="preserve"> cultural and creative services was negative and </w:t>
                      </w:r>
                      <w:r w:rsidR="007E6125" w:rsidRPr="000D5874">
                        <w:rPr>
                          <w:lang w:val="en-GB"/>
                        </w:rPr>
                        <w:t>amounted to</w:t>
                      </w:r>
                      <w:r w:rsidRPr="000D5874">
                        <w:rPr>
                          <w:lang w:val="en-GB"/>
                        </w:rPr>
                        <w:t xml:space="preserve"> minus</w:t>
                      </w:r>
                      <w:r w:rsidR="00F43055" w:rsidRPr="000D5874">
                        <w:rPr>
                          <w:rFonts w:cstheme="minorHAnsi"/>
                          <w:szCs w:val="19"/>
                          <w:lang w:val="en-GB"/>
                        </w:rPr>
                        <w:t xml:space="preserve"> PLN 3.0</w:t>
                      </w:r>
                      <w:r w:rsidR="007E6125" w:rsidRPr="000D5874">
                        <w:rPr>
                          <w:rFonts w:cstheme="minorHAnsi"/>
                          <w:szCs w:val="19"/>
                          <w:lang w:val="en-GB"/>
                        </w:rPr>
                        <w:t xml:space="preserve"> billion</w:t>
                      </w:r>
                      <w:r w:rsidR="00F43055" w:rsidRPr="000D5874">
                        <w:rPr>
                          <w:rFonts w:cstheme="minorHAnsi"/>
                          <w:szCs w:val="19"/>
                          <w:lang w:val="en-GB"/>
                        </w:rPr>
                        <w:t xml:space="preserve"> </w:t>
                      </w:r>
                    </w:p>
                  </w:txbxContent>
                </v:textbox>
                <w10:wrap type="tight" anchorx="page"/>
              </v:rect>
            </w:pict>
          </mc:Fallback>
        </mc:AlternateContent>
      </w:r>
      <w:r w:rsidRPr="009358D3">
        <w:rPr>
          <w:rFonts w:cstheme="minorHAnsi"/>
          <w:szCs w:val="19"/>
          <w:lang w:val="en-GB"/>
        </w:rPr>
        <w:t>In 2023, cultural and creative goods worth PLN 13.8 billion were sold abroad (PLN 2.7 billion, i.e. 16.4% less than in 2022). Imports decreased by PLN 1.3</w:t>
      </w:r>
      <w:r w:rsidR="00A608D0" w:rsidRPr="009358D3">
        <w:rPr>
          <w:rFonts w:cstheme="minorHAnsi"/>
          <w:szCs w:val="19"/>
          <w:lang w:val="en-GB"/>
        </w:rPr>
        <w:t xml:space="preserve"> billion</w:t>
      </w:r>
      <w:r w:rsidRPr="009358D3">
        <w:rPr>
          <w:rFonts w:cstheme="minorHAnsi"/>
          <w:szCs w:val="19"/>
          <w:lang w:val="en-GB"/>
        </w:rPr>
        <w:t xml:space="preserve"> (i.e. 12.0%) to PLN</w:t>
      </w:r>
      <w:r w:rsidR="00EC6221" w:rsidRPr="009358D3">
        <w:rPr>
          <w:rFonts w:cstheme="minorHAnsi"/>
          <w:szCs w:val="19"/>
          <w:lang w:val="en-GB"/>
        </w:rPr>
        <w:t> </w:t>
      </w:r>
      <w:r w:rsidRPr="009358D3">
        <w:rPr>
          <w:rFonts w:cstheme="minorHAnsi"/>
          <w:szCs w:val="19"/>
          <w:lang w:val="en-GB"/>
        </w:rPr>
        <w:t>9.2</w:t>
      </w:r>
      <w:r w:rsidR="00EC6221" w:rsidRPr="009358D3">
        <w:rPr>
          <w:rFonts w:cstheme="minorHAnsi"/>
          <w:szCs w:val="19"/>
          <w:lang w:val="en-GB"/>
        </w:rPr>
        <w:t> </w:t>
      </w:r>
      <w:r w:rsidR="00A608D0" w:rsidRPr="009358D3">
        <w:rPr>
          <w:rFonts w:cstheme="minorHAnsi"/>
          <w:szCs w:val="19"/>
          <w:lang w:val="en-GB"/>
        </w:rPr>
        <w:t>billion</w:t>
      </w:r>
      <w:r w:rsidRPr="009358D3">
        <w:rPr>
          <w:rFonts w:cstheme="minorHAnsi"/>
          <w:szCs w:val="19"/>
          <w:lang w:val="en-GB"/>
        </w:rPr>
        <w:t>. The foreign trade</w:t>
      </w:r>
      <w:r w:rsidR="00A608D0" w:rsidRPr="009358D3">
        <w:rPr>
          <w:rFonts w:cstheme="minorHAnsi"/>
          <w:szCs w:val="19"/>
          <w:lang w:val="en-GB"/>
        </w:rPr>
        <w:t xml:space="preserve"> balance</w:t>
      </w:r>
      <w:r w:rsidRPr="009358D3">
        <w:rPr>
          <w:rFonts w:cstheme="minorHAnsi"/>
          <w:szCs w:val="19"/>
          <w:lang w:val="en-GB"/>
        </w:rPr>
        <w:t xml:space="preserve"> was positive and </w:t>
      </w:r>
      <w:r w:rsidR="00A608D0" w:rsidRPr="009358D3">
        <w:rPr>
          <w:rFonts w:cstheme="minorHAnsi"/>
          <w:szCs w:val="19"/>
          <w:lang w:val="en-GB"/>
        </w:rPr>
        <w:t>amounted to</w:t>
      </w:r>
      <w:r w:rsidRPr="009358D3">
        <w:rPr>
          <w:rFonts w:cstheme="minorHAnsi"/>
          <w:szCs w:val="19"/>
          <w:lang w:val="en-GB"/>
        </w:rPr>
        <w:t xml:space="preserve"> PLN 4.6</w:t>
      </w:r>
      <w:r w:rsidR="00A608D0" w:rsidRPr="009358D3">
        <w:rPr>
          <w:rFonts w:cstheme="minorHAnsi"/>
          <w:szCs w:val="19"/>
          <w:lang w:val="en-GB"/>
        </w:rPr>
        <w:t xml:space="preserve"> billion</w:t>
      </w:r>
      <w:r w:rsidRPr="009358D3">
        <w:rPr>
          <w:rFonts w:cstheme="minorHAnsi"/>
          <w:szCs w:val="19"/>
          <w:lang w:val="en-GB"/>
        </w:rPr>
        <w:t xml:space="preserve"> (PLN</w:t>
      </w:r>
      <w:r w:rsidR="00EC6221" w:rsidRPr="009358D3">
        <w:rPr>
          <w:rFonts w:cstheme="minorHAnsi"/>
          <w:szCs w:val="19"/>
          <w:lang w:val="en-GB"/>
        </w:rPr>
        <w:t> </w:t>
      </w:r>
      <w:r w:rsidRPr="009358D3">
        <w:rPr>
          <w:rFonts w:cstheme="minorHAnsi"/>
          <w:szCs w:val="19"/>
          <w:lang w:val="en-GB"/>
        </w:rPr>
        <w:t>1.5</w:t>
      </w:r>
      <w:r w:rsidR="00A608D0" w:rsidRPr="009358D3">
        <w:rPr>
          <w:rFonts w:cstheme="minorHAnsi"/>
          <w:szCs w:val="19"/>
          <w:lang w:val="en-GB"/>
        </w:rPr>
        <w:t xml:space="preserve"> billion</w:t>
      </w:r>
      <w:r w:rsidRPr="009358D3">
        <w:rPr>
          <w:rFonts w:cstheme="minorHAnsi"/>
          <w:szCs w:val="19"/>
          <w:lang w:val="en-GB"/>
        </w:rPr>
        <w:t xml:space="preserve"> less than in 2022). </w:t>
      </w:r>
    </w:p>
    <w:p w14:paraId="2BE3F438" w14:textId="25B5792F" w:rsidR="004377B0" w:rsidRPr="009358D3" w:rsidRDefault="00666100" w:rsidP="004377B0">
      <w:pPr>
        <w:rPr>
          <w:rFonts w:cstheme="minorHAnsi"/>
          <w:szCs w:val="19"/>
          <w:lang w:val="en-GB"/>
        </w:rPr>
      </w:pPr>
      <w:r w:rsidRPr="009358D3">
        <w:rPr>
          <w:rFonts w:cstheme="minorHAnsi"/>
          <w:szCs w:val="19"/>
          <w:lang w:val="en-GB"/>
        </w:rPr>
        <w:t xml:space="preserve">The largest amount from the sale of goods was obtained in the </w:t>
      </w:r>
      <w:r w:rsidR="004377B0" w:rsidRPr="009358D3">
        <w:rPr>
          <w:rFonts w:cstheme="minorHAnsi"/>
          <w:szCs w:val="19"/>
          <w:lang w:val="en-GB"/>
        </w:rPr>
        <w:t>Audio</w:t>
      </w:r>
      <w:r w:rsidR="001E5AAA" w:rsidRPr="009358D3">
        <w:rPr>
          <w:rFonts w:cstheme="minorHAnsi"/>
          <w:szCs w:val="19"/>
          <w:lang w:val="en-GB"/>
        </w:rPr>
        <w:t>-</w:t>
      </w:r>
      <w:r w:rsidR="004377B0" w:rsidRPr="009358D3">
        <w:rPr>
          <w:rFonts w:cstheme="minorHAnsi"/>
          <w:szCs w:val="19"/>
          <w:lang w:val="en-GB"/>
        </w:rPr>
        <w:t xml:space="preserve">visual </w:t>
      </w:r>
      <w:r w:rsidR="001E5AAA" w:rsidRPr="009358D3">
        <w:rPr>
          <w:rFonts w:cstheme="minorHAnsi"/>
          <w:szCs w:val="19"/>
          <w:lang w:val="en-GB"/>
        </w:rPr>
        <w:t>a</w:t>
      </w:r>
      <w:r w:rsidR="004377B0" w:rsidRPr="009358D3">
        <w:rPr>
          <w:rFonts w:cstheme="minorHAnsi"/>
          <w:szCs w:val="19"/>
          <w:lang w:val="en-GB"/>
        </w:rPr>
        <w:t xml:space="preserve">rts and </w:t>
      </w:r>
      <w:r w:rsidR="00966623" w:rsidRPr="009358D3">
        <w:rPr>
          <w:rFonts w:cstheme="minorHAnsi"/>
          <w:szCs w:val="19"/>
          <w:lang w:val="en-GB"/>
        </w:rPr>
        <w:t>m</w:t>
      </w:r>
      <w:r w:rsidR="004377B0" w:rsidRPr="009358D3">
        <w:rPr>
          <w:rFonts w:cstheme="minorHAnsi"/>
          <w:szCs w:val="19"/>
          <w:lang w:val="en-GB"/>
        </w:rPr>
        <w:t xml:space="preserve">ultimedia </w:t>
      </w:r>
      <w:r w:rsidR="004E02D4" w:rsidRPr="009358D3">
        <w:rPr>
          <w:rFonts w:cstheme="minorHAnsi"/>
          <w:szCs w:val="19"/>
          <w:lang w:val="en-GB"/>
        </w:rPr>
        <w:t xml:space="preserve">domain </w:t>
      </w:r>
      <w:r w:rsidR="004377B0" w:rsidRPr="009358D3">
        <w:rPr>
          <w:rFonts w:cstheme="minorHAnsi"/>
          <w:iCs/>
          <w:szCs w:val="19"/>
          <w:lang w:val="en-GB"/>
        </w:rPr>
        <w:t xml:space="preserve">(PLN 6.3 billion), </w:t>
      </w:r>
      <w:r w:rsidR="008D69E1" w:rsidRPr="009358D3">
        <w:rPr>
          <w:rFonts w:cstheme="minorHAnsi"/>
          <w:szCs w:val="19"/>
          <w:lang w:val="en-GB"/>
        </w:rPr>
        <w:t xml:space="preserve">while the lowest – in the </w:t>
      </w:r>
      <w:r w:rsidR="00585C1C" w:rsidRPr="009358D3">
        <w:rPr>
          <w:rFonts w:cstheme="minorHAnsi"/>
          <w:szCs w:val="19"/>
          <w:lang w:val="en-GB"/>
        </w:rPr>
        <w:t>Architecture</w:t>
      </w:r>
      <w:r w:rsidR="004377B0" w:rsidRPr="009358D3">
        <w:rPr>
          <w:rFonts w:cstheme="minorHAnsi"/>
          <w:szCs w:val="19"/>
          <w:lang w:val="en-GB"/>
        </w:rPr>
        <w:t xml:space="preserve"> </w:t>
      </w:r>
      <w:r w:rsidR="004E02D4" w:rsidRPr="009358D3">
        <w:rPr>
          <w:rFonts w:cstheme="minorHAnsi"/>
          <w:szCs w:val="19"/>
          <w:lang w:val="en-GB"/>
        </w:rPr>
        <w:t xml:space="preserve">domain </w:t>
      </w:r>
      <w:r w:rsidR="004377B0" w:rsidRPr="009358D3">
        <w:rPr>
          <w:rFonts w:cstheme="minorHAnsi"/>
          <w:szCs w:val="19"/>
          <w:lang w:val="en-GB"/>
        </w:rPr>
        <w:t>(PLN</w:t>
      </w:r>
      <w:r w:rsidR="00EC6221" w:rsidRPr="009358D3">
        <w:rPr>
          <w:rFonts w:cstheme="minorHAnsi"/>
          <w:szCs w:val="19"/>
          <w:lang w:val="en-GB"/>
        </w:rPr>
        <w:t> </w:t>
      </w:r>
      <w:r w:rsidR="004377B0" w:rsidRPr="009358D3">
        <w:rPr>
          <w:rFonts w:cstheme="minorHAnsi"/>
          <w:szCs w:val="19"/>
          <w:lang w:val="en-GB"/>
        </w:rPr>
        <w:t>0.2</w:t>
      </w:r>
      <w:r w:rsidR="00EC6221" w:rsidRPr="009358D3">
        <w:rPr>
          <w:rFonts w:cstheme="minorHAnsi"/>
          <w:szCs w:val="19"/>
          <w:lang w:val="en-GB"/>
        </w:rPr>
        <w:t> </w:t>
      </w:r>
      <w:r w:rsidR="004377B0" w:rsidRPr="009358D3">
        <w:rPr>
          <w:rFonts w:cstheme="minorHAnsi"/>
          <w:szCs w:val="19"/>
          <w:lang w:val="en-GB"/>
        </w:rPr>
        <w:t xml:space="preserve">million). The highest positive balance of </w:t>
      </w:r>
      <w:r w:rsidR="008A6234" w:rsidRPr="009358D3">
        <w:rPr>
          <w:rFonts w:cstheme="minorHAnsi"/>
          <w:szCs w:val="19"/>
          <w:lang w:val="en-GB"/>
        </w:rPr>
        <w:t>international</w:t>
      </w:r>
      <w:r w:rsidR="004377B0" w:rsidRPr="009358D3">
        <w:rPr>
          <w:rFonts w:cstheme="minorHAnsi"/>
          <w:szCs w:val="19"/>
          <w:lang w:val="en-GB"/>
        </w:rPr>
        <w:t xml:space="preserve"> trade in goods was recorded in the </w:t>
      </w:r>
      <w:r w:rsidR="004377B0" w:rsidRPr="009358D3">
        <w:rPr>
          <w:rFonts w:cstheme="minorHAnsi"/>
          <w:iCs/>
          <w:szCs w:val="19"/>
          <w:lang w:val="en-GB"/>
        </w:rPr>
        <w:t xml:space="preserve">Books and </w:t>
      </w:r>
      <w:r w:rsidR="001E5AAA" w:rsidRPr="009358D3">
        <w:rPr>
          <w:rFonts w:cstheme="minorHAnsi"/>
          <w:iCs/>
          <w:szCs w:val="19"/>
          <w:lang w:val="en-GB"/>
        </w:rPr>
        <w:t>p</w:t>
      </w:r>
      <w:r w:rsidR="004377B0" w:rsidRPr="009358D3">
        <w:rPr>
          <w:rFonts w:cstheme="minorHAnsi"/>
          <w:iCs/>
          <w:szCs w:val="19"/>
          <w:lang w:val="en-GB"/>
        </w:rPr>
        <w:t>ress</w:t>
      </w:r>
      <w:r w:rsidR="004377B0" w:rsidRPr="009358D3">
        <w:rPr>
          <w:rFonts w:cstheme="minorHAnsi"/>
          <w:szCs w:val="19"/>
          <w:lang w:val="en-GB"/>
        </w:rPr>
        <w:t xml:space="preserve"> </w:t>
      </w:r>
      <w:r w:rsidR="004E02D4" w:rsidRPr="009358D3">
        <w:rPr>
          <w:rFonts w:cstheme="minorHAnsi"/>
          <w:szCs w:val="19"/>
          <w:lang w:val="en-GB"/>
        </w:rPr>
        <w:t xml:space="preserve">domain </w:t>
      </w:r>
      <w:r w:rsidR="004377B0" w:rsidRPr="009358D3">
        <w:rPr>
          <w:rFonts w:cstheme="minorHAnsi"/>
          <w:szCs w:val="19"/>
          <w:lang w:val="en-GB"/>
        </w:rPr>
        <w:t>(PLN 3.4</w:t>
      </w:r>
      <w:r w:rsidR="002A65CE" w:rsidRPr="009358D3">
        <w:rPr>
          <w:rFonts w:cstheme="minorHAnsi"/>
          <w:szCs w:val="19"/>
          <w:lang w:val="en-GB"/>
        </w:rPr>
        <w:t xml:space="preserve"> </w:t>
      </w:r>
      <w:r w:rsidR="004377B0" w:rsidRPr="009358D3">
        <w:rPr>
          <w:rFonts w:cstheme="minorHAnsi"/>
          <w:szCs w:val="19"/>
          <w:lang w:val="en-GB"/>
        </w:rPr>
        <w:t>b</w:t>
      </w:r>
      <w:r w:rsidR="002A65CE" w:rsidRPr="009358D3">
        <w:rPr>
          <w:rFonts w:cstheme="minorHAnsi"/>
          <w:szCs w:val="19"/>
          <w:lang w:val="en-GB"/>
        </w:rPr>
        <w:t>illio</w:t>
      </w:r>
      <w:r w:rsidR="004377B0" w:rsidRPr="009358D3">
        <w:rPr>
          <w:rFonts w:cstheme="minorHAnsi"/>
          <w:szCs w:val="19"/>
          <w:lang w:val="en-GB"/>
        </w:rPr>
        <w:t xml:space="preserve">n). The largest negative balance of </w:t>
      </w:r>
      <w:r w:rsidR="008A6234" w:rsidRPr="009358D3">
        <w:rPr>
          <w:rFonts w:cstheme="minorHAnsi"/>
          <w:szCs w:val="19"/>
          <w:lang w:val="en-GB"/>
        </w:rPr>
        <w:t xml:space="preserve">international </w:t>
      </w:r>
      <w:r w:rsidR="004377B0" w:rsidRPr="009358D3">
        <w:rPr>
          <w:rFonts w:cstheme="minorHAnsi"/>
          <w:szCs w:val="19"/>
          <w:lang w:val="en-GB"/>
        </w:rPr>
        <w:t xml:space="preserve">trade was observed in the case of </w:t>
      </w:r>
      <w:r w:rsidR="00641814" w:rsidRPr="009358D3">
        <w:rPr>
          <w:rFonts w:cstheme="minorHAnsi"/>
          <w:iCs/>
          <w:szCs w:val="19"/>
          <w:lang w:val="en-GB"/>
        </w:rPr>
        <w:t xml:space="preserve">Cultural </w:t>
      </w:r>
      <w:r w:rsidR="00084E2F" w:rsidRPr="009358D3">
        <w:rPr>
          <w:rFonts w:cstheme="minorHAnsi"/>
          <w:iCs/>
          <w:szCs w:val="19"/>
          <w:lang w:val="en-GB"/>
        </w:rPr>
        <w:t>h</w:t>
      </w:r>
      <w:r w:rsidR="00641814" w:rsidRPr="009358D3">
        <w:rPr>
          <w:rFonts w:cstheme="minorHAnsi"/>
          <w:iCs/>
          <w:szCs w:val="19"/>
          <w:lang w:val="en-GB"/>
        </w:rPr>
        <w:t>eritage</w:t>
      </w:r>
      <w:r w:rsidR="00641814" w:rsidRPr="009358D3">
        <w:rPr>
          <w:rFonts w:cstheme="minorHAnsi"/>
          <w:szCs w:val="19"/>
          <w:lang w:val="en-GB"/>
        </w:rPr>
        <w:t xml:space="preserve"> </w:t>
      </w:r>
      <w:r w:rsidR="004E02D4" w:rsidRPr="009358D3">
        <w:rPr>
          <w:rFonts w:cstheme="minorHAnsi"/>
          <w:szCs w:val="19"/>
          <w:lang w:val="en-GB"/>
        </w:rPr>
        <w:t xml:space="preserve">domain </w:t>
      </w:r>
      <w:r w:rsidR="00641814" w:rsidRPr="009358D3">
        <w:rPr>
          <w:rFonts w:cstheme="minorHAnsi"/>
          <w:szCs w:val="19"/>
          <w:lang w:val="en-GB"/>
        </w:rPr>
        <w:t>(minus</w:t>
      </w:r>
      <w:r w:rsidR="00EC6221" w:rsidRPr="009358D3">
        <w:rPr>
          <w:rFonts w:cstheme="minorHAnsi"/>
          <w:szCs w:val="19"/>
          <w:lang w:val="en-GB"/>
        </w:rPr>
        <w:t> </w:t>
      </w:r>
      <w:r w:rsidR="00641814" w:rsidRPr="009358D3">
        <w:rPr>
          <w:rFonts w:cstheme="minorHAnsi"/>
          <w:szCs w:val="19"/>
          <w:lang w:val="en-GB"/>
        </w:rPr>
        <w:t>PLN</w:t>
      </w:r>
      <w:r w:rsidR="00EC6221" w:rsidRPr="009358D3">
        <w:rPr>
          <w:rFonts w:cstheme="minorHAnsi"/>
          <w:szCs w:val="19"/>
          <w:lang w:val="en-GB"/>
        </w:rPr>
        <w:t> </w:t>
      </w:r>
      <w:r w:rsidR="00641814" w:rsidRPr="009358D3">
        <w:rPr>
          <w:rFonts w:cstheme="minorHAnsi"/>
          <w:szCs w:val="19"/>
          <w:lang w:val="en-GB"/>
        </w:rPr>
        <w:t>164.3</w:t>
      </w:r>
      <w:r w:rsidR="00EC6221" w:rsidRPr="009358D3">
        <w:rPr>
          <w:rFonts w:cstheme="minorHAnsi"/>
          <w:szCs w:val="19"/>
          <w:lang w:val="en-GB"/>
        </w:rPr>
        <w:t> </w:t>
      </w:r>
      <w:r w:rsidR="00641814" w:rsidRPr="009358D3">
        <w:rPr>
          <w:rFonts w:cstheme="minorHAnsi"/>
          <w:szCs w:val="19"/>
          <w:lang w:val="en-GB"/>
        </w:rPr>
        <w:t>million).</w:t>
      </w:r>
    </w:p>
    <w:p w14:paraId="4E6F9478" w14:textId="451E7DB4" w:rsidR="00F9565F" w:rsidRPr="009358D3" w:rsidRDefault="000134C6" w:rsidP="004377B0">
      <w:pPr>
        <w:rPr>
          <w:rFonts w:cstheme="minorHAnsi"/>
          <w:szCs w:val="19"/>
          <w:lang w:val="en-GB"/>
        </w:rPr>
      </w:pPr>
      <w:r w:rsidRPr="009358D3">
        <w:rPr>
          <w:rFonts w:cstheme="minorHAnsi"/>
          <w:szCs w:val="19"/>
          <w:lang w:val="en-GB"/>
        </w:rPr>
        <w:t xml:space="preserve">Compared to 2022, the largest increase in the value of exported cultural and creative goods was observed in the </w:t>
      </w:r>
      <w:r w:rsidR="008A6234" w:rsidRPr="009358D3">
        <w:rPr>
          <w:rFonts w:cstheme="minorHAnsi"/>
          <w:szCs w:val="19"/>
          <w:lang w:val="en-GB"/>
        </w:rPr>
        <w:t xml:space="preserve">Arts and </w:t>
      </w:r>
      <w:r w:rsidR="00966623" w:rsidRPr="009358D3">
        <w:rPr>
          <w:rFonts w:cstheme="minorHAnsi"/>
          <w:szCs w:val="19"/>
          <w:lang w:val="en-GB"/>
        </w:rPr>
        <w:t>c</w:t>
      </w:r>
      <w:r w:rsidR="008A6234" w:rsidRPr="009358D3">
        <w:rPr>
          <w:rFonts w:cstheme="minorHAnsi"/>
          <w:szCs w:val="19"/>
          <w:lang w:val="en-GB"/>
        </w:rPr>
        <w:t xml:space="preserve">rafts </w:t>
      </w:r>
      <w:r w:rsidR="004E02D4" w:rsidRPr="009358D3">
        <w:rPr>
          <w:rFonts w:cstheme="minorHAnsi"/>
          <w:szCs w:val="19"/>
          <w:lang w:val="en-GB"/>
        </w:rPr>
        <w:t xml:space="preserve">domain </w:t>
      </w:r>
      <w:r w:rsidR="00F9565F" w:rsidRPr="009358D3">
        <w:rPr>
          <w:rFonts w:cstheme="minorHAnsi"/>
          <w:szCs w:val="19"/>
          <w:lang w:val="en-GB"/>
        </w:rPr>
        <w:t xml:space="preserve">(by 91.9%), while in </w:t>
      </w:r>
      <w:r w:rsidR="008A6234" w:rsidRPr="009358D3">
        <w:rPr>
          <w:rFonts w:cstheme="minorHAnsi"/>
          <w:szCs w:val="19"/>
          <w:lang w:val="en-GB"/>
        </w:rPr>
        <w:t>case</w:t>
      </w:r>
      <w:r w:rsidR="00F9565F" w:rsidRPr="009358D3">
        <w:rPr>
          <w:rFonts w:cstheme="minorHAnsi"/>
          <w:szCs w:val="19"/>
          <w:lang w:val="en-GB"/>
        </w:rPr>
        <w:t xml:space="preserve"> of import</w:t>
      </w:r>
      <w:r w:rsidR="006C421D" w:rsidRPr="009358D3">
        <w:rPr>
          <w:rFonts w:cstheme="minorHAnsi"/>
          <w:szCs w:val="19"/>
          <w:lang w:val="en-GB"/>
        </w:rPr>
        <w:t>s</w:t>
      </w:r>
      <w:r w:rsidR="00F9565F" w:rsidRPr="009358D3">
        <w:rPr>
          <w:rFonts w:cstheme="minorHAnsi"/>
          <w:szCs w:val="19"/>
          <w:lang w:val="en-GB"/>
        </w:rPr>
        <w:t xml:space="preserve">, the value increased only in the </w:t>
      </w:r>
      <w:r w:rsidR="008A6234" w:rsidRPr="009358D3">
        <w:rPr>
          <w:rFonts w:cstheme="minorHAnsi"/>
          <w:iCs/>
          <w:szCs w:val="19"/>
          <w:lang w:val="en-GB"/>
        </w:rPr>
        <w:t>C</w:t>
      </w:r>
      <w:r w:rsidR="00F9565F" w:rsidRPr="009358D3">
        <w:rPr>
          <w:rFonts w:cstheme="minorHAnsi"/>
          <w:iCs/>
          <w:szCs w:val="19"/>
          <w:lang w:val="en-GB"/>
        </w:rPr>
        <w:t xml:space="preserve">ultural </w:t>
      </w:r>
      <w:r w:rsidR="001E5AAA" w:rsidRPr="009358D3">
        <w:rPr>
          <w:rFonts w:cstheme="minorHAnsi"/>
          <w:iCs/>
          <w:szCs w:val="19"/>
          <w:lang w:val="en-GB"/>
        </w:rPr>
        <w:t>h</w:t>
      </w:r>
      <w:r w:rsidR="00F9565F" w:rsidRPr="009358D3">
        <w:rPr>
          <w:rFonts w:cstheme="minorHAnsi"/>
          <w:iCs/>
          <w:szCs w:val="19"/>
          <w:lang w:val="en-GB"/>
        </w:rPr>
        <w:t>eritage</w:t>
      </w:r>
      <w:r w:rsidR="00F9565F" w:rsidRPr="009358D3">
        <w:rPr>
          <w:rFonts w:cstheme="minorHAnsi"/>
          <w:szCs w:val="19"/>
          <w:lang w:val="en-GB"/>
        </w:rPr>
        <w:t xml:space="preserve"> </w:t>
      </w:r>
      <w:r w:rsidR="004E02D4" w:rsidRPr="009358D3">
        <w:rPr>
          <w:rFonts w:cstheme="minorHAnsi"/>
          <w:szCs w:val="19"/>
          <w:lang w:val="en-GB"/>
        </w:rPr>
        <w:t xml:space="preserve">domain </w:t>
      </w:r>
      <w:r w:rsidR="00F9565F" w:rsidRPr="009358D3">
        <w:rPr>
          <w:rFonts w:cstheme="minorHAnsi"/>
          <w:szCs w:val="19"/>
          <w:lang w:val="en-GB"/>
        </w:rPr>
        <w:t xml:space="preserve">(by 30.0%). </w:t>
      </w:r>
    </w:p>
    <w:p w14:paraId="7822BA9F" w14:textId="2C6070C9" w:rsidR="00F9565F" w:rsidRPr="009358D3" w:rsidRDefault="004F6DD2" w:rsidP="00F9565F">
      <w:pPr>
        <w:rPr>
          <w:highlight w:val="yellow"/>
          <w:lang w:val="en-GB"/>
        </w:rPr>
      </w:pPr>
      <w:r w:rsidRPr="009358D3">
        <w:rPr>
          <w:rFonts w:cstheme="minorHAnsi"/>
          <w:szCs w:val="19"/>
          <w:lang w:val="en-GB"/>
        </w:rPr>
        <w:t>The value of cultural and creative services delivered abroad amounted to PLN 17.7 billion (PLN 2.2 billion mor</w:t>
      </w:r>
      <w:r w:rsidR="00C81B97" w:rsidRPr="009358D3">
        <w:rPr>
          <w:rFonts w:cstheme="minorHAnsi"/>
          <w:szCs w:val="19"/>
          <w:lang w:val="en-GB"/>
        </w:rPr>
        <w:t xml:space="preserve">e than in 2022), while </w:t>
      </w:r>
      <w:r w:rsidR="00E8612B" w:rsidRPr="009358D3">
        <w:rPr>
          <w:rFonts w:cstheme="minorHAnsi"/>
          <w:szCs w:val="19"/>
          <w:lang w:val="en-GB"/>
        </w:rPr>
        <w:t>cultural and creative</w:t>
      </w:r>
      <w:r w:rsidRPr="009358D3">
        <w:rPr>
          <w:rFonts w:cstheme="minorHAnsi"/>
          <w:szCs w:val="19"/>
          <w:lang w:val="en-GB"/>
        </w:rPr>
        <w:t xml:space="preserve"> services </w:t>
      </w:r>
      <w:r w:rsidR="00C81B97" w:rsidRPr="009358D3">
        <w:rPr>
          <w:rFonts w:cstheme="minorHAnsi"/>
          <w:szCs w:val="19"/>
          <w:lang w:val="en-GB"/>
        </w:rPr>
        <w:t xml:space="preserve">purchased abroad – </w:t>
      </w:r>
      <w:r w:rsidRPr="009358D3">
        <w:rPr>
          <w:rFonts w:cstheme="minorHAnsi"/>
          <w:szCs w:val="19"/>
          <w:lang w:val="en-GB"/>
        </w:rPr>
        <w:t>PLN 20.7 billion (P</w:t>
      </w:r>
      <w:r w:rsidR="007244DD" w:rsidRPr="009358D3">
        <w:rPr>
          <w:rFonts w:cstheme="minorHAnsi"/>
          <w:szCs w:val="19"/>
          <w:lang w:val="en-GB"/>
        </w:rPr>
        <w:t>LN 2.9 billion more than in the previous year</w:t>
      </w:r>
      <w:r w:rsidRPr="009358D3">
        <w:rPr>
          <w:rFonts w:cstheme="minorHAnsi"/>
          <w:szCs w:val="19"/>
          <w:lang w:val="en-GB"/>
        </w:rPr>
        <w:t xml:space="preserve">). The </w:t>
      </w:r>
      <w:r w:rsidR="00E8612B" w:rsidRPr="009358D3">
        <w:rPr>
          <w:rFonts w:cstheme="minorHAnsi"/>
          <w:szCs w:val="19"/>
          <w:lang w:val="en-GB"/>
        </w:rPr>
        <w:t>balance of turnover</w:t>
      </w:r>
      <w:r w:rsidRPr="009358D3">
        <w:rPr>
          <w:rFonts w:cstheme="minorHAnsi"/>
          <w:szCs w:val="19"/>
          <w:lang w:val="en-GB"/>
        </w:rPr>
        <w:t xml:space="preserve"> was therefore negative and </w:t>
      </w:r>
      <w:r w:rsidR="00E8612B" w:rsidRPr="009358D3">
        <w:rPr>
          <w:rFonts w:cstheme="minorHAnsi"/>
          <w:szCs w:val="19"/>
          <w:lang w:val="en-GB"/>
        </w:rPr>
        <w:t>amounted to</w:t>
      </w:r>
      <w:r w:rsidRPr="009358D3">
        <w:rPr>
          <w:rFonts w:cstheme="minorHAnsi"/>
          <w:szCs w:val="19"/>
          <w:lang w:val="en-GB"/>
        </w:rPr>
        <w:t xml:space="preserve"> </w:t>
      </w:r>
      <w:r w:rsidR="00983D81" w:rsidRPr="009358D3">
        <w:rPr>
          <w:lang w:val="en-GB"/>
        </w:rPr>
        <w:t xml:space="preserve">minus </w:t>
      </w:r>
      <w:r w:rsidR="002C5117" w:rsidRPr="009358D3">
        <w:rPr>
          <w:rFonts w:cstheme="minorHAnsi"/>
          <w:szCs w:val="19"/>
          <w:lang w:val="en-GB"/>
        </w:rPr>
        <w:t>PLN 3.0</w:t>
      </w:r>
      <w:r w:rsidR="00E8612B" w:rsidRPr="009358D3">
        <w:rPr>
          <w:rFonts w:cstheme="minorHAnsi"/>
          <w:szCs w:val="19"/>
          <w:lang w:val="en-GB"/>
        </w:rPr>
        <w:t xml:space="preserve"> billion</w:t>
      </w:r>
      <w:r w:rsidRPr="009358D3">
        <w:rPr>
          <w:lang w:val="en-GB"/>
        </w:rPr>
        <w:t xml:space="preserve">. The positive balance of </w:t>
      </w:r>
      <w:r w:rsidR="00E8612B" w:rsidRPr="009358D3">
        <w:rPr>
          <w:lang w:val="en-GB"/>
        </w:rPr>
        <w:t>turnover</w:t>
      </w:r>
      <w:r w:rsidRPr="009358D3">
        <w:rPr>
          <w:lang w:val="en-GB"/>
        </w:rPr>
        <w:t xml:space="preserve"> in cultural and creative services </w:t>
      </w:r>
      <w:r w:rsidR="00E8612B" w:rsidRPr="009358D3">
        <w:rPr>
          <w:lang w:val="en-GB"/>
        </w:rPr>
        <w:t>was recorded</w:t>
      </w:r>
      <w:r w:rsidRPr="009358D3">
        <w:rPr>
          <w:lang w:val="en-GB"/>
        </w:rPr>
        <w:t xml:space="preserve"> only </w:t>
      </w:r>
      <w:r w:rsidR="00E8612B" w:rsidRPr="009358D3">
        <w:rPr>
          <w:lang w:val="en-GB"/>
        </w:rPr>
        <w:t xml:space="preserve">in </w:t>
      </w:r>
      <w:r w:rsidRPr="009358D3">
        <w:rPr>
          <w:lang w:val="en-GB"/>
        </w:rPr>
        <w:t xml:space="preserve">the </w:t>
      </w:r>
      <w:r w:rsidR="00C12068" w:rsidRPr="009358D3">
        <w:rPr>
          <w:lang w:val="en-GB"/>
        </w:rPr>
        <w:t xml:space="preserve">domains </w:t>
      </w:r>
      <w:r w:rsidR="002C5117" w:rsidRPr="009358D3">
        <w:rPr>
          <w:iCs/>
          <w:lang w:val="en-GB"/>
        </w:rPr>
        <w:t>Advertising</w:t>
      </w:r>
      <w:r w:rsidR="002C5117" w:rsidRPr="009358D3">
        <w:rPr>
          <w:lang w:val="en-GB"/>
        </w:rPr>
        <w:t xml:space="preserve"> (PLN</w:t>
      </w:r>
      <w:r w:rsidR="00EC6221" w:rsidRPr="009358D3">
        <w:rPr>
          <w:lang w:val="en-GB"/>
        </w:rPr>
        <w:t> </w:t>
      </w:r>
      <w:r w:rsidR="002C5117" w:rsidRPr="009358D3">
        <w:rPr>
          <w:lang w:val="en-GB"/>
        </w:rPr>
        <w:t>150.7</w:t>
      </w:r>
      <w:r w:rsidR="00EC6221" w:rsidRPr="009358D3">
        <w:rPr>
          <w:lang w:val="en-GB"/>
        </w:rPr>
        <w:t> </w:t>
      </w:r>
      <w:r w:rsidR="002C5117" w:rsidRPr="009358D3">
        <w:rPr>
          <w:lang w:val="en-GB"/>
        </w:rPr>
        <w:t xml:space="preserve">million) and </w:t>
      </w:r>
      <w:r w:rsidR="002C5117" w:rsidRPr="009358D3">
        <w:rPr>
          <w:iCs/>
          <w:lang w:val="en-GB"/>
        </w:rPr>
        <w:t>Cultural heritage</w:t>
      </w:r>
      <w:r w:rsidR="002C5117" w:rsidRPr="009358D3">
        <w:rPr>
          <w:lang w:val="en-GB"/>
        </w:rPr>
        <w:t xml:space="preserve"> (PLN 144.6 million). The largest negative balance </w:t>
      </w:r>
      <w:r w:rsidR="00614596" w:rsidRPr="009358D3">
        <w:rPr>
          <w:lang w:val="en-GB"/>
        </w:rPr>
        <w:t xml:space="preserve">of </w:t>
      </w:r>
      <w:r w:rsidR="00614596" w:rsidRPr="009358D3">
        <w:rPr>
          <w:lang w:val="en-GB"/>
        </w:rPr>
        <w:lastRenderedPageBreak/>
        <w:t>turnover</w:t>
      </w:r>
      <w:r w:rsidR="002C5117" w:rsidRPr="009358D3">
        <w:rPr>
          <w:lang w:val="en-GB"/>
        </w:rPr>
        <w:t xml:space="preserve"> in </w:t>
      </w:r>
      <w:r w:rsidR="00614596" w:rsidRPr="009358D3">
        <w:rPr>
          <w:rFonts w:cstheme="minorHAnsi"/>
          <w:szCs w:val="19"/>
          <w:lang w:val="en-GB"/>
        </w:rPr>
        <w:t xml:space="preserve">cultural and creative </w:t>
      </w:r>
      <w:r w:rsidR="002C5117" w:rsidRPr="009358D3">
        <w:rPr>
          <w:lang w:val="en-GB"/>
        </w:rPr>
        <w:t xml:space="preserve">services was recorded </w:t>
      </w:r>
      <w:r w:rsidR="00614596" w:rsidRPr="009358D3">
        <w:rPr>
          <w:lang w:val="en-GB"/>
        </w:rPr>
        <w:t xml:space="preserve">in </w:t>
      </w:r>
      <w:r w:rsidR="002C5117" w:rsidRPr="009358D3">
        <w:rPr>
          <w:lang w:val="en-GB"/>
        </w:rPr>
        <w:t xml:space="preserve">the </w:t>
      </w:r>
      <w:r w:rsidR="002C5117" w:rsidRPr="009358D3">
        <w:rPr>
          <w:iCs/>
          <w:lang w:val="en-GB"/>
        </w:rPr>
        <w:t>Audio</w:t>
      </w:r>
      <w:r w:rsidR="00614596" w:rsidRPr="009358D3">
        <w:rPr>
          <w:iCs/>
          <w:lang w:val="en-GB"/>
        </w:rPr>
        <w:t>-</w:t>
      </w:r>
      <w:r w:rsidR="002C5117" w:rsidRPr="009358D3">
        <w:rPr>
          <w:iCs/>
          <w:lang w:val="en-GB"/>
        </w:rPr>
        <w:t>visual arts and multimedia</w:t>
      </w:r>
      <w:r w:rsidR="002C5117" w:rsidRPr="009358D3">
        <w:rPr>
          <w:lang w:val="en-GB"/>
        </w:rPr>
        <w:t xml:space="preserve"> </w:t>
      </w:r>
      <w:r w:rsidR="004E02D4" w:rsidRPr="009358D3">
        <w:rPr>
          <w:lang w:val="en-GB"/>
        </w:rPr>
        <w:t>domain</w:t>
      </w:r>
      <w:r w:rsidR="002C5117" w:rsidRPr="009358D3">
        <w:rPr>
          <w:lang w:val="en-GB"/>
        </w:rPr>
        <w:t xml:space="preserve"> (minus PLN 2.3</w:t>
      </w:r>
      <w:r w:rsidR="00C12068" w:rsidRPr="009358D3">
        <w:rPr>
          <w:lang w:val="en-GB"/>
        </w:rPr>
        <w:t xml:space="preserve"> </w:t>
      </w:r>
      <w:r w:rsidR="002C5117" w:rsidRPr="009358D3">
        <w:rPr>
          <w:lang w:val="en-GB"/>
        </w:rPr>
        <w:t>b</w:t>
      </w:r>
      <w:r w:rsidR="00C12068" w:rsidRPr="009358D3">
        <w:rPr>
          <w:lang w:val="en-GB"/>
        </w:rPr>
        <w:t>illio</w:t>
      </w:r>
      <w:r w:rsidR="002C5117" w:rsidRPr="009358D3">
        <w:rPr>
          <w:lang w:val="en-GB"/>
        </w:rPr>
        <w:t xml:space="preserve">n). In </w:t>
      </w:r>
      <w:r w:rsidR="002C5117" w:rsidRPr="009358D3">
        <w:rPr>
          <w:iCs/>
          <w:lang w:val="en-GB"/>
        </w:rPr>
        <w:t>the Advertising</w:t>
      </w:r>
      <w:r w:rsidR="00614596" w:rsidRPr="009358D3">
        <w:rPr>
          <w:iCs/>
          <w:lang w:val="en-GB"/>
        </w:rPr>
        <w:t xml:space="preserve"> </w:t>
      </w:r>
      <w:r w:rsidR="004E02D4" w:rsidRPr="009358D3">
        <w:rPr>
          <w:lang w:val="en-GB"/>
        </w:rPr>
        <w:t>domain</w:t>
      </w:r>
      <w:r w:rsidR="002C5117" w:rsidRPr="009358D3">
        <w:rPr>
          <w:lang w:val="en-GB"/>
        </w:rPr>
        <w:t xml:space="preserve">, both the highest values of exports (PLN 14.6 billion) and imports (PLN 14.4 billion) were recorded. </w:t>
      </w:r>
    </w:p>
    <w:p w14:paraId="78A9089D" w14:textId="74D876A9" w:rsidR="00485759" w:rsidRPr="009358D3" w:rsidRDefault="00485759" w:rsidP="00936CE3">
      <w:pPr>
        <w:rPr>
          <w:rFonts w:cstheme="minorHAnsi"/>
          <w:szCs w:val="19"/>
          <w:highlight w:val="yellow"/>
          <w:lang w:val="en-GB"/>
        </w:rPr>
      </w:pPr>
      <w:r w:rsidRPr="009358D3">
        <w:rPr>
          <w:rFonts w:cstheme="minorHAnsi"/>
          <w:szCs w:val="19"/>
          <w:lang w:val="en-GB"/>
        </w:rPr>
        <w:t>In the structure of Pol</w:t>
      </w:r>
      <w:r w:rsidR="005026A9" w:rsidRPr="009358D3">
        <w:rPr>
          <w:rFonts w:cstheme="minorHAnsi"/>
          <w:szCs w:val="19"/>
          <w:lang w:val="en-GB"/>
        </w:rPr>
        <w:t>and</w:t>
      </w:r>
      <w:r w:rsidRPr="009358D3">
        <w:rPr>
          <w:rFonts w:cstheme="minorHAnsi"/>
          <w:szCs w:val="19"/>
          <w:lang w:val="en-GB"/>
        </w:rPr>
        <w:t xml:space="preserve">'s foreign trade, the share of </w:t>
      </w:r>
      <w:r w:rsidR="005026A9" w:rsidRPr="009358D3">
        <w:rPr>
          <w:rFonts w:cstheme="minorHAnsi"/>
          <w:szCs w:val="19"/>
          <w:lang w:val="en-GB"/>
        </w:rPr>
        <w:t xml:space="preserve">both </w:t>
      </w:r>
      <w:r w:rsidRPr="009358D3">
        <w:rPr>
          <w:rFonts w:cstheme="minorHAnsi"/>
          <w:szCs w:val="19"/>
          <w:lang w:val="en-GB"/>
        </w:rPr>
        <w:t xml:space="preserve">exports and imports of cultural and creative goods, as well as cultural and creative services, was relatively small and </w:t>
      </w:r>
      <w:r w:rsidR="00375D07" w:rsidRPr="009358D3">
        <w:rPr>
          <w:rFonts w:cstheme="minorHAnsi"/>
          <w:szCs w:val="19"/>
          <w:lang w:val="en-GB"/>
        </w:rPr>
        <w:t xml:space="preserve">similar to recorded in the </w:t>
      </w:r>
      <w:r w:rsidRPr="009358D3">
        <w:rPr>
          <w:rFonts w:cstheme="minorHAnsi"/>
          <w:szCs w:val="19"/>
          <w:lang w:val="en-GB"/>
        </w:rPr>
        <w:t>previous years. The share of cultural and creative goods in exports</w:t>
      </w:r>
      <w:r w:rsidR="005026A9" w:rsidRPr="009358D3">
        <w:rPr>
          <w:rFonts w:cstheme="minorHAnsi"/>
          <w:szCs w:val="19"/>
          <w:lang w:val="en-GB"/>
        </w:rPr>
        <w:t xml:space="preserve"> of goods</w:t>
      </w:r>
      <w:r w:rsidRPr="009358D3">
        <w:rPr>
          <w:rFonts w:cstheme="minorHAnsi"/>
          <w:szCs w:val="19"/>
          <w:lang w:val="en-GB"/>
        </w:rPr>
        <w:t xml:space="preserve"> in 2023 was 0.9%, while in imports – 0.6%. The share of cultural and creative services in </w:t>
      </w:r>
      <w:r w:rsidR="005026A9" w:rsidRPr="009358D3">
        <w:rPr>
          <w:rFonts w:cstheme="minorHAnsi"/>
          <w:szCs w:val="19"/>
          <w:lang w:val="en-GB"/>
        </w:rPr>
        <w:t xml:space="preserve">foreign </w:t>
      </w:r>
      <w:r w:rsidRPr="009358D3">
        <w:rPr>
          <w:rFonts w:cstheme="minorHAnsi"/>
          <w:szCs w:val="19"/>
          <w:lang w:val="en-GB"/>
        </w:rPr>
        <w:t xml:space="preserve">trade </w:t>
      </w:r>
      <w:r w:rsidR="005026A9" w:rsidRPr="009358D3">
        <w:rPr>
          <w:rFonts w:cstheme="minorHAnsi"/>
          <w:szCs w:val="19"/>
          <w:lang w:val="en-GB"/>
        </w:rPr>
        <w:t>of</w:t>
      </w:r>
      <w:r w:rsidRPr="009358D3">
        <w:rPr>
          <w:rFonts w:cstheme="minorHAnsi"/>
          <w:szCs w:val="19"/>
          <w:lang w:val="en-GB"/>
        </w:rPr>
        <w:t xml:space="preserve"> services wa</w:t>
      </w:r>
      <w:r w:rsidR="00375D07" w:rsidRPr="009358D3">
        <w:rPr>
          <w:rFonts w:cstheme="minorHAnsi"/>
          <w:szCs w:val="19"/>
          <w:lang w:val="en-GB"/>
        </w:rPr>
        <w:t>s higher than in cultural and creative goods: the share</w:t>
      </w:r>
      <w:r w:rsidRPr="009358D3">
        <w:rPr>
          <w:rFonts w:cstheme="minorHAnsi"/>
          <w:szCs w:val="19"/>
          <w:lang w:val="en-GB"/>
        </w:rPr>
        <w:t xml:space="preserve"> amounted to 3.9%</w:t>
      </w:r>
      <w:r w:rsidR="00277419" w:rsidRPr="009358D3">
        <w:rPr>
          <w:rFonts w:cstheme="minorHAnsi"/>
          <w:szCs w:val="19"/>
          <w:lang w:val="en-GB"/>
        </w:rPr>
        <w:t xml:space="preserve"> in export</w:t>
      </w:r>
      <w:r w:rsidR="006C421D" w:rsidRPr="009358D3">
        <w:rPr>
          <w:rFonts w:cstheme="minorHAnsi"/>
          <w:szCs w:val="19"/>
          <w:lang w:val="en-GB"/>
        </w:rPr>
        <w:t>s</w:t>
      </w:r>
      <w:r w:rsidR="00277419" w:rsidRPr="009358D3">
        <w:rPr>
          <w:rFonts w:cstheme="minorHAnsi"/>
          <w:szCs w:val="19"/>
          <w:lang w:val="en-GB"/>
        </w:rPr>
        <w:t xml:space="preserve"> and in import</w:t>
      </w:r>
      <w:r w:rsidR="006C421D" w:rsidRPr="009358D3">
        <w:rPr>
          <w:rFonts w:cstheme="minorHAnsi"/>
          <w:szCs w:val="19"/>
          <w:lang w:val="en-GB"/>
        </w:rPr>
        <w:t>s</w:t>
      </w:r>
      <w:r w:rsidR="00277419" w:rsidRPr="009358D3">
        <w:rPr>
          <w:rFonts w:cstheme="minorHAnsi"/>
          <w:szCs w:val="19"/>
          <w:lang w:val="en-GB"/>
        </w:rPr>
        <w:t xml:space="preserve"> – 7.5%</w:t>
      </w:r>
      <w:r w:rsidRPr="009358D3">
        <w:rPr>
          <w:rFonts w:cstheme="minorHAnsi"/>
          <w:szCs w:val="19"/>
          <w:lang w:val="en-GB"/>
        </w:rPr>
        <w:t xml:space="preserve">. </w:t>
      </w:r>
    </w:p>
    <w:p w14:paraId="006D5832" w14:textId="720AF3BC" w:rsidR="00D955A0" w:rsidRPr="009358D3" w:rsidRDefault="00B23C99" w:rsidP="009151AC">
      <w:pPr>
        <w:rPr>
          <w:rFonts w:cstheme="minorHAnsi"/>
          <w:szCs w:val="19"/>
          <w:lang w:val="en-GB"/>
        </w:rPr>
      </w:pPr>
      <w:r w:rsidRPr="009358D3">
        <w:rPr>
          <w:rFonts w:cstheme="minorHAnsi"/>
          <w:szCs w:val="19"/>
          <w:lang w:val="en-GB"/>
        </w:rPr>
        <w:t xml:space="preserve">The recipients of Polish cultural and creative goods were mainly EU countries (88.7% of all turnover). The value of exports </w:t>
      </w:r>
      <w:r w:rsidR="00277419" w:rsidRPr="009358D3">
        <w:rPr>
          <w:rFonts w:cstheme="minorHAnsi"/>
          <w:szCs w:val="19"/>
          <w:lang w:val="en-GB"/>
        </w:rPr>
        <w:t xml:space="preserve">to EU countries </w:t>
      </w:r>
      <w:r w:rsidR="005026A9" w:rsidRPr="009358D3">
        <w:rPr>
          <w:rFonts w:cstheme="minorHAnsi"/>
          <w:szCs w:val="19"/>
          <w:lang w:val="en-GB"/>
        </w:rPr>
        <w:t>amounted to</w:t>
      </w:r>
      <w:r w:rsidRPr="009358D3">
        <w:rPr>
          <w:rFonts w:cstheme="minorHAnsi"/>
          <w:szCs w:val="19"/>
          <w:lang w:val="en-GB"/>
        </w:rPr>
        <w:t xml:space="preserve"> PLN 12.2</w:t>
      </w:r>
      <w:r w:rsidR="005026A9" w:rsidRPr="009358D3">
        <w:rPr>
          <w:rFonts w:cstheme="minorHAnsi"/>
          <w:szCs w:val="19"/>
          <w:lang w:val="en-GB"/>
        </w:rPr>
        <w:t xml:space="preserve"> billion</w:t>
      </w:r>
      <w:r w:rsidRPr="009358D3">
        <w:rPr>
          <w:rFonts w:cstheme="minorHAnsi"/>
          <w:szCs w:val="19"/>
          <w:lang w:val="en-GB"/>
        </w:rPr>
        <w:t xml:space="preserve"> (a decrease of 17.5% </w:t>
      </w:r>
      <w:r w:rsidR="004E02D4" w:rsidRPr="009358D3">
        <w:rPr>
          <w:rFonts w:cstheme="minorHAnsi"/>
          <w:szCs w:val="19"/>
          <w:lang w:val="en-GB"/>
        </w:rPr>
        <w:t>compar</w:t>
      </w:r>
      <w:r w:rsidR="00C12068" w:rsidRPr="009358D3">
        <w:rPr>
          <w:rFonts w:cstheme="minorHAnsi"/>
          <w:szCs w:val="19"/>
          <w:lang w:val="en-GB"/>
        </w:rPr>
        <w:t xml:space="preserve">ed to </w:t>
      </w:r>
      <w:r w:rsidRPr="009358D3">
        <w:rPr>
          <w:rFonts w:cstheme="minorHAnsi"/>
          <w:szCs w:val="19"/>
          <w:lang w:val="en-GB"/>
        </w:rPr>
        <w:t>2022), of which 82.0% (i.e. PLN 10.0</w:t>
      </w:r>
      <w:r w:rsidR="005026A9" w:rsidRPr="009358D3">
        <w:rPr>
          <w:rFonts w:cstheme="minorHAnsi"/>
          <w:szCs w:val="19"/>
          <w:lang w:val="en-GB"/>
        </w:rPr>
        <w:t xml:space="preserve"> billion</w:t>
      </w:r>
      <w:r w:rsidRPr="009358D3">
        <w:rPr>
          <w:rFonts w:cstheme="minorHAnsi"/>
          <w:szCs w:val="19"/>
          <w:lang w:val="en-GB"/>
        </w:rPr>
        <w:t xml:space="preserve">) was attributable to the </w:t>
      </w:r>
      <w:r w:rsidR="005026A9" w:rsidRPr="009358D3">
        <w:rPr>
          <w:rFonts w:cstheme="minorHAnsi"/>
          <w:szCs w:val="19"/>
          <w:lang w:val="en-GB"/>
        </w:rPr>
        <w:t>E</w:t>
      </w:r>
      <w:r w:rsidRPr="009358D3">
        <w:rPr>
          <w:rFonts w:cstheme="minorHAnsi"/>
          <w:szCs w:val="19"/>
          <w:lang w:val="en-GB"/>
        </w:rPr>
        <w:t>uro area countries. Imports of cultural and creative goods came mainly from EU countries (PLN</w:t>
      </w:r>
      <w:r w:rsidR="00EC6221" w:rsidRPr="009358D3">
        <w:rPr>
          <w:rFonts w:cstheme="minorHAnsi"/>
          <w:szCs w:val="19"/>
          <w:lang w:val="en-GB"/>
        </w:rPr>
        <w:t> </w:t>
      </w:r>
      <w:r w:rsidRPr="009358D3">
        <w:rPr>
          <w:rFonts w:cstheme="minorHAnsi"/>
          <w:szCs w:val="19"/>
          <w:lang w:val="en-GB"/>
        </w:rPr>
        <w:t xml:space="preserve">4.3 billion, i.e. 46.7% of the value of imports of cultural and creative goods) and from economically developing countries (PLN 3.1 billion, i.e. 33.6%). </w:t>
      </w:r>
    </w:p>
    <w:p w14:paraId="7CC6C749" w14:textId="04D222C5" w:rsidR="009151AC" w:rsidRPr="009358D3" w:rsidRDefault="00B23C99" w:rsidP="009151AC">
      <w:pPr>
        <w:rPr>
          <w:rFonts w:cstheme="minorHAnsi"/>
          <w:szCs w:val="19"/>
          <w:lang w:val="en-GB"/>
        </w:rPr>
      </w:pPr>
      <w:r w:rsidRPr="009358D3">
        <w:rPr>
          <w:rFonts w:cstheme="minorHAnsi"/>
          <w:szCs w:val="19"/>
          <w:lang w:val="en-GB"/>
        </w:rPr>
        <w:t xml:space="preserve">It is worth noting that it is not only the value of cultural and creative goods sold and bought abroad that has </w:t>
      </w:r>
      <w:r w:rsidR="00D955A0" w:rsidRPr="009358D3">
        <w:rPr>
          <w:rFonts w:cstheme="minorHAnsi"/>
          <w:szCs w:val="19"/>
          <w:lang w:val="en-GB"/>
        </w:rPr>
        <w:t>declined</w:t>
      </w:r>
      <w:r w:rsidRPr="009358D3">
        <w:rPr>
          <w:rFonts w:cstheme="minorHAnsi"/>
          <w:szCs w:val="19"/>
          <w:lang w:val="en-GB"/>
        </w:rPr>
        <w:t>. The same phenomenon was visible for the entire foreign trade in goods in 2023 (a decrease in exports by 0.3% and imports by 8.4%).</w:t>
      </w:r>
    </w:p>
    <w:p w14:paraId="53BC0B32" w14:textId="0700F81A" w:rsidR="00B23C99" w:rsidRPr="009358D3" w:rsidRDefault="00485759" w:rsidP="007A0F6C">
      <w:pPr>
        <w:rPr>
          <w:rFonts w:cstheme="minorHAnsi"/>
          <w:szCs w:val="19"/>
          <w:lang w:val="en-GB"/>
        </w:rPr>
      </w:pPr>
      <w:r w:rsidRPr="009358D3">
        <w:rPr>
          <w:rFonts w:cstheme="minorHAnsi"/>
          <w:szCs w:val="19"/>
          <w:lang w:val="en-GB"/>
        </w:rPr>
        <w:t>The recipients of Polish cultural and creative services were mainly EU countries (61.1% of the value of exports), including the Euro</w:t>
      </w:r>
      <w:r w:rsidR="005026A9" w:rsidRPr="009358D3">
        <w:rPr>
          <w:rFonts w:cstheme="minorHAnsi"/>
          <w:szCs w:val="19"/>
          <w:lang w:val="en-GB"/>
        </w:rPr>
        <w:t xml:space="preserve"> area</w:t>
      </w:r>
      <w:r w:rsidRPr="009358D3">
        <w:rPr>
          <w:rFonts w:cstheme="minorHAnsi"/>
          <w:szCs w:val="19"/>
          <w:lang w:val="en-GB"/>
        </w:rPr>
        <w:t xml:space="preserve"> (84.2% of the value of exports to the EU). The situation was similar in the case of imports of services, where the main turnover was mainly with EU countries (73.0%), including the Euro</w:t>
      </w:r>
      <w:r w:rsidR="005026A9" w:rsidRPr="009358D3">
        <w:rPr>
          <w:rFonts w:cstheme="minorHAnsi"/>
          <w:szCs w:val="19"/>
          <w:lang w:val="en-GB"/>
        </w:rPr>
        <w:t xml:space="preserve"> area</w:t>
      </w:r>
      <w:r w:rsidRPr="009358D3">
        <w:rPr>
          <w:rFonts w:cstheme="minorHAnsi"/>
          <w:szCs w:val="19"/>
          <w:lang w:val="en-GB"/>
        </w:rPr>
        <w:t xml:space="preserve"> countries (62.6%). </w:t>
      </w:r>
    </w:p>
    <w:p w14:paraId="51E8D998" w14:textId="758A885D" w:rsidR="006D4224" w:rsidRPr="009358D3" w:rsidRDefault="00543DA2" w:rsidP="00E130A6">
      <w:pPr>
        <w:pStyle w:val="Tytutablicy"/>
        <w:ind w:left="709" w:hanging="851"/>
        <w:rPr>
          <w:rFonts w:cstheme="minorBidi"/>
          <w:szCs w:val="22"/>
          <w:lang w:val="en-GB"/>
        </w:rPr>
      </w:pPr>
      <w:r w:rsidRPr="009358D3">
        <w:rPr>
          <w:lang w:val="en-GB"/>
        </w:rPr>
        <w:t xml:space="preserve">Table 2. </w:t>
      </w:r>
      <w:r w:rsidR="0014717A" w:rsidRPr="009358D3">
        <w:rPr>
          <w:lang w:val="en-GB"/>
        </w:rPr>
        <w:t>Foreign</w:t>
      </w:r>
      <w:r w:rsidRPr="009358D3">
        <w:rPr>
          <w:lang w:val="en-GB"/>
        </w:rPr>
        <w:t xml:space="preserve"> trade in cultural and creative goods and services by cultural domains in 2023</w:t>
      </w:r>
    </w:p>
    <w:tbl>
      <w:tblPr>
        <w:tblStyle w:val="Siatkatabelijasna1"/>
        <w:tblW w:w="7797" w:type="dxa"/>
        <w:tblInd w:w="0" w:type="dxa"/>
        <w:tblBorders>
          <w:top w:val="single" w:sz="4" w:space="0" w:color="001D77"/>
          <w:left w:val="none" w:sz="0" w:space="0" w:color="auto"/>
          <w:bottom w:val="single" w:sz="4" w:space="0" w:color="001D77"/>
          <w:right w:val="none" w:sz="0" w:space="0" w:color="auto"/>
          <w:insideH w:val="single" w:sz="4" w:space="0" w:color="001D77"/>
          <w:insideV w:val="single" w:sz="2" w:space="0" w:color="001D77"/>
        </w:tblBorders>
        <w:tblCellMar>
          <w:top w:w="57" w:type="dxa"/>
          <w:bottom w:w="57" w:type="dxa"/>
        </w:tblCellMar>
        <w:tblLook w:val="04A0" w:firstRow="1" w:lastRow="0" w:firstColumn="1" w:lastColumn="0" w:noHBand="0" w:noVBand="1"/>
        <w:tblCaption w:val="Table 2. presenting foreign trade in cultural and creative goods and services by cultural domains in 2023"/>
      </w:tblPr>
      <w:tblGrid>
        <w:gridCol w:w="2268"/>
        <w:gridCol w:w="1382"/>
        <w:gridCol w:w="1382"/>
        <w:gridCol w:w="1382"/>
        <w:gridCol w:w="1383"/>
      </w:tblGrid>
      <w:tr w:rsidR="006D4224" w:rsidRPr="009358D3" w14:paraId="0C4C0566" w14:textId="77777777" w:rsidTr="00746814">
        <w:trPr>
          <w:trHeight w:val="57"/>
        </w:trPr>
        <w:tc>
          <w:tcPr>
            <w:tcW w:w="2268" w:type="dxa"/>
            <w:vMerge w:val="restart"/>
            <w:vAlign w:val="center"/>
            <w:hideMark/>
          </w:tcPr>
          <w:p w14:paraId="6CF0717C" w14:textId="504D7362" w:rsidR="006D4224" w:rsidRPr="009358D3" w:rsidRDefault="00362A9B" w:rsidP="009978BD">
            <w:pPr>
              <w:pStyle w:val="Tablicagwkarodek"/>
              <w:spacing w:before="0" w:after="0" w:line="240" w:lineRule="auto"/>
              <w:rPr>
                <w:lang w:val="en-GB"/>
              </w:rPr>
            </w:pPr>
            <w:r w:rsidRPr="009358D3">
              <w:rPr>
                <w:lang w:val="en-GB"/>
              </w:rPr>
              <w:t>Specification</w:t>
            </w:r>
          </w:p>
        </w:tc>
        <w:tc>
          <w:tcPr>
            <w:tcW w:w="2764" w:type="dxa"/>
            <w:gridSpan w:val="2"/>
            <w:tcMar>
              <w:top w:w="57" w:type="dxa"/>
              <w:left w:w="102" w:type="dxa"/>
              <w:bottom w:w="57" w:type="dxa"/>
              <w:right w:w="108" w:type="dxa"/>
            </w:tcMar>
            <w:vAlign w:val="center"/>
            <w:hideMark/>
          </w:tcPr>
          <w:p w14:paraId="53F30E3D" w14:textId="727457B9" w:rsidR="00362A9B" w:rsidRPr="009358D3" w:rsidRDefault="006D4224" w:rsidP="009978BD">
            <w:pPr>
              <w:pStyle w:val="Tablicagwkarodek"/>
              <w:spacing w:before="0" w:after="0" w:line="240" w:lineRule="auto"/>
              <w:rPr>
                <w:lang w:val="en-GB"/>
              </w:rPr>
            </w:pPr>
            <w:r w:rsidRPr="009358D3">
              <w:rPr>
                <w:lang w:val="en-GB"/>
              </w:rPr>
              <w:t xml:space="preserve">Cultural </w:t>
            </w:r>
          </w:p>
          <w:p w14:paraId="5F3E9702" w14:textId="7456366F" w:rsidR="006D4224" w:rsidRPr="009358D3" w:rsidRDefault="006D4224" w:rsidP="009978BD">
            <w:pPr>
              <w:pStyle w:val="Tablicagwkarodek"/>
              <w:spacing w:before="0" w:after="0" w:line="240" w:lineRule="auto"/>
              <w:rPr>
                <w:lang w:val="en-GB"/>
              </w:rPr>
            </w:pPr>
            <w:r w:rsidRPr="009358D3">
              <w:rPr>
                <w:lang w:val="en-GB"/>
              </w:rPr>
              <w:t>and creative</w:t>
            </w:r>
            <w:r w:rsidR="0014717A" w:rsidRPr="009358D3">
              <w:rPr>
                <w:lang w:val="en-GB"/>
              </w:rPr>
              <w:t xml:space="preserve"> goods</w:t>
            </w:r>
          </w:p>
        </w:tc>
        <w:tc>
          <w:tcPr>
            <w:tcW w:w="2765" w:type="dxa"/>
            <w:gridSpan w:val="2"/>
            <w:tcMar>
              <w:top w:w="57" w:type="dxa"/>
              <w:left w:w="102" w:type="dxa"/>
              <w:bottom w:w="57" w:type="dxa"/>
              <w:right w:w="108" w:type="dxa"/>
            </w:tcMar>
            <w:vAlign w:val="center"/>
            <w:hideMark/>
          </w:tcPr>
          <w:p w14:paraId="338133A1" w14:textId="5365E24E" w:rsidR="00362A9B" w:rsidRPr="009358D3" w:rsidRDefault="006D4224" w:rsidP="009978BD">
            <w:pPr>
              <w:pStyle w:val="Tablicagwkarodek"/>
              <w:spacing w:before="0" w:after="0" w:line="240" w:lineRule="auto"/>
              <w:rPr>
                <w:lang w:val="en-GB"/>
              </w:rPr>
            </w:pPr>
            <w:r w:rsidRPr="009358D3">
              <w:rPr>
                <w:lang w:val="en-GB"/>
              </w:rPr>
              <w:t xml:space="preserve">Cultural </w:t>
            </w:r>
          </w:p>
          <w:p w14:paraId="7F341664" w14:textId="06A7ADEB" w:rsidR="006D4224" w:rsidRPr="009358D3" w:rsidRDefault="006D4224" w:rsidP="009978BD">
            <w:pPr>
              <w:pStyle w:val="Tablicagwkarodek"/>
              <w:spacing w:before="0" w:after="0" w:line="240" w:lineRule="auto"/>
              <w:rPr>
                <w:lang w:val="en-GB"/>
              </w:rPr>
            </w:pPr>
            <w:r w:rsidRPr="009358D3">
              <w:rPr>
                <w:lang w:val="en-GB"/>
              </w:rPr>
              <w:t>and creative</w:t>
            </w:r>
            <w:r w:rsidR="0014717A" w:rsidRPr="009358D3">
              <w:rPr>
                <w:lang w:val="en-GB"/>
              </w:rPr>
              <w:t xml:space="preserve"> services</w:t>
            </w:r>
          </w:p>
        </w:tc>
      </w:tr>
      <w:tr w:rsidR="006D4224" w:rsidRPr="009358D3" w14:paraId="5A35D5EC" w14:textId="77777777" w:rsidTr="00746814">
        <w:trPr>
          <w:trHeight w:val="57"/>
        </w:trPr>
        <w:tc>
          <w:tcPr>
            <w:tcW w:w="2268" w:type="dxa"/>
            <w:vMerge/>
            <w:vAlign w:val="center"/>
            <w:hideMark/>
          </w:tcPr>
          <w:p w14:paraId="5B77D253" w14:textId="77777777" w:rsidR="006D4224" w:rsidRPr="009358D3" w:rsidRDefault="006D4224" w:rsidP="009978BD">
            <w:pPr>
              <w:spacing w:before="0" w:after="0" w:line="240" w:lineRule="auto"/>
              <w:rPr>
                <w:rFonts w:eastAsia="Times New Roman" w:cs="Arial"/>
                <w:bCs/>
                <w:color w:val="000000" w:themeColor="text1"/>
                <w:szCs w:val="19"/>
                <w:lang w:val="en-GB"/>
              </w:rPr>
            </w:pPr>
          </w:p>
        </w:tc>
        <w:tc>
          <w:tcPr>
            <w:tcW w:w="1382" w:type="dxa"/>
            <w:tcMar>
              <w:top w:w="57" w:type="dxa"/>
              <w:left w:w="102" w:type="dxa"/>
              <w:bottom w:w="57" w:type="dxa"/>
              <w:right w:w="108" w:type="dxa"/>
            </w:tcMar>
            <w:vAlign w:val="center"/>
            <w:hideMark/>
          </w:tcPr>
          <w:p w14:paraId="1ECCA3CE" w14:textId="1316EE4B" w:rsidR="006D4224" w:rsidRPr="009358D3" w:rsidRDefault="006D4224" w:rsidP="009978BD">
            <w:pPr>
              <w:pStyle w:val="Tablicagwkarodek"/>
              <w:spacing w:before="0" w:after="0" w:line="240" w:lineRule="auto"/>
              <w:rPr>
                <w:lang w:val="en-GB"/>
              </w:rPr>
            </w:pPr>
            <w:r w:rsidRPr="009358D3">
              <w:rPr>
                <w:lang w:val="en-GB"/>
              </w:rPr>
              <w:t>export</w:t>
            </w:r>
            <w:r w:rsidR="006C421D" w:rsidRPr="009358D3">
              <w:rPr>
                <w:lang w:val="en-GB"/>
              </w:rPr>
              <w:t>s</w:t>
            </w:r>
          </w:p>
        </w:tc>
        <w:tc>
          <w:tcPr>
            <w:tcW w:w="1382" w:type="dxa"/>
            <w:tcMar>
              <w:top w:w="57" w:type="dxa"/>
              <w:left w:w="102" w:type="dxa"/>
              <w:bottom w:w="57" w:type="dxa"/>
              <w:right w:w="108" w:type="dxa"/>
            </w:tcMar>
            <w:vAlign w:val="center"/>
            <w:hideMark/>
          </w:tcPr>
          <w:p w14:paraId="2BB4CDA9" w14:textId="2A3918A7" w:rsidR="006D4224" w:rsidRPr="009358D3" w:rsidRDefault="006D4224" w:rsidP="009978BD">
            <w:pPr>
              <w:pStyle w:val="Tablicagwkarodek"/>
              <w:spacing w:before="0" w:after="0" w:line="240" w:lineRule="auto"/>
              <w:rPr>
                <w:lang w:val="en-GB"/>
              </w:rPr>
            </w:pPr>
            <w:r w:rsidRPr="009358D3">
              <w:rPr>
                <w:lang w:val="en-GB"/>
              </w:rPr>
              <w:t>import</w:t>
            </w:r>
            <w:r w:rsidR="006C421D" w:rsidRPr="009358D3">
              <w:rPr>
                <w:lang w:val="en-GB"/>
              </w:rPr>
              <w:t>s</w:t>
            </w:r>
          </w:p>
        </w:tc>
        <w:tc>
          <w:tcPr>
            <w:tcW w:w="1382" w:type="dxa"/>
            <w:tcMar>
              <w:top w:w="57" w:type="dxa"/>
              <w:left w:w="102" w:type="dxa"/>
              <w:bottom w:w="57" w:type="dxa"/>
              <w:right w:w="108" w:type="dxa"/>
            </w:tcMar>
            <w:vAlign w:val="center"/>
            <w:hideMark/>
          </w:tcPr>
          <w:p w14:paraId="52428C3C" w14:textId="0DB0F50D" w:rsidR="006D4224" w:rsidRPr="009358D3" w:rsidRDefault="006D4224" w:rsidP="009978BD">
            <w:pPr>
              <w:pStyle w:val="Tablicagwkarodek"/>
              <w:spacing w:before="0" w:after="0" w:line="240" w:lineRule="auto"/>
              <w:rPr>
                <w:lang w:val="en-GB"/>
              </w:rPr>
            </w:pPr>
            <w:r w:rsidRPr="009358D3">
              <w:rPr>
                <w:lang w:val="en-GB"/>
              </w:rPr>
              <w:t>export</w:t>
            </w:r>
            <w:r w:rsidR="006C421D" w:rsidRPr="009358D3">
              <w:rPr>
                <w:lang w:val="en-GB"/>
              </w:rPr>
              <w:t>s</w:t>
            </w:r>
          </w:p>
        </w:tc>
        <w:tc>
          <w:tcPr>
            <w:tcW w:w="1383" w:type="dxa"/>
            <w:tcMar>
              <w:top w:w="57" w:type="dxa"/>
              <w:left w:w="102" w:type="dxa"/>
              <w:bottom w:w="57" w:type="dxa"/>
              <w:right w:w="108" w:type="dxa"/>
            </w:tcMar>
            <w:vAlign w:val="center"/>
            <w:hideMark/>
          </w:tcPr>
          <w:p w14:paraId="5E0AAA58" w14:textId="4EE7DFA4" w:rsidR="006D4224" w:rsidRPr="009358D3" w:rsidRDefault="00D512A4" w:rsidP="009978BD">
            <w:pPr>
              <w:pStyle w:val="Tablicagwkarodek"/>
              <w:spacing w:before="0" w:after="0" w:line="240" w:lineRule="auto"/>
              <w:rPr>
                <w:lang w:val="en-GB"/>
              </w:rPr>
            </w:pPr>
            <w:r w:rsidRPr="009358D3">
              <w:rPr>
                <w:lang w:val="en-GB"/>
              </w:rPr>
              <w:t>i</w:t>
            </w:r>
            <w:r w:rsidR="006D4224" w:rsidRPr="009358D3">
              <w:rPr>
                <w:lang w:val="en-GB"/>
              </w:rPr>
              <w:t>mport</w:t>
            </w:r>
            <w:r w:rsidR="006C421D" w:rsidRPr="009358D3">
              <w:rPr>
                <w:lang w:val="en-GB"/>
              </w:rPr>
              <w:t>s</w:t>
            </w:r>
          </w:p>
        </w:tc>
      </w:tr>
      <w:tr w:rsidR="00362A9B" w:rsidRPr="009358D3" w14:paraId="0D4F3A05" w14:textId="77777777" w:rsidTr="00746814">
        <w:trPr>
          <w:trHeight w:val="258"/>
        </w:trPr>
        <w:tc>
          <w:tcPr>
            <w:tcW w:w="2268" w:type="dxa"/>
            <w:vMerge/>
            <w:vAlign w:val="center"/>
            <w:hideMark/>
          </w:tcPr>
          <w:p w14:paraId="5E5CA469" w14:textId="77777777" w:rsidR="00362A9B" w:rsidRPr="009358D3" w:rsidRDefault="00362A9B" w:rsidP="009978BD">
            <w:pPr>
              <w:spacing w:before="0" w:after="0" w:line="240" w:lineRule="auto"/>
              <w:rPr>
                <w:rFonts w:eastAsia="Times New Roman" w:cs="Arial"/>
                <w:bCs/>
                <w:color w:val="000000" w:themeColor="text1"/>
                <w:szCs w:val="19"/>
                <w:lang w:val="en-GB"/>
              </w:rPr>
            </w:pPr>
          </w:p>
        </w:tc>
        <w:tc>
          <w:tcPr>
            <w:tcW w:w="5529" w:type="dxa"/>
            <w:gridSpan w:val="4"/>
            <w:tcMar>
              <w:top w:w="57" w:type="dxa"/>
              <w:left w:w="102" w:type="dxa"/>
              <w:bottom w:w="57" w:type="dxa"/>
              <w:right w:w="108" w:type="dxa"/>
            </w:tcMar>
            <w:vAlign w:val="center"/>
            <w:hideMark/>
          </w:tcPr>
          <w:p w14:paraId="231C3CA5" w14:textId="56168EB8" w:rsidR="00362A9B" w:rsidRPr="009358D3" w:rsidRDefault="00362A9B" w:rsidP="009978BD">
            <w:pPr>
              <w:pStyle w:val="Tablicagwkarodek"/>
              <w:spacing w:before="0" w:after="0" w:line="240" w:lineRule="auto"/>
              <w:rPr>
                <w:lang w:val="en-GB"/>
              </w:rPr>
            </w:pPr>
            <w:r w:rsidRPr="009358D3">
              <w:rPr>
                <w:lang w:val="en-GB"/>
              </w:rPr>
              <w:t xml:space="preserve">in PLN </w:t>
            </w:r>
            <w:r w:rsidR="004E02D4" w:rsidRPr="009358D3">
              <w:rPr>
                <w:lang w:val="en-GB"/>
              </w:rPr>
              <w:t>million</w:t>
            </w:r>
          </w:p>
        </w:tc>
      </w:tr>
      <w:tr w:rsidR="006D4224" w:rsidRPr="009358D3" w14:paraId="487674E0" w14:textId="77777777" w:rsidTr="00746814">
        <w:trPr>
          <w:trHeight w:val="227"/>
        </w:trPr>
        <w:tc>
          <w:tcPr>
            <w:tcW w:w="2268" w:type="dxa"/>
            <w:vAlign w:val="center"/>
            <w:hideMark/>
          </w:tcPr>
          <w:p w14:paraId="33718E82" w14:textId="56CB0798" w:rsidR="006D4224" w:rsidRPr="009358D3" w:rsidRDefault="00362A9B" w:rsidP="009978BD">
            <w:pPr>
              <w:pStyle w:val="Nagwek5"/>
              <w:tabs>
                <w:tab w:val="right" w:leader="dot" w:pos="4156"/>
              </w:tabs>
              <w:spacing w:before="0" w:line="240" w:lineRule="auto"/>
              <w:contextualSpacing/>
              <w:outlineLvl w:val="4"/>
              <w:rPr>
                <w:rFonts w:ascii="Fira Sans" w:hAnsi="Fira Sans"/>
                <w:color w:val="000000" w:themeColor="text1"/>
                <w:szCs w:val="19"/>
                <w:lang w:val="en-GB"/>
              </w:rPr>
            </w:pPr>
            <w:r w:rsidRPr="009358D3">
              <w:rPr>
                <w:rFonts w:ascii="Fira Sans" w:eastAsia="Times New Roman" w:hAnsi="Fira Sans" w:cs="Fira Sans"/>
                <w:b/>
                <w:color w:val="auto"/>
                <w:spacing w:val="-1"/>
                <w:szCs w:val="19"/>
                <w:lang w:val="en-GB" w:eastAsia="pl-PL"/>
              </w:rPr>
              <w:t>Total</w:t>
            </w:r>
          </w:p>
        </w:tc>
        <w:tc>
          <w:tcPr>
            <w:tcW w:w="1382" w:type="dxa"/>
            <w:tcMar>
              <w:top w:w="57" w:type="dxa"/>
              <w:left w:w="102" w:type="dxa"/>
              <w:bottom w:w="57" w:type="dxa"/>
              <w:right w:w="108" w:type="dxa"/>
            </w:tcMar>
            <w:vAlign w:val="bottom"/>
            <w:hideMark/>
          </w:tcPr>
          <w:p w14:paraId="2674F003" w14:textId="28EB4AF0" w:rsidR="006D4224" w:rsidRPr="009358D3" w:rsidRDefault="00155514" w:rsidP="003200D0">
            <w:pPr>
              <w:spacing w:before="0" w:after="0" w:line="240" w:lineRule="auto"/>
              <w:jc w:val="right"/>
              <w:rPr>
                <w:rFonts w:cs="Arial"/>
                <w:b/>
                <w:bCs/>
                <w:color w:val="000000"/>
                <w:szCs w:val="19"/>
                <w:lang w:val="en-GB"/>
              </w:rPr>
            </w:pPr>
            <w:r w:rsidRPr="009358D3">
              <w:rPr>
                <w:rFonts w:cs="Arial"/>
                <w:b/>
                <w:bCs/>
                <w:color w:val="000000"/>
                <w:szCs w:val="19"/>
                <w:lang w:val="en-GB"/>
              </w:rPr>
              <w:t>13</w:t>
            </w:r>
            <w:r w:rsidR="004E02D4" w:rsidRPr="009358D3">
              <w:rPr>
                <w:rFonts w:cs="Arial"/>
                <w:b/>
                <w:bCs/>
                <w:color w:val="000000"/>
                <w:szCs w:val="19"/>
                <w:lang w:val="en-GB"/>
              </w:rPr>
              <w:t>,</w:t>
            </w:r>
            <w:r w:rsidRPr="009358D3">
              <w:rPr>
                <w:rFonts w:cs="Arial"/>
                <w:b/>
                <w:bCs/>
                <w:color w:val="000000"/>
                <w:szCs w:val="19"/>
                <w:lang w:val="en-GB"/>
              </w:rPr>
              <w:t>802</w:t>
            </w:r>
            <w:r w:rsidR="004E02D4" w:rsidRPr="009358D3">
              <w:rPr>
                <w:rFonts w:cs="Arial"/>
                <w:b/>
                <w:bCs/>
                <w:color w:val="000000"/>
                <w:szCs w:val="19"/>
                <w:lang w:val="en-GB"/>
              </w:rPr>
              <w:t>.</w:t>
            </w:r>
            <w:r w:rsidRPr="009358D3">
              <w:rPr>
                <w:rFonts w:cs="Arial"/>
                <w:b/>
                <w:bCs/>
                <w:color w:val="000000"/>
                <w:szCs w:val="19"/>
                <w:lang w:val="en-GB"/>
              </w:rPr>
              <w:t>0</w:t>
            </w:r>
          </w:p>
        </w:tc>
        <w:tc>
          <w:tcPr>
            <w:tcW w:w="1382" w:type="dxa"/>
            <w:tcMar>
              <w:top w:w="57" w:type="dxa"/>
              <w:left w:w="102" w:type="dxa"/>
              <w:bottom w:w="57" w:type="dxa"/>
              <w:right w:w="108" w:type="dxa"/>
            </w:tcMar>
            <w:vAlign w:val="bottom"/>
            <w:hideMark/>
          </w:tcPr>
          <w:p w14:paraId="6F28744F" w14:textId="38C8E017" w:rsidR="006D4224" w:rsidRPr="009358D3" w:rsidRDefault="00155514" w:rsidP="003200D0">
            <w:pPr>
              <w:spacing w:before="0" w:after="0" w:line="240" w:lineRule="auto"/>
              <w:jc w:val="right"/>
              <w:rPr>
                <w:rFonts w:cs="Arial"/>
                <w:b/>
                <w:bCs/>
                <w:color w:val="000000"/>
                <w:szCs w:val="19"/>
                <w:highlight w:val="yellow"/>
                <w:lang w:val="en-GB"/>
              </w:rPr>
            </w:pPr>
            <w:r w:rsidRPr="009358D3">
              <w:rPr>
                <w:rFonts w:cs="Arial"/>
                <w:b/>
                <w:bCs/>
                <w:color w:val="000000"/>
                <w:szCs w:val="19"/>
                <w:lang w:val="en-GB"/>
              </w:rPr>
              <w:t>9</w:t>
            </w:r>
            <w:r w:rsidR="004E02D4" w:rsidRPr="009358D3">
              <w:rPr>
                <w:rFonts w:cs="Arial"/>
                <w:b/>
                <w:bCs/>
                <w:color w:val="000000"/>
                <w:szCs w:val="19"/>
                <w:lang w:val="en-GB"/>
              </w:rPr>
              <w:t>,</w:t>
            </w:r>
            <w:r w:rsidRPr="009358D3">
              <w:rPr>
                <w:rFonts w:cs="Arial"/>
                <w:b/>
                <w:bCs/>
                <w:color w:val="000000"/>
                <w:szCs w:val="19"/>
                <w:lang w:val="en-GB"/>
              </w:rPr>
              <w:t>230</w:t>
            </w:r>
            <w:r w:rsidR="004E02D4" w:rsidRPr="009358D3">
              <w:rPr>
                <w:rFonts w:cs="Arial"/>
                <w:b/>
                <w:bCs/>
                <w:color w:val="000000"/>
                <w:szCs w:val="19"/>
                <w:lang w:val="en-GB"/>
              </w:rPr>
              <w:t>.</w:t>
            </w:r>
            <w:r w:rsidRPr="009358D3">
              <w:rPr>
                <w:rFonts w:cs="Arial"/>
                <w:b/>
                <w:bCs/>
                <w:color w:val="000000"/>
                <w:szCs w:val="19"/>
                <w:lang w:val="en-GB"/>
              </w:rPr>
              <w:t>4</w:t>
            </w:r>
          </w:p>
        </w:tc>
        <w:tc>
          <w:tcPr>
            <w:tcW w:w="1382" w:type="dxa"/>
            <w:tcMar>
              <w:top w:w="57" w:type="dxa"/>
              <w:left w:w="102" w:type="dxa"/>
              <w:bottom w:w="57" w:type="dxa"/>
              <w:right w:w="108" w:type="dxa"/>
            </w:tcMar>
            <w:vAlign w:val="bottom"/>
            <w:hideMark/>
          </w:tcPr>
          <w:p w14:paraId="7E02F700" w14:textId="5D980C42" w:rsidR="006D4224" w:rsidRPr="009358D3" w:rsidRDefault="007C603B" w:rsidP="003200D0">
            <w:pPr>
              <w:spacing w:before="0" w:after="0" w:line="240" w:lineRule="auto"/>
              <w:jc w:val="right"/>
              <w:rPr>
                <w:rFonts w:cs="Arial"/>
                <w:b/>
                <w:bCs/>
                <w:color w:val="000000"/>
                <w:szCs w:val="19"/>
                <w:lang w:val="en-GB"/>
              </w:rPr>
            </w:pPr>
            <w:r w:rsidRPr="009358D3">
              <w:rPr>
                <w:rFonts w:cs="Arial"/>
                <w:b/>
                <w:bCs/>
                <w:color w:val="000000"/>
                <w:szCs w:val="19"/>
                <w:lang w:val="en-GB"/>
              </w:rPr>
              <w:t>17</w:t>
            </w:r>
            <w:r w:rsidR="004E02D4" w:rsidRPr="009358D3">
              <w:rPr>
                <w:rFonts w:cs="Arial"/>
                <w:b/>
                <w:bCs/>
                <w:color w:val="000000"/>
                <w:szCs w:val="19"/>
                <w:lang w:val="en-GB"/>
              </w:rPr>
              <w:t>,</w:t>
            </w:r>
            <w:r w:rsidRPr="009358D3">
              <w:rPr>
                <w:rFonts w:cs="Arial"/>
                <w:b/>
                <w:bCs/>
                <w:color w:val="000000"/>
                <w:szCs w:val="19"/>
                <w:lang w:val="en-GB"/>
              </w:rPr>
              <w:t>688</w:t>
            </w:r>
            <w:r w:rsidR="004E02D4" w:rsidRPr="009358D3">
              <w:rPr>
                <w:rFonts w:cs="Arial"/>
                <w:b/>
                <w:bCs/>
                <w:color w:val="000000"/>
                <w:szCs w:val="19"/>
                <w:lang w:val="en-GB"/>
              </w:rPr>
              <w:t>.</w:t>
            </w:r>
            <w:r w:rsidRPr="009358D3">
              <w:rPr>
                <w:rFonts w:cs="Arial"/>
                <w:b/>
                <w:bCs/>
                <w:color w:val="000000"/>
                <w:szCs w:val="19"/>
                <w:lang w:val="en-GB"/>
              </w:rPr>
              <w:t>3</w:t>
            </w:r>
          </w:p>
        </w:tc>
        <w:tc>
          <w:tcPr>
            <w:tcW w:w="1383" w:type="dxa"/>
            <w:tcMar>
              <w:top w:w="57" w:type="dxa"/>
              <w:left w:w="102" w:type="dxa"/>
              <w:bottom w:w="57" w:type="dxa"/>
              <w:right w:w="108" w:type="dxa"/>
            </w:tcMar>
            <w:vAlign w:val="bottom"/>
            <w:hideMark/>
          </w:tcPr>
          <w:p w14:paraId="52CAC864" w14:textId="715ED627" w:rsidR="006D4224" w:rsidRPr="009358D3" w:rsidRDefault="007C603B" w:rsidP="003200D0">
            <w:pPr>
              <w:spacing w:before="0" w:after="0" w:line="240" w:lineRule="auto"/>
              <w:jc w:val="right"/>
              <w:rPr>
                <w:b/>
                <w:bCs/>
                <w:color w:val="000000"/>
                <w:szCs w:val="19"/>
                <w:lang w:val="en-GB"/>
              </w:rPr>
            </w:pPr>
            <w:r w:rsidRPr="009358D3">
              <w:rPr>
                <w:b/>
                <w:bCs/>
                <w:color w:val="000000"/>
                <w:szCs w:val="19"/>
                <w:lang w:val="en-GB"/>
              </w:rPr>
              <w:t>20</w:t>
            </w:r>
            <w:r w:rsidR="004E02D4" w:rsidRPr="009358D3">
              <w:rPr>
                <w:b/>
                <w:bCs/>
                <w:color w:val="000000"/>
                <w:szCs w:val="19"/>
                <w:lang w:val="en-GB"/>
              </w:rPr>
              <w:t>,</w:t>
            </w:r>
            <w:r w:rsidRPr="009358D3">
              <w:rPr>
                <w:b/>
                <w:bCs/>
                <w:color w:val="000000"/>
                <w:szCs w:val="19"/>
                <w:lang w:val="en-GB"/>
              </w:rPr>
              <w:t>737</w:t>
            </w:r>
            <w:r w:rsidR="004E02D4" w:rsidRPr="009358D3">
              <w:rPr>
                <w:b/>
                <w:bCs/>
                <w:color w:val="000000"/>
                <w:szCs w:val="19"/>
                <w:lang w:val="en-GB"/>
              </w:rPr>
              <w:t>.</w:t>
            </w:r>
            <w:r w:rsidRPr="009358D3">
              <w:rPr>
                <w:b/>
                <w:bCs/>
                <w:color w:val="000000"/>
                <w:szCs w:val="19"/>
                <w:lang w:val="en-GB"/>
              </w:rPr>
              <w:t>2</w:t>
            </w:r>
          </w:p>
        </w:tc>
      </w:tr>
      <w:tr w:rsidR="006D4224" w:rsidRPr="009358D3" w14:paraId="3832374B" w14:textId="77777777" w:rsidTr="00746814">
        <w:trPr>
          <w:trHeight w:val="227"/>
        </w:trPr>
        <w:tc>
          <w:tcPr>
            <w:tcW w:w="2268" w:type="dxa"/>
            <w:vAlign w:val="center"/>
            <w:hideMark/>
          </w:tcPr>
          <w:p w14:paraId="036E9955" w14:textId="77777777" w:rsidR="006D4224" w:rsidRPr="009358D3" w:rsidRDefault="006D4224" w:rsidP="003602D3">
            <w:pPr>
              <w:pStyle w:val="Tablicaboczek"/>
              <w:spacing w:before="0" w:after="0" w:line="240" w:lineRule="auto"/>
              <w:ind w:left="318" w:hanging="142"/>
              <w:rPr>
                <w:rFonts w:cs="Fira Sans"/>
                <w:spacing w:val="-1"/>
                <w:lang w:val="en-GB"/>
              </w:rPr>
            </w:pPr>
            <w:r w:rsidRPr="009358D3">
              <w:rPr>
                <w:rFonts w:cs="Fira Sans"/>
                <w:spacing w:val="-1"/>
                <w:lang w:val="en-GB"/>
              </w:rPr>
              <w:t>Cultural heritage</w:t>
            </w:r>
          </w:p>
        </w:tc>
        <w:tc>
          <w:tcPr>
            <w:tcW w:w="1382" w:type="dxa"/>
            <w:tcMar>
              <w:top w:w="57" w:type="dxa"/>
              <w:left w:w="102" w:type="dxa"/>
              <w:bottom w:w="57" w:type="dxa"/>
              <w:right w:w="108" w:type="dxa"/>
            </w:tcMar>
            <w:vAlign w:val="bottom"/>
            <w:hideMark/>
          </w:tcPr>
          <w:p w14:paraId="44FD1131" w14:textId="458B3819" w:rsidR="006D4224" w:rsidRPr="009358D3" w:rsidRDefault="00155514" w:rsidP="003200D0">
            <w:pPr>
              <w:pStyle w:val="Tablicadanerodek"/>
              <w:spacing w:before="0" w:after="0" w:line="240" w:lineRule="auto"/>
              <w:rPr>
                <w:lang w:val="en-GB"/>
              </w:rPr>
            </w:pPr>
            <w:r w:rsidRPr="009358D3">
              <w:rPr>
                <w:lang w:val="en-GB"/>
              </w:rPr>
              <w:t>127</w:t>
            </w:r>
            <w:r w:rsidR="004E02D4" w:rsidRPr="009358D3">
              <w:rPr>
                <w:lang w:val="en-GB"/>
              </w:rPr>
              <w:t>.</w:t>
            </w:r>
            <w:r w:rsidRPr="009358D3">
              <w:rPr>
                <w:lang w:val="en-GB"/>
              </w:rPr>
              <w:t>1</w:t>
            </w:r>
          </w:p>
        </w:tc>
        <w:tc>
          <w:tcPr>
            <w:tcW w:w="1382" w:type="dxa"/>
            <w:tcMar>
              <w:top w:w="57" w:type="dxa"/>
              <w:left w:w="102" w:type="dxa"/>
              <w:bottom w:w="57" w:type="dxa"/>
              <w:right w:w="108" w:type="dxa"/>
            </w:tcMar>
            <w:vAlign w:val="bottom"/>
            <w:hideMark/>
          </w:tcPr>
          <w:p w14:paraId="3B89714C" w14:textId="362E471C" w:rsidR="006D4224" w:rsidRPr="009358D3" w:rsidRDefault="00155514" w:rsidP="003200D0">
            <w:pPr>
              <w:pStyle w:val="Tablicadanerodek"/>
              <w:spacing w:before="0" w:after="0" w:line="240" w:lineRule="auto"/>
              <w:rPr>
                <w:lang w:val="en-GB"/>
              </w:rPr>
            </w:pPr>
            <w:r w:rsidRPr="009358D3">
              <w:rPr>
                <w:lang w:val="en-GB"/>
              </w:rPr>
              <w:t>291</w:t>
            </w:r>
            <w:r w:rsidR="004E02D4" w:rsidRPr="009358D3">
              <w:rPr>
                <w:lang w:val="en-GB"/>
              </w:rPr>
              <w:t>.</w:t>
            </w:r>
            <w:r w:rsidRPr="009358D3">
              <w:rPr>
                <w:lang w:val="en-GB"/>
              </w:rPr>
              <w:t>4</w:t>
            </w:r>
          </w:p>
        </w:tc>
        <w:tc>
          <w:tcPr>
            <w:tcW w:w="1382" w:type="dxa"/>
            <w:tcMar>
              <w:top w:w="57" w:type="dxa"/>
              <w:left w:w="102" w:type="dxa"/>
              <w:bottom w:w="57" w:type="dxa"/>
              <w:right w:w="108" w:type="dxa"/>
            </w:tcMar>
            <w:vAlign w:val="bottom"/>
            <w:hideMark/>
          </w:tcPr>
          <w:p w14:paraId="22CC4B0D" w14:textId="06E7B401" w:rsidR="009631AA" w:rsidRPr="009358D3" w:rsidRDefault="007C603B" w:rsidP="003200D0">
            <w:pPr>
              <w:pStyle w:val="Tablicadanerodek"/>
              <w:spacing w:before="0" w:after="0" w:line="240" w:lineRule="auto"/>
              <w:rPr>
                <w:lang w:val="en-GB"/>
              </w:rPr>
            </w:pPr>
            <w:r w:rsidRPr="009358D3">
              <w:rPr>
                <w:lang w:val="en-GB"/>
              </w:rPr>
              <w:t>580</w:t>
            </w:r>
            <w:r w:rsidR="004E02D4" w:rsidRPr="009358D3">
              <w:rPr>
                <w:lang w:val="en-GB"/>
              </w:rPr>
              <w:t>.</w:t>
            </w:r>
            <w:r w:rsidRPr="009358D3">
              <w:rPr>
                <w:lang w:val="en-GB"/>
              </w:rPr>
              <w:t>6</w:t>
            </w:r>
          </w:p>
        </w:tc>
        <w:tc>
          <w:tcPr>
            <w:tcW w:w="1383" w:type="dxa"/>
            <w:tcMar>
              <w:top w:w="57" w:type="dxa"/>
              <w:left w:w="102" w:type="dxa"/>
              <w:bottom w:w="57" w:type="dxa"/>
              <w:right w:w="108" w:type="dxa"/>
            </w:tcMar>
            <w:vAlign w:val="bottom"/>
            <w:hideMark/>
          </w:tcPr>
          <w:p w14:paraId="1267EE6B" w14:textId="6E215023" w:rsidR="009631AA" w:rsidRPr="009358D3" w:rsidRDefault="007C603B" w:rsidP="003200D0">
            <w:pPr>
              <w:pStyle w:val="Tablicadanerodek"/>
              <w:spacing w:before="0" w:after="0" w:line="240" w:lineRule="auto"/>
              <w:rPr>
                <w:lang w:val="en-GB"/>
              </w:rPr>
            </w:pPr>
            <w:r w:rsidRPr="009358D3">
              <w:rPr>
                <w:lang w:val="en-GB"/>
              </w:rPr>
              <w:t>436</w:t>
            </w:r>
            <w:r w:rsidR="004E02D4" w:rsidRPr="009358D3">
              <w:rPr>
                <w:lang w:val="en-GB"/>
              </w:rPr>
              <w:t>.</w:t>
            </w:r>
            <w:r w:rsidRPr="009358D3">
              <w:rPr>
                <w:lang w:val="en-GB"/>
              </w:rPr>
              <w:t>0</w:t>
            </w:r>
          </w:p>
        </w:tc>
      </w:tr>
      <w:tr w:rsidR="006D4224" w:rsidRPr="009358D3" w14:paraId="44851D55" w14:textId="77777777" w:rsidTr="00746814">
        <w:trPr>
          <w:trHeight w:val="227"/>
        </w:trPr>
        <w:tc>
          <w:tcPr>
            <w:tcW w:w="2268" w:type="dxa"/>
            <w:vAlign w:val="center"/>
            <w:hideMark/>
          </w:tcPr>
          <w:p w14:paraId="79800977" w14:textId="2F8134B9" w:rsidR="006D4224" w:rsidRPr="009358D3" w:rsidRDefault="006D4224" w:rsidP="00983D81">
            <w:pPr>
              <w:pStyle w:val="Tablicaboczek"/>
              <w:spacing w:before="0" w:after="0" w:line="240" w:lineRule="auto"/>
              <w:ind w:left="176"/>
              <w:rPr>
                <w:rFonts w:cs="Fira Sans"/>
                <w:spacing w:val="-1"/>
                <w:lang w:val="en-GB"/>
              </w:rPr>
            </w:pPr>
            <w:r w:rsidRPr="009358D3">
              <w:rPr>
                <w:rFonts w:cs="Fira Sans"/>
                <w:spacing w:val="-1"/>
                <w:lang w:val="en-GB"/>
              </w:rPr>
              <w:t xml:space="preserve">Books and </w:t>
            </w:r>
            <w:r w:rsidR="0014717A" w:rsidRPr="009358D3">
              <w:rPr>
                <w:rFonts w:cs="Fira Sans"/>
                <w:spacing w:val="-1"/>
                <w:lang w:val="en-GB"/>
              </w:rPr>
              <w:t>press</w:t>
            </w:r>
          </w:p>
        </w:tc>
        <w:tc>
          <w:tcPr>
            <w:tcW w:w="1382" w:type="dxa"/>
            <w:tcMar>
              <w:top w:w="57" w:type="dxa"/>
              <w:left w:w="102" w:type="dxa"/>
              <w:bottom w:w="57" w:type="dxa"/>
              <w:right w:w="108" w:type="dxa"/>
            </w:tcMar>
            <w:vAlign w:val="bottom"/>
            <w:hideMark/>
          </w:tcPr>
          <w:p w14:paraId="3FF81689" w14:textId="0F8B7523" w:rsidR="006D4224" w:rsidRPr="009358D3" w:rsidRDefault="00155514" w:rsidP="003200D0">
            <w:pPr>
              <w:pStyle w:val="Tablicadanerodek"/>
              <w:spacing w:before="0" w:after="0" w:line="240" w:lineRule="auto"/>
              <w:rPr>
                <w:lang w:val="en-GB"/>
              </w:rPr>
            </w:pPr>
            <w:r w:rsidRPr="009358D3">
              <w:rPr>
                <w:lang w:val="en-GB"/>
              </w:rPr>
              <w:t>5</w:t>
            </w:r>
            <w:r w:rsidR="004E02D4" w:rsidRPr="009358D3">
              <w:rPr>
                <w:lang w:val="en-GB"/>
              </w:rPr>
              <w:t>,</w:t>
            </w:r>
            <w:r w:rsidRPr="009358D3">
              <w:rPr>
                <w:lang w:val="en-GB"/>
              </w:rPr>
              <w:t>350</w:t>
            </w:r>
            <w:r w:rsidR="004E02D4" w:rsidRPr="009358D3">
              <w:rPr>
                <w:lang w:val="en-GB"/>
              </w:rPr>
              <w:t>.</w:t>
            </w:r>
            <w:r w:rsidRPr="009358D3">
              <w:rPr>
                <w:lang w:val="en-GB"/>
              </w:rPr>
              <w:t>3</w:t>
            </w:r>
          </w:p>
        </w:tc>
        <w:tc>
          <w:tcPr>
            <w:tcW w:w="1382" w:type="dxa"/>
            <w:tcMar>
              <w:top w:w="57" w:type="dxa"/>
              <w:left w:w="102" w:type="dxa"/>
              <w:bottom w:w="57" w:type="dxa"/>
              <w:right w:w="108" w:type="dxa"/>
            </w:tcMar>
            <w:vAlign w:val="bottom"/>
            <w:hideMark/>
          </w:tcPr>
          <w:p w14:paraId="2B856CCC" w14:textId="219FCF9D" w:rsidR="006D4224" w:rsidRPr="009358D3" w:rsidRDefault="00155514" w:rsidP="003200D0">
            <w:pPr>
              <w:pStyle w:val="Tablicadanerodek"/>
              <w:spacing w:before="0" w:after="0" w:line="240" w:lineRule="auto"/>
              <w:rPr>
                <w:lang w:val="en-GB"/>
              </w:rPr>
            </w:pPr>
            <w:r w:rsidRPr="009358D3">
              <w:rPr>
                <w:lang w:val="en-GB"/>
              </w:rPr>
              <w:t>1</w:t>
            </w:r>
            <w:r w:rsidR="004E02D4" w:rsidRPr="009358D3">
              <w:rPr>
                <w:lang w:val="en-GB"/>
              </w:rPr>
              <w:t>,</w:t>
            </w:r>
            <w:r w:rsidRPr="009358D3">
              <w:rPr>
                <w:lang w:val="en-GB"/>
              </w:rPr>
              <w:t>996</w:t>
            </w:r>
            <w:r w:rsidR="004E02D4" w:rsidRPr="009358D3">
              <w:rPr>
                <w:lang w:val="en-GB"/>
              </w:rPr>
              <w:t>.</w:t>
            </w:r>
            <w:r w:rsidRPr="009358D3">
              <w:rPr>
                <w:lang w:val="en-GB"/>
              </w:rPr>
              <w:t>7</w:t>
            </w:r>
          </w:p>
        </w:tc>
        <w:tc>
          <w:tcPr>
            <w:tcW w:w="1382" w:type="dxa"/>
            <w:tcMar>
              <w:top w:w="57" w:type="dxa"/>
              <w:left w:w="102" w:type="dxa"/>
              <w:bottom w:w="57" w:type="dxa"/>
              <w:right w:w="108" w:type="dxa"/>
            </w:tcMar>
            <w:vAlign w:val="bottom"/>
            <w:hideMark/>
          </w:tcPr>
          <w:p w14:paraId="38AB9E95" w14:textId="1C7FAE11" w:rsidR="009631AA" w:rsidRPr="009358D3" w:rsidRDefault="007C603B" w:rsidP="003200D0">
            <w:pPr>
              <w:pStyle w:val="Tablicadanerodek"/>
              <w:spacing w:before="0" w:after="0" w:line="240" w:lineRule="auto"/>
              <w:rPr>
                <w:lang w:val="en-GB"/>
              </w:rPr>
            </w:pPr>
            <w:r w:rsidRPr="009358D3">
              <w:rPr>
                <w:lang w:val="en-GB"/>
              </w:rPr>
              <w:t>347</w:t>
            </w:r>
            <w:r w:rsidR="004E02D4" w:rsidRPr="009358D3">
              <w:rPr>
                <w:lang w:val="en-GB"/>
              </w:rPr>
              <w:t>.</w:t>
            </w:r>
            <w:r w:rsidRPr="009358D3">
              <w:rPr>
                <w:lang w:val="en-GB"/>
              </w:rPr>
              <w:t>9</w:t>
            </w:r>
          </w:p>
        </w:tc>
        <w:tc>
          <w:tcPr>
            <w:tcW w:w="1383" w:type="dxa"/>
            <w:tcMar>
              <w:top w:w="57" w:type="dxa"/>
              <w:left w:w="102" w:type="dxa"/>
              <w:bottom w:w="57" w:type="dxa"/>
              <w:right w:w="108" w:type="dxa"/>
            </w:tcMar>
            <w:vAlign w:val="bottom"/>
            <w:hideMark/>
          </w:tcPr>
          <w:p w14:paraId="2AEF971E" w14:textId="62BE6743" w:rsidR="009631AA" w:rsidRPr="009358D3" w:rsidRDefault="007C603B" w:rsidP="003200D0">
            <w:pPr>
              <w:pStyle w:val="Tablicadanerodek"/>
              <w:spacing w:before="0" w:after="0" w:line="240" w:lineRule="auto"/>
              <w:rPr>
                <w:lang w:val="en-GB"/>
              </w:rPr>
            </w:pPr>
            <w:r w:rsidRPr="009358D3">
              <w:rPr>
                <w:lang w:val="en-GB"/>
              </w:rPr>
              <w:t>962</w:t>
            </w:r>
            <w:r w:rsidR="004E02D4" w:rsidRPr="009358D3">
              <w:rPr>
                <w:lang w:val="en-GB"/>
              </w:rPr>
              <w:t>.</w:t>
            </w:r>
            <w:r w:rsidRPr="009358D3">
              <w:rPr>
                <w:lang w:val="en-GB"/>
              </w:rPr>
              <w:t>5</w:t>
            </w:r>
          </w:p>
        </w:tc>
      </w:tr>
      <w:tr w:rsidR="006D4224" w:rsidRPr="009358D3" w14:paraId="4119A169" w14:textId="77777777" w:rsidTr="00746814">
        <w:trPr>
          <w:trHeight w:val="227"/>
        </w:trPr>
        <w:tc>
          <w:tcPr>
            <w:tcW w:w="2268" w:type="dxa"/>
            <w:vAlign w:val="center"/>
            <w:hideMark/>
          </w:tcPr>
          <w:p w14:paraId="41C33200" w14:textId="38DA56C1" w:rsidR="006D4224" w:rsidRPr="009358D3" w:rsidRDefault="006D4224" w:rsidP="00983D81">
            <w:pPr>
              <w:pStyle w:val="Tablicaboczek"/>
              <w:spacing w:before="0" w:after="0" w:line="240" w:lineRule="auto"/>
              <w:ind w:left="176"/>
              <w:rPr>
                <w:rFonts w:cs="Fira Sans"/>
                <w:spacing w:val="-1"/>
                <w:lang w:val="en-GB"/>
              </w:rPr>
            </w:pPr>
            <w:r w:rsidRPr="009358D3">
              <w:rPr>
                <w:rFonts w:cs="Fira Sans"/>
                <w:spacing w:val="-1"/>
                <w:lang w:val="en-GB"/>
              </w:rPr>
              <w:t xml:space="preserve">Visual </w:t>
            </w:r>
            <w:r w:rsidR="001E5AAA" w:rsidRPr="009358D3">
              <w:rPr>
                <w:rFonts w:cs="Fira Sans"/>
                <w:spacing w:val="-1"/>
                <w:lang w:val="en-GB"/>
              </w:rPr>
              <w:t>a</w:t>
            </w:r>
            <w:r w:rsidRPr="009358D3">
              <w:rPr>
                <w:rFonts w:cs="Fira Sans"/>
                <w:spacing w:val="-1"/>
                <w:lang w:val="en-GB"/>
              </w:rPr>
              <w:t>rts</w:t>
            </w:r>
          </w:p>
        </w:tc>
        <w:tc>
          <w:tcPr>
            <w:tcW w:w="1382" w:type="dxa"/>
            <w:tcMar>
              <w:top w:w="57" w:type="dxa"/>
              <w:left w:w="102" w:type="dxa"/>
              <w:bottom w:w="57" w:type="dxa"/>
              <w:right w:w="108" w:type="dxa"/>
            </w:tcMar>
            <w:vAlign w:val="bottom"/>
            <w:hideMark/>
          </w:tcPr>
          <w:p w14:paraId="786207F5" w14:textId="0F98AE26" w:rsidR="009631AA" w:rsidRPr="009358D3" w:rsidRDefault="00155514" w:rsidP="003200D0">
            <w:pPr>
              <w:pStyle w:val="Tablicadanerodek"/>
              <w:spacing w:before="0" w:after="0" w:line="240" w:lineRule="auto"/>
              <w:rPr>
                <w:lang w:val="en-GB"/>
              </w:rPr>
            </w:pPr>
            <w:r w:rsidRPr="009358D3">
              <w:rPr>
                <w:lang w:val="en-GB"/>
              </w:rPr>
              <w:t>351</w:t>
            </w:r>
            <w:r w:rsidR="004E02D4" w:rsidRPr="009358D3">
              <w:rPr>
                <w:lang w:val="en-GB"/>
              </w:rPr>
              <w:t>.</w:t>
            </w:r>
            <w:r w:rsidRPr="009358D3">
              <w:rPr>
                <w:lang w:val="en-GB"/>
              </w:rPr>
              <w:t>9</w:t>
            </w:r>
          </w:p>
        </w:tc>
        <w:tc>
          <w:tcPr>
            <w:tcW w:w="1382" w:type="dxa"/>
            <w:tcMar>
              <w:top w:w="57" w:type="dxa"/>
              <w:left w:w="102" w:type="dxa"/>
              <w:bottom w:w="57" w:type="dxa"/>
              <w:right w:w="108" w:type="dxa"/>
            </w:tcMar>
            <w:vAlign w:val="bottom"/>
            <w:hideMark/>
          </w:tcPr>
          <w:p w14:paraId="63D839AA" w14:textId="2F6ADBA3" w:rsidR="009631AA" w:rsidRPr="009358D3" w:rsidRDefault="00155514" w:rsidP="003200D0">
            <w:pPr>
              <w:pStyle w:val="Tablicadanerodek"/>
              <w:spacing w:before="0" w:after="0" w:line="240" w:lineRule="auto"/>
              <w:rPr>
                <w:lang w:val="en-GB"/>
              </w:rPr>
            </w:pPr>
            <w:r w:rsidRPr="009358D3">
              <w:rPr>
                <w:lang w:val="en-GB"/>
              </w:rPr>
              <w:t>142</w:t>
            </w:r>
            <w:r w:rsidR="004E02D4" w:rsidRPr="009358D3">
              <w:rPr>
                <w:lang w:val="en-GB"/>
              </w:rPr>
              <w:t>.</w:t>
            </w:r>
            <w:r w:rsidRPr="009358D3">
              <w:rPr>
                <w:lang w:val="en-GB"/>
              </w:rPr>
              <w:t>8</w:t>
            </w:r>
          </w:p>
        </w:tc>
        <w:tc>
          <w:tcPr>
            <w:tcW w:w="1382" w:type="dxa"/>
            <w:tcMar>
              <w:top w:w="57" w:type="dxa"/>
              <w:left w:w="102" w:type="dxa"/>
              <w:bottom w:w="57" w:type="dxa"/>
              <w:right w:w="108" w:type="dxa"/>
            </w:tcMar>
            <w:vAlign w:val="bottom"/>
            <w:hideMark/>
          </w:tcPr>
          <w:p w14:paraId="79290BBE" w14:textId="77777777" w:rsidR="006D4224" w:rsidRPr="009358D3" w:rsidRDefault="006D4224" w:rsidP="009978BD">
            <w:pPr>
              <w:pStyle w:val="Tablicadanerodek"/>
              <w:spacing w:before="0" w:after="0" w:line="240" w:lineRule="auto"/>
              <w:rPr>
                <w:lang w:val="en-GB"/>
              </w:rPr>
            </w:pPr>
            <w:r w:rsidRPr="009358D3">
              <w:rPr>
                <w:lang w:val="en-GB"/>
              </w:rPr>
              <w:t>–</w:t>
            </w:r>
          </w:p>
        </w:tc>
        <w:tc>
          <w:tcPr>
            <w:tcW w:w="1383" w:type="dxa"/>
            <w:tcMar>
              <w:top w:w="57" w:type="dxa"/>
              <w:left w:w="102" w:type="dxa"/>
              <w:bottom w:w="57" w:type="dxa"/>
              <w:right w:w="108" w:type="dxa"/>
            </w:tcMar>
            <w:vAlign w:val="bottom"/>
            <w:hideMark/>
          </w:tcPr>
          <w:p w14:paraId="36B461D3" w14:textId="77777777" w:rsidR="006D4224" w:rsidRPr="009358D3" w:rsidRDefault="006D4224" w:rsidP="009978BD">
            <w:pPr>
              <w:pStyle w:val="Tablicadanerodek"/>
              <w:spacing w:before="0" w:after="0" w:line="240" w:lineRule="auto"/>
              <w:rPr>
                <w:lang w:val="en-GB"/>
              </w:rPr>
            </w:pPr>
            <w:r w:rsidRPr="009358D3">
              <w:rPr>
                <w:lang w:val="en-GB"/>
              </w:rPr>
              <w:t>–</w:t>
            </w:r>
          </w:p>
        </w:tc>
      </w:tr>
      <w:tr w:rsidR="006D4224" w:rsidRPr="009358D3" w14:paraId="4388F84E" w14:textId="77777777" w:rsidTr="00746814">
        <w:trPr>
          <w:trHeight w:val="227"/>
        </w:trPr>
        <w:tc>
          <w:tcPr>
            <w:tcW w:w="2268" w:type="dxa"/>
            <w:vAlign w:val="center"/>
            <w:hideMark/>
          </w:tcPr>
          <w:p w14:paraId="0F52171C" w14:textId="77777777" w:rsidR="006D4224" w:rsidRPr="009358D3" w:rsidRDefault="006D4224" w:rsidP="00983D81">
            <w:pPr>
              <w:pStyle w:val="Tablicaboczek"/>
              <w:spacing w:before="0" w:after="0" w:line="240" w:lineRule="auto"/>
              <w:ind w:left="176"/>
              <w:rPr>
                <w:rFonts w:cs="Fira Sans"/>
                <w:spacing w:val="-1"/>
                <w:lang w:val="en-GB"/>
              </w:rPr>
            </w:pPr>
            <w:r w:rsidRPr="009358D3">
              <w:rPr>
                <w:rFonts w:cs="Fira Sans"/>
                <w:spacing w:val="-1"/>
                <w:lang w:val="en-GB"/>
              </w:rPr>
              <w:t>Architecture</w:t>
            </w:r>
          </w:p>
        </w:tc>
        <w:tc>
          <w:tcPr>
            <w:tcW w:w="1382" w:type="dxa"/>
            <w:tcMar>
              <w:top w:w="57" w:type="dxa"/>
              <w:left w:w="102" w:type="dxa"/>
              <w:bottom w:w="57" w:type="dxa"/>
              <w:right w:w="108" w:type="dxa"/>
            </w:tcMar>
            <w:vAlign w:val="bottom"/>
            <w:hideMark/>
          </w:tcPr>
          <w:p w14:paraId="5B4D381B" w14:textId="756B6734" w:rsidR="009631AA" w:rsidRPr="009358D3" w:rsidRDefault="00F95788" w:rsidP="003200D0">
            <w:pPr>
              <w:pStyle w:val="Tablicadanerodek"/>
              <w:spacing w:before="0" w:after="0" w:line="240" w:lineRule="auto"/>
              <w:rPr>
                <w:lang w:val="en-GB"/>
              </w:rPr>
            </w:pPr>
            <w:r w:rsidRPr="009358D3">
              <w:rPr>
                <w:lang w:val="en-GB"/>
              </w:rPr>
              <w:t>0</w:t>
            </w:r>
            <w:r w:rsidR="004E02D4" w:rsidRPr="009358D3">
              <w:rPr>
                <w:lang w:val="en-GB"/>
              </w:rPr>
              <w:t>.</w:t>
            </w:r>
            <w:r w:rsidRPr="009358D3">
              <w:rPr>
                <w:lang w:val="en-GB"/>
              </w:rPr>
              <w:t>2</w:t>
            </w:r>
          </w:p>
        </w:tc>
        <w:tc>
          <w:tcPr>
            <w:tcW w:w="1382" w:type="dxa"/>
            <w:tcMar>
              <w:top w:w="57" w:type="dxa"/>
              <w:left w:w="102" w:type="dxa"/>
              <w:bottom w:w="57" w:type="dxa"/>
              <w:right w:w="108" w:type="dxa"/>
            </w:tcMar>
            <w:vAlign w:val="bottom"/>
            <w:hideMark/>
          </w:tcPr>
          <w:p w14:paraId="3C6E40B8" w14:textId="01688367" w:rsidR="009631AA" w:rsidRPr="009358D3" w:rsidRDefault="00155514" w:rsidP="003200D0">
            <w:pPr>
              <w:pStyle w:val="Tablicadanerodek"/>
              <w:spacing w:before="0" w:after="0" w:line="240" w:lineRule="auto"/>
              <w:rPr>
                <w:lang w:val="en-GB"/>
              </w:rPr>
            </w:pPr>
            <w:r w:rsidRPr="009358D3">
              <w:rPr>
                <w:lang w:val="en-GB"/>
              </w:rPr>
              <w:t>1</w:t>
            </w:r>
            <w:r w:rsidR="004E02D4" w:rsidRPr="009358D3">
              <w:rPr>
                <w:lang w:val="en-GB"/>
              </w:rPr>
              <w:t>.</w:t>
            </w:r>
            <w:r w:rsidRPr="009358D3">
              <w:rPr>
                <w:lang w:val="en-GB"/>
              </w:rPr>
              <w:t>7</w:t>
            </w:r>
          </w:p>
        </w:tc>
        <w:tc>
          <w:tcPr>
            <w:tcW w:w="1382" w:type="dxa"/>
            <w:tcMar>
              <w:top w:w="57" w:type="dxa"/>
              <w:left w:w="102" w:type="dxa"/>
              <w:bottom w:w="57" w:type="dxa"/>
              <w:right w:w="108" w:type="dxa"/>
            </w:tcMar>
            <w:vAlign w:val="bottom"/>
            <w:hideMark/>
          </w:tcPr>
          <w:p w14:paraId="6CB5B5AC" w14:textId="2C826505" w:rsidR="009631AA" w:rsidRPr="009358D3" w:rsidRDefault="007C603B" w:rsidP="003200D0">
            <w:pPr>
              <w:pStyle w:val="Tablicadanerodek"/>
              <w:spacing w:before="0" w:after="0" w:line="240" w:lineRule="auto"/>
              <w:rPr>
                <w:lang w:val="en-GB"/>
              </w:rPr>
            </w:pPr>
            <w:r w:rsidRPr="009358D3">
              <w:rPr>
                <w:lang w:val="en-GB"/>
              </w:rPr>
              <w:t>354</w:t>
            </w:r>
            <w:r w:rsidR="004E02D4" w:rsidRPr="009358D3">
              <w:rPr>
                <w:lang w:val="en-GB"/>
              </w:rPr>
              <w:t>.</w:t>
            </w:r>
            <w:r w:rsidRPr="009358D3">
              <w:rPr>
                <w:lang w:val="en-GB"/>
              </w:rPr>
              <w:t>9</w:t>
            </w:r>
          </w:p>
        </w:tc>
        <w:tc>
          <w:tcPr>
            <w:tcW w:w="1383" w:type="dxa"/>
            <w:tcMar>
              <w:top w:w="57" w:type="dxa"/>
              <w:left w:w="102" w:type="dxa"/>
              <w:bottom w:w="57" w:type="dxa"/>
              <w:right w:w="108" w:type="dxa"/>
            </w:tcMar>
            <w:vAlign w:val="bottom"/>
            <w:hideMark/>
          </w:tcPr>
          <w:p w14:paraId="120777BB" w14:textId="4D0DEF21" w:rsidR="009631AA" w:rsidRPr="009358D3" w:rsidRDefault="007C603B" w:rsidP="003200D0">
            <w:pPr>
              <w:pStyle w:val="Tablicadanerodek"/>
              <w:spacing w:before="0" w:after="0" w:line="240" w:lineRule="auto"/>
              <w:rPr>
                <w:lang w:val="en-GB"/>
              </w:rPr>
            </w:pPr>
            <w:r w:rsidRPr="009358D3">
              <w:rPr>
                <w:lang w:val="en-GB"/>
              </w:rPr>
              <w:t>443</w:t>
            </w:r>
            <w:r w:rsidR="004E02D4" w:rsidRPr="009358D3">
              <w:rPr>
                <w:lang w:val="en-GB"/>
              </w:rPr>
              <w:t>.</w:t>
            </w:r>
            <w:r w:rsidRPr="009358D3">
              <w:rPr>
                <w:lang w:val="en-GB"/>
              </w:rPr>
              <w:t>5</w:t>
            </w:r>
          </w:p>
        </w:tc>
      </w:tr>
      <w:tr w:rsidR="006D4224" w:rsidRPr="009358D3" w14:paraId="34D88EBC" w14:textId="77777777" w:rsidTr="00746814">
        <w:trPr>
          <w:trHeight w:val="227"/>
        </w:trPr>
        <w:tc>
          <w:tcPr>
            <w:tcW w:w="2268" w:type="dxa"/>
            <w:vAlign w:val="center"/>
            <w:hideMark/>
          </w:tcPr>
          <w:p w14:paraId="78AAAB17" w14:textId="2D3985C9" w:rsidR="006D4224" w:rsidRPr="009358D3" w:rsidRDefault="006D4224" w:rsidP="00983D81">
            <w:pPr>
              <w:pStyle w:val="Tablicaboczek"/>
              <w:spacing w:before="0" w:after="0" w:line="240" w:lineRule="auto"/>
              <w:ind w:left="176"/>
              <w:rPr>
                <w:rFonts w:cs="Fira Sans"/>
                <w:spacing w:val="-1"/>
                <w:lang w:val="en-GB"/>
              </w:rPr>
            </w:pPr>
            <w:r w:rsidRPr="009358D3">
              <w:rPr>
                <w:rFonts w:cs="Fira Sans"/>
                <w:spacing w:val="-1"/>
                <w:lang w:val="en-GB"/>
              </w:rPr>
              <w:t xml:space="preserve">Performing </w:t>
            </w:r>
            <w:r w:rsidR="001E5AAA" w:rsidRPr="009358D3">
              <w:rPr>
                <w:rFonts w:cs="Fira Sans"/>
                <w:spacing w:val="-1"/>
                <w:lang w:val="en-GB"/>
              </w:rPr>
              <w:t>a</w:t>
            </w:r>
            <w:r w:rsidRPr="009358D3">
              <w:rPr>
                <w:rFonts w:cs="Fira Sans"/>
                <w:spacing w:val="-1"/>
                <w:lang w:val="en-GB"/>
              </w:rPr>
              <w:t>rts</w:t>
            </w:r>
          </w:p>
        </w:tc>
        <w:tc>
          <w:tcPr>
            <w:tcW w:w="1382" w:type="dxa"/>
            <w:tcMar>
              <w:top w:w="57" w:type="dxa"/>
              <w:left w:w="102" w:type="dxa"/>
              <w:bottom w:w="57" w:type="dxa"/>
              <w:right w:w="108" w:type="dxa"/>
            </w:tcMar>
            <w:vAlign w:val="bottom"/>
            <w:hideMark/>
          </w:tcPr>
          <w:p w14:paraId="46727AA1" w14:textId="5D080980" w:rsidR="009631AA" w:rsidRPr="009358D3" w:rsidRDefault="00155514" w:rsidP="003200D0">
            <w:pPr>
              <w:pStyle w:val="Tablicadanerodek"/>
              <w:spacing w:before="0" w:after="0" w:line="240" w:lineRule="auto"/>
              <w:rPr>
                <w:lang w:val="en-GB"/>
              </w:rPr>
            </w:pPr>
            <w:r w:rsidRPr="009358D3">
              <w:rPr>
                <w:lang w:val="en-GB"/>
              </w:rPr>
              <w:t>227</w:t>
            </w:r>
            <w:r w:rsidR="004E02D4" w:rsidRPr="009358D3">
              <w:rPr>
                <w:lang w:val="en-GB"/>
              </w:rPr>
              <w:t>.</w:t>
            </w:r>
            <w:r w:rsidRPr="009358D3">
              <w:rPr>
                <w:lang w:val="en-GB"/>
              </w:rPr>
              <w:t>0</w:t>
            </w:r>
          </w:p>
        </w:tc>
        <w:tc>
          <w:tcPr>
            <w:tcW w:w="1382" w:type="dxa"/>
            <w:tcMar>
              <w:top w:w="57" w:type="dxa"/>
              <w:left w:w="102" w:type="dxa"/>
              <w:bottom w:w="57" w:type="dxa"/>
              <w:right w:w="108" w:type="dxa"/>
            </w:tcMar>
            <w:vAlign w:val="bottom"/>
            <w:hideMark/>
          </w:tcPr>
          <w:p w14:paraId="30D75445" w14:textId="22E5D01B" w:rsidR="009631AA" w:rsidRPr="009358D3" w:rsidRDefault="00155514" w:rsidP="003200D0">
            <w:pPr>
              <w:pStyle w:val="Tablicadanerodek"/>
              <w:spacing w:before="0" w:after="0" w:line="240" w:lineRule="auto"/>
              <w:rPr>
                <w:lang w:val="en-GB"/>
              </w:rPr>
            </w:pPr>
            <w:r w:rsidRPr="009358D3">
              <w:rPr>
                <w:lang w:val="en-GB"/>
              </w:rPr>
              <w:t>279</w:t>
            </w:r>
            <w:r w:rsidR="004E02D4" w:rsidRPr="009358D3">
              <w:rPr>
                <w:lang w:val="en-GB"/>
              </w:rPr>
              <w:t>.</w:t>
            </w:r>
            <w:r w:rsidRPr="009358D3">
              <w:rPr>
                <w:lang w:val="en-GB"/>
              </w:rPr>
              <w:t>5</w:t>
            </w:r>
          </w:p>
        </w:tc>
        <w:tc>
          <w:tcPr>
            <w:tcW w:w="1382" w:type="dxa"/>
            <w:tcMar>
              <w:top w:w="57" w:type="dxa"/>
              <w:left w:w="102" w:type="dxa"/>
              <w:bottom w:w="57" w:type="dxa"/>
              <w:right w:w="108" w:type="dxa"/>
            </w:tcMar>
            <w:vAlign w:val="bottom"/>
            <w:hideMark/>
          </w:tcPr>
          <w:p w14:paraId="4FC8B67A" w14:textId="0465F03A" w:rsidR="009631AA" w:rsidRPr="009358D3" w:rsidRDefault="007C603B" w:rsidP="003200D0">
            <w:pPr>
              <w:pStyle w:val="Tablicadanerodek"/>
              <w:spacing w:before="0" w:after="0" w:line="240" w:lineRule="auto"/>
              <w:rPr>
                <w:lang w:val="en-GB"/>
              </w:rPr>
            </w:pPr>
            <w:r w:rsidRPr="009358D3">
              <w:rPr>
                <w:lang w:val="en-GB"/>
              </w:rPr>
              <w:t>334</w:t>
            </w:r>
            <w:r w:rsidR="004E02D4" w:rsidRPr="009358D3">
              <w:rPr>
                <w:lang w:val="en-GB"/>
              </w:rPr>
              <w:t>.</w:t>
            </w:r>
            <w:r w:rsidRPr="009358D3">
              <w:rPr>
                <w:lang w:val="en-GB"/>
              </w:rPr>
              <w:t>0</w:t>
            </w:r>
          </w:p>
        </w:tc>
        <w:tc>
          <w:tcPr>
            <w:tcW w:w="1383" w:type="dxa"/>
            <w:tcMar>
              <w:top w:w="57" w:type="dxa"/>
              <w:left w:w="102" w:type="dxa"/>
              <w:bottom w:w="57" w:type="dxa"/>
              <w:right w:w="108" w:type="dxa"/>
            </w:tcMar>
            <w:vAlign w:val="bottom"/>
            <w:hideMark/>
          </w:tcPr>
          <w:p w14:paraId="620D573C" w14:textId="303450A9" w:rsidR="009631AA" w:rsidRPr="009358D3" w:rsidRDefault="007C603B" w:rsidP="003200D0">
            <w:pPr>
              <w:pStyle w:val="Tablicadanerodek"/>
              <w:spacing w:before="0" w:after="0" w:line="240" w:lineRule="auto"/>
              <w:rPr>
                <w:lang w:val="en-GB"/>
              </w:rPr>
            </w:pPr>
            <w:r w:rsidRPr="009358D3">
              <w:rPr>
                <w:lang w:val="en-GB"/>
              </w:rPr>
              <w:t>690</w:t>
            </w:r>
            <w:r w:rsidR="004E02D4" w:rsidRPr="009358D3">
              <w:rPr>
                <w:lang w:val="en-GB"/>
              </w:rPr>
              <w:t>.</w:t>
            </w:r>
            <w:r w:rsidRPr="009358D3">
              <w:rPr>
                <w:lang w:val="en-GB"/>
              </w:rPr>
              <w:t>4</w:t>
            </w:r>
          </w:p>
        </w:tc>
      </w:tr>
      <w:tr w:rsidR="006D4224" w:rsidRPr="009358D3" w14:paraId="7034E3E6" w14:textId="77777777" w:rsidTr="00746814">
        <w:trPr>
          <w:trHeight w:val="227"/>
        </w:trPr>
        <w:tc>
          <w:tcPr>
            <w:tcW w:w="2268" w:type="dxa"/>
            <w:vAlign w:val="center"/>
            <w:hideMark/>
          </w:tcPr>
          <w:p w14:paraId="72E89863" w14:textId="12CE40F2" w:rsidR="006D4224" w:rsidRPr="009358D3" w:rsidRDefault="006D4224" w:rsidP="00983D81">
            <w:pPr>
              <w:pStyle w:val="Tablicaboczek"/>
              <w:spacing w:before="0" w:after="0" w:line="240" w:lineRule="auto"/>
              <w:ind w:left="318" w:hanging="142"/>
              <w:rPr>
                <w:rFonts w:cs="Fira Sans"/>
                <w:spacing w:val="-1"/>
                <w:lang w:val="en-GB"/>
              </w:rPr>
            </w:pPr>
            <w:r w:rsidRPr="009358D3">
              <w:rPr>
                <w:rFonts w:cs="Fira Sans"/>
                <w:spacing w:val="-1"/>
                <w:lang w:val="en-GB"/>
              </w:rPr>
              <w:t>Audio</w:t>
            </w:r>
            <w:r w:rsidR="001E5AAA" w:rsidRPr="009358D3">
              <w:rPr>
                <w:rFonts w:cs="Fira Sans"/>
                <w:spacing w:val="-1"/>
                <w:lang w:val="en-GB"/>
              </w:rPr>
              <w:t>-</w:t>
            </w:r>
            <w:r w:rsidRPr="009358D3">
              <w:rPr>
                <w:rFonts w:cs="Fira Sans"/>
                <w:spacing w:val="-1"/>
                <w:lang w:val="en-GB"/>
              </w:rPr>
              <w:t xml:space="preserve">visual </w:t>
            </w:r>
            <w:r w:rsidR="0014717A" w:rsidRPr="009358D3">
              <w:rPr>
                <w:rFonts w:cs="Fira Sans"/>
                <w:spacing w:val="-1"/>
                <w:lang w:val="en-GB"/>
              </w:rPr>
              <w:t>a</w:t>
            </w:r>
            <w:r w:rsidRPr="009358D3">
              <w:rPr>
                <w:rFonts w:cs="Fira Sans"/>
                <w:spacing w:val="-1"/>
                <w:lang w:val="en-GB"/>
              </w:rPr>
              <w:t xml:space="preserve">rts </w:t>
            </w:r>
            <w:r w:rsidR="0014717A" w:rsidRPr="009358D3">
              <w:rPr>
                <w:rFonts w:cs="Fira Sans"/>
                <w:spacing w:val="-1"/>
                <w:lang w:val="en-GB"/>
              </w:rPr>
              <w:t>and</w:t>
            </w:r>
            <w:r w:rsidRPr="009358D3">
              <w:rPr>
                <w:rFonts w:cs="Fira Sans"/>
                <w:spacing w:val="-1"/>
                <w:lang w:val="en-GB"/>
              </w:rPr>
              <w:t xml:space="preserve"> </w:t>
            </w:r>
            <w:r w:rsidR="0014717A" w:rsidRPr="009358D3">
              <w:rPr>
                <w:rFonts w:cs="Fira Sans"/>
                <w:spacing w:val="-1"/>
                <w:lang w:val="en-GB"/>
              </w:rPr>
              <w:t>m</w:t>
            </w:r>
            <w:r w:rsidRPr="009358D3">
              <w:rPr>
                <w:rFonts w:cs="Fira Sans"/>
                <w:spacing w:val="-1"/>
                <w:lang w:val="en-GB"/>
              </w:rPr>
              <w:t>ultimedia</w:t>
            </w:r>
          </w:p>
        </w:tc>
        <w:tc>
          <w:tcPr>
            <w:tcW w:w="1382" w:type="dxa"/>
            <w:tcMar>
              <w:top w:w="57" w:type="dxa"/>
              <w:left w:w="102" w:type="dxa"/>
              <w:bottom w:w="57" w:type="dxa"/>
              <w:right w:w="108" w:type="dxa"/>
            </w:tcMar>
            <w:vAlign w:val="bottom"/>
            <w:hideMark/>
          </w:tcPr>
          <w:p w14:paraId="602B02DA" w14:textId="680BF256" w:rsidR="009631AA" w:rsidRPr="009358D3" w:rsidRDefault="00155514" w:rsidP="003200D0">
            <w:pPr>
              <w:pStyle w:val="Tablicadanerodek"/>
              <w:spacing w:before="0" w:after="0" w:line="240" w:lineRule="auto"/>
              <w:rPr>
                <w:lang w:val="en-GB"/>
              </w:rPr>
            </w:pPr>
            <w:r w:rsidRPr="009358D3">
              <w:rPr>
                <w:lang w:val="en-GB"/>
              </w:rPr>
              <w:t>6</w:t>
            </w:r>
            <w:r w:rsidR="004E02D4" w:rsidRPr="009358D3">
              <w:rPr>
                <w:lang w:val="en-GB"/>
              </w:rPr>
              <w:t>,</w:t>
            </w:r>
            <w:r w:rsidRPr="009358D3">
              <w:rPr>
                <w:lang w:val="en-GB"/>
              </w:rPr>
              <w:t>340</w:t>
            </w:r>
            <w:r w:rsidR="004E02D4" w:rsidRPr="009358D3">
              <w:rPr>
                <w:lang w:val="en-GB"/>
              </w:rPr>
              <w:t>.</w:t>
            </w:r>
            <w:r w:rsidRPr="009358D3">
              <w:rPr>
                <w:lang w:val="en-GB"/>
              </w:rPr>
              <w:t>7</w:t>
            </w:r>
          </w:p>
        </w:tc>
        <w:tc>
          <w:tcPr>
            <w:tcW w:w="1382" w:type="dxa"/>
            <w:tcMar>
              <w:top w:w="57" w:type="dxa"/>
              <w:left w:w="102" w:type="dxa"/>
              <w:bottom w:w="57" w:type="dxa"/>
              <w:right w:w="108" w:type="dxa"/>
            </w:tcMar>
            <w:vAlign w:val="bottom"/>
            <w:hideMark/>
          </w:tcPr>
          <w:p w14:paraId="6D194CD2" w14:textId="325FCD63" w:rsidR="009631AA" w:rsidRPr="009358D3" w:rsidRDefault="00155514" w:rsidP="003200D0">
            <w:pPr>
              <w:pStyle w:val="Tablicadanerodek"/>
              <w:spacing w:before="0" w:after="0" w:line="240" w:lineRule="auto"/>
              <w:rPr>
                <w:lang w:val="en-GB"/>
              </w:rPr>
            </w:pPr>
            <w:r w:rsidRPr="009358D3">
              <w:rPr>
                <w:lang w:val="en-GB"/>
              </w:rPr>
              <w:t>6</w:t>
            </w:r>
            <w:r w:rsidR="004E02D4" w:rsidRPr="009358D3">
              <w:rPr>
                <w:lang w:val="en-GB"/>
              </w:rPr>
              <w:t>,</w:t>
            </w:r>
            <w:r w:rsidRPr="009358D3">
              <w:rPr>
                <w:lang w:val="en-GB"/>
              </w:rPr>
              <w:t>385</w:t>
            </w:r>
            <w:r w:rsidR="004E02D4" w:rsidRPr="009358D3">
              <w:rPr>
                <w:lang w:val="en-GB"/>
              </w:rPr>
              <w:t>.</w:t>
            </w:r>
            <w:r w:rsidRPr="009358D3">
              <w:rPr>
                <w:lang w:val="en-GB"/>
              </w:rPr>
              <w:t>8</w:t>
            </w:r>
          </w:p>
        </w:tc>
        <w:tc>
          <w:tcPr>
            <w:tcW w:w="1382" w:type="dxa"/>
            <w:tcMar>
              <w:top w:w="57" w:type="dxa"/>
              <w:left w:w="102" w:type="dxa"/>
              <w:bottom w:w="57" w:type="dxa"/>
              <w:right w:w="108" w:type="dxa"/>
            </w:tcMar>
            <w:vAlign w:val="bottom"/>
            <w:hideMark/>
          </w:tcPr>
          <w:p w14:paraId="7EA4F624" w14:textId="6446588C" w:rsidR="009631AA" w:rsidRPr="009358D3" w:rsidRDefault="007C603B" w:rsidP="003200D0">
            <w:pPr>
              <w:pStyle w:val="Tablicadanerodek"/>
              <w:spacing w:before="0" w:after="0" w:line="240" w:lineRule="auto"/>
              <w:rPr>
                <w:lang w:val="en-GB"/>
              </w:rPr>
            </w:pPr>
            <w:r w:rsidRPr="009358D3">
              <w:rPr>
                <w:lang w:val="en-GB"/>
              </w:rPr>
              <w:t>1</w:t>
            </w:r>
            <w:r w:rsidR="004E02D4" w:rsidRPr="009358D3">
              <w:rPr>
                <w:lang w:val="en-GB"/>
              </w:rPr>
              <w:t>,</w:t>
            </w:r>
            <w:r w:rsidRPr="009358D3">
              <w:rPr>
                <w:lang w:val="en-GB"/>
              </w:rPr>
              <w:t>513</w:t>
            </w:r>
            <w:r w:rsidR="004E02D4" w:rsidRPr="009358D3">
              <w:rPr>
                <w:lang w:val="en-GB"/>
              </w:rPr>
              <w:t>.</w:t>
            </w:r>
            <w:r w:rsidRPr="009358D3">
              <w:rPr>
                <w:lang w:val="en-GB"/>
              </w:rPr>
              <w:t>0</w:t>
            </w:r>
          </w:p>
        </w:tc>
        <w:tc>
          <w:tcPr>
            <w:tcW w:w="1383" w:type="dxa"/>
            <w:tcMar>
              <w:top w:w="57" w:type="dxa"/>
              <w:left w:w="102" w:type="dxa"/>
              <w:bottom w:w="57" w:type="dxa"/>
              <w:right w:w="108" w:type="dxa"/>
            </w:tcMar>
            <w:vAlign w:val="bottom"/>
            <w:hideMark/>
          </w:tcPr>
          <w:p w14:paraId="1983CBFA" w14:textId="4AC21899" w:rsidR="009631AA" w:rsidRPr="009358D3" w:rsidRDefault="007C603B" w:rsidP="003200D0">
            <w:pPr>
              <w:pStyle w:val="Tablicadanerodek"/>
              <w:spacing w:before="0" w:after="0" w:line="240" w:lineRule="auto"/>
              <w:rPr>
                <w:lang w:val="en-GB"/>
              </w:rPr>
            </w:pPr>
            <w:r w:rsidRPr="009358D3">
              <w:rPr>
                <w:lang w:val="en-GB"/>
              </w:rPr>
              <w:t>3</w:t>
            </w:r>
            <w:r w:rsidR="004E02D4" w:rsidRPr="009358D3">
              <w:rPr>
                <w:lang w:val="en-GB"/>
              </w:rPr>
              <w:t>,</w:t>
            </w:r>
            <w:r w:rsidRPr="009358D3">
              <w:rPr>
                <w:lang w:val="en-GB"/>
              </w:rPr>
              <w:t>797</w:t>
            </w:r>
            <w:r w:rsidR="004E02D4" w:rsidRPr="009358D3">
              <w:rPr>
                <w:lang w:val="en-GB"/>
              </w:rPr>
              <w:t>.</w:t>
            </w:r>
            <w:r w:rsidRPr="009358D3">
              <w:rPr>
                <w:lang w:val="en-GB"/>
              </w:rPr>
              <w:t>7</w:t>
            </w:r>
          </w:p>
        </w:tc>
      </w:tr>
      <w:tr w:rsidR="006D4224" w:rsidRPr="009358D3" w14:paraId="52733449" w14:textId="77777777" w:rsidTr="00D928D5">
        <w:trPr>
          <w:trHeight w:val="227"/>
        </w:trPr>
        <w:tc>
          <w:tcPr>
            <w:tcW w:w="2268" w:type="dxa"/>
            <w:vAlign w:val="center"/>
            <w:hideMark/>
          </w:tcPr>
          <w:p w14:paraId="3817E398" w14:textId="77777777" w:rsidR="006D4224" w:rsidRPr="009358D3" w:rsidRDefault="006D4224" w:rsidP="00983D81">
            <w:pPr>
              <w:pStyle w:val="Tablicaboczek"/>
              <w:spacing w:before="0" w:after="0" w:line="240" w:lineRule="auto"/>
              <w:ind w:left="176"/>
              <w:rPr>
                <w:rFonts w:cs="Fira Sans"/>
                <w:spacing w:val="-1"/>
                <w:lang w:val="en-GB"/>
              </w:rPr>
            </w:pPr>
            <w:r w:rsidRPr="009358D3">
              <w:rPr>
                <w:rFonts w:cs="Fira Sans"/>
                <w:spacing w:val="-1"/>
                <w:lang w:val="en-GB"/>
              </w:rPr>
              <w:t>Advertising</w:t>
            </w:r>
          </w:p>
        </w:tc>
        <w:tc>
          <w:tcPr>
            <w:tcW w:w="1382" w:type="dxa"/>
            <w:tcMar>
              <w:top w:w="57" w:type="dxa"/>
              <w:left w:w="102" w:type="dxa"/>
              <w:bottom w:w="57" w:type="dxa"/>
              <w:right w:w="108" w:type="dxa"/>
            </w:tcMar>
            <w:vAlign w:val="bottom"/>
            <w:hideMark/>
          </w:tcPr>
          <w:p w14:paraId="07830D92" w14:textId="58AD6957" w:rsidR="009631AA" w:rsidRPr="009358D3" w:rsidRDefault="00155514" w:rsidP="003200D0">
            <w:pPr>
              <w:pStyle w:val="Tablicadanerodek"/>
              <w:spacing w:before="0" w:after="0" w:line="240" w:lineRule="auto"/>
              <w:rPr>
                <w:lang w:val="en-GB"/>
              </w:rPr>
            </w:pPr>
            <w:r w:rsidRPr="009358D3">
              <w:rPr>
                <w:lang w:val="en-GB"/>
              </w:rPr>
              <w:t>1</w:t>
            </w:r>
            <w:r w:rsidR="004E02D4" w:rsidRPr="009358D3">
              <w:rPr>
                <w:lang w:val="en-GB"/>
              </w:rPr>
              <w:t>,</w:t>
            </w:r>
            <w:r w:rsidRPr="009358D3">
              <w:rPr>
                <w:lang w:val="en-GB"/>
              </w:rPr>
              <w:t>403</w:t>
            </w:r>
            <w:r w:rsidR="004E02D4" w:rsidRPr="009358D3">
              <w:rPr>
                <w:lang w:val="en-GB"/>
              </w:rPr>
              <w:t>.</w:t>
            </w:r>
            <w:r w:rsidRPr="009358D3">
              <w:rPr>
                <w:lang w:val="en-GB"/>
              </w:rPr>
              <w:t>5</w:t>
            </w:r>
          </w:p>
        </w:tc>
        <w:tc>
          <w:tcPr>
            <w:tcW w:w="1382" w:type="dxa"/>
            <w:tcMar>
              <w:top w:w="57" w:type="dxa"/>
              <w:left w:w="102" w:type="dxa"/>
              <w:bottom w:w="57" w:type="dxa"/>
              <w:right w:w="108" w:type="dxa"/>
            </w:tcMar>
            <w:vAlign w:val="bottom"/>
            <w:hideMark/>
          </w:tcPr>
          <w:p w14:paraId="49AC5B3A" w14:textId="4B8B8F95" w:rsidR="009631AA" w:rsidRPr="009358D3" w:rsidRDefault="00155514" w:rsidP="003200D0">
            <w:pPr>
              <w:pStyle w:val="Tablicadanerodek"/>
              <w:spacing w:before="0" w:after="0" w:line="240" w:lineRule="auto"/>
              <w:rPr>
                <w:lang w:val="en-GB"/>
              </w:rPr>
            </w:pPr>
            <w:r w:rsidRPr="009358D3">
              <w:rPr>
                <w:lang w:val="en-GB"/>
              </w:rPr>
              <w:t>131</w:t>
            </w:r>
            <w:r w:rsidR="004E02D4" w:rsidRPr="009358D3">
              <w:rPr>
                <w:lang w:val="en-GB"/>
              </w:rPr>
              <w:t>.</w:t>
            </w:r>
            <w:r w:rsidRPr="009358D3">
              <w:rPr>
                <w:lang w:val="en-GB"/>
              </w:rPr>
              <w:t>7</w:t>
            </w:r>
          </w:p>
        </w:tc>
        <w:tc>
          <w:tcPr>
            <w:tcW w:w="1382" w:type="dxa"/>
            <w:shd w:val="clear" w:color="auto" w:fill="auto"/>
            <w:tcMar>
              <w:top w:w="57" w:type="dxa"/>
              <w:left w:w="102" w:type="dxa"/>
              <w:bottom w:w="57" w:type="dxa"/>
              <w:right w:w="108" w:type="dxa"/>
            </w:tcMar>
            <w:vAlign w:val="bottom"/>
            <w:hideMark/>
          </w:tcPr>
          <w:p w14:paraId="74349AF5" w14:textId="51D715C3" w:rsidR="009631AA" w:rsidRPr="009358D3" w:rsidRDefault="007C603B" w:rsidP="003200D0">
            <w:pPr>
              <w:pStyle w:val="Tablicadanerodek"/>
              <w:spacing w:before="0" w:after="0" w:line="240" w:lineRule="auto"/>
              <w:rPr>
                <w:lang w:val="en-GB"/>
              </w:rPr>
            </w:pPr>
            <w:r w:rsidRPr="009358D3">
              <w:rPr>
                <w:lang w:val="en-GB"/>
              </w:rPr>
              <w:t>14</w:t>
            </w:r>
            <w:r w:rsidR="004E02D4" w:rsidRPr="009358D3">
              <w:rPr>
                <w:lang w:val="en-GB"/>
              </w:rPr>
              <w:t>,</w:t>
            </w:r>
            <w:r w:rsidRPr="009358D3">
              <w:rPr>
                <w:lang w:val="en-GB"/>
              </w:rPr>
              <w:t>557</w:t>
            </w:r>
            <w:r w:rsidR="004E02D4" w:rsidRPr="009358D3">
              <w:rPr>
                <w:lang w:val="en-GB"/>
              </w:rPr>
              <w:t>.</w:t>
            </w:r>
            <w:r w:rsidRPr="009358D3">
              <w:rPr>
                <w:lang w:val="en-GB"/>
              </w:rPr>
              <w:t>8</w:t>
            </w:r>
          </w:p>
        </w:tc>
        <w:tc>
          <w:tcPr>
            <w:tcW w:w="1383" w:type="dxa"/>
            <w:shd w:val="clear" w:color="auto" w:fill="auto"/>
            <w:tcMar>
              <w:top w:w="57" w:type="dxa"/>
              <w:left w:w="102" w:type="dxa"/>
              <w:bottom w:w="57" w:type="dxa"/>
              <w:right w:w="108" w:type="dxa"/>
            </w:tcMar>
            <w:vAlign w:val="bottom"/>
            <w:hideMark/>
          </w:tcPr>
          <w:p w14:paraId="21298F82" w14:textId="2D4FFD92" w:rsidR="009631AA" w:rsidRPr="009358D3" w:rsidRDefault="007C603B" w:rsidP="003200D0">
            <w:pPr>
              <w:pStyle w:val="Tablicadanerodek"/>
              <w:spacing w:before="0" w:after="0" w:line="240" w:lineRule="auto"/>
              <w:rPr>
                <w:lang w:val="en-GB"/>
              </w:rPr>
            </w:pPr>
            <w:r w:rsidRPr="009358D3">
              <w:rPr>
                <w:lang w:val="en-GB"/>
              </w:rPr>
              <w:t>14</w:t>
            </w:r>
            <w:r w:rsidR="004E02D4" w:rsidRPr="009358D3">
              <w:rPr>
                <w:lang w:val="en-GB"/>
              </w:rPr>
              <w:t>,</w:t>
            </w:r>
            <w:r w:rsidRPr="009358D3">
              <w:rPr>
                <w:lang w:val="en-GB"/>
              </w:rPr>
              <w:t>407</w:t>
            </w:r>
            <w:r w:rsidR="004E02D4" w:rsidRPr="009358D3">
              <w:rPr>
                <w:lang w:val="en-GB"/>
              </w:rPr>
              <w:t>.</w:t>
            </w:r>
            <w:r w:rsidRPr="009358D3">
              <w:rPr>
                <w:lang w:val="en-GB"/>
              </w:rPr>
              <w:t>1</w:t>
            </w:r>
          </w:p>
        </w:tc>
      </w:tr>
      <w:tr w:rsidR="006D4224" w:rsidRPr="009358D3" w14:paraId="7311B920" w14:textId="77777777" w:rsidTr="00757A13">
        <w:trPr>
          <w:trHeight w:val="227"/>
        </w:trPr>
        <w:tc>
          <w:tcPr>
            <w:tcW w:w="2268" w:type="dxa"/>
            <w:vAlign w:val="center"/>
            <w:hideMark/>
          </w:tcPr>
          <w:p w14:paraId="28A9A7FE" w14:textId="2F78764C" w:rsidR="006D4224" w:rsidRPr="009358D3" w:rsidRDefault="0014717A" w:rsidP="00B0418A">
            <w:pPr>
              <w:pStyle w:val="Tablicaboczek"/>
              <w:spacing w:before="0" w:after="0" w:line="240" w:lineRule="auto"/>
              <w:ind w:left="318" w:hanging="142"/>
              <w:rPr>
                <w:rFonts w:cs="Fira Sans"/>
                <w:spacing w:val="-1"/>
                <w:lang w:val="en-GB"/>
              </w:rPr>
            </w:pPr>
            <w:r w:rsidRPr="009358D3">
              <w:rPr>
                <w:color w:val="000000" w:themeColor="text1"/>
                <w:lang w:val="en-GB"/>
              </w:rPr>
              <w:t>Arts and crafts</w:t>
            </w:r>
          </w:p>
        </w:tc>
        <w:tc>
          <w:tcPr>
            <w:tcW w:w="1382" w:type="dxa"/>
            <w:tcMar>
              <w:top w:w="57" w:type="dxa"/>
              <w:left w:w="102" w:type="dxa"/>
              <w:bottom w:w="57" w:type="dxa"/>
              <w:right w:w="108" w:type="dxa"/>
            </w:tcMar>
            <w:vAlign w:val="bottom"/>
            <w:hideMark/>
          </w:tcPr>
          <w:p w14:paraId="0F9E7C17" w14:textId="4A5C5E25" w:rsidR="009631AA" w:rsidRPr="009358D3" w:rsidRDefault="0010016A" w:rsidP="00AD0926">
            <w:pPr>
              <w:pStyle w:val="Tablicadanerodek"/>
              <w:spacing w:before="0" w:after="0" w:line="240" w:lineRule="auto"/>
              <w:rPr>
                <w:lang w:val="en-GB"/>
              </w:rPr>
            </w:pPr>
            <w:r w:rsidRPr="009358D3">
              <w:rPr>
                <w:lang w:val="en-GB"/>
              </w:rPr>
              <w:t>1</w:t>
            </w:r>
            <w:r w:rsidR="004E02D4" w:rsidRPr="009358D3">
              <w:rPr>
                <w:lang w:val="en-GB"/>
              </w:rPr>
              <w:t>.</w:t>
            </w:r>
            <w:r w:rsidRPr="009358D3">
              <w:rPr>
                <w:lang w:val="en-GB"/>
              </w:rPr>
              <w:t>1</w:t>
            </w:r>
          </w:p>
        </w:tc>
        <w:tc>
          <w:tcPr>
            <w:tcW w:w="1382" w:type="dxa"/>
            <w:tcMar>
              <w:top w:w="57" w:type="dxa"/>
              <w:left w:w="102" w:type="dxa"/>
              <w:bottom w:w="57" w:type="dxa"/>
              <w:right w:w="108" w:type="dxa"/>
            </w:tcMar>
            <w:vAlign w:val="bottom"/>
            <w:hideMark/>
          </w:tcPr>
          <w:p w14:paraId="4E0B3667" w14:textId="3D1D959D" w:rsidR="009631AA" w:rsidRPr="009358D3" w:rsidRDefault="00ED4705" w:rsidP="009978BD">
            <w:pPr>
              <w:pStyle w:val="Tablicadanerodek"/>
              <w:spacing w:before="0" w:after="0" w:line="240" w:lineRule="auto"/>
              <w:rPr>
                <w:lang w:val="en-GB"/>
              </w:rPr>
            </w:pPr>
            <w:r w:rsidRPr="009358D3">
              <w:rPr>
                <w:lang w:val="en-GB"/>
              </w:rPr>
              <w:t>0</w:t>
            </w:r>
            <w:r w:rsidR="004E02D4" w:rsidRPr="009358D3">
              <w:rPr>
                <w:lang w:val="en-GB"/>
              </w:rPr>
              <w:t>.</w:t>
            </w:r>
            <w:r w:rsidRPr="009358D3">
              <w:rPr>
                <w:lang w:val="en-GB"/>
              </w:rPr>
              <w:t>9</w:t>
            </w:r>
          </w:p>
        </w:tc>
        <w:tc>
          <w:tcPr>
            <w:tcW w:w="1382" w:type="dxa"/>
            <w:shd w:val="clear" w:color="auto" w:fill="auto"/>
            <w:tcMar>
              <w:top w:w="57" w:type="dxa"/>
              <w:left w:w="102" w:type="dxa"/>
              <w:bottom w:w="57" w:type="dxa"/>
              <w:right w:w="108" w:type="dxa"/>
            </w:tcMar>
            <w:vAlign w:val="bottom"/>
            <w:hideMark/>
          </w:tcPr>
          <w:p w14:paraId="1F32E22A" w14:textId="77777777" w:rsidR="006D4224" w:rsidRPr="009358D3" w:rsidRDefault="006D4224" w:rsidP="009978BD">
            <w:pPr>
              <w:pStyle w:val="Tablicadanerodek"/>
              <w:spacing w:before="0" w:after="0" w:line="240" w:lineRule="auto"/>
              <w:rPr>
                <w:lang w:val="en-GB"/>
              </w:rPr>
            </w:pPr>
            <w:r w:rsidRPr="009358D3">
              <w:rPr>
                <w:lang w:val="en-GB"/>
              </w:rPr>
              <w:t>–</w:t>
            </w:r>
          </w:p>
        </w:tc>
        <w:tc>
          <w:tcPr>
            <w:tcW w:w="1383" w:type="dxa"/>
            <w:shd w:val="clear" w:color="auto" w:fill="auto"/>
            <w:tcMar>
              <w:top w:w="57" w:type="dxa"/>
              <w:left w:w="102" w:type="dxa"/>
              <w:bottom w:w="57" w:type="dxa"/>
              <w:right w:w="108" w:type="dxa"/>
            </w:tcMar>
            <w:vAlign w:val="bottom"/>
            <w:hideMark/>
          </w:tcPr>
          <w:p w14:paraId="7E1B2970" w14:textId="77777777" w:rsidR="006D4224" w:rsidRPr="009358D3" w:rsidRDefault="006D4224" w:rsidP="009978BD">
            <w:pPr>
              <w:pStyle w:val="Tablicadanerodek"/>
              <w:spacing w:before="0" w:after="0" w:line="240" w:lineRule="auto"/>
              <w:rPr>
                <w:lang w:val="en-GB"/>
              </w:rPr>
            </w:pPr>
            <w:r w:rsidRPr="009358D3">
              <w:rPr>
                <w:lang w:val="en-GB"/>
              </w:rPr>
              <w:t>–</w:t>
            </w:r>
          </w:p>
        </w:tc>
      </w:tr>
    </w:tbl>
    <w:p w14:paraId="6C88E17E" w14:textId="77777777" w:rsidR="006B2522" w:rsidRPr="009358D3" w:rsidRDefault="006B2522" w:rsidP="006B2522">
      <w:pPr>
        <w:spacing w:before="60" w:after="0"/>
        <w:rPr>
          <w:rFonts w:eastAsia="Times New Roman" w:cs="Times New Roman"/>
          <w:sz w:val="16"/>
          <w:szCs w:val="16"/>
          <w:lang w:val="en-GB" w:eastAsia="pl-PL"/>
        </w:rPr>
      </w:pPr>
      <w:r w:rsidRPr="009358D3">
        <w:rPr>
          <w:rFonts w:eastAsia="Times New Roman" w:cs="Times New Roman"/>
          <w:sz w:val="16"/>
          <w:szCs w:val="16"/>
          <w:lang w:val="en-GB" w:eastAsia="pl-PL"/>
        </w:rPr>
        <w:t>Note: Data does not add up due to rounding.</w:t>
      </w:r>
    </w:p>
    <w:p w14:paraId="3328717E" w14:textId="0A6D65A0" w:rsidR="007A0F6C" w:rsidRPr="009358D3" w:rsidRDefault="007A0F6C" w:rsidP="003151A1">
      <w:pPr>
        <w:rPr>
          <w:rFonts w:cs="Times New Roman"/>
          <w:color w:val="0000FF"/>
          <w:u w:val="single"/>
          <w:lang w:val="en-GB"/>
        </w:rPr>
      </w:pPr>
      <w:r w:rsidRPr="009358D3">
        <w:rPr>
          <w:rFonts w:eastAsia="Times New Roman" w:cs="Times New Roman"/>
          <w:szCs w:val="19"/>
          <w:lang w:val="en-GB" w:eastAsia="pl-PL"/>
        </w:rPr>
        <w:t>Information on the data sources used and the methodological</w:t>
      </w:r>
      <w:r w:rsidR="006B2522" w:rsidRPr="009358D3">
        <w:rPr>
          <w:rFonts w:eastAsia="Times New Roman" w:cs="Times New Roman"/>
          <w:szCs w:val="19"/>
          <w:lang w:val="en-GB" w:eastAsia="pl-PL"/>
        </w:rPr>
        <w:t xml:space="preserve"> solutions used can be found in</w:t>
      </w:r>
      <w:r w:rsidRPr="009358D3">
        <w:rPr>
          <w:rFonts w:eastAsia="Times New Roman" w:cs="Times New Roman"/>
          <w:szCs w:val="19"/>
          <w:lang w:val="en-GB" w:eastAsia="pl-PL"/>
        </w:rPr>
        <w:t xml:space="preserve"> </w:t>
      </w:r>
      <w:hyperlink r:id="rId14" w:tooltip="link to publication &quot;Methodological report. Culture statistics&quot;" w:history="1">
        <w:r w:rsidR="003151A1" w:rsidRPr="009358D3">
          <w:rPr>
            <w:rStyle w:val="Hipercze"/>
            <w:rFonts w:cstheme="minorBidi"/>
            <w:lang w:val="en-GB"/>
          </w:rPr>
          <w:t>Methodological report. Culture statistics</w:t>
        </w:r>
      </w:hyperlink>
      <w:r w:rsidR="0014717A" w:rsidRPr="009358D3">
        <w:rPr>
          <w:rFonts w:eastAsia="Times New Roman" w:cs="Times New Roman"/>
          <w:szCs w:val="19"/>
          <w:lang w:val="en-GB" w:eastAsia="pl-PL"/>
        </w:rPr>
        <w:t xml:space="preserve"> </w:t>
      </w:r>
      <w:r w:rsidR="006B2522" w:rsidRPr="009358D3">
        <w:rPr>
          <w:rFonts w:eastAsia="Times New Roman" w:cs="Times New Roman"/>
          <w:szCs w:val="19"/>
          <w:lang w:val="en-GB" w:eastAsia="pl-PL"/>
        </w:rPr>
        <w:t xml:space="preserve">and the publication </w:t>
      </w:r>
      <w:hyperlink r:id="rId15" w:tooltip="link to publication &quot;Cultural and creative industries 2017–2021&quot;" w:history="1">
        <w:r w:rsidR="003151A1" w:rsidRPr="009358D3">
          <w:rPr>
            <w:rStyle w:val="Hipercze"/>
            <w:rFonts w:cstheme="minorBidi"/>
            <w:lang w:val="en-GB"/>
          </w:rPr>
          <w:t>Cultural and creative industries 2017–2021</w:t>
        </w:r>
      </w:hyperlink>
      <w:r w:rsidR="00375D07" w:rsidRPr="009358D3">
        <w:rPr>
          <w:rFonts w:eastAsia="Times New Roman" w:cs="Times New Roman"/>
          <w:i/>
          <w:szCs w:val="19"/>
          <w:lang w:val="en-GB" w:eastAsia="pl-PL"/>
        </w:rPr>
        <w:t>.</w:t>
      </w:r>
    </w:p>
    <w:p w14:paraId="2805B56F" w14:textId="77777777" w:rsidR="0014717A" w:rsidRPr="009358D3" w:rsidRDefault="0014717A" w:rsidP="0014717A">
      <w:pPr>
        <w:suppressAutoHyphens/>
        <w:spacing w:before="480"/>
        <w:rPr>
          <w:sz w:val="18"/>
          <w:lang w:val="en-GB"/>
        </w:rPr>
        <w:sectPr w:rsidR="0014717A" w:rsidRPr="009358D3" w:rsidSect="003B18B6">
          <w:headerReference w:type="default" r:id="rId16"/>
          <w:footerReference w:type="default" r:id="rId17"/>
          <w:headerReference w:type="first" r:id="rId18"/>
          <w:footerReference w:type="first" r:id="rId19"/>
          <w:pgSz w:w="11906" w:h="16838"/>
          <w:pgMar w:top="720" w:right="3119" w:bottom="720" w:left="720" w:header="284" w:footer="283" w:gutter="0"/>
          <w:cols w:space="708"/>
          <w:titlePg/>
          <w:docGrid w:linePitch="360"/>
        </w:sectPr>
      </w:pPr>
      <w:r w:rsidRPr="009358D3">
        <w:rPr>
          <w:shd w:val="clear" w:color="auto" w:fill="FFFFFF"/>
          <w:lang w:val="en-GB"/>
        </w:rPr>
        <w:t xml:space="preserve">In </w:t>
      </w:r>
      <w:r w:rsidRPr="009358D3">
        <w:rPr>
          <w:spacing w:val="-2"/>
          <w:szCs w:val="19"/>
          <w:lang w:val="en-GB" w:eastAsia="pl-PL"/>
        </w:rPr>
        <w:t>the case of quoting data from the Statistics Poland, please provide information: "Statistics Poland data source", and in the case of publishing calculations made on data published by the Statistics Poland, please provide information: "Own study based on Statistics Poland data".</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926"/>
        <w:gridCol w:w="4927"/>
      </w:tblGrid>
      <w:tr w:rsidR="0014717A" w:rsidRPr="009358D3" w14:paraId="58BEDCB7" w14:textId="77777777" w:rsidTr="00412D3F">
        <w:trPr>
          <w:cantSplit/>
          <w:trHeight w:val="1626"/>
        </w:trPr>
        <w:tc>
          <w:tcPr>
            <w:tcW w:w="4926" w:type="dxa"/>
          </w:tcPr>
          <w:p w14:paraId="4064A734" w14:textId="68061DAC" w:rsidR="0014717A" w:rsidRPr="009358D3" w:rsidRDefault="0014717A" w:rsidP="0014717A">
            <w:pPr>
              <w:spacing w:before="0" w:after="0" w:line="276" w:lineRule="auto"/>
              <w:rPr>
                <w:rFonts w:cs="Arial"/>
                <w:sz w:val="20"/>
                <w:lang w:val="en-GB"/>
              </w:rPr>
            </w:pPr>
            <w:r w:rsidRPr="009358D3">
              <w:rPr>
                <w:rFonts w:cs="Arial"/>
                <w:sz w:val="20"/>
                <w:lang w:val="en-GB"/>
              </w:rPr>
              <w:lastRenderedPageBreak/>
              <w:t xml:space="preserve">Prepared by: </w:t>
            </w:r>
          </w:p>
          <w:p w14:paraId="706F53D9" w14:textId="77777777" w:rsidR="0014717A" w:rsidRPr="009358D3" w:rsidRDefault="0014717A" w:rsidP="0014717A">
            <w:pPr>
              <w:spacing w:before="0" w:line="276" w:lineRule="auto"/>
              <w:rPr>
                <w:b/>
                <w:color w:val="000000" w:themeColor="text1"/>
                <w:sz w:val="20"/>
                <w:szCs w:val="20"/>
                <w:lang w:val="en-GB"/>
              </w:rPr>
            </w:pPr>
            <w:r w:rsidRPr="009358D3">
              <w:rPr>
                <w:b/>
                <w:sz w:val="20"/>
                <w:szCs w:val="20"/>
                <w:lang w:val="en-GB"/>
              </w:rPr>
              <w:t>Statistical Office in Krakow</w:t>
            </w:r>
          </w:p>
          <w:p w14:paraId="79F0A37D" w14:textId="77777777" w:rsidR="0014717A" w:rsidRPr="009358D3" w:rsidRDefault="0014717A" w:rsidP="0014717A">
            <w:pPr>
              <w:spacing w:before="0" w:after="0" w:line="276" w:lineRule="auto"/>
              <w:rPr>
                <w:b/>
                <w:sz w:val="20"/>
                <w:szCs w:val="20"/>
                <w:lang w:val="en-GB"/>
              </w:rPr>
            </w:pPr>
            <w:r w:rsidRPr="009358D3">
              <w:rPr>
                <w:b/>
                <w:sz w:val="20"/>
                <w:szCs w:val="20"/>
                <w:lang w:val="en-GB"/>
              </w:rPr>
              <w:t>Director Agnieszka Szlubowska</w:t>
            </w:r>
          </w:p>
          <w:p w14:paraId="3A0D79EC" w14:textId="67A540C7" w:rsidR="0014717A" w:rsidRPr="009358D3" w:rsidRDefault="0014717A" w:rsidP="0014717A">
            <w:pPr>
              <w:spacing w:before="0" w:line="276" w:lineRule="auto"/>
              <w:rPr>
                <w:rFonts w:cs="Arial"/>
                <w:color w:val="000000" w:themeColor="text1"/>
                <w:lang w:val="en-GB"/>
              </w:rPr>
            </w:pPr>
            <w:r w:rsidRPr="009358D3">
              <w:rPr>
                <w:sz w:val="20"/>
                <w:lang w:val="en-GB"/>
              </w:rPr>
              <w:t xml:space="preserve">Phone: (+48 </w:t>
            </w:r>
            <w:hyperlink r:id="rId20" w:tooltip="zadzwoń" w:history="1">
              <w:r w:rsidRPr="009358D3">
                <w:rPr>
                  <w:rStyle w:val="Hipercze"/>
                  <w:color w:val="000000" w:themeColor="text1"/>
                  <w:sz w:val="20"/>
                  <w:u w:val="none"/>
                  <w:lang w:val="en-GB"/>
                </w:rPr>
                <w:t>12) 420 40 50</w:t>
              </w:r>
            </w:hyperlink>
          </w:p>
        </w:tc>
        <w:tc>
          <w:tcPr>
            <w:tcW w:w="4927" w:type="dxa"/>
          </w:tcPr>
          <w:p w14:paraId="7129E595" w14:textId="77777777" w:rsidR="0014717A" w:rsidRPr="009358D3" w:rsidRDefault="0014717A" w:rsidP="0014717A">
            <w:pPr>
              <w:spacing w:before="0" w:after="0" w:line="276" w:lineRule="auto"/>
              <w:rPr>
                <w:rFonts w:cs="Arial"/>
                <w:sz w:val="20"/>
                <w:lang w:val="en-GB"/>
              </w:rPr>
            </w:pPr>
            <w:r w:rsidRPr="009358D3">
              <w:rPr>
                <w:rFonts w:cs="Arial"/>
                <w:sz w:val="20"/>
                <w:lang w:val="en-GB"/>
              </w:rPr>
              <w:t>Issued by:</w:t>
            </w:r>
          </w:p>
          <w:p w14:paraId="237FBA1C" w14:textId="77777777" w:rsidR="00D955A0" w:rsidRPr="009358D3" w:rsidRDefault="00D955A0" w:rsidP="00D955A0">
            <w:pPr>
              <w:spacing w:before="0"/>
              <w:rPr>
                <w:b/>
                <w:sz w:val="20"/>
                <w:szCs w:val="20"/>
                <w:lang w:val="en-GB"/>
              </w:rPr>
            </w:pPr>
            <w:r w:rsidRPr="009358D3">
              <w:rPr>
                <w:b/>
                <w:sz w:val="20"/>
                <w:szCs w:val="20"/>
                <w:lang w:val="en-GB"/>
              </w:rPr>
              <w:t>Press Office</w:t>
            </w:r>
          </w:p>
          <w:p w14:paraId="76138BF3" w14:textId="77777777" w:rsidR="00D955A0" w:rsidRPr="009358D3" w:rsidRDefault="00D955A0" w:rsidP="00D955A0">
            <w:pPr>
              <w:rPr>
                <w:sz w:val="20"/>
                <w:szCs w:val="20"/>
                <w:lang w:val="en-GB"/>
              </w:rPr>
            </w:pPr>
            <w:r w:rsidRPr="009358D3">
              <w:rPr>
                <w:sz w:val="20"/>
                <w:szCs w:val="20"/>
                <w:lang w:val="en-GB"/>
              </w:rPr>
              <w:t>Mobile: (+48) 695 255 032</w:t>
            </w:r>
          </w:p>
          <w:p w14:paraId="66ECE9ED" w14:textId="77777777" w:rsidR="00D955A0" w:rsidRPr="009358D3" w:rsidRDefault="00D955A0" w:rsidP="00D955A0">
            <w:pPr>
              <w:spacing w:after="0"/>
              <w:rPr>
                <w:sz w:val="20"/>
                <w:szCs w:val="20"/>
                <w:lang w:val="en-GB"/>
              </w:rPr>
            </w:pPr>
            <w:r w:rsidRPr="009358D3">
              <w:rPr>
                <w:sz w:val="20"/>
                <w:szCs w:val="20"/>
                <w:lang w:val="en-GB"/>
              </w:rPr>
              <w:t xml:space="preserve">Phone: (+48 22) 608 38 04, (+48 22) 449 41 45, </w:t>
            </w:r>
          </w:p>
          <w:p w14:paraId="29D724A8" w14:textId="77777777" w:rsidR="00D955A0" w:rsidRPr="009358D3" w:rsidRDefault="00D955A0" w:rsidP="00D955A0">
            <w:pPr>
              <w:spacing w:before="0"/>
              <w:ind w:left="680"/>
              <w:rPr>
                <w:sz w:val="20"/>
                <w:szCs w:val="20"/>
                <w:lang w:val="en-GB"/>
              </w:rPr>
            </w:pPr>
            <w:r w:rsidRPr="009358D3">
              <w:rPr>
                <w:sz w:val="20"/>
                <w:szCs w:val="20"/>
                <w:lang w:val="en-GB"/>
              </w:rPr>
              <w:t xml:space="preserve">(+48 22) 608 30 09 </w:t>
            </w:r>
          </w:p>
          <w:p w14:paraId="19A0C589" w14:textId="5CBF4BC2" w:rsidR="0014717A" w:rsidRPr="009358D3" w:rsidRDefault="00D955A0" w:rsidP="00D955A0">
            <w:pPr>
              <w:spacing w:before="0"/>
              <w:rPr>
                <w:rFonts w:eastAsiaTheme="majorEastAsia" w:cs="Arial"/>
                <w:b/>
                <w:sz w:val="20"/>
                <w:szCs w:val="20"/>
                <w:lang w:val="en-GB"/>
              </w:rPr>
            </w:pPr>
            <w:r w:rsidRPr="009358D3">
              <w:rPr>
                <w:b/>
                <w:sz w:val="20"/>
                <w:szCs w:val="20"/>
                <w:lang w:val="en-GB"/>
              </w:rPr>
              <w:t>e-mail</w:t>
            </w:r>
            <w:r w:rsidRPr="00D41ED6">
              <w:rPr>
                <w:b/>
                <w:color w:val="000000" w:themeColor="text1"/>
                <w:sz w:val="20"/>
                <w:szCs w:val="20"/>
                <w:lang w:val="en-GB"/>
              </w:rPr>
              <w:t>:</w:t>
            </w:r>
            <w:r w:rsidRPr="00D41ED6">
              <w:rPr>
                <w:color w:val="000000" w:themeColor="text1"/>
                <w:sz w:val="20"/>
                <w:szCs w:val="20"/>
                <w:lang w:val="en-GB"/>
              </w:rPr>
              <w:t xml:space="preserve"> </w:t>
            </w:r>
            <w:hyperlink r:id="rId21" w:history="1">
              <w:r w:rsidRPr="00D41ED6">
                <w:rPr>
                  <w:rStyle w:val="Hipercze"/>
                  <w:rFonts w:eastAsiaTheme="majorEastAsia" w:cs="Arial"/>
                  <w:b/>
                  <w:color w:val="000000" w:themeColor="text1"/>
                  <w:sz w:val="20"/>
                  <w:szCs w:val="20"/>
                  <w:lang w:val="en-GB"/>
                </w:rPr>
                <w:t>obslugaprasowa@stat.gov.pl</w:t>
              </w:r>
            </w:hyperlink>
          </w:p>
          <w:p w14:paraId="074E0FC0" w14:textId="25A72E1D" w:rsidR="00D955A0" w:rsidRPr="009358D3" w:rsidRDefault="00D955A0" w:rsidP="00D955A0">
            <w:pPr>
              <w:spacing w:before="0"/>
              <w:rPr>
                <w:sz w:val="18"/>
                <w:highlight w:val="yellow"/>
                <w:lang w:val="en-GB"/>
              </w:rPr>
            </w:pPr>
          </w:p>
        </w:tc>
      </w:tr>
      <w:tr w:rsidR="0014717A" w:rsidRPr="009358D3" w14:paraId="7A532510" w14:textId="77777777" w:rsidTr="00412D3F">
        <w:trPr>
          <w:cantSplit/>
          <w:trHeight w:val="418"/>
        </w:trPr>
        <w:tc>
          <w:tcPr>
            <w:tcW w:w="4926" w:type="dxa"/>
            <w:vMerge w:val="restart"/>
          </w:tcPr>
          <w:p w14:paraId="7B8E4EC2" w14:textId="31CA4BC0" w:rsidR="0014717A" w:rsidRPr="009358D3" w:rsidRDefault="0014717A" w:rsidP="0014717A">
            <w:pPr>
              <w:rPr>
                <w:sz w:val="18"/>
                <w:lang w:val="en-GB"/>
              </w:rPr>
            </w:pPr>
          </w:p>
        </w:tc>
        <w:tc>
          <w:tcPr>
            <w:tcW w:w="4927" w:type="dxa"/>
            <w:vAlign w:val="center"/>
          </w:tcPr>
          <w:p w14:paraId="1D705AAB" w14:textId="7817F5C7" w:rsidR="0014717A" w:rsidRPr="00D41ED6" w:rsidRDefault="0014717A" w:rsidP="0014717A">
            <w:pPr>
              <w:ind w:firstLine="680"/>
              <w:rPr>
                <w:sz w:val="18"/>
                <w:lang w:val="en-GB"/>
              </w:rPr>
            </w:pPr>
            <w:r w:rsidRPr="00D41ED6">
              <w:rPr>
                <w:noProof/>
                <w:color w:val="000000" w:themeColor="text1"/>
                <w:sz w:val="20"/>
                <w:lang w:val="en-GB" w:eastAsia="pl-PL"/>
              </w:rPr>
              <w:drawing>
                <wp:anchor distT="0" distB="0" distL="114300" distR="114300" simplePos="0" relativeHeight="251845632" behindDoc="0" locked="0" layoutInCell="1" allowOverlap="1" wp14:anchorId="4A3CC3D6" wp14:editId="1831BBFE">
                  <wp:simplePos x="0" y="0"/>
                  <wp:positionH relativeFrom="column">
                    <wp:posOffset>78740</wp:posOffset>
                  </wp:positionH>
                  <wp:positionV relativeFrom="paragraph">
                    <wp:posOffset>21590</wp:posOffset>
                  </wp:positionV>
                  <wp:extent cx="251460" cy="251460"/>
                  <wp:effectExtent l="0" t="0" r="0" b="0"/>
                  <wp:wrapNone/>
                  <wp:docPr id="13" name="Obraz 13"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3" w:tooltip="website SO" w:history="1">
              <w:r w:rsidRPr="00D41ED6">
                <w:rPr>
                  <w:rStyle w:val="Hipercze"/>
                  <w:color w:val="000000" w:themeColor="text1"/>
                  <w:sz w:val="20"/>
                  <w:u w:val="none"/>
                  <w:lang w:val="en-GB"/>
                </w:rPr>
                <w:t>stat.gov.pl/</w:t>
              </w:r>
              <w:proofErr w:type="spellStart"/>
              <w:r w:rsidRPr="00D41ED6">
                <w:rPr>
                  <w:rStyle w:val="Hipercze"/>
                  <w:color w:val="000000" w:themeColor="text1"/>
                  <w:sz w:val="20"/>
                  <w:u w:val="none"/>
                  <w:lang w:val="en-GB"/>
                </w:rPr>
                <w:t>en</w:t>
              </w:r>
              <w:proofErr w:type="spellEnd"/>
              <w:r w:rsidRPr="00D41ED6">
                <w:rPr>
                  <w:rStyle w:val="Hipercze"/>
                  <w:color w:val="000000" w:themeColor="text1"/>
                  <w:sz w:val="20"/>
                  <w:u w:val="none"/>
                  <w:lang w:val="en-GB"/>
                </w:rPr>
                <w:t>/</w:t>
              </w:r>
            </w:hyperlink>
          </w:p>
        </w:tc>
      </w:tr>
      <w:tr w:rsidR="0014717A" w:rsidRPr="009358D3" w14:paraId="4880347E" w14:textId="77777777" w:rsidTr="00412D3F">
        <w:trPr>
          <w:cantSplit/>
          <w:trHeight w:val="418"/>
        </w:trPr>
        <w:tc>
          <w:tcPr>
            <w:tcW w:w="4926" w:type="dxa"/>
            <w:vMerge/>
          </w:tcPr>
          <w:p w14:paraId="62C1D9EF" w14:textId="77777777" w:rsidR="0014717A" w:rsidRPr="009358D3" w:rsidRDefault="0014717A" w:rsidP="0014717A">
            <w:pPr>
              <w:rPr>
                <w:b/>
                <w:sz w:val="20"/>
                <w:lang w:val="en-GB"/>
              </w:rPr>
            </w:pPr>
          </w:p>
        </w:tc>
        <w:tc>
          <w:tcPr>
            <w:tcW w:w="4927" w:type="dxa"/>
            <w:vAlign w:val="center"/>
          </w:tcPr>
          <w:p w14:paraId="41D2A13B" w14:textId="3F84EE7C" w:rsidR="0014717A" w:rsidRPr="00D41ED6" w:rsidRDefault="0014717A" w:rsidP="0014717A">
            <w:pPr>
              <w:ind w:firstLine="680"/>
              <w:rPr>
                <w:sz w:val="18"/>
                <w:lang w:val="en-GB"/>
              </w:rPr>
            </w:pPr>
            <w:r w:rsidRPr="00D41ED6">
              <w:rPr>
                <w:noProof/>
                <w:sz w:val="20"/>
                <w:lang w:val="en-GB" w:eastAsia="pl-PL"/>
              </w:rPr>
              <w:drawing>
                <wp:anchor distT="0" distB="0" distL="114300" distR="114300" simplePos="0" relativeHeight="251846656" behindDoc="0" locked="0" layoutInCell="1" allowOverlap="1" wp14:anchorId="69BDDEAA" wp14:editId="341414DF">
                  <wp:simplePos x="0" y="0"/>
                  <wp:positionH relativeFrom="column">
                    <wp:posOffset>80010</wp:posOffset>
                  </wp:positionH>
                  <wp:positionV relativeFrom="paragraph">
                    <wp:posOffset>30480</wp:posOffset>
                  </wp:positionV>
                  <wp:extent cx="251460" cy="251460"/>
                  <wp:effectExtent l="0" t="0" r="0" b="0"/>
                  <wp:wrapNone/>
                  <wp:docPr id="18" name="Obraz 18" descr="x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41ED6">
              <w:rPr>
                <w:color w:val="000000" w:themeColor="text1"/>
                <w:lang w:val="en-GB"/>
              </w:rPr>
              <w:t>@</w:t>
            </w:r>
            <w:proofErr w:type="spellStart"/>
            <w:r w:rsidR="003151A1" w:rsidRPr="00D41ED6">
              <w:rPr>
                <w:rStyle w:val="Hipercze"/>
                <w:color w:val="000000" w:themeColor="text1"/>
                <w:u w:val="none"/>
                <w:lang w:val="en-GB"/>
              </w:rPr>
              <w:fldChar w:fldCharType="begin"/>
            </w:r>
            <w:r w:rsidR="003151A1" w:rsidRPr="00D41ED6">
              <w:rPr>
                <w:rStyle w:val="Hipercze"/>
                <w:color w:val="000000" w:themeColor="text1"/>
                <w:u w:val="none"/>
                <w:lang w:val="en-GB"/>
              </w:rPr>
              <w:instrText xml:space="preserve"> HYPERLINK "https://twitter.com/StatPoland" \o "twitter" </w:instrText>
            </w:r>
            <w:r w:rsidR="003151A1" w:rsidRPr="00D41ED6">
              <w:rPr>
                <w:rStyle w:val="Hipercze"/>
                <w:color w:val="000000" w:themeColor="text1"/>
                <w:u w:val="none"/>
                <w:lang w:val="en-GB"/>
              </w:rPr>
              <w:fldChar w:fldCharType="separate"/>
            </w:r>
            <w:r w:rsidRPr="00D41ED6">
              <w:rPr>
                <w:rStyle w:val="Hipercze"/>
                <w:color w:val="000000" w:themeColor="text1"/>
                <w:u w:val="none"/>
                <w:lang w:val="en-GB"/>
              </w:rPr>
              <w:t>StatPoland</w:t>
            </w:r>
            <w:proofErr w:type="spellEnd"/>
            <w:r w:rsidR="003151A1" w:rsidRPr="00D41ED6">
              <w:rPr>
                <w:rStyle w:val="Hipercze"/>
                <w:color w:val="000000" w:themeColor="text1"/>
                <w:u w:val="none"/>
                <w:lang w:val="en-GB"/>
              </w:rPr>
              <w:fldChar w:fldCharType="end"/>
            </w:r>
          </w:p>
        </w:tc>
      </w:tr>
      <w:tr w:rsidR="0014717A" w:rsidRPr="009358D3" w14:paraId="6244D3CC" w14:textId="77777777" w:rsidTr="00412D3F">
        <w:trPr>
          <w:cantSplit/>
          <w:trHeight w:val="476"/>
        </w:trPr>
        <w:tc>
          <w:tcPr>
            <w:tcW w:w="4926" w:type="dxa"/>
            <w:vMerge/>
          </w:tcPr>
          <w:p w14:paraId="796A9A5D" w14:textId="77777777" w:rsidR="0014717A" w:rsidRPr="009358D3" w:rsidRDefault="0014717A" w:rsidP="0014717A">
            <w:pPr>
              <w:rPr>
                <w:b/>
                <w:sz w:val="20"/>
                <w:lang w:val="en-GB"/>
              </w:rPr>
            </w:pPr>
          </w:p>
        </w:tc>
        <w:tc>
          <w:tcPr>
            <w:tcW w:w="4927" w:type="dxa"/>
          </w:tcPr>
          <w:p w14:paraId="09B0E4C3" w14:textId="7B0F0B33" w:rsidR="0014717A" w:rsidRPr="00D41ED6" w:rsidRDefault="0014717A" w:rsidP="0014717A">
            <w:pPr>
              <w:ind w:firstLine="680"/>
              <w:rPr>
                <w:sz w:val="18"/>
                <w:lang w:val="en-GB"/>
              </w:rPr>
            </w:pPr>
            <w:r w:rsidRPr="00D41ED6">
              <w:rPr>
                <w:noProof/>
                <w:color w:val="000000" w:themeColor="text1"/>
                <w:sz w:val="20"/>
                <w:lang w:val="en-GB" w:eastAsia="pl-PL"/>
              </w:rPr>
              <w:drawing>
                <wp:anchor distT="0" distB="0" distL="114300" distR="114300" simplePos="0" relativeHeight="251847680" behindDoc="0" locked="0" layoutInCell="1" allowOverlap="1" wp14:anchorId="0B2DAD66" wp14:editId="7261E975">
                  <wp:simplePos x="0" y="0"/>
                  <wp:positionH relativeFrom="column">
                    <wp:posOffset>80645</wp:posOffset>
                  </wp:positionH>
                  <wp:positionV relativeFrom="paragraph">
                    <wp:posOffset>39214</wp:posOffset>
                  </wp:positionV>
                  <wp:extent cx="251460" cy="251460"/>
                  <wp:effectExtent l="0" t="0" r="0" b="0"/>
                  <wp:wrapNone/>
                  <wp:docPr id="27" name="Obraz 27"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6" w:tooltip="facebook" w:history="1">
              <w:r w:rsidRPr="00D41ED6">
                <w:rPr>
                  <w:rStyle w:val="Hipercze"/>
                  <w:color w:val="000000" w:themeColor="text1"/>
                  <w:sz w:val="20"/>
                  <w:u w:val="none"/>
                  <w:lang w:val="en-GB"/>
                </w:rPr>
                <w:t>@</w:t>
              </w:r>
              <w:proofErr w:type="spellStart"/>
              <w:r w:rsidRPr="00D41ED6">
                <w:rPr>
                  <w:rStyle w:val="Hipercze"/>
                  <w:color w:val="000000" w:themeColor="text1"/>
                  <w:sz w:val="20"/>
                  <w:u w:val="none"/>
                  <w:lang w:val="en-GB"/>
                </w:rPr>
                <w:t>GlownyUrzadStatystyczny</w:t>
              </w:r>
              <w:proofErr w:type="spellEnd"/>
            </w:hyperlink>
            <w:r w:rsidRPr="00D41ED6">
              <w:rPr>
                <w:noProof/>
                <w:color w:val="000000" w:themeColor="text1"/>
                <w:sz w:val="20"/>
                <w:lang w:val="en-GB" w:eastAsia="pl-PL"/>
              </w:rPr>
              <w:t xml:space="preserve"> </w:t>
            </w:r>
          </w:p>
        </w:tc>
      </w:tr>
      <w:tr w:rsidR="0014717A" w:rsidRPr="009358D3" w14:paraId="2008B9E7" w14:textId="77777777" w:rsidTr="00412D3F">
        <w:trPr>
          <w:cantSplit/>
          <w:trHeight w:val="426"/>
        </w:trPr>
        <w:tc>
          <w:tcPr>
            <w:tcW w:w="4926" w:type="dxa"/>
            <w:vMerge/>
          </w:tcPr>
          <w:p w14:paraId="057E137A" w14:textId="77777777" w:rsidR="0014717A" w:rsidRPr="009358D3" w:rsidRDefault="0014717A" w:rsidP="0014717A">
            <w:pPr>
              <w:rPr>
                <w:b/>
                <w:sz w:val="20"/>
                <w:lang w:val="en-GB"/>
              </w:rPr>
            </w:pPr>
          </w:p>
        </w:tc>
        <w:tc>
          <w:tcPr>
            <w:tcW w:w="4927" w:type="dxa"/>
          </w:tcPr>
          <w:p w14:paraId="50BDE50B" w14:textId="6CECA392" w:rsidR="0014717A" w:rsidRPr="00D41ED6" w:rsidRDefault="0014717A" w:rsidP="0014717A">
            <w:pPr>
              <w:ind w:firstLine="680"/>
              <w:rPr>
                <w:noProof/>
                <w:sz w:val="20"/>
                <w:lang w:val="en-GB" w:eastAsia="pl-PL"/>
              </w:rPr>
            </w:pPr>
            <w:r w:rsidRPr="00D41ED6">
              <w:rPr>
                <w:noProof/>
                <w:color w:val="000000" w:themeColor="text1"/>
                <w:sz w:val="20"/>
                <w:lang w:val="en-GB" w:eastAsia="pl-PL"/>
              </w:rPr>
              <w:drawing>
                <wp:anchor distT="0" distB="0" distL="114300" distR="114300" simplePos="0" relativeHeight="251848704" behindDoc="0" locked="0" layoutInCell="1" allowOverlap="1" wp14:anchorId="4D4BFD31" wp14:editId="773D2307">
                  <wp:simplePos x="0" y="0"/>
                  <wp:positionH relativeFrom="column">
                    <wp:posOffset>82550</wp:posOffset>
                  </wp:positionH>
                  <wp:positionV relativeFrom="paragraph">
                    <wp:posOffset>37944</wp:posOffset>
                  </wp:positionV>
                  <wp:extent cx="251460" cy="251460"/>
                  <wp:effectExtent l="0" t="0" r="0" b="0"/>
                  <wp:wrapNone/>
                  <wp:docPr id="28" name="Obraz 28" descr="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8" w:tooltip="intagram GUS" w:history="1">
              <w:proofErr w:type="spellStart"/>
              <w:r w:rsidRPr="00D41ED6">
                <w:rPr>
                  <w:rStyle w:val="Hipercze"/>
                  <w:color w:val="000000" w:themeColor="text1"/>
                  <w:sz w:val="20"/>
                  <w:u w:val="none"/>
                  <w:lang w:val="en-GB"/>
                </w:rPr>
                <w:t>gus_stat</w:t>
              </w:r>
              <w:proofErr w:type="spellEnd"/>
            </w:hyperlink>
          </w:p>
        </w:tc>
      </w:tr>
      <w:tr w:rsidR="0014717A" w:rsidRPr="009358D3" w14:paraId="17F3C851" w14:textId="77777777" w:rsidTr="00412D3F">
        <w:trPr>
          <w:cantSplit/>
          <w:trHeight w:val="504"/>
        </w:trPr>
        <w:tc>
          <w:tcPr>
            <w:tcW w:w="4926" w:type="dxa"/>
            <w:vMerge/>
          </w:tcPr>
          <w:p w14:paraId="09D0A3C5" w14:textId="77777777" w:rsidR="0014717A" w:rsidRPr="009358D3" w:rsidRDefault="0014717A" w:rsidP="0014717A">
            <w:pPr>
              <w:rPr>
                <w:b/>
                <w:sz w:val="20"/>
                <w:lang w:val="en-GB"/>
              </w:rPr>
            </w:pPr>
          </w:p>
        </w:tc>
        <w:tc>
          <w:tcPr>
            <w:tcW w:w="4927" w:type="dxa"/>
          </w:tcPr>
          <w:p w14:paraId="24276FAB" w14:textId="64A3DF8B" w:rsidR="0014717A" w:rsidRPr="00D41ED6" w:rsidRDefault="0014717A" w:rsidP="0014717A">
            <w:pPr>
              <w:ind w:firstLine="680"/>
              <w:rPr>
                <w:noProof/>
                <w:sz w:val="20"/>
                <w:lang w:val="en-GB" w:eastAsia="pl-PL"/>
              </w:rPr>
            </w:pPr>
            <w:r w:rsidRPr="00D41ED6">
              <w:rPr>
                <w:noProof/>
                <w:color w:val="000000" w:themeColor="text1"/>
                <w:sz w:val="20"/>
                <w:lang w:val="en-GB" w:eastAsia="pl-PL"/>
              </w:rPr>
              <w:drawing>
                <wp:anchor distT="0" distB="0" distL="114300" distR="114300" simplePos="0" relativeHeight="251849728" behindDoc="0" locked="0" layoutInCell="1" allowOverlap="1" wp14:anchorId="7DC3B753" wp14:editId="585CF791">
                  <wp:simplePos x="0" y="0"/>
                  <wp:positionH relativeFrom="column">
                    <wp:posOffset>82550</wp:posOffset>
                  </wp:positionH>
                  <wp:positionV relativeFrom="paragraph">
                    <wp:posOffset>47629</wp:posOffset>
                  </wp:positionV>
                  <wp:extent cx="251460" cy="251460"/>
                  <wp:effectExtent l="0" t="0" r="0" b="0"/>
                  <wp:wrapNone/>
                  <wp:docPr id="30" name="Obraz 30"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30" w:tooltip="youtube GUS" w:history="1">
              <w:proofErr w:type="spellStart"/>
              <w:r w:rsidRPr="00D41ED6">
                <w:rPr>
                  <w:rStyle w:val="Hipercze"/>
                  <w:color w:val="000000" w:themeColor="text1"/>
                  <w:sz w:val="20"/>
                  <w:u w:val="none"/>
                  <w:lang w:val="en-GB"/>
                </w:rPr>
                <w:t>glownyurzadstatystycznygus</w:t>
              </w:r>
              <w:proofErr w:type="spellEnd"/>
            </w:hyperlink>
          </w:p>
        </w:tc>
      </w:tr>
      <w:tr w:rsidR="0014717A" w:rsidRPr="009358D3" w14:paraId="7056FFE8" w14:textId="77777777" w:rsidTr="00412D3F">
        <w:trPr>
          <w:cantSplit/>
          <w:trHeight w:val="1546"/>
        </w:trPr>
        <w:tc>
          <w:tcPr>
            <w:tcW w:w="4926" w:type="dxa"/>
            <w:vMerge/>
          </w:tcPr>
          <w:p w14:paraId="7E58930E" w14:textId="77777777" w:rsidR="0014717A" w:rsidRPr="009358D3" w:rsidRDefault="0014717A" w:rsidP="0014717A">
            <w:pPr>
              <w:rPr>
                <w:b/>
                <w:sz w:val="20"/>
                <w:lang w:val="en-GB"/>
              </w:rPr>
            </w:pPr>
          </w:p>
        </w:tc>
        <w:tc>
          <w:tcPr>
            <w:tcW w:w="4927" w:type="dxa"/>
          </w:tcPr>
          <w:p w14:paraId="270E72CE" w14:textId="674BB23E" w:rsidR="0014717A" w:rsidRPr="00D41ED6" w:rsidRDefault="00A61468" w:rsidP="0014717A">
            <w:pPr>
              <w:ind w:firstLine="680"/>
              <w:rPr>
                <w:noProof/>
                <w:sz w:val="20"/>
                <w:lang w:val="en-GB" w:eastAsia="pl-PL"/>
              </w:rPr>
            </w:pPr>
            <w:hyperlink r:id="rId31" w:tooltip="linkedin GUS" w:history="1">
              <w:r w:rsidR="0014717A" w:rsidRPr="00D41ED6">
                <w:rPr>
                  <w:rStyle w:val="Hipercze"/>
                  <w:noProof/>
                  <w:color w:val="000000" w:themeColor="text1"/>
                  <w:sz w:val="20"/>
                  <w:u w:val="none"/>
                  <w:lang w:val="en-GB" w:eastAsia="pl-PL"/>
                </w:rPr>
                <w:t>glownyurzadstatystyczny</w:t>
              </w:r>
              <w:r w:rsidR="0014717A" w:rsidRPr="00D41ED6">
                <w:rPr>
                  <w:rStyle w:val="Hipercze"/>
                  <w:noProof/>
                  <w:color w:val="000000" w:themeColor="text1"/>
                  <w:sz w:val="20"/>
                  <w:u w:val="none"/>
                  <w:lang w:val="en-GB" w:eastAsia="pl-PL"/>
                </w:rPr>
                <w:drawing>
                  <wp:anchor distT="0" distB="0" distL="114300" distR="114300" simplePos="0" relativeHeight="251850752" behindDoc="0" locked="0" layoutInCell="1" allowOverlap="1" wp14:anchorId="5E01D136" wp14:editId="06C3DE03">
                    <wp:simplePos x="0" y="0"/>
                    <wp:positionH relativeFrom="column">
                      <wp:posOffset>82550</wp:posOffset>
                    </wp:positionH>
                    <wp:positionV relativeFrom="paragraph">
                      <wp:posOffset>15240</wp:posOffset>
                    </wp:positionV>
                    <wp:extent cx="251460" cy="251460"/>
                    <wp:effectExtent l="0" t="0" r="0" b="0"/>
                    <wp:wrapNone/>
                    <wp:docPr id="31" name="Obraz 31" descr="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w:p>
        </w:tc>
      </w:tr>
      <w:tr w:rsidR="00863791" w:rsidRPr="009358D3" w14:paraId="4BF9499D" w14:textId="77777777" w:rsidTr="00412D3F">
        <w:trPr>
          <w:cantSplit/>
          <w:trHeight w:val="2700"/>
        </w:trPr>
        <w:tc>
          <w:tcPr>
            <w:tcW w:w="9853" w:type="dxa"/>
            <w:gridSpan w:val="2"/>
            <w:shd w:val="clear" w:color="auto" w:fill="D9D9D9" w:themeFill="background1" w:themeFillShade="D9"/>
          </w:tcPr>
          <w:p w14:paraId="54A45487" w14:textId="511B1D89" w:rsidR="00863791" w:rsidRPr="009358D3" w:rsidRDefault="00863791" w:rsidP="00412D3F">
            <w:pPr>
              <w:shd w:val="clear" w:color="auto" w:fill="D9D9D9" w:themeFill="background1" w:themeFillShade="D9"/>
              <w:spacing w:before="360"/>
              <w:rPr>
                <w:b/>
                <w:lang w:val="en-GB"/>
              </w:rPr>
            </w:pPr>
            <w:r w:rsidRPr="009358D3">
              <w:rPr>
                <w:b/>
                <w:lang w:val="en-GB"/>
              </w:rPr>
              <w:t xml:space="preserve">Related </w:t>
            </w:r>
            <w:r w:rsidR="0014717A" w:rsidRPr="009358D3">
              <w:rPr>
                <w:b/>
                <w:lang w:val="en-GB"/>
              </w:rPr>
              <w:t>information</w:t>
            </w:r>
          </w:p>
          <w:p w14:paraId="656A8FCA" w14:textId="357C2120" w:rsidR="00102CD1" w:rsidRPr="009358D3" w:rsidRDefault="00A61468" w:rsidP="00102CD1">
            <w:pPr>
              <w:rPr>
                <w:rStyle w:val="Hipercze"/>
                <w:lang w:val="en-GB"/>
              </w:rPr>
            </w:pPr>
            <w:hyperlink r:id="rId33" w:tooltip="link to publication &quot;Cultural and creative industries 2017–2021&quot;" w:history="1">
              <w:r w:rsidR="003151A1" w:rsidRPr="009358D3">
                <w:rPr>
                  <w:rStyle w:val="Hipercze"/>
                  <w:rFonts w:cstheme="minorBidi"/>
                  <w:lang w:val="en-GB"/>
                </w:rPr>
                <w:t>Cultural and creative industries 2017–2021</w:t>
              </w:r>
            </w:hyperlink>
            <w:r w:rsidR="00102CD1" w:rsidRPr="009358D3">
              <w:rPr>
                <w:rStyle w:val="Hipercze"/>
                <w:highlight w:val="yellow"/>
                <w:lang w:val="en-GB"/>
              </w:rPr>
              <w:t xml:space="preserve"> </w:t>
            </w:r>
          </w:p>
          <w:p w14:paraId="779A51FF" w14:textId="02E2CA3F" w:rsidR="003151A1" w:rsidRPr="009358D3" w:rsidRDefault="00A61468" w:rsidP="003151A1">
            <w:pPr>
              <w:rPr>
                <w:lang w:val="en-GB"/>
              </w:rPr>
            </w:pPr>
            <w:hyperlink r:id="rId34" w:tooltip="link to publication &quot;Cultural and creative industries in 2022&quot;" w:history="1">
              <w:r w:rsidR="003151A1" w:rsidRPr="009358D3">
                <w:rPr>
                  <w:rStyle w:val="Hipercze"/>
                  <w:rFonts w:cstheme="minorBidi"/>
                  <w:lang w:val="en-GB"/>
                </w:rPr>
                <w:t>Cultural and creative industries in 2022</w:t>
              </w:r>
            </w:hyperlink>
          </w:p>
          <w:p w14:paraId="76489EF7" w14:textId="14ADE9ED" w:rsidR="003151A1" w:rsidRPr="009358D3" w:rsidRDefault="00A61468" w:rsidP="003151A1">
            <w:pPr>
              <w:rPr>
                <w:rStyle w:val="Hipercze"/>
                <w:lang w:val="en-GB"/>
              </w:rPr>
            </w:pPr>
            <w:hyperlink r:id="rId35" w:tooltip="link to publication &quot;Culture and national heritage in 2023&quot;" w:history="1">
              <w:r w:rsidR="003151A1" w:rsidRPr="009358D3">
                <w:rPr>
                  <w:rStyle w:val="Hipercze"/>
                  <w:lang w:val="en-GB"/>
                </w:rPr>
                <w:t>Culture and national heritage in 2023</w:t>
              </w:r>
            </w:hyperlink>
          </w:p>
          <w:p w14:paraId="09537654" w14:textId="137C674F" w:rsidR="00DD4738" w:rsidRPr="009358D3" w:rsidRDefault="00A61468" w:rsidP="00DD4738">
            <w:pPr>
              <w:rPr>
                <w:rFonts w:cs="Times New Roman"/>
                <w:lang w:val="en-GB"/>
              </w:rPr>
            </w:pPr>
            <w:hyperlink r:id="rId36" w:tooltip="link to publication &quot;Methodological report. Culture statistics&quot;" w:history="1">
              <w:r w:rsidR="0014717A" w:rsidRPr="009358D3">
                <w:rPr>
                  <w:rStyle w:val="Hipercze"/>
                  <w:rFonts w:cstheme="minorBidi"/>
                  <w:lang w:val="en-GB"/>
                </w:rPr>
                <w:t>Methodological report. Culture statistic</w:t>
              </w:r>
              <w:r w:rsidR="00DD4738" w:rsidRPr="009358D3">
                <w:rPr>
                  <w:rStyle w:val="Hipercze"/>
                  <w:rFonts w:cstheme="minorBidi"/>
                  <w:lang w:val="en-GB"/>
                </w:rPr>
                <w:t>s</w:t>
              </w:r>
            </w:hyperlink>
          </w:p>
          <w:p w14:paraId="356BE1C2" w14:textId="77777777" w:rsidR="0014717A" w:rsidRPr="009358D3" w:rsidRDefault="0014717A" w:rsidP="0014717A">
            <w:pPr>
              <w:shd w:val="clear" w:color="auto" w:fill="D9D9D9" w:themeFill="background1" w:themeFillShade="D9"/>
              <w:spacing w:before="360"/>
              <w:rPr>
                <w:b/>
                <w:bCs/>
                <w:color w:val="000000" w:themeColor="text1"/>
                <w:szCs w:val="24"/>
                <w:lang w:val="en-GB"/>
              </w:rPr>
            </w:pPr>
            <w:r w:rsidRPr="009358D3">
              <w:rPr>
                <w:b/>
                <w:bCs/>
                <w:color w:val="000000" w:themeColor="text1"/>
                <w:lang w:val="en-GB"/>
              </w:rPr>
              <w:t>Terms used in the official statistics</w:t>
            </w:r>
          </w:p>
          <w:p w14:paraId="2B81FC39" w14:textId="75502ED7" w:rsidR="003151A1" w:rsidRPr="009358D3" w:rsidRDefault="00A61468" w:rsidP="003151A1">
            <w:pPr>
              <w:rPr>
                <w:rStyle w:val="Hipercze"/>
                <w:rFonts w:cstheme="minorBidi"/>
                <w:lang w:val="en-GB"/>
              </w:rPr>
            </w:pPr>
            <w:hyperlink r:id="rId37" w:tooltip="link to term &quot;Exports of goods and services&quot;" w:history="1">
              <w:r w:rsidR="003151A1" w:rsidRPr="009358D3">
                <w:rPr>
                  <w:rStyle w:val="Hipercze"/>
                  <w:rFonts w:cstheme="minorBidi"/>
                  <w:lang w:val="en-GB"/>
                </w:rPr>
                <w:t>Exports of goods and services</w:t>
              </w:r>
            </w:hyperlink>
          </w:p>
          <w:p w14:paraId="34B5F1E5" w14:textId="135ABF20" w:rsidR="003151A1" w:rsidRPr="009358D3" w:rsidRDefault="00A61468" w:rsidP="003151A1">
            <w:pPr>
              <w:rPr>
                <w:rStyle w:val="Hipercze"/>
                <w:rFonts w:cstheme="minorBidi"/>
                <w:lang w:val="en-GB"/>
              </w:rPr>
            </w:pPr>
            <w:hyperlink r:id="rId38" w:tooltip="link to term &quot;Imports of goods and services&quot;" w:history="1">
              <w:r w:rsidR="003151A1" w:rsidRPr="009358D3">
                <w:rPr>
                  <w:rStyle w:val="Hipercze"/>
                  <w:rFonts w:cstheme="minorBidi"/>
                  <w:lang w:val="en-GB"/>
                </w:rPr>
                <w:t>Imports of goods and services</w:t>
              </w:r>
            </w:hyperlink>
          </w:p>
          <w:p w14:paraId="430DBA34" w14:textId="5B60E947" w:rsidR="003151A1" w:rsidRPr="009358D3" w:rsidRDefault="00A61468" w:rsidP="003151A1">
            <w:pPr>
              <w:rPr>
                <w:rStyle w:val="Hipercze"/>
                <w:rFonts w:cstheme="minorBidi"/>
                <w:lang w:val="en-GB"/>
              </w:rPr>
            </w:pPr>
            <w:hyperlink r:id="rId39" w:tooltip="link to term &quot;Total costs&quot;" w:history="1">
              <w:r w:rsidR="003151A1" w:rsidRPr="009358D3">
                <w:rPr>
                  <w:rStyle w:val="Hipercze"/>
                  <w:rFonts w:cstheme="minorBidi"/>
                  <w:lang w:val="en-GB"/>
                </w:rPr>
                <w:t>Total costs</w:t>
              </w:r>
            </w:hyperlink>
          </w:p>
          <w:p w14:paraId="00AD38D5" w14:textId="1982C701" w:rsidR="003151A1" w:rsidRPr="009358D3" w:rsidRDefault="00A61468" w:rsidP="003151A1">
            <w:pPr>
              <w:rPr>
                <w:rStyle w:val="Hipercze"/>
                <w:rFonts w:cstheme="minorBidi"/>
                <w:lang w:val="en-GB"/>
              </w:rPr>
            </w:pPr>
            <w:hyperlink r:id="rId40" w:tooltip="link to term &quot;Average monthly gross wages and salaries&quot;" w:history="1">
              <w:r w:rsidR="003151A1" w:rsidRPr="009358D3">
                <w:rPr>
                  <w:rStyle w:val="Hipercze"/>
                  <w:rFonts w:cstheme="minorBidi"/>
                  <w:lang w:val="en-GB"/>
                </w:rPr>
                <w:t>Average monthly gross wages and salaries</w:t>
              </w:r>
            </w:hyperlink>
          </w:p>
          <w:p w14:paraId="1069F1FD" w14:textId="32B34A0E" w:rsidR="003151A1" w:rsidRPr="009358D3" w:rsidRDefault="00A61468" w:rsidP="003151A1">
            <w:pPr>
              <w:rPr>
                <w:rStyle w:val="Hipercze"/>
                <w:rFonts w:cstheme="minorBidi"/>
                <w:lang w:val="en-GB"/>
              </w:rPr>
            </w:pPr>
            <w:hyperlink r:id="rId41" w:tooltip="link to term &quot;Average paid employment&quot;" w:history="1">
              <w:r w:rsidR="003151A1" w:rsidRPr="009358D3">
                <w:rPr>
                  <w:rStyle w:val="Hipercze"/>
                  <w:rFonts w:cstheme="minorBidi"/>
                  <w:lang w:val="en-GB"/>
                </w:rPr>
                <w:t>Average paid employment</w:t>
              </w:r>
            </w:hyperlink>
          </w:p>
          <w:p w14:paraId="4B7529A3" w14:textId="25367D6A" w:rsidR="003151A1" w:rsidRPr="009358D3" w:rsidRDefault="00A61468" w:rsidP="003151A1">
            <w:pPr>
              <w:rPr>
                <w:rStyle w:val="Hipercze"/>
                <w:rFonts w:cstheme="minorBidi"/>
                <w:lang w:val="en-GB"/>
              </w:rPr>
            </w:pPr>
            <w:hyperlink r:id="rId42" w:tooltip="link to term &quot;Total revenues&quot;" w:history="1">
              <w:r w:rsidR="003151A1" w:rsidRPr="009358D3">
                <w:rPr>
                  <w:rStyle w:val="Hipercze"/>
                  <w:rFonts w:cstheme="minorBidi"/>
                  <w:lang w:val="en-GB"/>
                </w:rPr>
                <w:t>Total revenues</w:t>
              </w:r>
            </w:hyperlink>
          </w:p>
          <w:p w14:paraId="68CB366E" w14:textId="61E978FD" w:rsidR="003151A1" w:rsidRPr="009358D3" w:rsidRDefault="00A61468" w:rsidP="003151A1">
            <w:pPr>
              <w:rPr>
                <w:rStyle w:val="Hipercze"/>
                <w:rFonts w:cstheme="minorBidi"/>
                <w:lang w:val="en-GB"/>
              </w:rPr>
            </w:pPr>
            <w:hyperlink r:id="rId43" w:tooltip="link to term &quot;Balance foreign trade commodity turnover&quot;" w:history="1">
              <w:r w:rsidR="003151A1" w:rsidRPr="009358D3">
                <w:rPr>
                  <w:rStyle w:val="Hipercze"/>
                  <w:rFonts w:cstheme="minorBidi"/>
                  <w:lang w:val="en-GB"/>
                </w:rPr>
                <w:t>Balance foreign trade c</w:t>
              </w:r>
              <w:bookmarkStart w:id="0" w:name="_GoBack"/>
              <w:bookmarkEnd w:id="0"/>
              <w:r w:rsidR="003151A1" w:rsidRPr="009358D3">
                <w:rPr>
                  <w:rStyle w:val="Hipercze"/>
                  <w:rFonts w:cstheme="minorBidi"/>
                  <w:lang w:val="en-GB"/>
                </w:rPr>
                <w:t>o</w:t>
              </w:r>
              <w:r w:rsidR="003151A1" w:rsidRPr="009358D3">
                <w:rPr>
                  <w:rStyle w:val="Hipercze"/>
                  <w:rFonts w:cstheme="minorBidi"/>
                  <w:lang w:val="en-GB"/>
                </w:rPr>
                <w:t>mmodity turnover</w:t>
              </w:r>
            </w:hyperlink>
          </w:p>
          <w:p w14:paraId="56F404CF" w14:textId="032AE02D" w:rsidR="003151A1" w:rsidRPr="009358D3" w:rsidRDefault="00A61468" w:rsidP="003151A1">
            <w:pPr>
              <w:rPr>
                <w:rStyle w:val="Hipercze"/>
                <w:rFonts w:cstheme="minorBidi"/>
                <w:lang w:val="en-GB"/>
              </w:rPr>
            </w:pPr>
            <w:hyperlink r:id="rId44" w:tooltip="link to term &quot;Balance of services&quot;" w:history="1">
              <w:r w:rsidR="003151A1" w:rsidRPr="009358D3">
                <w:rPr>
                  <w:rStyle w:val="Hipercze"/>
                  <w:rFonts w:cstheme="minorBidi"/>
                  <w:lang w:val="en-GB"/>
                </w:rPr>
                <w:t>Balance of services</w:t>
              </w:r>
            </w:hyperlink>
          </w:p>
          <w:p w14:paraId="6A6953C9" w14:textId="2990862E" w:rsidR="003151A1" w:rsidRPr="009358D3" w:rsidRDefault="00A61468" w:rsidP="003151A1">
            <w:pPr>
              <w:rPr>
                <w:rStyle w:val="Hipercze"/>
                <w:rFonts w:cstheme="minorBidi"/>
                <w:lang w:val="en-GB"/>
              </w:rPr>
            </w:pPr>
            <w:hyperlink r:id="rId45" w:tooltip="link to term &quot;Cost level indicator&quot;" w:history="1">
              <w:r w:rsidR="003151A1" w:rsidRPr="009358D3">
                <w:rPr>
                  <w:rStyle w:val="Hipercze"/>
                  <w:rFonts w:cstheme="minorBidi"/>
                  <w:lang w:val="en-GB"/>
                </w:rPr>
                <w:t>Cost level indicator</w:t>
              </w:r>
            </w:hyperlink>
          </w:p>
          <w:p w14:paraId="68A2E35D" w14:textId="23E35BE6" w:rsidR="00863791" w:rsidRPr="009358D3" w:rsidRDefault="00A61468" w:rsidP="00102CD1">
            <w:pPr>
              <w:rPr>
                <w:color w:val="0000FF"/>
                <w:u w:val="single"/>
                <w:lang w:val="en-GB"/>
              </w:rPr>
            </w:pPr>
            <w:hyperlink r:id="rId46" w:tooltip="link to term &quot;Gross earnings&quot;" w:history="1">
              <w:r w:rsidR="003151A1" w:rsidRPr="009358D3">
                <w:rPr>
                  <w:rStyle w:val="Hipercze"/>
                  <w:rFonts w:cstheme="minorBidi"/>
                  <w:lang w:val="en-GB"/>
                </w:rPr>
                <w:t>Gross earnings</w:t>
              </w:r>
            </w:hyperlink>
          </w:p>
        </w:tc>
      </w:tr>
    </w:tbl>
    <w:p w14:paraId="7C19EFAE" w14:textId="198BCDA9" w:rsidR="00D261A2" w:rsidRPr="009358D3" w:rsidRDefault="00D261A2" w:rsidP="00863791">
      <w:pPr>
        <w:spacing w:before="0" w:after="0" w:line="276" w:lineRule="auto"/>
        <w:rPr>
          <w:sz w:val="18"/>
          <w:lang w:val="en-GB"/>
        </w:rPr>
      </w:pPr>
    </w:p>
    <w:sectPr w:rsidR="00D261A2" w:rsidRPr="009358D3" w:rsidSect="00172B72">
      <w:headerReference w:type="default" r:id="rId47"/>
      <w:footerReference w:type="default" r:id="rId4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C79FF" w14:textId="77777777" w:rsidR="00865054" w:rsidRDefault="00865054" w:rsidP="000662E2">
      <w:pPr>
        <w:spacing w:after="0" w:line="240" w:lineRule="auto"/>
      </w:pPr>
      <w:r>
        <w:separator/>
      </w:r>
    </w:p>
  </w:endnote>
  <w:endnote w:type="continuationSeparator" w:id="0">
    <w:p w14:paraId="17029917" w14:textId="77777777" w:rsidR="00865054" w:rsidRDefault="00865054"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889568"/>
      <w:docPartObj>
        <w:docPartGallery w:val="Page Numbers (Bottom of Page)"/>
        <w:docPartUnique/>
      </w:docPartObj>
    </w:sdtPr>
    <w:sdtEndPr/>
    <w:sdtContent>
      <w:p w14:paraId="6EABEF7A" w14:textId="77777777" w:rsidR="0014717A" w:rsidRDefault="0014717A" w:rsidP="003B18B6">
        <w:pPr>
          <w:pStyle w:val="Stopka"/>
          <w:jc w:val="center"/>
        </w:pPr>
        <w:r>
          <w:fldChar w:fldCharType="begin"/>
        </w:r>
        <w:r>
          <w:instrText>PAGE   \* MERGEFORMAT</w:instrText>
        </w:r>
        <w:r>
          <w:fldChar w:fldCharType="separate"/>
        </w:r>
        <w:r w:rsidR="00147D8B">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508488"/>
      <w:docPartObj>
        <w:docPartGallery w:val="Page Numbers (Bottom of Page)"/>
        <w:docPartUnique/>
      </w:docPartObj>
    </w:sdtPr>
    <w:sdtEndPr/>
    <w:sdtContent>
      <w:p w14:paraId="72274387" w14:textId="77777777" w:rsidR="0014717A" w:rsidRDefault="0014717A" w:rsidP="003B18B6">
        <w:pPr>
          <w:pStyle w:val="Stopka"/>
          <w:jc w:val="center"/>
        </w:pPr>
        <w:r>
          <w:fldChar w:fldCharType="begin"/>
        </w:r>
        <w:r>
          <w:instrText>PAGE   \* MERGEFORMAT</w:instrText>
        </w:r>
        <w:r>
          <w:fldChar w:fldCharType="separate"/>
        </w:r>
        <w:r w:rsidR="00147D8B">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35B31BF" w14:textId="77777777" w:rsidR="003B18B6" w:rsidRDefault="003B18B6" w:rsidP="003B18B6">
        <w:pPr>
          <w:pStyle w:val="Stopka"/>
          <w:jc w:val="center"/>
        </w:pPr>
        <w:r>
          <w:fldChar w:fldCharType="begin"/>
        </w:r>
        <w:r>
          <w:instrText>PAGE   \* MERGEFORMAT</w:instrText>
        </w:r>
        <w:r>
          <w:fldChar w:fldCharType="separate"/>
        </w:r>
        <w:r w:rsidR="00147D8B">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0269F" w14:textId="77777777" w:rsidR="00865054" w:rsidRDefault="00865054" w:rsidP="000662E2">
      <w:pPr>
        <w:spacing w:after="0" w:line="240" w:lineRule="auto"/>
      </w:pPr>
      <w:r>
        <w:separator/>
      </w:r>
    </w:p>
  </w:footnote>
  <w:footnote w:type="continuationSeparator" w:id="0">
    <w:p w14:paraId="572112E5" w14:textId="77777777" w:rsidR="00865054" w:rsidRDefault="00865054" w:rsidP="000662E2">
      <w:pPr>
        <w:spacing w:after="0" w:line="240" w:lineRule="auto"/>
      </w:pPr>
      <w:r>
        <w:continuationSeparator/>
      </w:r>
    </w:p>
  </w:footnote>
  <w:footnote w:id="1">
    <w:p w14:paraId="29910AE0" w14:textId="2753C522" w:rsidR="00A846FA" w:rsidRPr="00410EFC" w:rsidRDefault="00A846FA" w:rsidP="00D41ED6">
      <w:pPr>
        <w:pStyle w:val="Przypis"/>
      </w:pPr>
      <w:r w:rsidRPr="00A846FA">
        <w:rPr>
          <w:rStyle w:val="Odwoanieprzypisudolnego"/>
          <w:sz w:val="18"/>
        </w:rPr>
        <w:footnoteRef/>
      </w:r>
      <w:r w:rsidRPr="00410EFC">
        <w:t xml:space="preserve"> </w:t>
      </w:r>
      <w:r w:rsidRPr="00D41ED6">
        <w:rPr>
          <w:spacing w:val="-2"/>
        </w:rPr>
        <w:t>Micro-enterprises – entities with 9 or fewer employees; small enterprises – entities with 10</w:t>
      </w:r>
      <w:r w:rsidR="0084019C" w:rsidRPr="00D41ED6">
        <w:rPr>
          <w:spacing w:val="-2"/>
        </w:rPr>
        <w:t>–</w:t>
      </w:r>
      <w:r w:rsidRPr="00D41ED6">
        <w:rPr>
          <w:spacing w:val="-2"/>
        </w:rPr>
        <w:t>49</w:t>
      </w:r>
      <w:r>
        <w:t xml:space="preserve"> employees</w:t>
      </w:r>
      <w:r w:rsidR="00943B77">
        <w:t>; medium</w:t>
      </w:r>
      <w:r w:rsidRPr="00A846FA">
        <w:t xml:space="preserve"> e</w:t>
      </w:r>
      <w:r>
        <w:t>nterprises – entities with 50</w:t>
      </w:r>
      <w:r w:rsidR="00174979">
        <w:t>–</w:t>
      </w:r>
      <w:r>
        <w:t>249 employees</w:t>
      </w:r>
      <w:r w:rsidRPr="00A846FA">
        <w:t xml:space="preserve">; large </w:t>
      </w:r>
      <w:r>
        <w:t>enterprises – entities with 250 or more employees</w:t>
      </w:r>
      <w:r w:rsidRPr="00A846F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5FF0A" w14:textId="77777777" w:rsidR="0014717A" w:rsidRDefault="0014717A">
    <w:pPr>
      <w:pStyle w:val="Nagwek"/>
    </w:pPr>
    <w:r>
      <w:rPr>
        <w:noProof/>
        <w:lang w:eastAsia="pl-PL"/>
      </w:rPr>
      <mc:AlternateContent>
        <mc:Choice Requires="wps">
          <w:drawing>
            <wp:anchor distT="0" distB="0" distL="114300" distR="114300" simplePos="0" relativeHeight="251679744" behindDoc="1" locked="0" layoutInCell="1" allowOverlap="1" wp14:anchorId="7FF02426" wp14:editId="3AA7C63C">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482FA5D" id="Prostokąt 6"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" fillcolor="#f2f2f2" stroked="f" strokeweight="1p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8C704" w14:textId="77777777" w:rsidR="0014717A" w:rsidRDefault="0014717A" w:rsidP="00627887">
    <w:pPr>
      <w:pStyle w:val="Nagwek"/>
      <w:spacing w:before="240" w:after="480"/>
      <w:rPr>
        <w:noProof/>
        <w:lang w:eastAsia="pl-PL"/>
      </w:rPr>
    </w:pPr>
    <w:r>
      <w:rPr>
        <w:noProof/>
        <w:lang w:eastAsia="pl-PL"/>
      </w:rPr>
      <w:drawing>
        <wp:inline distT="0" distB="0" distL="0" distR="0" wp14:anchorId="516CAC29" wp14:editId="51157BDB">
          <wp:extent cx="1867489" cy="468000"/>
          <wp:effectExtent l="0" t="0" r="0" b="8255"/>
          <wp:docPr id="26" name="Obraz 26" descr="Graphic: Logo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GUS ANG.jpg"/>
                  <pic:cNvPicPr/>
                </pic:nvPicPr>
                <pic:blipFill rotWithShape="1">
                  <a:blip r:embed="rId1" cstate="print">
                    <a:extLst>
                      <a:ext uri="{28A0092B-C50C-407E-A947-70E740481C1C}">
                        <a14:useLocalDpi xmlns:a14="http://schemas.microsoft.com/office/drawing/2010/main" val="0"/>
                      </a:ext>
                    </a:extLst>
                  </a:blip>
                  <a:srcRect l="6212" t="17959" r="5867" b="18334"/>
                  <a:stretch/>
                </pic:blipFill>
                <pic:spPr bwMode="auto">
                  <a:xfrm>
                    <a:off x="0" y="0"/>
                    <a:ext cx="1867489" cy="468000"/>
                  </a:xfrm>
                  <a:prstGeom prst="rect">
                    <a:avLst/>
                  </a:prstGeom>
                  <a:ln>
                    <a:noFill/>
                  </a:ln>
                  <a:extLst>
                    <a:ext uri="{53640926-AAD7-44D8-BBD7-CCE9431645EC}">
                      <a14:shadowObscured xmlns:a14="http://schemas.microsoft.com/office/drawing/2010/main"/>
                    </a:ext>
                  </a:extLst>
                </pic:spPr>
              </pic:pic>
            </a:graphicData>
          </a:graphic>
        </wp:inline>
      </w:drawing>
    </w:r>
    <w:r w:rsidRPr="00F37172">
      <w:rPr>
        <w:noProof/>
        <w:lang w:eastAsia="pl-PL"/>
      </w:rPr>
      <mc:AlternateContent>
        <mc:Choice Requires="wps">
          <w:drawing>
            <wp:anchor distT="45720" distB="45720" distL="114300" distR="114300" simplePos="0" relativeHeight="251680768" behindDoc="0" locked="0" layoutInCell="1" allowOverlap="1" wp14:anchorId="403D6E07" wp14:editId="1CA369C5">
              <wp:simplePos x="0" y="0"/>
              <wp:positionH relativeFrom="column">
                <wp:posOffset>5290820</wp:posOffset>
              </wp:positionH>
              <wp:positionV relativeFrom="paragraph">
                <wp:posOffset>930579</wp:posOffset>
              </wp:positionV>
              <wp:extent cx="1432293" cy="336589"/>
              <wp:effectExtent l="0" t="0" r="0" b="6350"/>
              <wp:wrapNone/>
              <wp:docPr id="17" name="Pole tekstowe 2" descr="Publication data 27.03.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E0E257C" w14:textId="1A92604A" w:rsidR="0014717A" w:rsidRPr="00A01B40" w:rsidRDefault="0014717A" w:rsidP="0057332C">
                          <w:pPr>
                            <w:pStyle w:val="Datainformacjisygnalnej"/>
                          </w:pPr>
                          <w:r>
                            <w:t>2</w:t>
                          </w:r>
                          <w:r w:rsidR="000D5874">
                            <w:t>7</w:t>
                          </w:r>
                          <w:r>
                            <w:t>.03.202</w:t>
                          </w:r>
                          <w:r w:rsidR="000D5874">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D6E07" id="_x0000_t202" coordsize="21600,21600" o:spt="202" path="m,l,21600r21600,l21600,xe">
              <v:stroke joinstyle="miter"/>
              <v:path gradientshapeok="t" o:connecttype="rect"/>
            </v:shapetype>
            <v:shape id="_x0000_s1032" type="#_x0000_t202" alt="Publication data 27.03.2025" style="position:absolute;margin-left:416.6pt;margin-top:73.25pt;width:112.8pt;height:26.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" filled="f" stroked="f">
              <v:textbox>
                <w:txbxContent>
                  <w:p w14:paraId="7E0E257C" w14:textId="1A92604A" w:rsidR="0014717A" w:rsidRPr="00A01B40" w:rsidRDefault="0014717A" w:rsidP="0057332C">
                    <w:pPr>
                      <w:pStyle w:val="Datainformacjisygnalnej"/>
                    </w:pPr>
                    <w:r>
                      <w:t>2</w:t>
                    </w:r>
                    <w:r w:rsidR="000D5874">
                      <w:t>7</w:t>
                    </w:r>
                    <w:r>
                      <w:t>.03.202</w:t>
                    </w:r>
                    <w:r w:rsidR="000D5874">
                      <w:t>5</w:t>
                    </w:r>
                  </w:p>
                </w:txbxContent>
              </v:textbox>
            </v:shape>
          </w:pict>
        </mc:Fallback>
      </mc:AlternateContent>
    </w:r>
    <w:r w:rsidRPr="00F37172">
      <w:rPr>
        <w:noProof/>
        <w:lang w:eastAsia="pl-PL"/>
      </w:rPr>
      <mc:AlternateContent>
        <mc:Choice Requires="wps">
          <w:drawing>
            <wp:anchor distT="0" distB="0" distL="114300" distR="114300" simplePos="0" relativeHeight="251678720" behindDoc="0" locked="0" layoutInCell="1" allowOverlap="1" wp14:anchorId="5DE83450" wp14:editId="302BC4B8">
              <wp:simplePos x="0" y="0"/>
              <wp:positionH relativeFrom="column">
                <wp:posOffset>5036820</wp:posOffset>
              </wp:positionH>
              <wp:positionV relativeFrom="paragraph">
                <wp:posOffset>198755</wp:posOffset>
              </wp:positionV>
              <wp:extent cx="2060575" cy="357505"/>
              <wp:effectExtent l="0" t="0" r="0" b="4445"/>
              <wp:wrapNone/>
              <wp:docPr id="20"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95DF8D" w14:textId="77777777" w:rsidR="0014717A" w:rsidRPr="003C6C8D" w:rsidRDefault="0014717A" w:rsidP="00002962">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83450" id="Schemat blokowy: opóźnienie 6" o:spid="_x0000_s1033" alt="News releases" style="position:absolute;margin-left:396.6pt;margin-top:15.65pt;width:162.25pt;height:28.1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BQIUgYAACg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2795DF8D" w14:textId="77777777" w:rsidR="0014717A" w:rsidRPr="003C6C8D" w:rsidRDefault="0014717A" w:rsidP="00002962">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77696" behindDoc="1" locked="0" layoutInCell="1" allowOverlap="1" wp14:anchorId="1A2690A7" wp14:editId="548806E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25" name="Prostokąt 25"/>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63BBF86" id="Prostokąt 25" o:spid="_x0000_s1026" style="position:absolute;margin-left:410.95pt;margin-top:40.3pt;width:147.4pt;height:1803.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" fillcolor="#f2f2f2" stroked="f" strokeweight="1pt">
              <w10:wrap type="tigh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8E4E9" w14:textId="77777777"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75pt;height:123.75pt;visibility:visible;mso-wrap-style:square" o:bullet="t">
        <v:imagedata r:id="rId1" o:title=""/>
      </v:shape>
    </w:pict>
  </w:numPicBullet>
  <w:numPicBullet w:numPicBulletId="1">
    <w:pict>
      <v:shape id="_x0000_i1027" type="#_x0000_t75" style="width:122.25pt;height:123.75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num w:numId="1">
    <w:abstractNumId w:val="4"/>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2B65"/>
    <w:rsid w:val="00003437"/>
    <w:rsid w:val="00004119"/>
    <w:rsid w:val="00006843"/>
    <w:rsid w:val="0000709F"/>
    <w:rsid w:val="00010159"/>
    <w:rsid w:val="000108B8"/>
    <w:rsid w:val="00011A62"/>
    <w:rsid w:val="000134C6"/>
    <w:rsid w:val="000137E6"/>
    <w:rsid w:val="000152F5"/>
    <w:rsid w:val="00017D53"/>
    <w:rsid w:val="00017EE0"/>
    <w:rsid w:val="00021AEB"/>
    <w:rsid w:val="00021C39"/>
    <w:rsid w:val="0002450A"/>
    <w:rsid w:val="00025AC2"/>
    <w:rsid w:val="00026804"/>
    <w:rsid w:val="000303D7"/>
    <w:rsid w:val="00033D45"/>
    <w:rsid w:val="0004433F"/>
    <w:rsid w:val="00044667"/>
    <w:rsid w:val="0004582E"/>
    <w:rsid w:val="000470AA"/>
    <w:rsid w:val="0004788F"/>
    <w:rsid w:val="000502DB"/>
    <w:rsid w:val="000512D2"/>
    <w:rsid w:val="000514D4"/>
    <w:rsid w:val="00053002"/>
    <w:rsid w:val="000564CC"/>
    <w:rsid w:val="00057CA1"/>
    <w:rsid w:val="0006112A"/>
    <w:rsid w:val="00061EF3"/>
    <w:rsid w:val="0006380D"/>
    <w:rsid w:val="000647A9"/>
    <w:rsid w:val="000662E2"/>
    <w:rsid w:val="00066883"/>
    <w:rsid w:val="00067523"/>
    <w:rsid w:val="00070202"/>
    <w:rsid w:val="00071B39"/>
    <w:rsid w:val="0007265D"/>
    <w:rsid w:val="0007301F"/>
    <w:rsid w:val="00074DD8"/>
    <w:rsid w:val="00075742"/>
    <w:rsid w:val="00075759"/>
    <w:rsid w:val="000758EC"/>
    <w:rsid w:val="00077C75"/>
    <w:rsid w:val="000806F7"/>
    <w:rsid w:val="00080C64"/>
    <w:rsid w:val="00084CB8"/>
    <w:rsid w:val="00084E2F"/>
    <w:rsid w:val="00086906"/>
    <w:rsid w:val="00092305"/>
    <w:rsid w:val="000945D2"/>
    <w:rsid w:val="00097840"/>
    <w:rsid w:val="000A13D0"/>
    <w:rsid w:val="000A16D8"/>
    <w:rsid w:val="000A2173"/>
    <w:rsid w:val="000A6F73"/>
    <w:rsid w:val="000A7BED"/>
    <w:rsid w:val="000A7C30"/>
    <w:rsid w:val="000B0727"/>
    <w:rsid w:val="000B19C5"/>
    <w:rsid w:val="000B2D7E"/>
    <w:rsid w:val="000B323E"/>
    <w:rsid w:val="000B3F66"/>
    <w:rsid w:val="000B3F99"/>
    <w:rsid w:val="000C135D"/>
    <w:rsid w:val="000C2942"/>
    <w:rsid w:val="000C4742"/>
    <w:rsid w:val="000D199B"/>
    <w:rsid w:val="000D1D43"/>
    <w:rsid w:val="000D225C"/>
    <w:rsid w:val="000D2A5C"/>
    <w:rsid w:val="000D2F00"/>
    <w:rsid w:val="000D39F0"/>
    <w:rsid w:val="000D5874"/>
    <w:rsid w:val="000D6DC5"/>
    <w:rsid w:val="000D7E5C"/>
    <w:rsid w:val="000E0918"/>
    <w:rsid w:val="000E0E59"/>
    <w:rsid w:val="000E7199"/>
    <w:rsid w:val="000E7901"/>
    <w:rsid w:val="000E79A9"/>
    <w:rsid w:val="000F2E7E"/>
    <w:rsid w:val="0010016A"/>
    <w:rsid w:val="001011C3"/>
    <w:rsid w:val="00102CD1"/>
    <w:rsid w:val="00106DA3"/>
    <w:rsid w:val="00106EE6"/>
    <w:rsid w:val="00107A55"/>
    <w:rsid w:val="00110214"/>
    <w:rsid w:val="00110D87"/>
    <w:rsid w:val="00112399"/>
    <w:rsid w:val="00114DB9"/>
    <w:rsid w:val="0011503A"/>
    <w:rsid w:val="00116087"/>
    <w:rsid w:val="00116CB5"/>
    <w:rsid w:val="00117711"/>
    <w:rsid w:val="0012282B"/>
    <w:rsid w:val="00122E88"/>
    <w:rsid w:val="0012371B"/>
    <w:rsid w:val="00123C9E"/>
    <w:rsid w:val="00124153"/>
    <w:rsid w:val="00124D80"/>
    <w:rsid w:val="00124DB2"/>
    <w:rsid w:val="00125525"/>
    <w:rsid w:val="00130296"/>
    <w:rsid w:val="00131443"/>
    <w:rsid w:val="0013144B"/>
    <w:rsid w:val="0013205B"/>
    <w:rsid w:val="00134145"/>
    <w:rsid w:val="00136736"/>
    <w:rsid w:val="00136D67"/>
    <w:rsid w:val="00137669"/>
    <w:rsid w:val="001423B6"/>
    <w:rsid w:val="00143957"/>
    <w:rsid w:val="001448A7"/>
    <w:rsid w:val="00146621"/>
    <w:rsid w:val="0014717A"/>
    <w:rsid w:val="00147D8B"/>
    <w:rsid w:val="00151077"/>
    <w:rsid w:val="00151FF1"/>
    <w:rsid w:val="00153446"/>
    <w:rsid w:val="00155514"/>
    <w:rsid w:val="0015679C"/>
    <w:rsid w:val="00156EC0"/>
    <w:rsid w:val="001610F5"/>
    <w:rsid w:val="001617E3"/>
    <w:rsid w:val="00162325"/>
    <w:rsid w:val="00163AA7"/>
    <w:rsid w:val="00163D43"/>
    <w:rsid w:val="00164743"/>
    <w:rsid w:val="00167129"/>
    <w:rsid w:val="001706EF"/>
    <w:rsid w:val="00172B72"/>
    <w:rsid w:val="00174440"/>
    <w:rsid w:val="00174979"/>
    <w:rsid w:val="00174A1D"/>
    <w:rsid w:val="00177F2B"/>
    <w:rsid w:val="00180822"/>
    <w:rsid w:val="00186385"/>
    <w:rsid w:val="001901C3"/>
    <w:rsid w:val="00192944"/>
    <w:rsid w:val="00193AA0"/>
    <w:rsid w:val="001951DA"/>
    <w:rsid w:val="00197D40"/>
    <w:rsid w:val="001A125A"/>
    <w:rsid w:val="001A1E8D"/>
    <w:rsid w:val="001A40F3"/>
    <w:rsid w:val="001A5B6F"/>
    <w:rsid w:val="001A79D8"/>
    <w:rsid w:val="001B011C"/>
    <w:rsid w:val="001B053D"/>
    <w:rsid w:val="001B1805"/>
    <w:rsid w:val="001B313A"/>
    <w:rsid w:val="001B52E0"/>
    <w:rsid w:val="001B7988"/>
    <w:rsid w:val="001C044C"/>
    <w:rsid w:val="001C147B"/>
    <w:rsid w:val="001C3269"/>
    <w:rsid w:val="001C7622"/>
    <w:rsid w:val="001D19B6"/>
    <w:rsid w:val="001D1C78"/>
    <w:rsid w:val="001D1DB4"/>
    <w:rsid w:val="001D23F1"/>
    <w:rsid w:val="001D25F9"/>
    <w:rsid w:val="001D2EEB"/>
    <w:rsid w:val="001D4695"/>
    <w:rsid w:val="001D471D"/>
    <w:rsid w:val="001D5B08"/>
    <w:rsid w:val="001D61ED"/>
    <w:rsid w:val="001D7179"/>
    <w:rsid w:val="001D7323"/>
    <w:rsid w:val="001E0386"/>
    <w:rsid w:val="001E0B4B"/>
    <w:rsid w:val="001E208F"/>
    <w:rsid w:val="001E4318"/>
    <w:rsid w:val="001E5AAA"/>
    <w:rsid w:val="001E5B2D"/>
    <w:rsid w:val="001E7BE1"/>
    <w:rsid w:val="001F1ADC"/>
    <w:rsid w:val="001F377C"/>
    <w:rsid w:val="001F3B4A"/>
    <w:rsid w:val="001F4ABF"/>
    <w:rsid w:val="001F52BD"/>
    <w:rsid w:val="001F7907"/>
    <w:rsid w:val="00200D3A"/>
    <w:rsid w:val="0020156C"/>
    <w:rsid w:val="00203905"/>
    <w:rsid w:val="00210B55"/>
    <w:rsid w:val="00212941"/>
    <w:rsid w:val="002130F5"/>
    <w:rsid w:val="002153B1"/>
    <w:rsid w:val="0021567F"/>
    <w:rsid w:val="00216634"/>
    <w:rsid w:val="00217196"/>
    <w:rsid w:val="002177A6"/>
    <w:rsid w:val="002200E0"/>
    <w:rsid w:val="00220CC4"/>
    <w:rsid w:val="002214CE"/>
    <w:rsid w:val="002238B1"/>
    <w:rsid w:val="002239FF"/>
    <w:rsid w:val="00226513"/>
    <w:rsid w:val="00231082"/>
    <w:rsid w:val="00231B77"/>
    <w:rsid w:val="00234969"/>
    <w:rsid w:val="00236532"/>
    <w:rsid w:val="0023674F"/>
    <w:rsid w:val="002376D3"/>
    <w:rsid w:val="00241963"/>
    <w:rsid w:val="00241FA7"/>
    <w:rsid w:val="00242D31"/>
    <w:rsid w:val="00243688"/>
    <w:rsid w:val="002442BD"/>
    <w:rsid w:val="00247B69"/>
    <w:rsid w:val="0025481E"/>
    <w:rsid w:val="00254AA8"/>
    <w:rsid w:val="0025534F"/>
    <w:rsid w:val="0025687D"/>
    <w:rsid w:val="002574F9"/>
    <w:rsid w:val="00260894"/>
    <w:rsid w:val="00262B61"/>
    <w:rsid w:val="00262CC6"/>
    <w:rsid w:val="00263E08"/>
    <w:rsid w:val="00264E3F"/>
    <w:rsid w:val="002669F1"/>
    <w:rsid w:val="00266DDB"/>
    <w:rsid w:val="0027180D"/>
    <w:rsid w:val="00271D23"/>
    <w:rsid w:val="00272C59"/>
    <w:rsid w:val="002738E8"/>
    <w:rsid w:val="002763E4"/>
    <w:rsid w:val="00276811"/>
    <w:rsid w:val="00277419"/>
    <w:rsid w:val="002805F5"/>
    <w:rsid w:val="00280BDF"/>
    <w:rsid w:val="00281636"/>
    <w:rsid w:val="00282699"/>
    <w:rsid w:val="00282D3D"/>
    <w:rsid w:val="0028417C"/>
    <w:rsid w:val="00285253"/>
    <w:rsid w:val="00285D02"/>
    <w:rsid w:val="00286680"/>
    <w:rsid w:val="002926DF"/>
    <w:rsid w:val="00296697"/>
    <w:rsid w:val="00297B38"/>
    <w:rsid w:val="002A1304"/>
    <w:rsid w:val="002A2E23"/>
    <w:rsid w:val="002A471E"/>
    <w:rsid w:val="002A555B"/>
    <w:rsid w:val="002A655D"/>
    <w:rsid w:val="002A65CE"/>
    <w:rsid w:val="002A770B"/>
    <w:rsid w:val="002B0472"/>
    <w:rsid w:val="002B22F4"/>
    <w:rsid w:val="002B329F"/>
    <w:rsid w:val="002B3B7F"/>
    <w:rsid w:val="002B3C0D"/>
    <w:rsid w:val="002B42D2"/>
    <w:rsid w:val="002B6282"/>
    <w:rsid w:val="002B6B12"/>
    <w:rsid w:val="002C0E53"/>
    <w:rsid w:val="002C21F0"/>
    <w:rsid w:val="002C2576"/>
    <w:rsid w:val="002C3E5F"/>
    <w:rsid w:val="002C4469"/>
    <w:rsid w:val="002C5117"/>
    <w:rsid w:val="002C70F6"/>
    <w:rsid w:val="002D01DF"/>
    <w:rsid w:val="002D2710"/>
    <w:rsid w:val="002D2B89"/>
    <w:rsid w:val="002D30C7"/>
    <w:rsid w:val="002D6769"/>
    <w:rsid w:val="002E1608"/>
    <w:rsid w:val="002E175E"/>
    <w:rsid w:val="002E229C"/>
    <w:rsid w:val="002E28CE"/>
    <w:rsid w:val="002E386D"/>
    <w:rsid w:val="002E3EB3"/>
    <w:rsid w:val="002E6140"/>
    <w:rsid w:val="002E6985"/>
    <w:rsid w:val="002E71B6"/>
    <w:rsid w:val="002F1645"/>
    <w:rsid w:val="002F20BF"/>
    <w:rsid w:val="002F246E"/>
    <w:rsid w:val="002F35F6"/>
    <w:rsid w:val="002F44E9"/>
    <w:rsid w:val="002F566E"/>
    <w:rsid w:val="002F77C8"/>
    <w:rsid w:val="00302A3F"/>
    <w:rsid w:val="00304F22"/>
    <w:rsid w:val="00306C7C"/>
    <w:rsid w:val="0031107D"/>
    <w:rsid w:val="0031242A"/>
    <w:rsid w:val="00312C74"/>
    <w:rsid w:val="003130B0"/>
    <w:rsid w:val="00314F86"/>
    <w:rsid w:val="003151A1"/>
    <w:rsid w:val="00315228"/>
    <w:rsid w:val="00315802"/>
    <w:rsid w:val="00315FB4"/>
    <w:rsid w:val="00317F4D"/>
    <w:rsid w:val="003200D0"/>
    <w:rsid w:val="0032056B"/>
    <w:rsid w:val="00321B3E"/>
    <w:rsid w:val="00322EDD"/>
    <w:rsid w:val="00323407"/>
    <w:rsid w:val="00324186"/>
    <w:rsid w:val="003260BE"/>
    <w:rsid w:val="00326A69"/>
    <w:rsid w:val="003309FA"/>
    <w:rsid w:val="00330D24"/>
    <w:rsid w:val="00332320"/>
    <w:rsid w:val="00335908"/>
    <w:rsid w:val="003412B3"/>
    <w:rsid w:val="00342D75"/>
    <w:rsid w:val="00343356"/>
    <w:rsid w:val="0034708B"/>
    <w:rsid w:val="00347D72"/>
    <w:rsid w:val="00352D7B"/>
    <w:rsid w:val="00352E86"/>
    <w:rsid w:val="00353F45"/>
    <w:rsid w:val="0035677A"/>
    <w:rsid w:val="00356B0B"/>
    <w:rsid w:val="00357611"/>
    <w:rsid w:val="003602D3"/>
    <w:rsid w:val="0036229D"/>
    <w:rsid w:val="00362A9B"/>
    <w:rsid w:val="00362D49"/>
    <w:rsid w:val="0036432A"/>
    <w:rsid w:val="00364AF9"/>
    <w:rsid w:val="00367237"/>
    <w:rsid w:val="00367273"/>
    <w:rsid w:val="003703A7"/>
    <w:rsid w:val="0037077F"/>
    <w:rsid w:val="00370C82"/>
    <w:rsid w:val="003718CD"/>
    <w:rsid w:val="00372411"/>
    <w:rsid w:val="00373882"/>
    <w:rsid w:val="00375D07"/>
    <w:rsid w:val="00377A43"/>
    <w:rsid w:val="00377AE8"/>
    <w:rsid w:val="003806A0"/>
    <w:rsid w:val="003843DB"/>
    <w:rsid w:val="00386015"/>
    <w:rsid w:val="0039064A"/>
    <w:rsid w:val="00393761"/>
    <w:rsid w:val="003946F9"/>
    <w:rsid w:val="00394E26"/>
    <w:rsid w:val="00396048"/>
    <w:rsid w:val="00396691"/>
    <w:rsid w:val="00396AAA"/>
    <w:rsid w:val="003977C8"/>
    <w:rsid w:val="00397941"/>
    <w:rsid w:val="00397D18"/>
    <w:rsid w:val="003A1B36"/>
    <w:rsid w:val="003A1FC7"/>
    <w:rsid w:val="003A2B07"/>
    <w:rsid w:val="003A52B7"/>
    <w:rsid w:val="003B1454"/>
    <w:rsid w:val="003B18B6"/>
    <w:rsid w:val="003B30E3"/>
    <w:rsid w:val="003B3863"/>
    <w:rsid w:val="003B3D4F"/>
    <w:rsid w:val="003B3D7D"/>
    <w:rsid w:val="003B3F08"/>
    <w:rsid w:val="003B42FC"/>
    <w:rsid w:val="003B54B6"/>
    <w:rsid w:val="003B668D"/>
    <w:rsid w:val="003C025A"/>
    <w:rsid w:val="003C1612"/>
    <w:rsid w:val="003C161B"/>
    <w:rsid w:val="003C3BF5"/>
    <w:rsid w:val="003C430B"/>
    <w:rsid w:val="003C529A"/>
    <w:rsid w:val="003C59E0"/>
    <w:rsid w:val="003C5CC0"/>
    <w:rsid w:val="003C66AD"/>
    <w:rsid w:val="003C6C8D"/>
    <w:rsid w:val="003C75B2"/>
    <w:rsid w:val="003D2656"/>
    <w:rsid w:val="003D4F95"/>
    <w:rsid w:val="003D5F42"/>
    <w:rsid w:val="003D60A9"/>
    <w:rsid w:val="003D727D"/>
    <w:rsid w:val="003E16FF"/>
    <w:rsid w:val="003E2E3D"/>
    <w:rsid w:val="003E4942"/>
    <w:rsid w:val="003E7028"/>
    <w:rsid w:val="003E76F6"/>
    <w:rsid w:val="003F11D0"/>
    <w:rsid w:val="003F4C97"/>
    <w:rsid w:val="003F5475"/>
    <w:rsid w:val="003F666D"/>
    <w:rsid w:val="003F7FE6"/>
    <w:rsid w:val="00400193"/>
    <w:rsid w:val="0040084E"/>
    <w:rsid w:val="00401D2E"/>
    <w:rsid w:val="00402928"/>
    <w:rsid w:val="00402C3A"/>
    <w:rsid w:val="00403EAE"/>
    <w:rsid w:val="00404EA3"/>
    <w:rsid w:val="00405FCD"/>
    <w:rsid w:val="0040688D"/>
    <w:rsid w:val="00410EFC"/>
    <w:rsid w:val="00410F71"/>
    <w:rsid w:val="00411A97"/>
    <w:rsid w:val="00416EAF"/>
    <w:rsid w:val="00420219"/>
    <w:rsid w:val="004212E7"/>
    <w:rsid w:val="00423C88"/>
    <w:rsid w:val="0042403F"/>
    <w:rsid w:val="0042446D"/>
    <w:rsid w:val="00426126"/>
    <w:rsid w:val="00427BF8"/>
    <w:rsid w:val="00431BF5"/>
    <w:rsid w:val="00431C02"/>
    <w:rsid w:val="00432EA6"/>
    <w:rsid w:val="00434FE7"/>
    <w:rsid w:val="0043510F"/>
    <w:rsid w:val="00437395"/>
    <w:rsid w:val="004377B0"/>
    <w:rsid w:val="004379D1"/>
    <w:rsid w:val="00441DCD"/>
    <w:rsid w:val="004442D0"/>
    <w:rsid w:val="00444D37"/>
    <w:rsid w:val="00445047"/>
    <w:rsid w:val="00445AA3"/>
    <w:rsid w:val="00446749"/>
    <w:rsid w:val="004469AE"/>
    <w:rsid w:val="00446D34"/>
    <w:rsid w:val="004473A5"/>
    <w:rsid w:val="004528E0"/>
    <w:rsid w:val="00453672"/>
    <w:rsid w:val="00453EB7"/>
    <w:rsid w:val="00454177"/>
    <w:rsid w:val="004565A4"/>
    <w:rsid w:val="00457427"/>
    <w:rsid w:val="00460667"/>
    <w:rsid w:val="004636B1"/>
    <w:rsid w:val="00463E39"/>
    <w:rsid w:val="004657FC"/>
    <w:rsid w:val="00466A99"/>
    <w:rsid w:val="004733F6"/>
    <w:rsid w:val="00473557"/>
    <w:rsid w:val="00474E69"/>
    <w:rsid w:val="00476043"/>
    <w:rsid w:val="00477210"/>
    <w:rsid w:val="0048136E"/>
    <w:rsid w:val="00482C3D"/>
    <w:rsid w:val="00483E9F"/>
    <w:rsid w:val="00485759"/>
    <w:rsid w:val="00485A2C"/>
    <w:rsid w:val="00491E76"/>
    <w:rsid w:val="0049246F"/>
    <w:rsid w:val="004941AD"/>
    <w:rsid w:val="004948E4"/>
    <w:rsid w:val="00494A83"/>
    <w:rsid w:val="0049621B"/>
    <w:rsid w:val="0049702C"/>
    <w:rsid w:val="004978D7"/>
    <w:rsid w:val="00497CF3"/>
    <w:rsid w:val="004A1D19"/>
    <w:rsid w:val="004A28E4"/>
    <w:rsid w:val="004A399C"/>
    <w:rsid w:val="004A4C4B"/>
    <w:rsid w:val="004A5773"/>
    <w:rsid w:val="004A5922"/>
    <w:rsid w:val="004A7125"/>
    <w:rsid w:val="004B0408"/>
    <w:rsid w:val="004B0599"/>
    <w:rsid w:val="004B56CA"/>
    <w:rsid w:val="004B678F"/>
    <w:rsid w:val="004B6CDA"/>
    <w:rsid w:val="004C1895"/>
    <w:rsid w:val="004C1D0E"/>
    <w:rsid w:val="004C3C45"/>
    <w:rsid w:val="004C6D40"/>
    <w:rsid w:val="004C7588"/>
    <w:rsid w:val="004C7FB6"/>
    <w:rsid w:val="004D06EF"/>
    <w:rsid w:val="004D2F02"/>
    <w:rsid w:val="004E02D4"/>
    <w:rsid w:val="004E28B4"/>
    <w:rsid w:val="004E3D4C"/>
    <w:rsid w:val="004E3FFD"/>
    <w:rsid w:val="004E6AA8"/>
    <w:rsid w:val="004F0C3C"/>
    <w:rsid w:val="004F0ED4"/>
    <w:rsid w:val="004F2280"/>
    <w:rsid w:val="004F23BB"/>
    <w:rsid w:val="004F3EC8"/>
    <w:rsid w:val="004F63FC"/>
    <w:rsid w:val="004F6DD2"/>
    <w:rsid w:val="005026A9"/>
    <w:rsid w:val="0050328A"/>
    <w:rsid w:val="00503E60"/>
    <w:rsid w:val="0050470B"/>
    <w:rsid w:val="00505A92"/>
    <w:rsid w:val="00505B50"/>
    <w:rsid w:val="005067F2"/>
    <w:rsid w:val="00511823"/>
    <w:rsid w:val="00511E14"/>
    <w:rsid w:val="00513768"/>
    <w:rsid w:val="00513C95"/>
    <w:rsid w:val="005203F1"/>
    <w:rsid w:val="00521A3C"/>
    <w:rsid w:val="00521BC3"/>
    <w:rsid w:val="005232C7"/>
    <w:rsid w:val="005233CF"/>
    <w:rsid w:val="00523F25"/>
    <w:rsid w:val="005244EC"/>
    <w:rsid w:val="0052656C"/>
    <w:rsid w:val="005275A5"/>
    <w:rsid w:val="00531FB0"/>
    <w:rsid w:val="00533632"/>
    <w:rsid w:val="00534013"/>
    <w:rsid w:val="0053570C"/>
    <w:rsid w:val="00540C5C"/>
    <w:rsid w:val="00541E6E"/>
    <w:rsid w:val="00542252"/>
    <w:rsid w:val="0054251F"/>
    <w:rsid w:val="00543DA2"/>
    <w:rsid w:val="00550A69"/>
    <w:rsid w:val="00551392"/>
    <w:rsid w:val="005518A8"/>
    <w:rsid w:val="005518AE"/>
    <w:rsid w:val="005520D8"/>
    <w:rsid w:val="005520F3"/>
    <w:rsid w:val="00555179"/>
    <w:rsid w:val="00555CFB"/>
    <w:rsid w:val="00556CF1"/>
    <w:rsid w:val="00556DCC"/>
    <w:rsid w:val="00557987"/>
    <w:rsid w:val="00561BAC"/>
    <w:rsid w:val="0056493F"/>
    <w:rsid w:val="00564F43"/>
    <w:rsid w:val="0056532E"/>
    <w:rsid w:val="00566194"/>
    <w:rsid w:val="0057109D"/>
    <w:rsid w:val="00571649"/>
    <w:rsid w:val="0057289C"/>
    <w:rsid w:val="00572C5C"/>
    <w:rsid w:val="0057332C"/>
    <w:rsid w:val="005734FA"/>
    <w:rsid w:val="00573991"/>
    <w:rsid w:val="005762A7"/>
    <w:rsid w:val="00585C1C"/>
    <w:rsid w:val="00586C85"/>
    <w:rsid w:val="00587688"/>
    <w:rsid w:val="005878E9"/>
    <w:rsid w:val="00587CEE"/>
    <w:rsid w:val="00590015"/>
    <w:rsid w:val="00590466"/>
    <w:rsid w:val="005916D7"/>
    <w:rsid w:val="00593C33"/>
    <w:rsid w:val="0059427F"/>
    <w:rsid w:val="00594D20"/>
    <w:rsid w:val="0059603E"/>
    <w:rsid w:val="00596BF9"/>
    <w:rsid w:val="0059780C"/>
    <w:rsid w:val="005A0812"/>
    <w:rsid w:val="005A0E54"/>
    <w:rsid w:val="005A150D"/>
    <w:rsid w:val="005A4A13"/>
    <w:rsid w:val="005A5983"/>
    <w:rsid w:val="005A698C"/>
    <w:rsid w:val="005B1F61"/>
    <w:rsid w:val="005B26E9"/>
    <w:rsid w:val="005B37C5"/>
    <w:rsid w:val="005B538E"/>
    <w:rsid w:val="005B5788"/>
    <w:rsid w:val="005B5820"/>
    <w:rsid w:val="005C0CAC"/>
    <w:rsid w:val="005C1525"/>
    <w:rsid w:val="005C3BBF"/>
    <w:rsid w:val="005C4BC5"/>
    <w:rsid w:val="005C50DF"/>
    <w:rsid w:val="005C53D2"/>
    <w:rsid w:val="005D062E"/>
    <w:rsid w:val="005D09E0"/>
    <w:rsid w:val="005D1394"/>
    <w:rsid w:val="005D1A32"/>
    <w:rsid w:val="005D3C7C"/>
    <w:rsid w:val="005D3CE9"/>
    <w:rsid w:val="005D5FF2"/>
    <w:rsid w:val="005D6955"/>
    <w:rsid w:val="005E0799"/>
    <w:rsid w:val="005E10F9"/>
    <w:rsid w:val="005E1200"/>
    <w:rsid w:val="005E1389"/>
    <w:rsid w:val="005E2CC7"/>
    <w:rsid w:val="005E49F6"/>
    <w:rsid w:val="005E5841"/>
    <w:rsid w:val="005F45D3"/>
    <w:rsid w:val="005F45EE"/>
    <w:rsid w:val="005F4A8B"/>
    <w:rsid w:val="005F5A80"/>
    <w:rsid w:val="00602091"/>
    <w:rsid w:val="006044FF"/>
    <w:rsid w:val="00607CC5"/>
    <w:rsid w:val="0061179B"/>
    <w:rsid w:val="006125F9"/>
    <w:rsid w:val="00613A59"/>
    <w:rsid w:val="00614596"/>
    <w:rsid w:val="00617B88"/>
    <w:rsid w:val="0062368A"/>
    <w:rsid w:val="006254CD"/>
    <w:rsid w:val="00627887"/>
    <w:rsid w:val="006326DD"/>
    <w:rsid w:val="00633014"/>
    <w:rsid w:val="0063437B"/>
    <w:rsid w:val="00636E2C"/>
    <w:rsid w:val="0064017E"/>
    <w:rsid w:val="00641814"/>
    <w:rsid w:val="00643272"/>
    <w:rsid w:val="00645703"/>
    <w:rsid w:val="00646D29"/>
    <w:rsid w:val="006523BA"/>
    <w:rsid w:val="0065267F"/>
    <w:rsid w:val="00652C6A"/>
    <w:rsid w:val="00652DA5"/>
    <w:rsid w:val="006530C5"/>
    <w:rsid w:val="00654BB6"/>
    <w:rsid w:val="006602BD"/>
    <w:rsid w:val="00661287"/>
    <w:rsid w:val="00663C49"/>
    <w:rsid w:val="00664FFB"/>
    <w:rsid w:val="00666100"/>
    <w:rsid w:val="006673CA"/>
    <w:rsid w:val="00667496"/>
    <w:rsid w:val="00670C24"/>
    <w:rsid w:val="00671156"/>
    <w:rsid w:val="00671D2D"/>
    <w:rsid w:val="00673C26"/>
    <w:rsid w:val="00674DE5"/>
    <w:rsid w:val="006764FF"/>
    <w:rsid w:val="0067679F"/>
    <w:rsid w:val="00677891"/>
    <w:rsid w:val="00677ACA"/>
    <w:rsid w:val="006812AF"/>
    <w:rsid w:val="0068327D"/>
    <w:rsid w:val="00687523"/>
    <w:rsid w:val="006878E9"/>
    <w:rsid w:val="00691534"/>
    <w:rsid w:val="0069194C"/>
    <w:rsid w:val="00693880"/>
    <w:rsid w:val="00694493"/>
    <w:rsid w:val="00694AF0"/>
    <w:rsid w:val="0069552C"/>
    <w:rsid w:val="00695A5C"/>
    <w:rsid w:val="00697988"/>
    <w:rsid w:val="006A03D9"/>
    <w:rsid w:val="006A0892"/>
    <w:rsid w:val="006A122D"/>
    <w:rsid w:val="006A2932"/>
    <w:rsid w:val="006A317F"/>
    <w:rsid w:val="006A4686"/>
    <w:rsid w:val="006A472D"/>
    <w:rsid w:val="006A53B2"/>
    <w:rsid w:val="006A78C6"/>
    <w:rsid w:val="006B02A3"/>
    <w:rsid w:val="006B091D"/>
    <w:rsid w:val="006B0E9E"/>
    <w:rsid w:val="006B2522"/>
    <w:rsid w:val="006B486D"/>
    <w:rsid w:val="006B5AE4"/>
    <w:rsid w:val="006B5B9D"/>
    <w:rsid w:val="006B5D32"/>
    <w:rsid w:val="006B6F33"/>
    <w:rsid w:val="006B73B9"/>
    <w:rsid w:val="006C10E2"/>
    <w:rsid w:val="006C1B76"/>
    <w:rsid w:val="006C421D"/>
    <w:rsid w:val="006C5F19"/>
    <w:rsid w:val="006D1507"/>
    <w:rsid w:val="006D167E"/>
    <w:rsid w:val="006D200B"/>
    <w:rsid w:val="006D3B6D"/>
    <w:rsid w:val="006D4054"/>
    <w:rsid w:val="006D4224"/>
    <w:rsid w:val="006D74F0"/>
    <w:rsid w:val="006E02EC"/>
    <w:rsid w:val="006E1229"/>
    <w:rsid w:val="006E23A0"/>
    <w:rsid w:val="006E2DCB"/>
    <w:rsid w:val="006E3371"/>
    <w:rsid w:val="006E3C4F"/>
    <w:rsid w:val="006E561D"/>
    <w:rsid w:val="006E5DA5"/>
    <w:rsid w:val="006E6F41"/>
    <w:rsid w:val="006E73E6"/>
    <w:rsid w:val="006F1F24"/>
    <w:rsid w:val="006F5FE9"/>
    <w:rsid w:val="006F7BE1"/>
    <w:rsid w:val="00701680"/>
    <w:rsid w:val="0070216F"/>
    <w:rsid w:val="007043DE"/>
    <w:rsid w:val="00705D19"/>
    <w:rsid w:val="0070611A"/>
    <w:rsid w:val="007106A8"/>
    <w:rsid w:val="00710F28"/>
    <w:rsid w:val="007211B1"/>
    <w:rsid w:val="007215AA"/>
    <w:rsid w:val="007244DD"/>
    <w:rsid w:val="007271C0"/>
    <w:rsid w:val="00727559"/>
    <w:rsid w:val="007277DA"/>
    <w:rsid w:val="00730795"/>
    <w:rsid w:val="00731BEB"/>
    <w:rsid w:val="00731D27"/>
    <w:rsid w:val="00733B45"/>
    <w:rsid w:val="007346B2"/>
    <w:rsid w:val="00735DDC"/>
    <w:rsid w:val="007420B7"/>
    <w:rsid w:val="007424B6"/>
    <w:rsid w:val="007440C6"/>
    <w:rsid w:val="00746187"/>
    <w:rsid w:val="00746814"/>
    <w:rsid w:val="00746B84"/>
    <w:rsid w:val="007500BD"/>
    <w:rsid w:val="00750AB8"/>
    <w:rsid w:val="00751277"/>
    <w:rsid w:val="0075387B"/>
    <w:rsid w:val="00755481"/>
    <w:rsid w:val="00755B6E"/>
    <w:rsid w:val="0075740A"/>
    <w:rsid w:val="00757A13"/>
    <w:rsid w:val="0076254F"/>
    <w:rsid w:val="0076383B"/>
    <w:rsid w:val="00763B49"/>
    <w:rsid w:val="0076410E"/>
    <w:rsid w:val="00766EE4"/>
    <w:rsid w:val="0077121F"/>
    <w:rsid w:val="00772293"/>
    <w:rsid w:val="0077314A"/>
    <w:rsid w:val="00774668"/>
    <w:rsid w:val="007751F9"/>
    <w:rsid w:val="007759D1"/>
    <w:rsid w:val="00777F70"/>
    <w:rsid w:val="007801F5"/>
    <w:rsid w:val="00780E17"/>
    <w:rsid w:val="0078339C"/>
    <w:rsid w:val="00783CA4"/>
    <w:rsid w:val="007842FB"/>
    <w:rsid w:val="00784BC7"/>
    <w:rsid w:val="00785608"/>
    <w:rsid w:val="00786124"/>
    <w:rsid w:val="00790A20"/>
    <w:rsid w:val="00791831"/>
    <w:rsid w:val="00792546"/>
    <w:rsid w:val="00792D5A"/>
    <w:rsid w:val="0079514B"/>
    <w:rsid w:val="00795252"/>
    <w:rsid w:val="00797434"/>
    <w:rsid w:val="007A00C6"/>
    <w:rsid w:val="007A0F6C"/>
    <w:rsid w:val="007A2DC1"/>
    <w:rsid w:val="007A47CA"/>
    <w:rsid w:val="007A6717"/>
    <w:rsid w:val="007B49E9"/>
    <w:rsid w:val="007B764A"/>
    <w:rsid w:val="007B7B72"/>
    <w:rsid w:val="007C0DE2"/>
    <w:rsid w:val="007C2BD5"/>
    <w:rsid w:val="007C4477"/>
    <w:rsid w:val="007C603B"/>
    <w:rsid w:val="007D0583"/>
    <w:rsid w:val="007D05A1"/>
    <w:rsid w:val="007D0869"/>
    <w:rsid w:val="007D14C4"/>
    <w:rsid w:val="007D1899"/>
    <w:rsid w:val="007D3319"/>
    <w:rsid w:val="007D335D"/>
    <w:rsid w:val="007D5DB0"/>
    <w:rsid w:val="007D605C"/>
    <w:rsid w:val="007E00CB"/>
    <w:rsid w:val="007E03F6"/>
    <w:rsid w:val="007E3314"/>
    <w:rsid w:val="007E3514"/>
    <w:rsid w:val="007E4B03"/>
    <w:rsid w:val="007E59A0"/>
    <w:rsid w:val="007E6125"/>
    <w:rsid w:val="007E6F11"/>
    <w:rsid w:val="007F0108"/>
    <w:rsid w:val="007F14B1"/>
    <w:rsid w:val="007F2BC9"/>
    <w:rsid w:val="007F324B"/>
    <w:rsid w:val="00800827"/>
    <w:rsid w:val="00805072"/>
    <w:rsid w:val="0080553C"/>
    <w:rsid w:val="0080576E"/>
    <w:rsid w:val="00805B46"/>
    <w:rsid w:val="00805DB4"/>
    <w:rsid w:val="008077CE"/>
    <w:rsid w:val="00810599"/>
    <w:rsid w:val="00811FB3"/>
    <w:rsid w:val="00814BE5"/>
    <w:rsid w:val="008170A6"/>
    <w:rsid w:val="00817DDF"/>
    <w:rsid w:val="00821B53"/>
    <w:rsid w:val="00822E90"/>
    <w:rsid w:val="00823593"/>
    <w:rsid w:val="00824EF0"/>
    <w:rsid w:val="00825C3D"/>
    <w:rsid w:val="00825DC2"/>
    <w:rsid w:val="00832CB8"/>
    <w:rsid w:val="00834AD3"/>
    <w:rsid w:val="0084019C"/>
    <w:rsid w:val="00843795"/>
    <w:rsid w:val="00843F2E"/>
    <w:rsid w:val="00846E76"/>
    <w:rsid w:val="00847F0F"/>
    <w:rsid w:val="00850FAD"/>
    <w:rsid w:val="00851428"/>
    <w:rsid w:val="00852448"/>
    <w:rsid w:val="00854AD0"/>
    <w:rsid w:val="00856629"/>
    <w:rsid w:val="00863791"/>
    <w:rsid w:val="008641DA"/>
    <w:rsid w:val="00865054"/>
    <w:rsid w:val="0086714C"/>
    <w:rsid w:val="0087097A"/>
    <w:rsid w:val="00870FA8"/>
    <w:rsid w:val="00871635"/>
    <w:rsid w:val="00871A83"/>
    <w:rsid w:val="00873E14"/>
    <w:rsid w:val="00877F6C"/>
    <w:rsid w:val="0088059E"/>
    <w:rsid w:val="00881401"/>
    <w:rsid w:val="0088258A"/>
    <w:rsid w:val="00886332"/>
    <w:rsid w:val="008867DC"/>
    <w:rsid w:val="00887A8A"/>
    <w:rsid w:val="008911E2"/>
    <w:rsid w:val="008925F0"/>
    <w:rsid w:val="00893E27"/>
    <w:rsid w:val="0089448A"/>
    <w:rsid w:val="008959B7"/>
    <w:rsid w:val="00896D9D"/>
    <w:rsid w:val="00897877"/>
    <w:rsid w:val="00897922"/>
    <w:rsid w:val="008A26D9"/>
    <w:rsid w:val="008A47B0"/>
    <w:rsid w:val="008A4B6E"/>
    <w:rsid w:val="008A5C1E"/>
    <w:rsid w:val="008A6234"/>
    <w:rsid w:val="008A7B5B"/>
    <w:rsid w:val="008B049A"/>
    <w:rsid w:val="008B12D2"/>
    <w:rsid w:val="008B2E10"/>
    <w:rsid w:val="008C0549"/>
    <w:rsid w:val="008C0C29"/>
    <w:rsid w:val="008C410E"/>
    <w:rsid w:val="008C77F9"/>
    <w:rsid w:val="008C7F39"/>
    <w:rsid w:val="008D02DA"/>
    <w:rsid w:val="008D18AE"/>
    <w:rsid w:val="008D4923"/>
    <w:rsid w:val="008D5568"/>
    <w:rsid w:val="008D5F0B"/>
    <w:rsid w:val="008D69E1"/>
    <w:rsid w:val="008D6BC2"/>
    <w:rsid w:val="008D6F5C"/>
    <w:rsid w:val="008D754D"/>
    <w:rsid w:val="008D76BC"/>
    <w:rsid w:val="008D789E"/>
    <w:rsid w:val="008D79B2"/>
    <w:rsid w:val="008E0411"/>
    <w:rsid w:val="008E3275"/>
    <w:rsid w:val="008E4895"/>
    <w:rsid w:val="008E7DBA"/>
    <w:rsid w:val="008F0207"/>
    <w:rsid w:val="008F0829"/>
    <w:rsid w:val="008F15A0"/>
    <w:rsid w:val="008F3638"/>
    <w:rsid w:val="008F385A"/>
    <w:rsid w:val="008F4441"/>
    <w:rsid w:val="008F5120"/>
    <w:rsid w:val="008F67D8"/>
    <w:rsid w:val="008F695A"/>
    <w:rsid w:val="008F6B20"/>
    <w:rsid w:val="008F6F31"/>
    <w:rsid w:val="008F74DF"/>
    <w:rsid w:val="00902274"/>
    <w:rsid w:val="0090270A"/>
    <w:rsid w:val="00905935"/>
    <w:rsid w:val="0090684A"/>
    <w:rsid w:val="009104D4"/>
    <w:rsid w:val="009105E6"/>
    <w:rsid w:val="00911ACF"/>
    <w:rsid w:val="009127BA"/>
    <w:rsid w:val="00914545"/>
    <w:rsid w:val="009151AC"/>
    <w:rsid w:val="00916135"/>
    <w:rsid w:val="00920436"/>
    <w:rsid w:val="00920AAE"/>
    <w:rsid w:val="009227A6"/>
    <w:rsid w:val="00922856"/>
    <w:rsid w:val="00922C1A"/>
    <w:rsid w:val="00933EC1"/>
    <w:rsid w:val="009358D3"/>
    <w:rsid w:val="00936CE3"/>
    <w:rsid w:val="009408B9"/>
    <w:rsid w:val="00940AE5"/>
    <w:rsid w:val="009425C0"/>
    <w:rsid w:val="00943B77"/>
    <w:rsid w:val="009446AD"/>
    <w:rsid w:val="00944D07"/>
    <w:rsid w:val="0094749C"/>
    <w:rsid w:val="00950C92"/>
    <w:rsid w:val="00951EC5"/>
    <w:rsid w:val="0095206E"/>
    <w:rsid w:val="009530DB"/>
    <w:rsid w:val="00953676"/>
    <w:rsid w:val="00954D54"/>
    <w:rsid w:val="00955BDB"/>
    <w:rsid w:val="00956B1E"/>
    <w:rsid w:val="00956F30"/>
    <w:rsid w:val="009611B4"/>
    <w:rsid w:val="009631AA"/>
    <w:rsid w:val="009643BF"/>
    <w:rsid w:val="00964628"/>
    <w:rsid w:val="00966623"/>
    <w:rsid w:val="00966C9A"/>
    <w:rsid w:val="00970424"/>
    <w:rsid w:val="009705EE"/>
    <w:rsid w:val="00970F85"/>
    <w:rsid w:val="00971790"/>
    <w:rsid w:val="0097294A"/>
    <w:rsid w:val="00974A54"/>
    <w:rsid w:val="00974D29"/>
    <w:rsid w:val="009752F3"/>
    <w:rsid w:val="00976EC8"/>
    <w:rsid w:val="00977927"/>
    <w:rsid w:val="0098135C"/>
    <w:rsid w:val="0098156A"/>
    <w:rsid w:val="009826E4"/>
    <w:rsid w:val="0098398B"/>
    <w:rsid w:val="00983D81"/>
    <w:rsid w:val="00984A79"/>
    <w:rsid w:val="00986D3C"/>
    <w:rsid w:val="009873E1"/>
    <w:rsid w:val="00991BAC"/>
    <w:rsid w:val="0099233C"/>
    <w:rsid w:val="00993775"/>
    <w:rsid w:val="00994E16"/>
    <w:rsid w:val="00996FD4"/>
    <w:rsid w:val="0099717F"/>
    <w:rsid w:val="009978BD"/>
    <w:rsid w:val="009A0B98"/>
    <w:rsid w:val="009A26B9"/>
    <w:rsid w:val="009A5A97"/>
    <w:rsid w:val="009A6EA0"/>
    <w:rsid w:val="009B155D"/>
    <w:rsid w:val="009B1972"/>
    <w:rsid w:val="009B36DB"/>
    <w:rsid w:val="009C07A2"/>
    <w:rsid w:val="009C12A7"/>
    <w:rsid w:val="009C1335"/>
    <w:rsid w:val="009C1AB2"/>
    <w:rsid w:val="009C30A1"/>
    <w:rsid w:val="009C31C7"/>
    <w:rsid w:val="009C7251"/>
    <w:rsid w:val="009D26CD"/>
    <w:rsid w:val="009D2795"/>
    <w:rsid w:val="009D33EE"/>
    <w:rsid w:val="009D466C"/>
    <w:rsid w:val="009E0D43"/>
    <w:rsid w:val="009E12F3"/>
    <w:rsid w:val="009E25E1"/>
    <w:rsid w:val="009E2E91"/>
    <w:rsid w:val="009E7B41"/>
    <w:rsid w:val="009F0F08"/>
    <w:rsid w:val="009F18A1"/>
    <w:rsid w:val="009F245B"/>
    <w:rsid w:val="009F3A80"/>
    <w:rsid w:val="00A00D7B"/>
    <w:rsid w:val="00A01B40"/>
    <w:rsid w:val="00A01CB7"/>
    <w:rsid w:val="00A05677"/>
    <w:rsid w:val="00A10BA5"/>
    <w:rsid w:val="00A110C5"/>
    <w:rsid w:val="00A11E78"/>
    <w:rsid w:val="00A139F5"/>
    <w:rsid w:val="00A14146"/>
    <w:rsid w:val="00A1420B"/>
    <w:rsid w:val="00A16EC0"/>
    <w:rsid w:val="00A24A85"/>
    <w:rsid w:val="00A24ED4"/>
    <w:rsid w:val="00A2668F"/>
    <w:rsid w:val="00A272A2"/>
    <w:rsid w:val="00A32B36"/>
    <w:rsid w:val="00A32E16"/>
    <w:rsid w:val="00A3528D"/>
    <w:rsid w:val="00A365F4"/>
    <w:rsid w:val="00A36774"/>
    <w:rsid w:val="00A36B99"/>
    <w:rsid w:val="00A36FCB"/>
    <w:rsid w:val="00A420C5"/>
    <w:rsid w:val="00A4326A"/>
    <w:rsid w:val="00A44B8F"/>
    <w:rsid w:val="00A45488"/>
    <w:rsid w:val="00A45AC8"/>
    <w:rsid w:val="00A470FF"/>
    <w:rsid w:val="00A471CC"/>
    <w:rsid w:val="00A47D80"/>
    <w:rsid w:val="00A51CC5"/>
    <w:rsid w:val="00A52B4E"/>
    <w:rsid w:val="00A53132"/>
    <w:rsid w:val="00A560C6"/>
    <w:rsid w:val="00A563F2"/>
    <w:rsid w:val="00A566E8"/>
    <w:rsid w:val="00A608D0"/>
    <w:rsid w:val="00A61468"/>
    <w:rsid w:val="00A61856"/>
    <w:rsid w:val="00A61E4F"/>
    <w:rsid w:val="00A62D30"/>
    <w:rsid w:val="00A66347"/>
    <w:rsid w:val="00A735AB"/>
    <w:rsid w:val="00A73F73"/>
    <w:rsid w:val="00A75A08"/>
    <w:rsid w:val="00A810F9"/>
    <w:rsid w:val="00A81C8C"/>
    <w:rsid w:val="00A82AAA"/>
    <w:rsid w:val="00A82D31"/>
    <w:rsid w:val="00A82EED"/>
    <w:rsid w:val="00A846FA"/>
    <w:rsid w:val="00A85E7E"/>
    <w:rsid w:val="00A86819"/>
    <w:rsid w:val="00A86ECC"/>
    <w:rsid w:val="00A86FCC"/>
    <w:rsid w:val="00A87AEA"/>
    <w:rsid w:val="00A90A6D"/>
    <w:rsid w:val="00A910B5"/>
    <w:rsid w:val="00A971E5"/>
    <w:rsid w:val="00AA0698"/>
    <w:rsid w:val="00AA429C"/>
    <w:rsid w:val="00AA5D12"/>
    <w:rsid w:val="00AA710D"/>
    <w:rsid w:val="00AA7594"/>
    <w:rsid w:val="00AB568C"/>
    <w:rsid w:val="00AB5CFE"/>
    <w:rsid w:val="00AB5FC7"/>
    <w:rsid w:val="00AB64F3"/>
    <w:rsid w:val="00AB6D25"/>
    <w:rsid w:val="00AB6DB8"/>
    <w:rsid w:val="00AC0DF2"/>
    <w:rsid w:val="00AC128E"/>
    <w:rsid w:val="00AC139D"/>
    <w:rsid w:val="00AC3D50"/>
    <w:rsid w:val="00AC3DCC"/>
    <w:rsid w:val="00AC3ECE"/>
    <w:rsid w:val="00AC42C0"/>
    <w:rsid w:val="00AC78FD"/>
    <w:rsid w:val="00AD062C"/>
    <w:rsid w:val="00AD086E"/>
    <w:rsid w:val="00AD0926"/>
    <w:rsid w:val="00AD0C58"/>
    <w:rsid w:val="00AD0E56"/>
    <w:rsid w:val="00AD1704"/>
    <w:rsid w:val="00AD2935"/>
    <w:rsid w:val="00AD2DA7"/>
    <w:rsid w:val="00AD497F"/>
    <w:rsid w:val="00AD7641"/>
    <w:rsid w:val="00AD7D81"/>
    <w:rsid w:val="00AE229B"/>
    <w:rsid w:val="00AE2D4B"/>
    <w:rsid w:val="00AE4F99"/>
    <w:rsid w:val="00AE6BD7"/>
    <w:rsid w:val="00AE72FF"/>
    <w:rsid w:val="00AE743A"/>
    <w:rsid w:val="00AF072A"/>
    <w:rsid w:val="00AF1E52"/>
    <w:rsid w:val="00AF499E"/>
    <w:rsid w:val="00AF59B8"/>
    <w:rsid w:val="00B01F63"/>
    <w:rsid w:val="00B03487"/>
    <w:rsid w:val="00B0418A"/>
    <w:rsid w:val="00B06F75"/>
    <w:rsid w:val="00B11B69"/>
    <w:rsid w:val="00B13BAC"/>
    <w:rsid w:val="00B1432B"/>
    <w:rsid w:val="00B14952"/>
    <w:rsid w:val="00B14FBA"/>
    <w:rsid w:val="00B16871"/>
    <w:rsid w:val="00B2133B"/>
    <w:rsid w:val="00B23582"/>
    <w:rsid w:val="00B23C99"/>
    <w:rsid w:val="00B25B45"/>
    <w:rsid w:val="00B262F5"/>
    <w:rsid w:val="00B267FF"/>
    <w:rsid w:val="00B30564"/>
    <w:rsid w:val="00B31DB9"/>
    <w:rsid w:val="00B31E5A"/>
    <w:rsid w:val="00B342BC"/>
    <w:rsid w:val="00B34E3E"/>
    <w:rsid w:val="00B37A6F"/>
    <w:rsid w:val="00B40D19"/>
    <w:rsid w:val="00B45B64"/>
    <w:rsid w:val="00B465D8"/>
    <w:rsid w:val="00B46CBE"/>
    <w:rsid w:val="00B470E8"/>
    <w:rsid w:val="00B47359"/>
    <w:rsid w:val="00B52875"/>
    <w:rsid w:val="00B55862"/>
    <w:rsid w:val="00B56C0E"/>
    <w:rsid w:val="00B579AB"/>
    <w:rsid w:val="00B62D0B"/>
    <w:rsid w:val="00B62D1B"/>
    <w:rsid w:val="00B653AB"/>
    <w:rsid w:val="00B658AD"/>
    <w:rsid w:val="00B65F9E"/>
    <w:rsid w:val="00B6639B"/>
    <w:rsid w:val="00B66B19"/>
    <w:rsid w:val="00B81520"/>
    <w:rsid w:val="00B815A0"/>
    <w:rsid w:val="00B81C8F"/>
    <w:rsid w:val="00B823BC"/>
    <w:rsid w:val="00B8473F"/>
    <w:rsid w:val="00B872AC"/>
    <w:rsid w:val="00B914E9"/>
    <w:rsid w:val="00B916F1"/>
    <w:rsid w:val="00B91869"/>
    <w:rsid w:val="00B92C97"/>
    <w:rsid w:val="00B956EE"/>
    <w:rsid w:val="00B95BE9"/>
    <w:rsid w:val="00B96ED8"/>
    <w:rsid w:val="00B97333"/>
    <w:rsid w:val="00B97AAF"/>
    <w:rsid w:val="00B97F31"/>
    <w:rsid w:val="00BA1126"/>
    <w:rsid w:val="00BA1653"/>
    <w:rsid w:val="00BA2BA1"/>
    <w:rsid w:val="00BA2BA7"/>
    <w:rsid w:val="00BA3447"/>
    <w:rsid w:val="00BA3562"/>
    <w:rsid w:val="00BA35D4"/>
    <w:rsid w:val="00BB0BDB"/>
    <w:rsid w:val="00BB4793"/>
    <w:rsid w:val="00BB4F09"/>
    <w:rsid w:val="00BB5BED"/>
    <w:rsid w:val="00BC0EDF"/>
    <w:rsid w:val="00BC12E2"/>
    <w:rsid w:val="00BC2D48"/>
    <w:rsid w:val="00BC36E6"/>
    <w:rsid w:val="00BC6238"/>
    <w:rsid w:val="00BC66BD"/>
    <w:rsid w:val="00BD1358"/>
    <w:rsid w:val="00BD170A"/>
    <w:rsid w:val="00BD4E33"/>
    <w:rsid w:val="00BE077B"/>
    <w:rsid w:val="00BE2813"/>
    <w:rsid w:val="00BE383F"/>
    <w:rsid w:val="00BE5354"/>
    <w:rsid w:val="00BE7F14"/>
    <w:rsid w:val="00BF27FA"/>
    <w:rsid w:val="00BF2E69"/>
    <w:rsid w:val="00BF4AA9"/>
    <w:rsid w:val="00BF768F"/>
    <w:rsid w:val="00C013B9"/>
    <w:rsid w:val="00C02563"/>
    <w:rsid w:val="00C02D75"/>
    <w:rsid w:val="00C030DE"/>
    <w:rsid w:val="00C0347D"/>
    <w:rsid w:val="00C051A8"/>
    <w:rsid w:val="00C07938"/>
    <w:rsid w:val="00C10C66"/>
    <w:rsid w:val="00C11D59"/>
    <w:rsid w:val="00C12068"/>
    <w:rsid w:val="00C12D32"/>
    <w:rsid w:val="00C14F50"/>
    <w:rsid w:val="00C15821"/>
    <w:rsid w:val="00C1689D"/>
    <w:rsid w:val="00C20615"/>
    <w:rsid w:val="00C20CC2"/>
    <w:rsid w:val="00C21F58"/>
    <w:rsid w:val="00C22105"/>
    <w:rsid w:val="00C22F1C"/>
    <w:rsid w:val="00C244B6"/>
    <w:rsid w:val="00C247E0"/>
    <w:rsid w:val="00C24B22"/>
    <w:rsid w:val="00C26C88"/>
    <w:rsid w:val="00C26F78"/>
    <w:rsid w:val="00C27BF1"/>
    <w:rsid w:val="00C27F80"/>
    <w:rsid w:val="00C32D88"/>
    <w:rsid w:val="00C32E34"/>
    <w:rsid w:val="00C33BAA"/>
    <w:rsid w:val="00C34FFB"/>
    <w:rsid w:val="00C351B3"/>
    <w:rsid w:val="00C35801"/>
    <w:rsid w:val="00C35E76"/>
    <w:rsid w:val="00C36C83"/>
    <w:rsid w:val="00C3702F"/>
    <w:rsid w:val="00C3757A"/>
    <w:rsid w:val="00C4379C"/>
    <w:rsid w:val="00C4500A"/>
    <w:rsid w:val="00C50128"/>
    <w:rsid w:val="00C52FFC"/>
    <w:rsid w:val="00C56B13"/>
    <w:rsid w:val="00C6188C"/>
    <w:rsid w:val="00C62238"/>
    <w:rsid w:val="00C64A37"/>
    <w:rsid w:val="00C64C7F"/>
    <w:rsid w:val="00C671F7"/>
    <w:rsid w:val="00C677B4"/>
    <w:rsid w:val="00C7158E"/>
    <w:rsid w:val="00C7250B"/>
    <w:rsid w:val="00C72EF8"/>
    <w:rsid w:val="00C72FE2"/>
    <w:rsid w:val="00C7346B"/>
    <w:rsid w:val="00C76710"/>
    <w:rsid w:val="00C77795"/>
    <w:rsid w:val="00C77C0E"/>
    <w:rsid w:val="00C81B97"/>
    <w:rsid w:val="00C83715"/>
    <w:rsid w:val="00C844DA"/>
    <w:rsid w:val="00C845E3"/>
    <w:rsid w:val="00C90163"/>
    <w:rsid w:val="00C9032E"/>
    <w:rsid w:val="00C91687"/>
    <w:rsid w:val="00C924A8"/>
    <w:rsid w:val="00C92FA0"/>
    <w:rsid w:val="00C945FE"/>
    <w:rsid w:val="00C963E2"/>
    <w:rsid w:val="00C96FAA"/>
    <w:rsid w:val="00C974CA"/>
    <w:rsid w:val="00C97A04"/>
    <w:rsid w:val="00C97B4A"/>
    <w:rsid w:val="00CA009F"/>
    <w:rsid w:val="00CA09BB"/>
    <w:rsid w:val="00CA1065"/>
    <w:rsid w:val="00CA107B"/>
    <w:rsid w:val="00CA1EDC"/>
    <w:rsid w:val="00CA300E"/>
    <w:rsid w:val="00CA37FA"/>
    <w:rsid w:val="00CA484D"/>
    <w:rsid w:val="00CA4990"/>
    <w:rsid w:val="00CA4FB6"/>
    <w:rsid w:val="00CA5E17"/>
    <w:rsid w:val="00CB1E65"/>
    <w:rsid w:val="00CB2CEB"/>
    <w:rsid w:val="00CB2F90"/>
    <w:rsid w:val="00CB48FD"/>
    <w:rsid w:val="00CB546E"/>
    <w:rsid w:val="00CB689D"/>
    <w:rsid w:val="00CB6AD4"/>
    <w:rsid w:val="00CC0A00"/>
    <w:rsid w:val="00CC0FE6"/>
    <w:rsid w:val="00CC1CB1"/>
    <w:rsid w:val="00CC4420"/>
    <w:rsid w:val="00CC4EBB"/>
    <w:rsid w:val="00CC635A"/>
    <w:rsid w:val="00CC63B2"/>
    <w:rsid w:val="00CC739E"/>
    <w:rsid w:val="00CD04F2"/>
    <w:rsid w:val="00CD0C94"/>
    <w:rsid w:val="00CD1026"/>
    <w:rsid w:val="00CD1EBB"/>
    <w:rsid w:val="00CD2410"/>
    <w:rsid w:val="00CD28A1"/>
    <w:rsid w:val="00CD28CF"/>
    <w:rsid w:val="00CD402E"/>
    <w:rsid w:val="00CD58B7"/>
    <w:rsid w:val="00CD7967"/>
    <w:rsid w:val="00CE04FB"/>
    <w:rsid w:val="00CE4B64"/>
    <w:rsid w:val="00CF076D"/>
    <w:rsid w:val="00CF0D68"/>
    <w:rsid w:val="00CF111C"/>
    <w:rsid w:val="00CF18EE"/>
    <w:rsid w:val="00CF24A4"/>
    <w:rsid w:val="00CF278D"/>
    <w:rsid w:val="00CF30BD"/>
    <w:rsid w:val="00CF4099"/>
    <w:rsid w:val="00CF4D09"/>
    <w:rsid w:val="00CF5EBF"/>
    <w:rsid w:val="00CF7339"/>
    <w:rsid w:val="00D00663"/>
    <w:rsid w:val="00D00796"/>
    <w:rsid w:val="00D02AB4"/>
    <w:rsid w:val="00D0314E"/>
    <w:rsid w:val="00D04A10"/>
    <w:rsid w:val="00D11DC7"/>
    <w:rsid w:val="00D125A9"/>
    <w:rsid w:val="00D1265D"/>
    <w:rsid w:val="00D14C11"/>
    <w:rsid w:val="00D15DB0"/>
    <w:rsid w:val="00D23074"/>
    <w:rsid w:val="00D24525"/>
    <w:rsid w:val="00D261A2"/>
    <w:rsid w:val="00D262A8"/>
    <w:rsid w:val="00D2709F"/>
    <w:rsid w:val="00D307AD"/>
    <w:rsid w:val="00D30ADE"/>
    <w:rsid w:val="00D31385"/>
    <w:rsid w:val="00D31400"/>
    <w:rsid w:val="00D40538"/>
    <w:rsid w:val="00D4089A"/>
    <w:rsid w:val="00D41ED6"/>
    <w:rsid w:val="00D43306"/>
    <w:rsid w:val="00D472B4"/>
    <w:rsid w:val="00D512A4"/>
    <w:rsid w:val="00D52FCB"/>
    <w:rsid w:val="00D537D2"/>
    <w:rsid w:val="00D563F3"/>
    <w:rsid w:val="00D56E8D"/>
    <w:rsid w:val="00D56EC9"/>
    <w:rsid w:val="00D616D2"/>
    <w:rsid w:val="00D62756"/>
    <w:rsid w:val="00D6351C"/>
    <w:rsid w:val="00D63B5F"/>
    <w:rsid w:val="00D65BA1"/>
    <w:rsid w:val="00D66006"/>
    <w:rsid w:val="00D70EF7"/>
    <w:rsid w:val="00D721E6"/>
    <w:rsid w:val="00D76F96"/>
    <w:rsid w:val="00D82245"/>
    <w:rsid w:val="00D82BFB"/>
    <w:rsid w:val="00D8397C"/>
    <w:rsid w:val="00D87CC7"/>
    <w:rsid w:val="00D928D5"/>
    <w:rsid w:val="00D94EED"/>
    <w:rsid w:val="00D955A0"/>
    <w:rsid w:val="00D96026"/>
    <w:rsid w:val="00D9645B"/>
    <w:rsid w:val="00D972F6"/>
    <w:rsid w:val="00DA331D"/>
    <w:rsid w:val="00DA3798"/>
    <w:rsid w:val="00DA3C88"/>
    <w:rsid w:val="00DA6172"/>
    <w:rsid w:val="00DA7740"/>
    <w:rsid w:val="00DA7C1C"/>
    <w:rsid w:val="00DB0536"/>
    <w:rsid w:val="00DB147A"/>
    <w:rsid w:val="00DB1B7A"/>
    <w:rsid w:val="00DB2D2F"/>
    <w:rsid w:val="00DB3752"/>
    <w:rsid w:val="00DB4B82"/>
    <w:rsid w:val="00DB706E"/>
    <w:rsid w:val="00DC20BC"/>
    <w:rsid w:val="00DC6708"/>
    <w:rsid w:val="00DC7DCB"/>
    <w:rsid w:val="00DD011A"/>
    <w:rsid w:val="00DD0E5A"/>
    <w:rsid w:val="00DD21BA"/>
    <w:rsid w:val="00DD2DE6"/>
    <w:rsid w:val="00DD382C"/>
    <w:rsid w:val="00DD4738"/>
    <w:rsid w:val="00DD55EC"/>
    <w:rsid w:val="00DE1CB4"/>
    <w:rsid w:val="00DE2400"/>
    <w:rsid w:val="00DE58F1"/>
    <w:rsid w:val="00DE5C68"/>
    <w:rsid w:val="00DE6B58"/>
    <w:rsid w:val="00DF0BAD"/>
    <w:rsid w:val="00DF275D"/>
    <w:rsid w:val="00DF587A"/>
    <w:rsid w:val="00DF5D38"/>
    <w:rsid w:val="00DF5E32"/>
    <w:rsid w:val="00E01436"/>
    <w:rsid w:val="00E027F0"/>
    <w:rsid w:val="00E02F90"/>
    <w:rsid w:val="00E03832"/>
    <w:rsid w:val="00E03E79"/>
    <w:rsid w:val="00E045BD"/>
    <w:rsid w:val="00E04D6C"/>
    <w:rsid w:val="00E1217E"/>
    <w:rsid w:val="00E130A6"/>
    <w:rsid w:val="00E13FB5"/>
    <w:rsid w:val="00E17B77"/>
    <w:rsid w:val="00E231AB"/>
    <w:rsid w:val="00E23337"/>
    <w:rsid w:val="00E24400"/>
    <w:rsid w:val="00E245B1"/>
    <w:rsid w:val="00E259EA"/>
    <w:rsid w:val="00E25D33"/>
    <w:rsid w:val="00E2641A"/>
    <w:rsid w:val="00E27158"/>
    <w:rsid w:val="00E32061"/>
    <w:rsid w:val="00E33127"/>
    <w:rsid w:val="00E33F48"/>
    <w:rsid w:val="00E33F66"/>
    <w:rsid w:val="00E40A56"/>
    <w:rsid w:val="00E417C1"/>
    <w:rsid w:val="00E42FF9"/>
    <w:rsid w:val="00E43799"/>
    <w:rsid w:val="00E44790"/>
    <w:rsid w:val="00E457CB"/>
    <w:rsid w:val="00E45899"/>
    <w:rsid w:val="00E46269"/>
    <w:rsid w:val="00E4714C"/>
    <w:rsid w:val="00E5178D"/>
    <w:rsid w:val="00E51AEB"/>
    <w:rsid w:val="00E522A7"/>
    <w:rsid w:val="00E52651"/>
    <w:rsid w:val="00E5349E"/>
    <w:rsid w:val="00E54452"/>
    <w:rsid w:val="00E55166"/>
    <w:rsid w:val="00E56776"/>
    <w:rsid w:val="00E5779D"/>
    <w:rsid w:val="00E60642"/>
    <w:rsid w:val="00E610C8"/>
    <w:rsid w:val="00E61970"/>
    <w:rsid w:val="00E63B0C"/>
    <w:rsid w:val="00E64ACB"/>
    <w:rsid w:val="00E662C4"/>
    <w:rsid w:val="00E664C5"/>
    <w:rsid w:val="00E671A2"/>
    <w:rsid w:val="00E70F8F"/>
    <w:rsid w:val="00E73BD8"/>
    <w:rsid w:val="00E76D26"/>
    <w:rsid w:val="00E76EE5"/>
    <w:rsid w:val="00E8118C"/>
    <w:rsid w:val="00E84624"/>
    <w:rsid w:val="00E85699"/>
    <w:rsid w:val="00E8612B"/>
    <w:rsid w:val="00E872B8"/>
    <w:rsid w:val="00E90158"/>
    <w:rsid w:val="00E92AA3"/>
    <w:rsid w:val="00E93DB8"/>
    <w:rsid w:val="00E948B2"/>
    <w:rsid w:val="00E953FE"/>
    <w:rsid w:val="00E95B8E"/>
    <w:rsid w:val="00E969CD"/>
    <w:rsid w:val="00E96A80"/>
    <w:rsid w:val="00EA3CB1"/>
    <w:rsid w:val="00EB0537"/>
    <w:rsid w:val="00EB0ED2"/>
    <w:rsid w:val="00EB1390"/>
    <w:rsid w:val="00EB2C71"/>
    <w:rsid w:val="00EB2E72"/>
    <w:rsid w:val="00EB3333"/>
    <w:rsid w:val="00EB4340"/>
    <w:rsid w:val="00EB4F67"/>
    <w:rsid w:val="00EB556D"/>
    <w:rsid w:val="00EB5A7D"/>
    <w:rsid w:val="00EC2817"/>
    <w:rsid w:val="00EC58AA"/>
    <w:rsid w:val="00EC6221"/>
    <w:rsid w:val="00EC73D3"/>
    <w:rsid w:val="00ED30A6"/>
    <w:rsid w:val="00ED460F"/>
    <w:rsid w:val="00ED4705"/>
    <w:rsid w:val="00ED55C0"/>
    <w:rsid w:val="00ED5DBC"/>
    <w:rsid w:val="00ED6384"/>
    <w:rsid w:val="00ED682B"/>
    <w:rsid w:val="00EE3810"/>
    <w:rsid w:val="00EE41D5"/>
    <w:rsid w:val="00EE4563"/>
    <w:rsid w:val="00EE6833"/>
    <w:rsid w:val="00EE6E15"/>
    <w:rsid w:val="00EE79FF"/>
    <w:rsid w:val="00EF1488"/>
    <w:rsid w:val="00F0166F"/>
    <w:rsid w:val="00F037A4"/>
    <w:rsid w:val="00F03B58"/>
    <w:rsid w:val="00F0407C"/>
    <w:rsid w:val="00F049AB"/>
    <w:rsid w:val="00F07A42"/>
    <w:rsid w:val="00F07BD6"/>
    <w:rsid w:val="00F107D9"/>
    <w:rsid w:val="00F10AD7"/>
    <w:rsid w:val="00F130C0"/>
    <w:rsid w:val="00F14171"/>
    <w:rsid w:val="00F142DB"/>
    <w:rsid w:val="00F145A8"/>
    <w:rsid w:val="00F148EF"/>
    <w:rsid w:val="00F16054"/>
    <w:rsid w:val="00F24AFD"/>
    <w:rsid w:val="00F24B16"/>
    <w:rsid w:val="00F24D58"/>
    <w:rsid w:val="00F2640F"/>
    <w:rsid w:val="00F2738D"/>
    <w:rsid w:val="00F27C8F"/>
    <w:rsid w:val="00F27EAD"/>
    <w:rsid w:val="00F27FDC"/>
    <w:rsid w:val="00F32742"/>
    <w:rsid w:val="00F32749"/>
    <w:rsid w:val="00F33074"/>
    <w:rsid w:val="00F331AE"/>
    <w:rsid w:val="00F3358C"/>
    <w:rsid w:val="00F33B9E"/>
    <w:rsid w:val="00F357B5"/>
    <w:rsid w:val="00F35D19"/>
    <w:rsid w:val="00F36030"/>
    <w:rsid w:val="00F37172"/>
    <w:rsid w:val="00F403A0"/>
    <w:rsid w:val="00F428BD"/>
    <w:rsid w:val="00F43055"/>
    <w:rsid w:val="00F4359C"/>
    <w:rsid w:val="00F435E5"/>
    <w:rsid w:val="00F4477E"/>
    <w:rsid w:val="00F46269"/>
    <w:rsid w:val="00F526E6"/>
    <w:rsid w:val="00F52AA5"/>
    <w:rsid w:val="00F54CC5"/>
    <w:rsid w:val="00F54CD2"/>
    <w:rsid w:val="00F54D23"/>
    <w:rsid w:val="00F57F0E"/>
    <w:rsid w:val="00F60BA8"/>
    <w:rsid w:val="00F619F2"/>
    <w:rsid w:val="00F62E3D"/>
    <w:rsid w:val="00F654F7"/>
    <w:rsid w:val="00F662A4"/>
    <w:rsid w:val="00F67D8F"/>
    <w:rsid w:val="00F70AB2"/>
    <w:rsid w:val="00F71EF0"/>
    <w:rsid w:val="00F72040"/>
    <w:rsid w:val="00F72306"/>
    <w:rsid w:val="00F740EB"/>
    <w:rsid w:val="00F74F10"/>
    <w:rsid w:val="00F75436"/>
    <w:rsid w:val="00F75A71"/>
    <w:rsid w:val="00F7699A"/>
    <w:rsid w:val="00F802BE"/>
    <w:rsid w:val="00F80E93"/>
    <w:rsid w:val="00F80F5A"/>
    <w:rsid w:val="00F81003"/>
    <w:rsid w:val="00F81C40"/>
    <w:rsid w:val="00F8306D"/>
    <w:rsid w:val="00F84755"/>
    <w:rsid w:val="00F8530B"/>
    <w:rsid w:val="00F85BAE"/>
    <w:rsid w:val="00F86024"/>
    <w:rsid w:val="00F8611A"/>
    <w:rsid w:val="00F86991"/>
    <w:rsid w:val="00F87D74"/>
    <w:rsid w:val="00F93E44"/>
    <w:rsid w:val="00F94A1E"/>
    <w:rsid w:val="00F95292"/>
    <w:rsid w:val="00F9565F"/>
    <w:rsid w:val="00F95788"/>
    <w:rsid w:val="00F96CFE"/>
    <w:rsid w:val="00FA1273"/>
    <w:rsid w:val="00FA1FD6"/>
    <w:rsid w:val="00FA2171"/>
    <w:rsid w:val="00FA5128"/>
    <w:rsid w:val="00FA6051"/>
    <w:rsid w:val="00FA7F7F"/>
    <w:rsid w:val="00FA7F9E"/>
    <w:rsid w:val="00FB20F3"/>
    <w:rsid w:val="00FB4117"/>
    <w:rsid w:val="00FB41C0"/>
    <w:rsid w:val="00FB42D4"/>
    <w:rsid w:val="00FB5417"/>
    <w:rsid w:val="00FB5906"/>
    <w:rsid w:val="00FB762F"/>
    <w:rsid w:val="00FB78C8"/>
    <w:rsid w:val="00FC2AED"/>
    <w:rsid w:val="00FC3E51"/>
    <w:rsid w:val="00FC4FA5"/>
    <w:rsid w:val="00FC6F48"/>
    <w:rsid w:val="00FD57B6"/>
    <w:rsid w:val="00FD5EA7"/>
    <w:rsid w:val="00FD63C7"/>
    <w:rsid w:val="00FD7AC4"/>
    <w:rsid w:val="00FE0121"/>
    <w:rsid w:val="00FE11F9"/>
    <w:rsid w:val="00FE36CF"/>
    <w:rsid w:val="00FE5069"/>
    <w:rsid w:val="00FE59C3"/>
    <w:rsid w:val="00FF0246"/>
    <w:rsid w:val="00FF0BD5"/>
    <w:rsid w:val="00FF5EA0"/>
    <w:rsid w:val="00FF65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9358D3"/>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aliases w:val="Footnote Reference Number,Footnote symbol,Footnote reference number,note TESI,Footnote Reference Superscript,SUPERS,EN Footnote Reference,Footnote number,FZ,(Voetnootmarkering),Appel note de bas de p,Nota"/>
    <w:basedOn w:val="Domylnaczcionkaakapitu"/>
    <w:uiPriority w:val="99"/>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9358D3"/>
    <w:pPr>
      <w:spacing w:before="360" w:line="240" w:lineRule="exact"/>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9358D3"/>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customStyle="1" w:styleId="Hipercza">
    <w:name w:val="Hiperłącza"/>
    <w:basedOn w:val="Normalny"/>
    <w:qFormat/>
    <w:rsid w:val="00627887"/>
    <w:rPr>
      <w:color w:val="001D77"/>
      <w:sz w:val="18"/>
      <w:szCs w:val="18"/>
      <w:u w:val="single"/>
    </w:rPr>
  </w:style>
  <w:style w:type="paragraph" w:customStyle="1" w:styleId="Tytuhipercza">
    <w:name w:val="Tytuł hiperłącza"/>
    <w:basedOn w:val="Normalny"/>
    <w:qFormat/>
    <w:rsid w:val="00627887"/>
    <w:pPr>
      <w:spacing w:before="360" w:after="0"/>
    </w:pPr>
    <w:rPr>
      <w:b/>
      <w:szCs w:val="19"/>
    </w:rPr>
  </w:style>
  <w:style w:type="paragraph" w:styleId="Tekstpodstawowy">
    <w:name w:val="Body Text"/>
    <w:basedOn w:val="Normalny"/>
    <w:link w:val="TekstpodstawowyZnak"/>
    <w:uiPriority w:val="1"/>
    <w:qFormat/>
    <w:rsid w:val="008A5C1E"/>
    <w:pPr>
      <w:widowControl w:val="0"/>
      <w:autoSpaceDE w:val="0"/>
      <w:autoSpaceDN w:val="0"/>
      <w:adjustRightInd w:val="0"/>
      <w:spacing w:before="0" w:after="0" w:line="240" w:lineRule="auto"/>
      <w:ind w:left="100"/>
    </w:pPr>
    <w:rPr>
      <w:rFonts w:eastAsia="Times New Roman" w:cs="Fira Sans"/>
      <w:szCs w:val="19"/>
      <w:lang w:eastAsia="pl-PL"/>
    </w:rPr>
  </w:style>
  <w:style w:type="character" w:customStyle="1" w:styleId="TekstpodstawowyZnak">
    <w:name w:val="Tekst podstawowy Znak"/>
    <w:basedOn w:val="Domylnaczcionkaakapitu"/>
    <w:link w:val="Tekstpodstawowy"/>
    <w:uiPriority w:val="1"/>
    <w:rsid w:val="008A5C1E"/>
    <w:rPr>
      <w:rFonts w:ascii="Fira Sans" w:eastAsia="Times New Roman" w:hAnsi="Fira Sans" w:cs="Fira Sans"/>
      <w:sz w:val="19"/>
      <w:szCs w:val="19"/>
      <w:lang w:eastAsia="pl-PL"/>
    </w:rPr>
  </w:style>
  <w:style w:type="paragraph" w:customStyle="1" w:styleId="TableParagraph">
    <w:name w:val="Table Paragraph"/>
    <w:basedOn w:val="Normalny"/>
    <w:uiPriority w:val="1"/>
    <w:qFormat/>
    <w:rsid w:val="00D43306"/>
    <w:pPr>
      <w:widowControl w:val="0"/>
      <w:autoSpaceDE w:val="0"/>
      <w:autoSpaceDN w:val="0"/>
      <w:adjustRightInd w:val="0"/>
      <w:spacing w:before="0"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23674F"/>
    <w:rPr>
      <w:color w:val="954F72" w:themeColor="followedHyperlink"/>
      <w:u w:val="single"/>
    </w:rPr>
  </w:style>
  <w:style w:type="paragraph" w:customStyle="1" w:styleId="Zawartoramki">
    <w:name w:val="Zawartość ramki"/>
    <w:basedOn w:val="Normalny"/>
    <w:qFormat/>
    <w:rsid w:val="006D4224"/>
    <w:rPr>
      <w:color w:val="00000A"/>
    </w:rPr>
  </w:style>
  <w:style w:type="table" w:customStyle="1" w:styleId="Siatkatabelijasna1">
    <w:name w:val="Siatka tabeli — jasna1"/>
    <w:basedOn w:val="Standardowy"/>
    <w:uiPriority w:val="40"/>
    <w:rsid w:val="006D4224"/>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217196"/>
    <w:pPr>
      <w:spacing w:after="0" w:line="240" w:lineRule="auto"/>
    </w:pPr>
    <w:rPr>
      <w:rFonts w:ascii="Fira Sans" w:hAnsi="Fira Sans"/>
      <w:sz w:val="19"/>
    </w:rPr>
  </w:style>
  <w:style w:type="character" w:customStyle="1" w:styleId="Nierozpoznanawzmianka2">
    <w:name w:val="Nierozpoznana wzmianka2"/>
    <w:basedOn w:val="Domylnaczcionkaakapitu"/>
    <w:uiPriority w:val="99"/>
    <w:semiHidden/>
    <w:unhideWhenUsed/>
    <w:rsid w:val="00C20CC2"/>
    <w:rPr>
      <w:color w:val="605E5C"/>
      <w:shd w:val="clear" w:color="auto" w:fill="E1DFDD"/>
    </w:rPr>
  </w:style>
  <w:style w:type="character" w:styleId="Tekstzastpczy">
    <w:name w:val="Placeholder Text"/>
    <w:basedOn w:val="Domylnaczcionkaakapitu"/>
    <w:uiPriority w:val="99"/>
    <w:semiHidden/>
    <w:rsid w:val="00735DDC"/>
    <w:rPr>
      <w:color w:val="808080"/>
    </w:rPr>
  </w:style>
  <w:style w:type="character" w:customStyle="1" w:styleId="Nierozpoznanawzmianka3">
    <w:name w:val="Nierozpoznana wzmianka3"/>
    <w:basedOn w:val="Domylnaczcionkaakapitu"/>
    <w:uiPriority w:val="99"/>
    <w:semiHidden/>
    <w:unhideWhenUsed/>
    <w:rsid w:val="00147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283312281">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08052953">
      <w:bodyDiv w:val="1"/>
      <w:marLeft w:val="0"/>
      <w:marRight w:val="0"/>
      <w:marTop w:val="0"/>
      <w:marBottom w:val="0"/>
      <w:divBdr>
        <w:top w:val="none" w:sz="0" w:space="0" w:color="auto"/>
        <w:left w:val="none" w:sz="0" w:space="0" w:color="auto"/>
        <w:bottom w:val="none" w:sz="0" w:space="0" w:color="auto"/>
        <w:right w:val="none" w:sz="0" w:space="0" w:color="auto"/>
      </w:divBdr>
    </w:div>
    <w:div w:id="808474657">
      <w:bodyDiv w:val="1"/>
      <w:marLeft w:val="0"/>
      <w:marRight w:val="0"/>
      <w:marTop w:val="0"/>
      <w:marBottom w:val="0"/>
      <w:divBdr>
        <w:top w:val="none" w:sz="0" w:space="0" w:color="auto"/>
        <w:left w:val="none" w:sz="0" w:space="0" w:color="auto"/>
        <w:bottom w:val="none" w:sz="0" w:space="0" w:color="auto"/>
        <w:right w:val="none" w:sz="0" w:space="0" w:color="auto"/>
      </w:divBdr>
    </w:div>
    <w:div w:id="956108754">
      <w:bodyDiv w:val="1"/>
      <w:marLeft w:val="0"/>
      <w:marRight w:val="0"/>
      <w:marTop w:val="0"/>
      <w:marBottom w:val="0"/>
      <w:divBdr>
        <w:top w:val="none" w:sz="0" w:space="0" w:color="auto"/>
        <w:left w:val="none" w:sz="0" w:space="0" w:color="auto"/>
        <w:bottom w:val="none" w:sz="0" w:space="0" w:color="auto"/>
        <w:right w:val="none" w:sz="0" w:space="0" w:color="auto"/>
      </w:divBdr>
    </w:div>
    <w:div w:id="1052196678">
      <w:bodyDiv w:val="1"/>
      <w:marLeft w:val="0"/>
      <w:marRight w:val="0"/>
      <w:marTop w:val="0"/>
      <w:marBottom w:val="0"/>
      <w:divBdr>
        <w:top w:val="none" w:sz="0" w:space="0" w:color="auto"/>
        <w:left w:val="none" w:sz="0" w:space="0" w:color="auto"/>
        <w:bottom w:val="none" w:sz="0" w:space="0" w:color="auto"/>
        <w:right w:val="none" w:sz="0" w:space="0" w:color="auto"/>
      </w:divBdr>
    </w:div>
    <w:div w:id="1160734540">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11380930">
      <w:bodyDiv w:val="1"/>
      <w:marLeft w:val="0"/>
      <w:marRight w:val="0"/>
      <w:marTop w:val="0"/>
      <w:marBottom w:val="0"/>
      <w:divBdr>
        <w:top w:val="none" w:sz="0" w:space="0" w:color="auto"/>
        <w:left w:val="none" w:sz="0" w:space="0" w:color="auto"/>
        <w:bottom w:val="none" w:sz="0" w:space="0" w:color="auto"/>
        <w:right w:val="none" w:sz="0" w:space="0" w:color="auto"/>
      </w:divBdr>
    </w:div>
    <w:div w:id="197933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eader" Target="header2.xml"/><Relationship Id="rId26" Type="http://schemas.openxmlformats.org/officeDocument/2006/relationships/hyperlink" Target="https://www.facebook.com/GlownyUrzadStatystyczny/" TargetMode="External"/><Relationship Id="rId39" Type="http://schemas.openxmlformats.org/officeDocument/2006/relationships/hyperlink" Target="https://stat.gov.pl/en/metainformation/glossary/terms-used-in-official-statistics/158,term.html" TargetMode="External"/><Relationship Id="rId21" Type="http://schemas.openxmlformats.org/officeDocument/2006/relationships/hyperlink" Target="mailto:obslugaprasowa@stat.gov.pl" TargetMode="External"/><Relationship Id="rId34" Type="http://schemas.openxmlformats.org/officeDocument/2006/relationships/hyperlink" Target="https://stat.gov.pl/en/topics/culture-tourism-sport/culture/cultural-and-creative-industries-in-2022,14,6.html" TargetMode="External"/><Relationship Id="rId42" Type="http://schemas.openxmlformats.org/officeDocument/2006/relationships/hyperlink" Target="https://stat.gov.pl/en/metainformation/glossary/terms-used-in-official-statistics/395,term.html"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11.png"/><Relationship Id="rId11" Type="http://schemas.openxmlformats.org/officeDocument/2006/relationships/image" Target="media/image3.png"/><Relationship Id="rId24" Type="http://schemas.openxmlformats.org/officeDocument/2006/relationships/image" Target="media/image8.png"/><Relationship Id="rId32" Type="http://schemas.openxmlformats.org/officeDocument/2006/relationships/image" Target="media/image12.png"/><Relationship Id="rId37" Type="http://schemas.openxmlformats.org/officeDocument/2006/relationships/hyperlink" Target="https://stat.gov.pl/en/metainformation/glossary/terms-used-in-official-statistics/3774,term.html" TargetMode="External"/><Relationship Id="rId40" Type="http://schemas.openxmlformats.org/officeDocument/2006/relationships/hyperlink" Target="https://stat.gov.pl/en/metainformation/glossary/terms-used-in-official-statistics/693,term.html" TargetMode="External"/><Relationship Id="rId45" Type="http://schemas.openxmlformats.org/officeDocument/2006/relationships/hyperlink" Target="https://stat.gov.pl/en/metainformation/glossary/terms-used-in-official-statistics/583,term.html" TargetMode="External"/><Relationship Id="rId5" Type="http://schemas.openxmlformats.org/officeDocument/2006/relationships/numbering" Target="numbering.xml"/><Relationship Id="rId15" Type="http://schemas.openxmlformats.org/officeDocument/2006/relationships/hyperlink" Target="https://stat.gov.pl/en/topics/culture-tourism-sport/culture/cultural-and-creative-industries-2017-2021,12,2.html" TargetMode="External"/><Relationship Id="rId23" Type="http://schemas.openxmlformats.org/officeDocument/2006/relationships/hyperlink" Target="https://stat.gov.pl/en/" TargetMode="External"/><Relationship Id="rId28" Type="http://schemas.openxmlformats.org/officeDocument/2006/relationships/hyperlink" Target="https://www.instagram.com/gus_stat/" TargetMode="External"/><Relationship Id="rId36" Type="http://schemas.openxmlformats.org/officeDocument/2006/relationships/hyperlink" Target="https://stat.gov.pl/en/topics/culture-tourism-sport/methodological-reports/methodological-report-culture-statistics,1,1.html"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pl.linkedin.com/company/glownyurzadstatystyczny" TargetMode="External"/><Relationship Id="rId44" Type="http://schemas.openxmlformats.org/officeDocument/2006/relationships/hyperlink" Target="https://stat.gov.pl/en/metainformation/glossary/terms-used-in-official-statistics/3806,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gov.pl/en/topics/culture-tourism-sport/methodological-reports/methodological-report-culture-statistics,1,1.html" TargetMode="External"/><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hyperlink" Target="https://www.youtube.com/channel/UC0wiQMElFgYszpAoYgTnXtg/featured" TargetMode="External"/><Relationship Id="rId35" Type="http://schemas.openxmlformats.org/officeDocument/2006/relationships/hyperlink" Target="https://stat.gov.pl/en/topics/culture-tourism-sport/culture/culture-and-national-heritage-in-2023,1,16.html" TargetMode="External"/><Relationship Id="rId43" Type="http://schemas.openxmlformats.org/officeDocument/2006/relationships/hyperlink" Target="https://stat.gov.pl/en/metainformation/glossary/terms-used-in-official-statistics/449,term.html" TargetMode="External"/><Relationship Id="rId48"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image" Target="media/image9.png"/><Relationship Id="rId33" Type="http://schemas.openxmlformats.org/officeDocument/2006/relationships/hyperlink" Target="https://stat.gov.pl/en/topics/culture-tourism-sport/culture/cultural-and-creative-industries-2017-2021,12,2.html" TargetMode="External"/><Relationship Id="rId38" Type="http://schemas.openxmlformats.org/officeDocument/2006/relationships/hyperlink" Target="https://stat.gov.pl/en/metainformation/glossary/terms-used-in-official-statistics/3775,term.html" TargetMode="External"/><Relationship Id="rId46" Type="http://schemas.openxmlformats.org/officeDocument/2006/relationships/hyperlink" Target="https://stat.gov.pl/en/metainformation/glossary/terms-used-in-official-statistics/3390,term.html" TargetMode="External"/><Relationship Id="rId20" Type="http://schemas.openxmlformats.org/officeDocument/2006/relationships/hyperlink" Target="tel:124204050" TargetMode="External"/><Relationship Id="rId41" Type="http://schemas.openxmlformats.org/officeDocument/2006/relationships/hyperlink" Target="https://stat.gov.pl/en/metainformation/glossary/terms-used-in-official-statistics/376,term.html"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1. Wyniki finansowe instytucji kultury w okresie styczeń–wrzesień 2022 r.docx.docx</NazwaPliku>
    <Osoba xmlns="AD3641B4-23D9-4536-AF9E-7D0EADDEB824">STAT\piwowarczykm</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3860D-A843-4C34-8D15-97ADF51FF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77B78-E118-4B87-A243-489012129A67}">
  <ds:schemaRefs>
    <ds:schemaRef ds:uri="http://schemas.openxmlformats.org/package/2006/metadata/core-properties"/>
    <ds:schemaRef ds:uri="AD3641B4-23D9-4536-AF9E-7D0EADDEB824"/>
    <ds:schemaRef ds:uri="http://schemas.microsoft.com/office/infopath/2007/PartnerControls"/>
    <ds:schemaRef ds:uri="http://schemas.microsoft.com/office/2006/documentManagement/types"/>
    <ds:schemaRef ds:uri="http://purl.org/dc/terms/"/>
    <ds:schemaRef ds:uri="http://purl.org/dc/elements/1.1/"/>
    <ds:schemaRef ds:uri="http://schemas.microsoft.com/sharepoint/v3"/>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982B11D-5FC9-42B9-922B-6CDF75686872}">
  <ds:schemaRefs>
    <ds:schemaRef ds:uri="http://www.w3.org/2001/XMLSchema"/>
    <ds:schemaRef ds:uri="http://www.zhaw.ch/AccessibilityAddIn"/>
  </ds:schemaRefs>
</ds:datastoreItem>
</file>

<file path=customXml/itemProps4.xml><?xml version="1.0" encoding="utf-8"?>
<ds:datastoreItem xmlns:ds="http://schemas.openxmlformats.org/officeDocument/2006/customXml" ds:itemID="{27B88D50-545B-41B5-864D-686EEAAAA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2427</Words>
  <Characters>14563</Characters>
  <DocSecurity>0</DocSecurity>
  <Lines>121</Lines>
  <Paragraphs>33</Paragraphs>
  <ScaleCrop>false</ScaleCrop>
  <HeadingPairs>
    <vt:vector size="2" baseType="variant">
      <vt:variant>
        <vt:lpstr>Tytuł</vt:lpstr>
      </vt:variant>
      <vt:variant>
        <vt:i4>1</vt:i4>
      </vt:variant>
    </vt:vector>
  </HeadingPairs>
  <TitlesOfParts>
    <vt:vector size="1" baseType="lpstr">
      <vt:lpstr>Cultural and creative industries in 2023</vt:lpstr>
    </vt:vector>
  </TitlesOfParts>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Główny Urząd Statystyczny</dc:creator>
  <dc:description/>
  <cp:lastPrinted>2025-03-27T06:41:00Z</cp:lastPrinted>
  <dcterms:created xsi:type="dcterms:W3CDTF">2025-03-24T11:29:00Z</dcterms:created>
  <dcterms:modified xsi:type="dcterms:W3CDTF">2025-03-27T06:41:00Z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
  </property>
  <property fmtid="{D5CDD505-2E9C-101B-9397-08002B2CF9AE}" pid="3" name="UNPPisma">
    <vt:lpwstr>2022-28926</vt:lpwstr>
  </property>
  <property fmtid="{D5CDD505-2E9C-101B-9397-08002B2CF9AE}" pid="4" name="ZnakSprawy">
    <vt:lpwstr/>
  </property>
  <property fmtid="{D5CDD505-2E9C-101B-9397-08002B2CF9AE}" pid="5" name="ZnakSprawyPrzedPrzeniesieniem">
    <vt:lpwstr/>
  </property>
  <property fmtid="{D5CDD505-2E9C-101B-9397-08002B2CF9AE}" pid="6" name="Autor">
    <vt:lpwstr>Morawska Beata</vt:lpwstr>
  </property>
  <property fmtid="{D5CDD505-2E9C-101B-9397-08002B2CF9AE}" pid="7" name="AutorInicjaly">
    <vt:lpwstr>BM</vt:lpwstr>
  </property>
  <property fmtid="{D5CDD505-2E9C-101B-9397-08002B2CF9AE}" pid="8" name="AutorNrTelefonu">
    <vt:lpwstr>37-15</vt:lpwstr>
  </property>
  <property fmtid="{D5CDD505-2E9C-101B-9397-08002B2CF9AE}" pid="9" name="Stanowisko">
    <vt:lpwstr>główny specjalista</vt:lpwstr>
  </property>
  <property fmtid="{D5CDD505-2E9C-101B-9397-08002B2CF9AE}" pid="10" name="OpisPisma">
    <vt:lpwstr>Wzory informacji sygnalnych</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2022-02-04</vt:lpwstr>
  </property>
  <property fmtid="{D5CDD505-2E9C-101B-9397-08002B2CF9AE}" pid="14" name="Wydzial">
    <vt:lpwstr>Wydział Opracowań Graficznych</vt:lpwstr>
  </property>
  <property fmtid="{D5CDD505-2E9C-101B-9397-08002B2CF9AE}" pid="15" name="KodWydzialu">
    <vt:lpwstr>OS-03</vt:lpwstr>
  </property>
  <property fmtid="{D5CDD505-2E9C-101B-9397-08002B2CF9AE}" pid="16" name="ZaakceptowanePrzez">
    <vt:lpwstr>n/d</vt:lpwstr>
  </property>
  <property fmtid="{D5CDD505-2E9C-101B-9397-08002B2CF9AE}" pid="17" name="PrzekazanieDo">
    <vt:lpwstr>Karolina Banaszek</vt:lpwstr>
  </property>
  <property fmtid="{D5CDD505-2E9C-101B-9397-08002B2CF9AE}" pid="18" name="PrzekazanieDoStanowisko">
    <vt:lpwstr>zastępca dyrektora departamentu</vt:lpwstr>
  </property>
  <property fmtid="{D5CDD505-2E9C-101B-9397-08002B2CF9AE}" pid="19" name="PrzekazanieDoKomorkaPracownika">
    <vt:lpwstr>Z-ca Dyrektora DK(DK-II)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