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0C36" w14:textId="362FF240"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C320C4">
        <w:rPr>
          <w:color w:val="auto"/>
          <w:spacing w:val="-3"/>
          <w:lang w:val="en-AU" w:eastAsia="pl-PL"/>
        </w:rPr>
        <w:t>3rd</w:t>
      </w:r>
      <w:r w:rsidRPr="008F07A8">
        <w:rPr>
          <w:color w:val="auto"/>
          <w:spacing w:val="-3"/>
          <w:lang w:val="en-AU" w:eastAsia="pl-PL"/>
        </w:rPr>
        <w:t xml:space="preserve"> quarter of 202</w:t>
      </w:r>
      <w:r w:rsidR="00F8365F">
        <w:rPr>
          <w:color w:val="auto"/>
          <w:spacing w:val="-3"/>
          <w:lang w:val="en-AU" w:eastAsia="pl-PL"/>
        </w:rPr>
        <w:t>4</w:t>
      </w:r>
    </w:p>
    <w:p w14:paraId="7B920C37" w14:textId="48866FD4" w:rsidR="00393761" w:rsidRPr="008F07A8" w:rsidRDefault="00393761" w:rsidP="004809B1">
      <w:pPr>
        <w:pStyle w:val="tytuinformacji"/>
        <w:rPr>
          <w:color w:val="auto"/>
          <w:sz w:val="32"/>
          <w:szCs w:val="32"/>
          <w:lang w:val="en-AU"/>
        </w:rPr>
      </w:pPr>
    </w:p>
    <w:p w14:paraId="3DA8DC04" w14:textId="25A4CB23" w:rsidR="00CF49DE" w:rsidRPr="008F07A8" w:rsidRDefault="00625E28"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2835F45F" wp14:editId="3D40D279">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downward-pointing arrow icon, which indicates a 0.2% decrease in the number of crossings of the Polish border in the 3rd quarter of 2024 in relation to the 3rd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14:paraId="3546E917" w14:textId="1C01E276" w:rsidR="00DA2547" w:rsidRPr="005D7794" w:rsidRDefault="00DD1AA4"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Pr>
                                <w:rStyle w:val="IkonawskanikaZnak"/>
                                <w:sz w:val="76"/>
                                <w:szCs w:val="76"/>
                              </w:rPr>
                              <w:sym w:font="Wingdings" w:char="F0F2"/>
                            </w:r>
                            <w:r w:rsidR="00DA2547" w:rsidRPr="005D7794">
                              <w:rPr>
                                <w:rStyle w:val="WartowskanikaZnak"/>
                                <w:lang w:val="en-AU"/>
                              </w:rPr>
                              <w:t xml:space="preserve"> </w:t>
                            </w:r>
                            <w:r>
                              <w:rPr>
                                <w:rStyle w:val="WartowskanikaZnak"/>
                                <w:sz w:val="72"/>
                                <w:szCs w:val="72"/>
                                <w:lang w:val="en-AU"/>
                              </w:rPr>
                              <w:t>0.</w:t>
                            </w:r>
                            <w:r w:rsidR="00C320C4">
                              <w:rPr>
                                <w:rStyle w:val="WartowskanikaZnak"/>
                                <w:sz w:val="72"/>
                                <w:szCs w:val="72"/>
                                <w:lang w:val="en-AU"/>
                              </w:rPr>
                              <w:t>2</w:t>
                            </w:r>
                            <w:r w:rsidR="00DA2547" w:rsidRPr="005D7794">
                              <w:rPr>
                                <w:rStyle w:val="WartowskanikaZnak"/>
                                <w:sz w:val="72"/>
                                <w:szCs w:val="72"/>
                                <w:lang w:val="en-AU"/>
                              </w:rPr>
                              <w:t>%</w:t>
                            </w:r>
                          </w:p>
                          <w:p w14:paraId="7C68DBD6" w14:textId="179BAB25" w:rsidR="00DA2547" w:rsidRPr="005D7794" w:rsidRDefault="00291259" w:rsidP="00625E28">
                            <w:pPr>
                              <w:pStyle w:val="Opiswskanika"/>
                              <w:rPr>
                                <w:sz w:val="18"/>
                                <w:szCs w:val="20"/>
                                <w:lang w:val="en-AU"/>
                              </w:rPr>
                            </w:pPr>
                            <w:r>
                              <w:rPr>
                                <w:rStyle w:val="tlid-translation"/>
                                <w:lang w:val="en-US"/>
                              </w:rPr>
                              <w:t>The</w:t>
                            </w:r>
                            <w:r w:rsidR="00180C90">
                              <w:rPr>
                                <w:rStyle w:val="tlid-translation"/>
                                <w:lang w:val="en-US"/>
                              </w:rPr>
                              <w:t xml:space="preserve"> de</w:t>
                            </w:r>
                            <w:r w:rsidR="00DA2547">
                              <w:rPr>
                                <w:rStyle w:val="tlid-translation"/>
                                <w:lang w:val="en-US"/>
                              </w:rPr>
                              <w:t>cr</w:t>
                            </w:r>
                            <w:r w:rsidR="00DA2547" w:rsidRPr="00061B43">
                              <w:rPr>
                                <w:rStyle w:val="tlid-translation"/>
                                <w:lang w:val="en-US"/>
                              </w:rPr>
                              <w:t>ease in the number of crossings of the Polish border in</w:t>
                            </w:r>
                            <w:r w:rsidR="00DD1AA4">
                              <w:rPr>
                                <w:rStyle w:val="tlid-translation"/>
                                <w:lang w:val="en-US"/>
                              </w:rPr>
                              <w:t xml:space="preserve"> the </w:t>
                            </w:r>
                            <w:r w:rsidR="00C320C4">
                              <w:rPr>
                                <w:rStyle w:val="tlid-translation"/>
                                <w:lang w:val="en-US"/>
                              </w:rPr>
                              <w:t>3rd</w:t>
                            </w:r>
                            <w:r w:rsidR="00DA2547">
                              <w:rPr>
                                <w:rStyle w:val="tlid-translation"/>
                                <w:lang w:val="en-US"/>
                              </w:rPr>
                              <w:t xml:space="preserve"> quarter of 2024</w:t>
                            </w:r>
                            <w:r w:rsidR="00DA2547" w:rsidRPr="00061B43">
                              <w:rPr>
                                <w:rStyle w:val="tlid-translation"/>
                                <w:lang w:val="en-US"/>
                              </w:rPr>
                              <w:t xml:space="preserve"> in relation</w:t>
                            </w:r>
                            <w:r w:rsidR="00DD1AA4">
                              <w:rPr>
                                <w:rStyle w:val="tlid-translation"/>
                                <w:lang w:val="en-US"/>
                              </w:rPr>
                              <w:t xml:space="preserve"> to the </w:t>
                            </w:r>
                            <w:r w:rsidR="00C320C4">
                              <w:rPr>
                                <w:rStyle w:val="tlid-translation"/>
                                <w:lang w:val="en-US"/>
                              </w:rPr>
                              <w:t>3rd</w:t>
                            </w:r>
                            <w:r w:rsidR="00DA2547">
                              <w:rPr>
                                <w:rStyle w:val="tlid-translation"/>
                                <w:lang w:val="en-US"/>
                              </w:rPr>
                              <w:t xml:space="preserve"> quarter of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835F45F" id="Pole tekstowe 2" o:spid="_x0000_s1026" alt="An downward-pointing arrow icon, which indicates a 0.2% decrease in the number of crossings of the Polish border in the 3rd quarter of 2024 in relation to the 3rd quarter of 2023."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" fillcolor="#001d77" stroked="f">
                <v:stroke joinstyle="miter"/>
                <v:textbox>
                  <w:txbxContent>
                    <w:p w14:paraId="3546E917" w14:textId="1C01E276" w:rsidR="00DA2547" w:rsidRPr="005D7794" w:rsidRDefault="00DD1AA4"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Pr>
                          <w:rStyle w:val="IkonawskanikaZnak"/>
                          <w:sz w:val="76"/>
                          <w:szCs w:val="76"/>
                        </w:rPr>
                        <w:sym w:font="Wingdings" w:char="F0F2"/>
                      </w:r>
                      <w:r w:rsidR="00DA2547" w:rsidRPr="005D7794">
                        <w:rPr>
                          <w:rStyle w:val="WartowskanikaZnak"/>
                          <w:lang w:val="en-AU"/>
                        </w:rPr>
                        <w:t xml:space="preserve"> </w:t>
                      </w:r>
                      <w:r>
                        <w:rPr>
                          <w:rStyle w:val="WartowskanikaZnak"/>
                          <w:sz w:val="72"/>
                          <w:szCs w:val="72"/>
                          <w:lang w:val="en-AU"/>
                        </w:rPr>
                        <w:t>0.</w:t>
                      </w:r>
                      <w:r w:rsidR="00C320C4">
                        <w:rPr>
                          <w:rStyle w:val="WartowskanikaZnak"/>
                          <w:sz w:val="72"/>
                          <w:szCs w:val="72"/>
                          <w:lang w:val="en-AU"/>
                        </w:rPr>
                        <w:t>2</w:t>
                      </w:r>
                      <w:r w:rsidR="00DA2547" w:rsidRPr="005D7794">
                        <w:rPr>
                          <w:rStyle w:val="WartowskanikaZnak"/>
                          <w:sz w:val="72"/>
                          <w:szCs w:val="72"/>
                          <w:lang w:val="en-AU"/>
                        </w:rPr>
                        <w:t>%</w:t>
                      </w:r>
                    </w:p>
                    <w:p w14:paraId="7C68DBD6" w14:textId="179BAB25" w:rsidR="00DA2547" w:rsidRPr="005D7794" w:rsidRDefault="00291259" w:rsidP="00625E28">
                      <w:pPr>
                        <w:pStyle w:val="Opiswskanika"/>
                        <w:rPr>
                          <w:sz w:val="18"/>
                          <w:szCs w:val="20"/>
                          <w:lang w:val="en-AU"/>
                        </w:rPr>
                      </w:pPr>
                      <w:r>
                        <w:rPr>
                          <w:rStyle w:val="tlid-translation"/>
                          <w:lang w:val="en-US"/>
                        </w:rPr>
                        <w:t>The</w:t>
                      </w:r>
                      <w:r w:rsidR="00180C90">
                        <w:rPr>
                          <w:rStyle w:val="tlid-translation"/>
                          <w:lang w:val="en-US"/>
                        </w:rPr>
                        <w:t xml:space="preserve"> de</w:t>
                      </w:r>
                      <w:r w:rsidR="00DA2547">
                        <w:rPr>
                          <w:rStyle w:val="tlid-translation"/>
                          <w:lang w:val="en-US"/>
                        </w:rPr>
                        <w:t>cr</w:t>
                      </w:r>
                      <w:r w:rsidR="00DA2547" w:rsidRPr="00061B43">
                        <w:rPr>
                          <w:rStyle w:val="tlid-translation"/>
                          <w:lang w:val="en-US"/>
                        </w:rPr>
                        <w:t>ease in the number of crossings of the Polish border in</w:t>
                      </w:r>
                      <w:r w:rsidR="00DD1AA4">
                        <w:rPr>
                          <w:rStyle w:val="tlid-translation"/>
                          <w:lang w:val="en-US"/>
                        </w:rPr>
                        <w:t xml:space="preserve"> the </w:t>
                      </w:r>
                      <w:r w:rsidR="00C320C4">
                        <w:rPr>
                          <w:rStyle w:val="tlid-translation"/>
                          <w:lang w:val="en-US"/>
                        </w:rPr>
                        <w:t>3rd</w:t>
                      </w:r>
                      <w:r w:rsidR="00DA2547">
                        <w:rPr>
                          <w:rStyle w:val="tlid-translation"/>
                          <w:lang w:val="en-US"/>
                        </w:rPr>
                        <w:t xml:space="preserve"> quarter of 2024</w:t>
                      </w:r>
                      <w:r w:rsidR="00DA2547" w:rsidRPr="00061B43">
                        <w:rPr>
                          <w:rStyle w:val="tlid-translation"/>
                          <w:lang w:val="en-US"/>
                        </w:rPr>
                        <w:t xml:space="preserve"> in relation</w:t>
                      </w:r>
                      <w:r w:rsidR="00DD1AA4">
                        <w:rPr>
                          <w:rStyle w:val="tlid-translation"/>
                          <w:lang w:val="en-US"/>
                        </w:rPr>
                        <w:t xml:space="preserve"> to the </w:t>
                      </w:r>
                      <w:r w:rsidR="00C320C4">
                        <w:rPr>
                          <w:rStyle w:val="tlid-translation"/>
                          <w:lang w:val="en-US"/>
                        </w:rPr>
                        <w:t>3rd</w:t>
                      </w:r>
                      <w:r w:rsidR="00DA2547">
                        <w:rPr>
                          <w:rStyle w:val="tlid-translation"/>
                          <w:lang w:val="en-US"/>
                        </w:rPr>
                        <w:t xml:space="preserve"> quarter of 2023</w:t>
                      </w:r>
                    </w:p>
                  </w:txbxContent>
                </v:textbox>
                <w10:wrap type="square" anchorx="margin"/>
              </v:roundrect>
            </w:pict>
          </mc:Fallback>
        </mc:AlternateContent>
      </w:r>
      <w:r w:rsidR="00B621D4" w:rsidRPr="008F07A8">
        <w:rPr>
          <w:b/>
          <w:color w:val="auto"/>
          <w:sz w:val="19"/>
          <w:szCs w:val="19"/>
          <w:lang w:val="en-AU"/>
        </w:rPr>
        <w:t xml:space="preserve">In the </w:t>
      </w:r>
      <w:r w:rsidR="00C320C4">
        <w:rPr>
          <w:b/>
          <w:color w:val="auto"/>
          <w:sz w:val="19"/>
          <w:szCs w:val="19"/>
          <w:lang w:val="en-AU"/>
        </w:rPr>
        <w:t>3rd</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w:t>
      </w:r>
      <w:r w:rsidR="00477950">
        <w:rPr>
          <w:b/>
          <w:color w:val="auto"/>
          <w:sz w:val="19"/>
          <w:szCs w:val="19"/>
          <w:lang w:val="en-AU"/>
        </w:rPr>
        <w:t>4</w:t>
      </w:r>
      <w:r w:rsidR="00B621D4" w:rsidRPr="008F07A8">
        <w:rPr>
          <w:b/>
          <w:color w:val="auto"/>
          <w:sz w:val="19"/>
          <w:szCs w:val="19"/>
          <w:lang w:val="en-AU"/>
        </w:rPr>
        <w:t>, t</w:t>
      </w:r>
      <w:r w:rsidR="00266960">
        <w:rPr>
          <w:b/>
          <w:color w:val="auto"/>
          <w:sz w:val="19"/>
          <w:szCs w:val="19"/>
          <w:lang w:val="en-AU"/>
        </w:rPr>
        <w:t>here was a</w:t>
      </w:r>
      <w:r w:rsidR="00E83AB0">
        <w:rPr>
          <w:b/>
          <w:color w:val="auto"/>
          <w:sz w:val="19"/>
          <w:szCs w:val="19"/>
          <w:lang w:val="en-AU"/>
        </w:rPr>
        <w:t xml:space="preserve"> </w:t>
      </w:r>
      <w:r w:rsidR="00266960">
        <w:rPr>
          <w:b/>
          <w:color w:val="auto"/>
          <w:sz w:val="19"/>
          <w:szCs w:val="19"/>
          <w:lang w:val="en-AU"/>
        </w:rPr>
        <w:t>de</w:t>
      </w:r>
      <w:r w:rsidR="00E83AB0">
        <w:rPr>
          <w:b/>
          <w:color w:val="auto"/>
          <w:sz w:val="19"/>
          <w:szCs w:val="19"/>
          <w:lang w:val="en-AU"/>
        </w:rPr>
        <w:t>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C320C4">
        <w:rPr>
          <w:b/>
          <w:color w:val="auto"/>
          <w:sz w:val="19"/>
          <w:szCs w:val="19"/>
          <w:lang w:val="en-AU"/>
        </w:rPr>
        <w:t>2.3</w:t>
      </w:r>
      <w:r w:rsidR="00BE694A" w:rsidRPr="00E86983">
        <w:rPr>
          <w:b/>
          <w:color w:val="auto"/>
          <w:sz w:val="19"/>
          <w:szCs w:val="19"/>
          <w:lang w:val="en-AU"/>
        </w:rPr>
        <w:t>%</w:t>
      </w:r>
      <w:r w:rsidR="00BE694A">
        <w:rPr>
          <w:b/>
          <w:color w:val="auto"/>
          <w:sz w:val="19"/>
          <w:szCs w:val="19"/>
          <w:lang w:val="en-AU"/>
        </w:rPr>
        <w:t xml:space="preserve"> and </w:t>
      </w:r>
      <w:r w:rsidR="00266960">
        <w:rPr>
          <w:b/>
          <w:color w:val="auto"/>
          <w:sz w:val="19"/>
          <w:szCs w:val="19"/>
          <w:lang w:val="en-AU"/>
        </w:rPr>
        <w:t xml:space="preserve">an increase </w:t>
      </w:r>
      <w:r w:rsidR="00BE694A">
        <w:rPr>
          <w:b/>
          <w:color w:val="auto"/>
          <w:sz w:val="19"/>
          <w:szCs w:val="19"/>
          <w:lang w:val="en-AU"/>
        </w:rPr>
        <w:t xml:space="preserve">of </w:t>
      </w:r>
      <w:r w:rsidR="00BE694A" w:rsidRPr="00E86983">
        <w:rPr>
          <w:b/>
          <w:color w:val="auto"/>
          <w:sz w:val="19"/>
          <w:szCs w:val="19"/>
          <w:lang w:val="en-AU"/>
        </w:rPr>
        <w:t xml:space="preserve">Poles by </w:t>
      </w:r>
      <w:r w:rsidR="00C320C4">
        <w:rPr>
          <w:b/>
          <w:color w:val="auto"/>
          <w:sz w:val="19"/>
          <w:szCs w:val="19"/>
          <w:lang w:val="en-AU"/>
        </w:rPr>
        <w:t>2.6</w:t>
      </w:r>
      <w:r w:rsidR="00BE694A" w:rsidRPr="00E86983">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761D200C" w:rsidR="00CF49DE" w:rsidRPr="00C320C4" w:rsidRDefault="00FA3BAA" w:rsidP="00CF49DE">
      <w:pPr>
        <w:spacing w:before="0"/>
        <w:rPr>
          <w:rFonts w:eastAsia="Times New Roman" w:cs="Times New Roman"/>
          <w:b/>
          <w:bCs/>
          <w:color w:val="FF0000"/>
          <w:szCs w:val="19"/>
          <w:lang w:val="en-AU" w:eastAsia="pl-PL"/>
        </w:rPr>
      </w:pPr>
      <w:r w:rsidRPr="006B3D24">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sidRPr="006B3D24">
        <w:rPr>
          <w:rFonts w:eastAsia="Times New Roman" w:cs="Times New Roman"/>
          <w:b/>
          <w:bCs/>
          <w:szCs w:val="19"/>
          <w:lang w:val="en-AU" w:eastAsia="pl-PL"/>
        </w:rPr>
        <w:t xml:space="preserve"> </w:t>
      </w:r>
      <w:r w:rsidRPr="006B3D24">
        <w:rPr>
          <w:rFonts w:eastAsia="Times New Roman" w:cs="Times New Roman"/>
          <w:b/>
          <w:bCs/>
          <w:szCs w:val="19"/>
          <w:lang w:val="en-AU" w:eastAsia="pl-PL"/>
        </w:rPr>
        <w:t xml:space="preserve">in the </w:t>
      </w:r>
      <w:r w:rsidR="002C7A04">
        <w:rPr>
          <w:rFonts w:eastAsia="Times New Roman" w:cs="Times New Roman"/>
          <w:b/>
          <w:bCs/>
          <w:szCs w:val="19"/>
          <w:lang w:val="en-AU" w:eastAsia="pl-PL"/>
        </w:rPr>
        <w:t>3rd</w:t>
      </w:r>
      <w:r w:rsidRPr="006B3D24">
        <w:rPr>
          <w:rFonts w:eastAsia="Times New Roman" w:cs="Times New Roman"/>
          <w:b/>
          <w:bCs/>
          <w:szCs w:val="19"/>
          <w:lang w:val="en-AU" w:eastAsia="pl-PL"/>
        </w:rPr>
        <w:t xml:space="preserve"> quarter of 202</w:t>
      </w:r>
      <w:r w:rsidR="00477950" w:rsidRPr="006B3D24">
        <w:rPr>
          <w:rFonts w:eastAsia="Times New Roman" w:cs="Times New Roman"/>
          <w:b/>
          <w:bCs/>
          <w:szCs w:val="19"/>
          <w:lang w:val="en-AU" w:eastAsia="pl-PL"/>
        </w:rPr>
        <w:t>3</w:t>
      </w:r>
      <w:r w:rsidRPr="006B3D24">
        <w:rPr>
          <w:rFonts w:eastAsia="Times New Roman" w:cs="Times New Roman"/>
          <w:b/>
          <w:bCs/>
          <w:szCs w:val="19"/>
          <w:lang w:val="en-AU" w:eastAsia="pl-PL"/>
        </w:rPr>
        <w:t xml:space="preserve"> by </w:t>
      </w:r>
      <w:r w:rsidR="00C8449C">
        <w:rPr>
          <w:rFonts w:eastAsia="Times New Roman" w:cs="Times New Roman"/>
          <w:b/>
          <w:bCs/>
          <w:szCs w:val="19"/>
          <w:lang w:val="en-AU" w:eastAsia="pl-PL"/>
        </w:rPr>
        <w:t>6.3</w:t>
      </w:r>
      <w:r w:rsidRPr="00C8449C">
        <w:rPr>
          <w:rFonts w:eastAsia="Times New Roman" w:cs="Times New Roman"/>
          <w:b/>
          <w:bCs/>
          <w:szCs w:val="19"/>
          <w:lang w:val="en-AU" w:eastAsia="pl-PL"/>
        </w:rPr>
        <w:t xml:space="preserve">% </w:t>
      </w:r>
      <w:r w:rsidRPr="006B3D24">
        <w:rPr>
          <w:rFonts w:eastAsia="Times New Roman" w:cs="Times New Roman"/>
          <w:b/>
          <w:bCs/>
          <w:szCs w:val="19"/>
          <w:lang w:val="en-AU" w:eastAsia="pl-PL"/>
        </w:rPr>
        <w:t xml:space="preserve">and </w:t>
      </w:r>
      <w:r w:rsidR="006B3D24">
        <w:rPr>
          <w:rFonts w:eastAsia="Times New Roman" w:cs="Times New Roman"/>
          <w:b/>
          <w:bCs/>
          <w:szCs w:val="19"/>
          <w:lang w:val="en-AU" w:eastAsia="pl-PL"/>
        </w:rPr>
        <w:t>8.4</w:t>
      </w:r>
      <w:r w:rsidRPr="006B3D24">
        <w:rPr>
          <w:rFonts w:eastAsia="Times New Roman" w:cs="Times New Roman"/>
          <w:b/>
          <w:bCs/>
          <w:szCs w:val="19"/>
          <w:lang w:val="en-AU" w:eastAsia="pl-PL"/>
        </w:rPr>
        <w:t>% respectively.</w:t>
      </w:r>
    </w:p>
    <w:p w14:paraId="013AA572" w14:textId="77777777" w:rsidR="009962C0" w:rsidRDefault="009962C0" w:rsidP="009962C0">
      <w:pPr>
        <w:pStyle w:val="tekstnaniebieskimtle"/>
        <w:spacing w:line="240" w:lineRule="exact"/>
        <w:rPr>
          <w:rFonts w:ascii="Fira Sans SemiBold" w:eastAsia="Times New Roman" w:hAnsi="Fira Sans SemiBold" w:cs="Times New Roman"/>
          <w:bCs/>
          <w:color w:val="001D77"/>
          <w:szCs w:val="24"/>
          <w:lang w:val="en-AU"/>
        </w:rPr>
      </w:pPr>
    </w:p>
    <w:p w14:paraId="3B4F7A79" w14:textId="60C7AFE1" w:rsidR="00D02E61" w:rsidRPr="00EE3571" w:rsidRDefault="00121A45" w:rsidP="009962C0">
      <w:pPr>
        <w:pStyle w:val="tekstnaniebieskimtle"/>
        <w:spacing w:before="240" w:after="120" w:line="240" w:lineRule="exact"/>
        <w:jc w:val="both"/>
        <w:rPr>
          <w:b/>
          <w:color w:val="001D77"/>
          <w:sz w:val="19"/>
          <w:szCs w:val="19"/>
          <w:lang w:val="en-AU"/>
        </w:rPr>
      </w:pPr>
      <w:r w:rsidRPr="00EE3571">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3DF4900F">
                <wp:simplePos x="0" y="0"/>
                <wp:positionH relativeFrom="page">
                  <wp:posOffset>5690870</wp:posOffset>
                </wp:positionH>
                <wp:positionV relativeFrom="paragraph">
                  <wp:posOffset>241935</wp:posOffset>
                </wp:positionV>
                <wp:extent cx="1762125" cy="1294765"/>
                <wp:effectExtent l="0" t="0" r="0" b="635"/>
                <wp:wrapSquare wrapText="bothSides"/>
                <wp:docPr id="11" name="Pole tekstowe 2" descr="In the 3rd quarter of 2024, the total number of crossings of the Polish border was lower compared to the same period of the previous year and higher compared to 2nd quarter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4765"/>
                        </a:xfrm>
                        <a:prstGeom prst="rect">
                          <a:avLst/>
                        </a:prstGeom>
                        <a:noFill/>
                        <a:ln w="9525">
                          <a:noFill/>
                          <a:miter lim="800000"/>
                          <a:headEnd/>
                          <a:tailEnd/>
                        </a:ln>
                      </wps:spPr>
                      <wps:txbx>
                        <w:txbxContent>
                          <w:p w14:paraId="67F09CDE" w14:textId="0098F0FD" w:rsidR="00DA2547" w:rsidRPr="003C0778" w:rsidRDefault="00DA2547"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9A7464">
                              <w:rPr>
                                <w:rFonts w:eastAsia="Times New Roman" w:cs="Times New Roman"/>
                                <w:bCs/>
                                <w:color w:val="001D77"/>
                                <w:sz w:val="18"/>
                                <w:szCs w:val="18"/>
                                <w:lang w:val="en-US" w:eastAsia="pl-PL"/>
                              </w:rPr>
                              <w:t>3rd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4</w:t>
                            </w:r>
                            <w:r w:rsidRPr="003C0778">
                              <w:rPr>
                                <w:rFonts w:eastAsia="Times New Roman" w:cs="Times New Roman"/>
                                <w:bCs/>
                                <w:color w:val="001D77"/>
                                <w:sz w:val="18"/>
                                <w:szCs w:val="18"/>
                                <w:lang w:val="en-US" w:eastAsia="pl-PL"/>
                              </w:rPr>
                              <w:t xml:space="preserve">, the </w:t>
                            </w:r>
                            <w:r w:rsidR="002D5884">
                              <w:rPr>
                                <w:rFonts w:eastAsia="Times New Roman" w:cs="Times New Roman"/>
                                <w:bCs/>
                                <w:color w:val="001D77"/>
                                <w:sz w:val="18"/>
                                <w:szCs w:val="18"/>
                                <w:lang w:val="en-US" w:eastAsia="pl-PL"/>
                              </w:rPr>
                              <w:t xml:space="preserve">total </w:t>
                            </w:r>
                            <w:r w:rsidRPr="003C0778">
                              <w:rPr>
                                <w:rFonts w:eastAsia="Times New Roman" w:cs="Times New Roman"/>
                                <w:bCs/>
                                <w:color w:val="001D77"/>
                                <w:sz w:val="18"/>
                                <w:szCs w:val="18"/>
                                <w:lang w:val="en-US" w:eastAsia="pl-PL"/>
                              </w:rPr>
                              <w:t>number of crossings of the Polish border</w:t>
                            </w:r>
                            <w:r>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 xml:space="preserve">was </w:t>
                            </w:r>
                            <w:r w:rsidR="00ED0524">
                              <w:rPr>
                                <w:rFonts w:eastAsia="Times New Roman" w:cs="Times New Roman"/>
                                <w:bCs/>
                                <w:color w:val="001D77"/>
                                <w:sz w:val="18"/>
                                <w:szCs w:val="18"/>
                                <w:lang w:val="en-US" w:eastAsia="pl-PL"/>
                              </w:rPr>
                              <w:t>lower</w:t>
                            </w:r>
                            <w:r w:rsidR="00C7264F">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w:t>
                            </w:r>
                            <w:r w:rsidR="00ED0524">
                              <w:rPr>
                                <w:rFonts w:eastAsia="Times New Roman" w:cs="Times New Roman"/>
                                <w:bCs/>
                                <w:color w:val="001D77"/>
                                <w:sz w:val="18"/>
                                <w:szCs w:val="18"/>
                                <w:lang w:val="en-US" w:eastAsia="pl-PL"/>
                              </w:rPr>
                              <w:t xml:space="preserve">higher compared to </w:t>
                            </w:r>
                            <w:r w:rsidR="009A7464">
                              <w:rPr>
                                <w:rFonts w:eastAsia="Times New Roman" w:cs="Times New Roman"/>
                                <w:bCs/>
                                <w:color w:val="001D77"/>
                                <w:sz w:val="18"/>
                                <w:szCs w:val="18"/>
                                <w:lang w:val="en-US" w:eastAsia="pl-PL"/>
                              </w:rPr>
                              <w:t>2nd</w:t>
                            </w:r>
                            <w:r w:rsidR="00ED0524">
                              <w:rPr>
                                <w:rFonts w:eastAsia="Times New Roman" w:cs="Times New Roman"/>
                                <w:bCs/>
                                <w:color w:val="001D77"/>
                                <w:sz w:val="18"/>
                                <w:szCs w:val="18"/>
                                <w:lang w:val="en-US" w:eastAsia="pl-PL"/>
                              </w:rPr>
                              <w:t xml:space="preserve"> quarter of 2024</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3rd quarter of 2024, the total number of crossings of the Polish border was lower compared to the same period of the previous year and higher compared to 2nd quarter of 2024" style="position:absolute;left:0;text-align:left;margin-left:448.1pt;margin-top:19.05pt;width:138.75pt;height:101.9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" filled="f" stroked="f">
                <v:textbox inset=",0">
                  <w:txbxContent>
                    <w:p w14:paraId="67F09CDE" w14:textId="0098F0FD" w:rsidR="00DA2547" w:rsidRPr="003C0778" w:rsidRDefault="00DA2547"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sidR="009A7464">
                        <w:rPr>
                          <w:rFonts w:eastAsia="Times New Roman" w:cs="Times New Roman"/>
                          <w:bCs/>
                          <w:color w:val="001D77"/>
                          <w:sz w:val="18"/>
                          <w:szCs w:val="18"/>
                          <w:lang w:val="en-US" w:eastAsia="pl-PL"/>
                        </w:rPr>
                        <w:t>3rd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4</w:t>
                      </w:r>
                      <w:r w:rsidRPr="003C0778">
                        <w:rPr>
                          <w:rFonts w:eastAsia="Times New Roman" w:cs="Times New Roman"/>
                          <w:bCs/>
                          <w:color w:val="001D77"/>
                          <w:sz w:val="18"/>
                          <w:szCs w:val="18"/>
                          <w:lang w:val="en-US" w:eastAsia="pl-PL"/>
                        </w:rPr>
                        <w:t xml:space="preserve">, the </w:t>
                      </w:r>
                      <w:r w:rsidR="002D5884">
                        <w:rPr>
                          <w:rFonts w:eastAsia="Times New Roman" w:cs="Times New Roman"/>
                          <w:bCs/>
                          <w:color w:val="001D77"/>
                          <w:sz w:val="18"/>
                          <w:szCs w:val="18"/>
                          <w:lang w:val="en-US" w:eastAsia="pl-PL"/>
                        </w:rPr>
                        <w:t xml:space="preserve">total </w:t>
                      </w:r>
                      <w:r w:rsidRPr="003C0778">
                        <w:rPr>
                          <w:rFonts w:eastAsia="Times New Roman" w:cs="Times New Roman"/>
                          <w:bCs/>
                          <w:color w:val="001D77"/>
                          <w:sz w:val="18"/>
                          <w:szCs w:val="18"/>
                          <w:lang w:val="en-US" w:eastAsia="pl-PL"/>
                        </w:rPr>
                        <w:t>number of crossings of the Polish border</w:t>
                      </w:r>
                      <w:r>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 xml:space="preserve">was </w:t>
                      </w:r>
                      <w:r w:rsidR="00ED0524">
                        <w:rPr>
                          <w:rFonts w:eastAsia="Times New Roman" w:cs="Times New Roman"/>
                          <w:bCs/>
                          <w:color w:val="001D77"/>
                          <w:sz w:val="18"/>
                          <w:szCs w:val="18"/>
                          <w:lang w:val="en-US" w:eastAsia="pl-PL"/>
                        </w:rPr>
                        <w:t>lower</w:t>
                      </w:r>
                      <w:r w:rsidR="00C7264F">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w:t>
                      </w:r>
                      <w:r w:rsidR="00ED0524">
                        <w:rPr>
                          <w:rFonts w:eastAsia="Times New Roman" w:cs="Times New Roman"/>
                          <w:bCs/>
                          <w:color w:val="001D77"/>
                          <w:sz w:val="18"/>
                          <w:szCs w:val="18"/>
                          <w:lang w:val="en-US" w:eastAsia="pl-PL"/>
                        </w:rPr>
                        <w:t xml:space="preserve">higher compared to </w:t>
                      </w:r>
                      <w:r w:rsidR="009A7464">
                        <w:rPr>
                          <w:rFonts w:eastAsia="Times New Roman" w:cs="Times New Roman"/>
                          <w:bCs/>
                          <w:color w:val="001D77"/>
                          <w:sz w:val="18"/>
                          <w:szCs w:val="18"/>
                          <w:lang w:val="en-US" w:eastAsia="pl-PL"/>
                        </w:rPr>
                        <w:t>2nd</w:t>
                      </w:r>
                      <w:r w:rsidR="00ED0524">
                        <w:rPr>
                          <w:rFonts w:eastAsia="Times New Roman" w:cs="Times New Roman"/>
                          <w:bCs/>
                          <w:color w:val="001D77"/>
                          <w:sz w:val="18"/>
                          <w:szCs w:val="18"/>
                          <w:lang w:val="en-US" w:eastAsia="pl-PL"/>
                        </w:rPr>
                        <w:t xml:space="preserve"> quarter of 2024</w:t>
                      </w:r>
                    </w:p>
                  </w:txbxContent>
                </v:textbox>
                <w10:wrap type="square" anchorx="page"/>
              </v:shape>
            </w:pict>
          </mc:Fallback>
        </mc:AlternateContent>
      </w:r>
      <w:r w:rsidR="008546C9" w:rsidRPr="00EE3571">
        <w:rPr>
          <w:rFonts w:eastAsia="Times New Roman" w:cs="Times New Roman"/>
          <w:b/>
          <w:bCs/>
          <w:color w:val="001D77"/>
          <w:sz w:val="19"/>
          <w:szCs w:val="19"/>
          <w:lang w:val="en-AU"/>
        </w:rPr>
        <w:t>Border traffic</w:t>
      </w:r>
      <w:r w:rsidR="008546C9" w:rsidRPr="00EE3571">
        <w:rPr>
          <w:b/>
          <w:noProof/>
          <w:color w:val="001D77"/>
          <w:spacing w:val="-2"/>
          <w:sz w:val="19"/>
          <w:szCs w:val="19"/>
          <w:lang w:val="en-AU" w:eastAsia="pl-PL"/>
        </w:rPr>
        <w:t xml:space="preserve"> </w:t>
      </w:r>
    </w:p>
    <w:p w14:paraId="00AD43E2" w14:textId="448F7E15" w:rsidR="00CF49DE" w:rsidRPr="008F07A8" w:rsidRDefault="00CD5421" w:rsidP="00CF49DE">
      <w:pPr>
        <w:spacing w:before="0" w:after="0"/>
        <w:rPr>
          <w:szCs w:val="19"/>
          <w:lang w:val="en-AU"/>
        </w:rPr>
      </w:pPr>
      <w:r w:rsidRPr="008F07A8">
        <w:rPr>
          <w:szCs w:val="20"/>
          <w:lang w:val="en-AU"/>
        </w:rPr>
        <w:t xml:space="preserve">In the </w:t>
      </w:r>
      <w:r w:rsidR="00C320C4">
        <w:rPr>
          <w:szCs w:val="20"/>
          <w:lang w:val="en-AU"/>
        </w:rPr>
        <w:t>3rd</w:t>
      </w:r>
      <w:r w:rsidRPr="008F07A8">
        <w:rPr>
          <w:szCs w:val="20"/>
          <w:lang w:val="en-AU"/>
        </w:rPr>
        <w:t xml:space="preserve"> quarter of 202</w:t>
      </w:r>
      <w:r w:rsidR="004E78EB">
        <w:rPr>
          <w:szCs w:val="20"/>
          <w:lang w:val="en-AU"/>
        </w:rPr>
        <w:t>4</w:t>
      </w:r>
      <w:r w:rsidRPr="008F07A8">
        <w:rPr>
          <w:szCs w:val="20"/>
          <w:lang w:val="en-AU"/>
        </w:rPr>
        <w:t>, the number of crossings of the Polish border amounted to</w:t>
      </w:r>
      <w:r w:rsidR="00273235">
        <w:rPr>
          <w:szCs w:val="20"/>
          <w:lang w:val="en-AU"/>
        </w:rPr>
        <w:br/>
      </w:r>
      <w:r w:rsidR="00C320C4">
        <w:rPr>
          <w:szCs w:val="20"/>
          <w:lang w:val="en-AU"/>
        </w:rPr>
        <w:t>83.5</w:t>
      </w:r>
      <w:r>
        <w:rPr>
          <w:szCs w:val="20"/>
          <w:lang w:val="en-AU"/>
        </w:rPr>
        <w:t xml:space="preserve"> million.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C320C4">
        <w:rPr>
          <w:szCs w:val="19"/>
          <w:lang w:val="en-AU"/>
        </w:rPr>
        <w:t>54.9</w:t>
      </w:r>
      <w:r w:rsidR="001B3556" w:rsidRPr="008F07A8">
        <w:rPr>
          <w:szCs w:val="19"/>
          <w:lang w:val="en-AU"/>
        </w:rPr>
        <w:t>% and Poles (residents)</w:t>
      </w:r>
      <w:r w:rsidR="00CF49DE" w:rsidRPr="008F07A8">
        <w:rPr>
          <w:szCs w:val="19"/>
          <w:lang w:val="en-AU"/>
        </w:rPr>
        <w:t xml:space="preserve"> – </w:t>
      </w:r>
      <w:r w:rsidR="00C320C4">
        <w:rPr>
          <w:szCs w:val="19"/>
          <w:lang w:val="en-AU"/>
        </w:rPr>
        <w:t>45.1</w:t>
      </w:r>
      <w:r w:rsidR="00CF49DE" w:rsidRPr="008F07A8">
        <w:rPr>
          <w:szCs w:val="19"/>
          <w:lang w:val="en-AU"/>
        </w:rPr>
        <w:t xml:space="preserve">%. </w:t>
      </w:r>
      <w:r w:rsidR="001B3556" w:rsidRPr="008F07A8">
        <w:rPr>
          <w:szCs w:val="19"/>
          <w:lang w:val="en-AU"/>
        </w:rPr>
        <w:t xml:space="preserve">The border traffic (from and to Poland) was </w:t>
      </w:r>
      <w:r w:rsidR="003B64D7">
        <w:rPr>
          <w:szCs w:val="19"/>
          <w:lang w:val="en-AU"/>
        </w:rPr>
        <w:t>lower</w:t>
      </w:r>
      <w:r w:rsidR="001B3556" w:rsidRPr="008F07A8">
        <w:rPr>
          <w:spacing w:val="-2"/>
          <w:lang w:val="en-AU"/>
        </w:rPr>
        <w:t xml:space="preserve"> </w:t>
      </w:r>
      <w:r w:rsidR="00DD6B6D" w:rsidRPr="008F07A8">
        <w:rPr>
          <w:szCs w:val="19"/>
          <w:lang w:val="en-AU"/>
        </w:rPr>
        <w:t xml:space="preserve">by </w:t>
      </w:r>
      <w:r w:rsidR="003B64D7">
        <w:rPr>
          <w:szCs w:val="19"/>
          <w:lang w:val="en-AU"/>
        </w:rPr>
        <w:t>0.</w:t>
      </w:r>
      <w:r w:rsidR="00C320C4">
        <w:rPr>
          <w:szCs w:val="19"/>
          <w:lang w:val="en-AU"/>
        </w:rPr>
        <w:t>1</w:t>
      </w:r>
      <w:r w:rsidR="00DD6B6D" w:rsidRPr="008F07A8">
        <w:rPr>
          <w:szCs w:val="19"/>
          <w:lang w:val="en-AU"/>
        </w:rPr>
        <w:t xml:space="preserve"> million</w:t>
      </w:r>
      <w:r w:rsidR="005E2C17">
        <w:rPr>
          <w:szCs w:val="19"/>
          <w:lang w:val="en-AU"/>
        </w:rPr>
        <w:t xml:space="preserve"> of crossings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 xml:space="preserve">Compared to the previous quarter, the </w:t>
      </w:r>
      <w:r w:rsidR="005E2C17">
        <w:rPr>
          <w:szCs w:val="19"/>
          <w:lang w:val="en-AU"/>
        </w:rPr>
        <w:t xml:space="preserve">total </w:t>
      </w:r>
      <w:r w:rsidR="001B3556" w:rsidRPr="008F07A8">
        <w:rPr>
          <w:szCs w:val="19"/>
          <w:lang w:val="en-AU"/>
        </w:rPr>
        <w:t xml:space="preserve">number of crossings </w:t>
      </w:r>
      <w:r w:rsidR="003B64D7">
        <w:rPr>
          <w:szCs w:val="19"/>
          <w:lang w:val="en-AU"/>
        </w:rPr>
        <w:t>increased</w:t>
      </w:r>
      <w:r w:rsidR="001B3556" w:rsidRPr="008F07A8">
        <w:rPr>
          <w:szCs w:val="19"/>
          <w:lang w:val="en-AU"/>
        </w:rPr>
        <w:t xml:space="preserve"> by</w:t>
      </w:r>
      <w:r w:rsidR="002E027F" w:rsidRPr="008F07A8">
        <w:rPr>
          <w:szCs w:val="19"/>
          <w:lang w:val="en-AU"/>
        </w:rPr>
        <w:t> </w:t>
      </w:r>
      <w:r w:rsidR="00C320C4">
        <w:rPr>
          <w:szCs w:val="19"/>
          <w:lang w:val="en-AU"/>
        </w:rPr>
        <w:t>10.4</w:t>
      </w:r>
      <w:r w:rsidR="001B3556" w:rsidRPr="008F07A8">
        <w:rPr>
          <w:szCs w:val="19"/>
          <w:lang w:val="en-AU"/>
        </w:rPr>
        <w:t>%</w:t>
      </w:r>
      <w:r w:rsidR="00AF4933">
        <w:rPr>
          <w:szCs w:val="19"/>
          <w:lang w:val="en-AU"/>
        </w:rPr>
        <w:t xml:space="preserve"> </w:t>
      </w:r>
      <w:r w:rsidR="001B3556" w:rsidRPr="008F07A8">
        <w:rPr>
          <w:szCs w:val="19"/>
          <w:lang w:val="en-AU"/>
        </w:rPr>
        <w:t xml:space="preserve">(foreigners by </w:t>
      </w:r>
      <w:r w:rsidR="00C320C4">
        <w:rPr>
          <w:szCs w:val="19"/>
          <w:lang w:val="en-AU"/>
        </w:rPr>
        <w:t>6.6</w:t>
      </w:r>
      <w:r w:rsidR="001B3556" w:rsidRPr="008F07A8">
        <w:rPr>
          <w:szCs w:val="19"/>
          <w:lang w:val="en-AU"/>
        </w:rPr>
        <w:t>%</w:t>
      </w:r>
      <w:r w:rsidR="005E2C17">
        <w:rPr>
          <w:szCs w:val="19"/>
          <w:lang w:val="en-AU"/>
        </w:rPr>
        <w:t xml:space="preserve"> </w:t>
      </w:r>
      <w:r w:rsidR="003B64D7">
        <w:rPr>
          <w:szCs w:val="19"/>
          <w:lang w:val="en-AU"/>
        </w:rPr>
        <w:t xml:space="preserve">and </w:t>
      </w:r>
      <w:r w:rsidR="001B3556" w:rsidRPr="008F07A8">
        <w:rPr>
          <w:szCs w:val="19"/>
          <w:lang w:val="en-AU"/>
        </w:rPr>
        <w:t>Poles</w:t>
      </w:r>
      <w:r w:rsidR="00AF4933">
        <w:rPr>
          <w:szCs w:val="19"/>
          <w:lang w:val="en-AU"/>
        </w:rPr>
        <w:t xml:space="preserve"> by</w:t>
      </w:r>
      <w:r w:rsidR="001B3556" w:rsidRPr="008F07A8">
        <w:rPr>
          <w:szCs w:val="19"/>
          <w:lang w:val="en-AU"/>
        </w:rPr>
        <w:t xml:space="preserve"> </w:t>
      </w:r>
      <w:r w:rsidR="00C320C4">
        <w:rPr>
          <w:szCs w:val="19"/>
          <w:lang w:val="en-AU"/>
        </w:rPr>
        <w:t>15.5</w:t>
      </w:r>
      <w:r w:rsidR="00CF49DE" w:rsidRPr="008F07A8">
        <w:rPr>
          <w:szCs w:val="19"/>
          <w:lang w:val="en-AU"/>
        </w:rPr>
        <w:t>%).</w:t>
      </w:r>
    </w:p>
    <w:p w14:paraId="1211D4B9" w14:textId="5A0C25EF" w:rsidR="00CF49DE" w:rsidRPr="008F07A8" w:rsidRDefault="00281510" w:rsidP="00CF49DE">
      <w:pPr>
        <w:rPr>
          <w:noProof/>
          <w:szCs w:val="19"/>
          <w:lang w:val="en-AU" w:eastAsia="pl-PL"/>
        </w:rPr>
      </w:pPr>
      <w:r>
        <w:rPr>
          <w:noProof/>
          <w:szCs w:val="19"/>
          <w:lang w:val="en-AU" w:eastAsia="pl-PL"/>
        </w:rPr>
        <w:t xml:space="preserve">In the </w:t>
      </w:r>
      <w:r w:rsidR="00C320C4">
        <w:rPr>
          <w:noProof/>
          <w:szCs w:val="19"/>
          <w:lang w:val="en-AU" w:eastAsia="pl-PL"/>
        </w:rPr>
        <w:t>3rd</w:t>
      </w:r>
      <w:r w:rsidR="00637DD7" w:rsidRPr="008F07A8">
        <w:rPr>
          <w:noProof/>
          <w:szCs w:val="19"/>
          <w:lang w:val="en-AU" w:eastAsia="pl-PL"/>
        </w:rPr>
        <w:t xml:space="preserve"> quarter of</w:t>
      </w:r>
      <w:r w:rsidR="004F74BC" w:rsidRPr="008F07A8">
        <w:rPr>
          <w:noProof/>
          <w:szCs w:val="19"/>
          <w:lang w:val="en-AU" w:eastAsia="pl-PL"/>
        </w:rPr>
        <w:t xml:space="preserve"> 202</w:t>
      </w:r>
      <w:r w:rsidR="00575AA2">
        <w:rPr>
          <w:noProof/>
          <w:szCs w:val="19"/>
          <w:lang w:val="en-AU" w:eastAsia="pl-PL"/>
        </w:rPr>
        <w:t>4</w:t>
      </w:r>
      <w:r w:rsidR="00C93486">
        <w:rPr>
          <w:noProof/>
          <w:szCs w:val="19"/>
          <w:lang w:val="en-AU" w:eastAsia="pl-PL"/>
        </w:rPr>
        <w:t>,</w:t>
      </w:r>
      <w:r w:rsidR="00637DD7" w:rsidRPr="008F07A8">
        <w:rPr>
          <w:noProof/>
          <w:szCs w:val="19"/>
          <w:lang w:val="en-AU" w:eastAsia="pl-PL"/>
        </w:rPr>
        <w:t xml:space="preserve"> </w:t>
      </w:r>
      <w:r w:rsidR="00C320C4">
        <w:rPr>
          <w:noProof/>
          <w:szCs w:val="19"/>
          <w:lang w:val="en-AU" w:eastAsia="pl-PL"/>
        </w:rPr>
        <w:t>70.2</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C320C4">
        <w:rPr>
          <w:noProof/>
          <w:szCs w:val="19"/>
          <w:lang w:val="en-AU" w:eastAsia="pl-PL"/>
        </w:rPr>
        <w:t>21.4</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C320C4">
        <w:rPr>
          <w:noProof/>
          <w:szCs w:val="19"/>
          <w:lang w:val="en-AU" w:eastAsia="pl-PL"/>
        </w:rPr>
        <w:t>7.7</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9408AB">
        <w:rPr>
          <w:noProof/>
          <w:szCs w:val="19"/>
          <w:lang w:val="en-AU" w:eastAsia="pl-PL"/>
        </w:rPr>
        <w:t>0.</w:t>
      </w:r>
      <w:r w:rsidR="00C320C4">
        <w:rPr>
          <w:noProof/>
          <w:szCs w:val="19"/>
          <w:lang w:val="en-AU" w:eastAsia="pl-PL"/>
        </w:rPr>
        <w:t>7</w:t>
      </w:r>
      <w:r>
        <w:rPr>
          <w:noProof/>
          <w:szCs w:val="19"/>
          <w:lang w:val="en-AU" w:eastAsia="pl-PL"/>
        </w:rPr>
        <w:t>% sea border</w:t>
      </w:r>
      <w:r w:rsidR="00CF49DE" w:rsidRPr="008F07A8">
        <w:rPr>
          <w:noProof/>
          <w:szCs w:val="19"/>
          <w:lang w:val="en-AU" w:eastAsia="pl-PL"/>
        </w:rPr>
        <w:t>.</w:t>
      </w:r>
    </w:p>
    <w:p w14:paraId="1B3E0533" w14:textId="63D03599" w:rsidR="00637DD7" w:rsidRDefault="003F2221" w:rsidP="00BA34C2">
      <w:pPr>
        <w:spacing w:before="240" w:after="240" w:line="240" w:lineRule="auto"/>
        <w:ind w:left="652" w:hanging="652"/>
        <w:rPr>
          <w:rFonts w:eastAsia="Times New Roman" w:cs="Arial"/>
          <w:b/>
          <w:szCs w:val="19"/>
          <w:lang w:val="en-AU" w:eastAsia="pl-PL"/>
        </w:rPr>
      </w:pPr>
      <w:r>
        <w:rPr>
          <w:noProof/>
          <w:lang w:eastAsia="pl-PL"/>
        </w:rPr>
        <w:drawing>
          <wp:anchor distT="0" distB="0" distL="114300" distR="114300" simplePos="0" relativeHeight="251808768" behindDoc="0" locked="0" layoutInCell="1" allowOverlap="1" wp14:anchorId="2B23957E" wp14:editId="446214E3">
            <wp:simplePos x="0" y="0"/>
            <wp:positionH relativeFrom="margin">
              <wp:align>right</wp:align>
            </wp:positionH>
            <wp:positionV relativeFrom="paragraph">
              <wp:posOffset>497673</wp:posOffset>
            </wp:positionV>
            <wp:extent cx="5122545" cy="2626360"/>
            <wp:effectExtent l="0" t="0" r="1905" b="2540"/>
            <wp:wrapSquare wrapText="bothSides"/>
            <wp:docPr id="21" name="Obraz 21" descr="Chart 1. Border traffic of people (from and to Poland) by sections of the border in the 3rd quarter of 2024.&#10;The total number of crossings for foreigners amounted to 45.8 million and 37.7 million for Pol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ruch E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2800" cy="2626920"/>
                    </a:xfrm>
                    <a:prstGeom prst="rect">
                      <a:avLst/>
                    </a:prstGeom>
                  </pic:spPr>
                </pic:pic>
              </a:graphicData>
            </a:graphic>
            <wp14:sizeRelH relativeFrom="margin">
              <wp14:pctWidth>0</wp14:pctWidth>
            </wp14:sizeRelH>
            <wp14:sizeRelV relativeFrom="margin">
              <wp14:pctHeight>0</wp14:pctHeight>
            </wp14:sizeRelV>
          </wp:anchor>
        </w:drawing>
      </w:r>
      <w:r w:rsidR="00CE0447" w:rsidRPr="00FA59D7">
        <w:rPr>
          <w:b/>
          <w:noProof/>
          <w:spacing w:val="-2"/>
          <w:lang w:eastAsia="pl-PL"/>
        </w:rPr>
        <mc:AlternateContent>
          <mc:Choice Requires="wps">
            <w:drawing>
              <wp:anchor distT="45720" distB="45720" distL="114300" distR="114300" simplePos="0" relativeHeight="251770880" behindDoc="1" locked="0" layoutInCell="1" allowOverlap="1" wp14:anchorId="79AAA863" wp14:editId="27B70277">
                <wp:simplePos x="0" y="0"/>
                <wp:positionH relativeFrom="column">
                  <wp:posOffset>5251755</wp:posOffset>
                </wp:positionH>
                <wp:positionV relativeFrom="paragraph">
                  <wp:posOffset>77470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DA2547" w:rsidRPr="003C0778" w:rsidRDefault="00DA2547"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AA863" id="_x0000_s1028" type="#_x0000_t202" alt="Foreigners predominated in the structure of crossings of the Polish border " style="position:absolute;left:0;text-align:left;margin-left:413.5pt;margin-top:6.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" filled="f" stroked="f">
                <v:textbox inset=",0,,0">
                  <w:txbxContent>
                    <w:p w14:paraId="3049F4E3" w14:textId="5F50DCE2" w:rsidR="00DA2547" w:rsidRPr="003C0778" w:rsidRDefault="00DA2547"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066EB7">
        <w:rPr>
          <w:rFonts w:eastAsia="Times New Roman" w:cs="Arial"/>
          <w:b/>
          <w:spacing w:val="-5"/>
          <w:szCs w:val="19"/>
          <w:lang w:val="en-AU" w:eastAsia="pl-PL"/>
        </w:rPr>
        <w:t>Chart</w:t>
      </w:r>
      <w:r w:rsidR="003C0778" w:rsidRPr="00FA59D7">
        <w:rPr>
          <w:rFonts w:eastAsia="Times New Roman" w:cs="Arial"/>
          <w:b/>
          <w:spacing w:val="-5"/>
          <w:szCs w:val="19"/>
          <w:lang w:val="en-AU" w:eastAsia="pl-PL"/>
        </w:rPr>
        <w:t xml:space="preserve"> 1. </w:t>
      </w:r>
      <w:r w:rsidR="003C0778" w:rsidRPr="00212C20">
        <w:rPr>
          <w:rFonts w:eastAsia="Times New Roman" w:cs="Arial"/>
          <w:b/>
          <w:szCs w:val="19"/>
          <w:lang w:val="en-AU" w:eastAsia="pl-PL"/>
        </w:rPr>
        <w:t>Border traffic of people (from and to Poland) by sections of the border in the</w:t>
      </w:r>
      <w:r w:rsidR="004D54D9" w:rsidRPr="00212C20">
        <w:rPr>
          <w:rFonts w:eastAsia="Times New Roman" w:cs="Arial"/>
          <w:b/>
          <w:szCs w:val="19"/>
          <w:lang w:val="en-AU" w:eastAsia="pl-PL"/>
        </w:rPr>
        <w:br/>
      </w:r>
      <w:r w:rsidR="00A57090" w:rsidRPr="00212C20">
        <w:rPr>
          <w:rFonts w:eastAsia="Times New Roman" w:cs="Arial"/>
          <w:b/>
          <w:szCs w:val="19"/>
          <w:lang w:val="en-AU" w:eastAsia="pl-PL"/>
        </w:rPr>
        <w:t>3rd</w:t>
      </w:r>
      <w:r w:rsidR="003C0778" w:rsidRPr="00212C20">
        <w:rPr>
          <w:rFonts w:eastAsia="Times New Roman" w:cs="Arial"/>
          <w:b/>
          <w:szCs w:val="19"/>
          <w:lang w:val="en-AU" w:eastAsia="pl-PL"/>
        </w:rPr>
        <w:t xml:space="preserve"> quarter of 202</w:t>
      </w:r>
      <w:r w:rsidR="00066EB7" w:rsidRPr="00212C20">
        <w:rPr>
          <w:rFonts w:eastAsia="Times New Roman" w:cs="Arial"/>
          <w:b/>
          <w:szCs w:val="19"/>
          <w:lang w:val="en-AU" w:eastAsia="pl-PL"/>
        </w:rPr>
        <w:t>4</w:t>
      </w:r>
    </w:p>
    <w:p w14:paraId="6CAAE7C2" w14:textId="178C5668" w:rsidR="0080162D" w:rsidRPr="003F2221" w:rsidRDefault="0080162D" w:rsidP="003F2221">
      <w:pPr>
        <w:spacing w:before="240" w:after="240" w:line="240" w:lineRule="auto"/>
        <w:ind w:left="567" w:hanging="567"/>
        <w:rPr>
          <w:rFonts w:eastAsia="Times New Roman" w:cs="Arial"/>
          <w:b/>
          <w:szCs w:val="19"/>
          <w:lang w:val="en-AU" w:eastAsia="pl-PL"/>
        </w:rPr>
      </w:pPr>
    </w:p>
    <w:p w14:paraId="5C0265B1" w14:textId="68901BC4" w:rsidR="0094458F" w:rsidRPr="008F07A8" w:rsidRDefault="00637DD7" w:rsidP="004D54D9">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9A7464">
        <w:rPr>
          <w:szCs w:val="19"/>
          <w:lang w:val="en-AU"/>
        </w:rPr>
        <w:t>49.7</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9A7464">
        <w:rPr>
          <w:szCs w:val="19"/>
          <w:lang w:val="en-AU"/>
        </w:rPr>
        <w:t>24.0</w:t>
      </w:r>
      <w:r w:rsidRPr="008F07A8">
        <w:rPr>
          <w:szCs w:val="19"/>
          <w:lang w:val="en-AU"/>
        </w:rPr>
        <w:t>%),</w:t>
      </w:r>
      <w:r w:rsidR="00273235">
        <w:rPr>
          <w:szCs w:val="19"/>
          <w:lang w:val="en-AU"/>
        </w:rPr>
        <w:t xml:space="preserve"> </w:t>
      </w:r>
      <w:r w:rsidRPr="008F07A8">
        <w:rPr>
          <w:szCs w:val="19"/>
          <w:lang w:val="en-AU"/>
        </w:rPr>
        <w:t>Slovakia</w:t>
      </w:r>
      <w:r w:rsidR="006C69A5" w:rsidRPr="008F07A8">
        <w:rPr>
          <w:szCs w:val="19"/>
          <w:lang w:val="en-AU"/>
        </w:rPr>
        <w:t xml:space="preserve"> (</w:t>
      </w:r>
      <w:r w:rsidR="009A7464">
        <w:rPr>
          <w:szCs w:val="19"/>
          <w:lang w:val="en-AU"/>
        </w:rPr>
        <w:t>12.8</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9A7464">
        <w:rPr>
          <w:szCs w:val="19"/>
          <w:lang w:val="en-AU"/>
        </w:rPr>
        <w:t>8.3</w:t>
      </w:r>
      <w:r w:rsidR="008567CA" w:rsidRPr="008F07A8">
        <w:rPr>
          <w:szCs w:val="19"/>
          <w:lang w:val="en-AU"/>
        </w:rPr>
        <w:t xml:space="preserve">%), </w:t>
      </w:r>
      <w:r w:rsidRPr="008F07A8">
        <w:rPr>
          <w:szCs w:val="19"/>
          <w:lang w:val="en-AU"/>
        </w:rPr>
        <w:t>Lithuania</w:t>
      </w:r>
      <w:r w:rsidR="00F10BC1" w:rsidRPr="008F07A8">
        <w:rPr>
          <w:szCs w:val="19"/>
          <w:lang w:val="en-AU"/>
        </w:rPr>
        <w:t xml:space="preserve"> (</w:t>
      </w:r>
      <w:r w:rsidR="009A7464">
        <w:rPr>
          <w:szCs w:val="19"/>
          <w:lang w:val="en-AU"/>
        </w:rPr>
        <w:t>3.6</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9A7464">
        <w:rPr>
          <w:szCs w:val="19"/>
          <w:lang w:val="en-AU"/>
        </w:rPr>
        <w:t>1.2</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9A7464">
        <w:rPr>
          <w:szCs w:val="19"/>
          <w:lang w:val="en-AU"/>
        </w:rPr>
        <w:t>4</w:t>
      </w:r>
      <w:r w:rsidR="006C69A5" w:rsidRPr="008F07A8">
        <w:rPr>
          <w:szCs w:val="19"/>
          <w:lang w:val="en-AU"/>
        </w:rPr>
        <w:t>%).</w:t>
      </w:r>
    </w:p>
    <w:p w14:paraId="120C3C77" w14:textId="63845669" w:rsidR="00010594" w:rsidRPr="005C76CC" w:rsidRDefault="00EB3D34" w:rsidP="00010594">
      <w:pPr>
        <w:tabs>
          <w:tab w:val="left" w:pos="-840"/>
        </w:tabs>
        <w:spacing w:after="0"/>
        <w:rPr>
          <w:szCs w:val="19"/>
          <w:lang w:val="en-AU"/>
        </w:rPr>
      </w:pPr>
      <w:r w:rsidRPr="005C76CC">
        <w:rPr>
          <w:szCs w:val="19"/>
          <w:lang w:val="en-AU"/>
        </w:rPr>
        <w:t>Citizens of a neighbouring country predominated a</w:t>
      </w:r>
      <w:r w:rsidR="00637DD7" w:rsidRPr="005C76CC">
        <w:rPr>
          <w:szCs w:val="19"/>
          <w:lang w:val="en-AU"/>
        </w:rPr>
        <w:t xml:space="preserve">mong foreigners crossing individual sections of the Polish land border, for example: on the border with Ukraine </w:t>
      </w:r>
      <w:r w:rsidR="00E43D10">
        <w:rPr>
          <w:szCs w:val="19"/>
          <w:lang w:val="en-AU"/>
        </w:rPr>
        <w:t>–</w:t>
      </w:r>
      <w:r w:rsidR="00637DD7" w:rsidRPr="005C76CC">
        <w:rPr>
          <w:szCs w:val="19"/>
          <w:lang w:val="en-AU"/>
        </w:rPr>
        <w:t xml:space="preserve"> citizens of Ukraine</w:t>
      </w:r>
      <w:r w:rsidR="00115A35" w:rsidRPr="005C76CC">
        <w:rPr>
          <w:szCs w:val="19"/>
          <w:lang w:val="en-AU"/>
        </w:rPr>
        <w:t xml:space="preserve"> (</w:t>
      </w:r>
      <w:r w:rsidR="00995504" w:rsidRPr="005C76CC">
        <w:rPr>
          <w:szCs w:val="19"/>
          <w:lang w:val="en-AU"/>
        </w:rPr>
        <w:t>9</w:t>
      </w:r>
      <w:r w:rsidR="001B4BE7">
        <w:rPr>
          <w:szCs w:val="19"/>
          <w:lang w:val="en-AU"/>
        </w:rPr>
        <w:t>6</w:t>
      </w:r>
      <w:r w:rsidR="00F10BC1" w:rsidRPr="005C76CC">
        <w:rPr>
          <w:szCs w:val="19"/>
          <w:lang w:val="en-AU"/>
        </w:rPr>
        <w:t>.</w:t>
      </w:r>
      <w:r w:rsidR="00BF2ABE">
        <w:rPr>
          <w:szCs w:val="19"/>
          <w:lang w:val="en-AU"/>
        </w:rPr>
        <w:t>1</w:t>
      </w:r>
      <w:r w:rsidR="00115A35" w:rsidRPr="005C76CC">
        <w:rPr>
          <w:szCs w:val="19"/>
          <w:lang w:val="en-AU"/>
        </w:rPr>
        <w:t xml:space="preserve">%), </w:t>
      </w:r>
      <w:r w:rsidR="00637DD7" w:rsidRPr="005C76CC">
        <w:rPr>
          <w:szCs w:val="19"/>
          <w:lang w:val="en-AU"/>
        </w:rPr>
        <w:t>on the border with Belarus – citizens of Belarus</w:t>
      </w:r>
      <w:r w:rsidR="00C6659B" w:rsidRPr="005C76CC">
        <w:rPr>
          <w:szCs w:val="19"/>
          <w:lang w:val="en-AU"/>
        </w:rPr>
        <w:t xml:space="preserve"> (</w:t>
      </w:r>
      <w:r w:rsidR="009A7464">
        <w:rPr>
          <w:szCs w:val="19"/>
          <w:lang w:val="en-AU"/>
        </w:rPr>
        <w:t>81.7</w:t>
      </w:r>
      <w:r w:rsidR="00C6659B" w:rsidRPr="005C76CC">
        <w:rPr>
          <w:szCs w:val="19"/>
          <w:lang w:val="en-AU"/>
        </w:rPr>
        <w:t>%)</w:t>
      </w:r>
      <w:r w:rsidR="006E2BE9" w:rsidRPr="005C76CC">
        <w:rPr>
          <w:szCs w:val="19"/>
          <w:lang w:val="en-AU"/>
        </w:rPr>
        <w:t>.</w:t>
      </w:r>
    </w:p>
    <w:p w14:paraId="431A38D5" w14:textId="39195FC9" w:rsidR="009363FA" w:rsidRPr="00EE3571" w:rsidRDefault="00F02F29" w:rsidP="00BE6878">
      <w:pPr>
        <w:tabs>
          <w:tab w:val="left" w:pos="-840"/>
        </w:tabs>
        <w:spacing w:before="240"/>
        <w:rPr>
          <w:b/>
          <w:color w:val="001D77"/>
          <w:lang w:val="en-AU"/>
        </w:rPr>
      </w:pPr>
      <w:r w:rsidRPr="00EE3571">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anchorId="3961DDE7" wp14:editId="6AC734B6">
                <wp:simplePos x="0" y="0"/>
                <wp:positionH relativeFrom="column">
                  <wp:posOffset>5257800</wp:posOffset>
                </wp:positionH>
                <wp:positionV relativeFrom="paragraph">
                  <wp:posOffset>227330</wp:posOffset>
                </wp:positionV>
                <wp:extent cx="1749425" cy="1248410"/>
                <wp:effectExtent l="0" t="0" r="3175" b="8890"/>
                <wp:wrapTight wrapText="bothSides">
                  <wp:wrapPolygon edited="0">
                    <wp:start x="706" y="0"/>
                    <wp:lineTo x="706" y="21424"/>
                    <wp:lineTo x="21404" y="21424"/>
                    <wp:lineTo x="21404" y="0"/>
                    <wp:lineTo x="706" y="0"/>
                  </wp:wrapPolygon>
                </wp:wrapTight>
                <wp:docPr id="27" name="Pole tekstowe 27" descr="The values of goods and services purchased both by foreigners in Poland and by Poles abroad were higher than in the 3rd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248410"/>
                        </a:xfrm>
                        <a:prstGeom prst="rect">
                          <a:avLst/>
                        </a:prstGeom>
                        <a:noFill/>
                        <a:ln w="9525">
                          <a:noFill/>
                          <a:miter lim="800000"/>
                          <a:headEnd/>
                          <a:tailEnd/>
                        </a:ln>
                      </wps:spPr>
                      <wps:txbx>
                        <w:txbxContent>
                          <w:p w14:paraId="7F50BFEB" w14:textId="4CC558E7" w:rsidR="00DA2547" w:rsidRPr="003C0778" w:rsidRDefault="00DA2547"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 xml:space="preserve">Poles abroad were higher than in the </w:t>
                            </w:r>
                            <w:r w:rsidR="00E56978">
                              <w:rPr>
                                <w:rFonts w:eastAsia="Times New Roman" w:cs="Times New Roman"/>
                                <w:bCs/>
                                <w:color w:val="001D77"/>
                                <w:spacing w:val="-4"/>
                                <w:sz w:val="18"/>
                                <w:szCs w:val="18"/>
                                <w:lang w:val="en-GB" w:eastAsia="pl-PL"/>
                              </w:rPr>
                              <w:t>3rd</w:t>
                            </w:r>
                            <w:r w:rsidRPr="002E5810">
                              <w:rPr>
                                <w:rFonts w:eastAsia="Times New Roman" w:cs="Times New Roman"/>
                                <w:bCs/>
                                <w:color w:val="001D77"/>
                                <w:spacing w:val="-4"/>
                                <w:sz w:val="18"/>
                                <w:szCs w:val="18"/>
                                <w:lang w:val="en-GB" w:eastAsia="pl-PL"/>
                              </w:rPr>
                              <w:t xml:space="preserve"> </w:t>
                            </w:r>
                            <w:r>
                              <w:rPr>
                                <w:rFonts w:eastAsia="Times New Roman" w:cs="Times New Roman"/>
                                <w:bCs/>
                                <w:color w:val="001D77"/>
                                <w:spacing w:val="-4"/>
                                <w:sz w:val="18"/>
                                <w:szCs w:val="18"/>
                                <w:lang w:val="en-GB" w:eastAsia="pl-PL"/>
                              </w:rPr>
                              <w:t>quarter of 2023</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s of goods and services purchased both by foreigners in Poland and by Poles abroad were higher than in the 3rd quarter of 2023" style="position:absolute;margin-left:414pt;margin-top:17.9pt;width:137.75pt;height:98.3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" filled="f" stroked="f">
                <v:textbox inset=",0,1mm,0">
                  <w:txbxContent>
                    <w:p w14:paraId="7F50BFEB" w14:textId="4CC558E7" w:rsidR="00DA2547" w:rsidRPr="003C0778" w:rsidRDefault="00DA2547"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 xml:space="preserve">Poles abroad were higher than in the </w:t>
                      </w:r>
                      <w:r w:rsidR="00E56978">
                        <w:rPr>
                          <w:rFonts w:eastAsia="Times New Roman" w:cs="Times New Roman"/>
                          <w:bCs/>
                          <w:color w:val="001D77"/>
                          <w:spacing w:val="-4"/>
                          <w:sz w:val="18"/>
                          <w:szCs w:val="18"/>
                          <w:lang w:val="en-GB" w:eastAsia="pl-PL"/>
                        </w:rPr>
                        <w:t>3rd</w:t>
                      </w:r>
                      <w:r w:rsidRPr="002E5810">
                        <w:rPr>
                          <w:rFonts w:eastAsia="Times New Roman" w:cs="Times New Roman"/>
                          <w:bCs/>
                          <w:color w:val="001D77"/>
                          <w:spacing w:val="-4"/>
                          <w:sz w:val="18"/>
                          <w:szCs w:val="18"/>
                          <w:lang w:val="en-GB" w:eastAsia="pl-PL"/>
                        </w:rPr>
                        <w:t xml:space="preserve"> </w:t>
                      </w:r>
                      <w:r>
                        <w:rPr>
                          <w:rFonts w:eastAsia="Times New Roman" w:cs="Times New Roman"/>
                          <w:bCs/>
                          <w:color w:val="001D77"/>
                          <w:spacing w:val="-4"/>
                          <w:sz w:val="18"/>
                          <w:szCs w:val="18"/>
                          <w:lang w:val="en-GB" w:eastAsia="pl-PL"/>
                        </w:rPr>
                        <w:t>quarter of 2023</w:t>
                      </w:r>
                    </w:p>
                  </w:txbxContent>
                </v:textbox>
                <w10:wrap type="tight"/>
              </v:shape>
            </w:pict>
          </mc:Fallback>
        </mc:AlternateContent>
      </w:r>
      <w:r w:rsidR="00B95EA7" w:rsidRPr="00EE3571">
        <w:rPr>
          <w:b/>
          <w:bCs/>
          <w:color w:val="001D77"/>
          <w:lang w:val="en-AU"/>
        </w:rPr>
        <w:t>Expenses made by foreigners in Poland and by Poles abroad</w:t>
      </w:r>
    </w:p>
    <w:p w14:paraId="0B228EBD" w14:textId="1CF63D88" w:rsidR="001442A2" w:rsidRPr="00E56978" w:rsidRDefault="003D2202" w:rsidP="00495B77">
      <w:pPr>
        <w:overflowPunct w:val="0"/>
        <w:autoSpaceDE w:val="0"/>
        <w:autoSpaceDN w:val="0"/>
        <w:adjustRightInd w:val="0"/>
        <w:spacing w:before="0" w:after="240"/>
        <w:textAlignment w:val="baseline"/>
        <w:rPr>
          <w:bCs/>
          <w:color w:val="FF0000"/>
          <w:spacing w:val="-2"/>
          <w:szCs w:val="19"/>
          <w:lang w:val="en-AU"/>
        </w:rPr>
      </w:pPr>
      <w:r w:rsidRPr="00C8449C">
        <w:rPr>
          <w:bCs/>
          <w:spacing w:val="-2"/>
          <w:szCs w:val="19"/>
          <w:lang w:val="en-AU"/>
        </w:rPr>
        <w:t>T</w:t>
      </w:r>
      <w:r w:rsidR="00B95EA7" w:rsidRPr="00C8449C">
        <w:rPr>
          <w:bCs/>
          <w:spacing w:val="-2"/>
          <w:szCs w:val="19"/>
          <w:lang w:val="en-AU"/>
        </w:rPr>
        <w:t>he value of goods and services purchased in Poland by foreigners</w:t>
      </w:r>
      <w:r w:rsidRPr="00C8449C">
        <w:rPr>
          <w:bCs/>
          <w:spacing w:val="-2"/>
          <w:szCs w:val="19"/>
          <w:lang w:val="en-AU"/>
        </w:rPr>
        <w:t xml:space="preserve"> in the </w:t>
      </w:r>
      <w:r w:rsidR="00E56978" w:rsidRPr="00C8449C">
        <w:rPr>
          <w:bCs/>
          <w:spacing w:val="-2"/>
          <w:szCs w:val="19"/>
          <w:lang w:val="en-AU"/>
        </w:rPr>
        <w:t>3rd</w:t>
      </w:r>
      <w:r w:rsidRPr="00C8449C">
        <w:rPr>
          <w:bCs/>
          <w:spacing w:val="-2"/>
          <w:szCs w:val="19"/>
          <w:lang w:val="en-AU"/>
        </w:rPr>
        <w:t xml:space="preserve"> quarter of 202</w:t>
      </w:r>
      <w:r w:rsidR="007A1D31" w:rsidRPr="00C8449C">
        <w:rPr>
          <w:bCs/>
          <w:spacing w:val="-2"/>
          <w:szCs w:val="19"/>
          <w:lang w:val="en-AU"/>
        </w:rPr>
        <w:t>4</w:t>
      </w:r>
      <w:r w:rsidR="00B95EA7" w:rsidRPr="00C8449C">
        <w:rPr>
          <w:bCs/>
          <w:spacing w:val="-2"/>
          <w:szCs w:val="19"/>
          <w:lang w:val="en-AU"/>
        </w:rPr>
        <w:t xml:space="preserve"> amounted to PLN </w:t>
      </w:r>
      <w:r w:rsidR="00C8449C" w:rsidRPr="00C8449C">
        <w:rPr>
          <w:bCs/>
          <w:spacing w:val="-2"/>
          <w:szCs w:val="19"/>
          <w:lang w:val="en-AU"/>
        </w:rPr>
        <w:t>14.4</w:t>
      </w:r>
      <w:r w:rsidR="00B95EA7" w:rsidRPr="00C8449C">
        <w:rPr>
          <w:spacing w:val="-2"/>
          <w:szCs w:val="19"/>
          <w:lang w:val="en-AU"/>
        </w:rPr>
        <w:t xml:space="preserve"> billion</w:t>
      </w:r>
      <w:r w:rsidR="001442A2" w:rsidRPr="00C8449C">
        <w:rPr>
          <w:spacing w:val="-2"/>
          <w:szCs w:val="19"/>
          <w:lang w:val="en-AU"/>
        </w:rPr>
        <w:t xml:space="preserve">, </w:t>
      </w:r>
      <w:r w:rsidR="00B95EA7" w:rsidRPr="00E56978">
        <w:rPr>
          <w:bCs/>
          <w:spacing w:val="-2"/>
          <w:szCs w:val="19"/>
          <w:lang w:val="en-AU"/>
        </w:rPr>
        <w:t>while the expenses incurred abroad by Polish residents in this</w:t>
      </w:r>
      <w:r w:rsidR="00273235" w:rsidRPr="00E56978">
        <w:rPr>
          <w:bCs/>
          <w:spacing w:val="-2"/>
          <w:szCs w:val="19"/>
          <w:lang w:val="en-AU"/>
        </w:rPr>
        <w:t xml:space="preserve"> </w:t>
      </w:r>
      <w:r w:rsidR="00B95EA7" w:rsidRPr="00E56978">
        <w:rPr>
          <w:bCs/>
          <w:spacing w:val="-2"/>
          <w:szCs w:val="19"/>
          <w:lang w:val="en-AU"/>
        </w:rPr>
        <w:t xml:space="preserve">period amounted to PLN </w:t>
      </w:r>
      <w:r w:rsidR="00E56978">
        <w:rPr>
          <w:spacing w:val="-2"/>
          <w:szCs w:val="19"/>
          <w:lang w:val="en-AU"/>
        </w:rPr>
        <w:t>9.6</w:t>
      </w:r>
      <w:r w:rsidR="00B95EA7" w:rsidRPr="00E56978">
        <w:rPr>
          <w:spacing w:val="-2"/>
          <w:szCs w:val="19"/>
          <w:lang w:val="en-AU"/>
        </w:rPr>
        <w:t xml:space="preserve"> billion</w:t>
      </w:r>
      <w:r w:rsidR="001442A2" w:rsidRPr="00E56978">
        <w:rPr>
          <w:spacing w:val="-2"/>
          <w:szCs w:val="19"/>
          <w:lang w:val="en-AU"/>
        </w:rPr>
        <w:t xml:space="preserve">. </w:t>
      </w:r>
      <w:r w:rsidR="00B95EA7" w:rsidRPr="00E56978">
        <w:rPr>
          <w:bCs/>
          <w:spacing w:val="-2"/>
          <w:szCs w:val="19"/>
          <w:lang w:val="en-AU"/>
        </w:rPr>
        <w:t xml:space="preserve">It was </w:t>
      </w:r>
      <w:r w:rsidR="00B95EA7" w:rsidRPr="00C8449C">
        <w:rPr>
          <w:bCs/>
          <w:spacing w:val="-2"/>
          <w:szCs w:val="19"/>
          <w:lang w:val="en-AU"/>
        </w:rPr>
        <w:t xml:space="preserve">respectively </w:t>
      </w:r>
      <w:r w:rsidR="00C8449C" w:rsidRPr="00C8449C">
        <w:rPr>
          <w:bCs/>
          <w:spacing w:val="-2"/>
          <w:szCs w:val="19"/>
          <w:lang w:val="en-AU"/>
        </w:rPr>
        <w:t>6.3%</w:t>
      </w:r>
      <w:r w:rsidR="00B95EA7" w:rsidRPr="00C8449C">
        <w:rPr>
          <w:spacing w:val="-2"/>
          <w:szCs w:val="19"/>
          <w:lang w:val="en-AU"/>
        </w:rPr>
        <w:t xml:space="preserve"> </w:t>
      </w:r>
      <w:r w:rsidR="00B95EA7" w:rsidRPr="00E56978">
        <w:rPr>
          <w:spacing w:val="-2"/>
          <w:szCs w:val="19"/>
          <w:lang w:val="en-AU"/>
        </w:rPr>
        <w:t>and</w:t>
      </w:r>
      <w:r w:rsidR="00332A74" w:rsidRPr="00E56978">
        <w:rPr>
          <w:spacing w:val="-2"/>
          <w:szCs w:val="19"/>
          <w:lang w:val="en-AU"/>
        </w:rPr>
        <w:t xml:space="preserve"> </w:t>
      </w:r>
      <w:r w:rsidR="00E56978">
        <w:rPr>
          <w:spacing w:val="-2"/>
          <w:szCs w:val="19"/>
          <w:lang w:val="en-AU"/>
        </w:rPr>
        <w:t>8.4</w:t>
      </w:r>
      <w:r w:rsidR="001442A2" w:rsidRPr="00E56978">
        <w:rPr>
          <w:spacing w:val="-2"/>
          <w:szCs w:val="19"/>
          <w:lang w:val="en-AU"/>
        </w:rPr>
        <w:t>%</w:t>
      </w:r>
      <w:r w:rsidR="00B95EA7" w:rsidRPr="00E56978">
        <w:rPr>
          <w:bCs/>
          <w:spacing w:val="-2"/>
          <w:szCs w:val="19"/>
          <w:lang w:val="en-AU"/>
        </w:rPr>
        <w:t xml:space="preserve"> </w:t>
      </w:r>
      <w:r w:rsidR="00CB7B6B" w:rsidRPr="00E56978">
        <w:rPr>
          <w:bCs/>
          <w:spacing w:val="-2"/>
          <w:szCs w:val="19"/>
          <w:lang w:val="en-AU"/>
        </w:rPr>
        <w:t>more</w:t>
      </w:r>
      <w:r w:rsidR="00B95EA7" w:rsidRPr="00E56978">
        <w:rPr>
          <w:bCs/>
          <w:spacing w:val="-2"/>
          <w:szCs w:val="19"/>
          <w:lang w:val="en-AU"/>
        </w:rPr>
        <w:t xml:space="preserve"> than</w:t>
      </w:r>
      <w:r w:rsidR="00E37E2C" w:rsidRPr="00E56978">
        <w:rPr>
          <w:bCs/>
          <w:spacing w:val="-2"/>
          <w:szCs w:val="19"/>
          <w:lang w:val="en-AU"/>
        </w:rPr>
        <w:t xml:space="preserve"> in</w:t>
      </w:r>
      <w:r w:rsidR="00B95EA7" w:rsidRPr="00E56978">
        <w:rPr>
          <w:bCs/>
          <w:spacing w:val="-2"/>
          <w:szCs w:val="19"/>
          <w:lang w:val="en-AU"/>
        </w:rPr>
        <w:t xml:space="preserve"> </w:t>
      </w:r>
      <w:r w:rsidR="00C660FD" w:rsidRPr="00E56978">
        <w:rPr>
          <w:bCs/>
          <w:spacing w:val="-2"/>
          <w:szCs w:val="19"/>
          <w:lang w:val="en-AU"/>
        </w:rPr>
        <w:t>the corresponding period of the previous year</w:t>
      </w:r>
      <w:r w:rsidR="001442A2" w:rsidRPr="00E56978">
        <w:rPr>
          <w:spacing w:val="-2"/>
          <w:szCs w:val="19"/>
          <w:lang w:val="en-AU"/>
        </w:rPr>
        <w:t>.</w:t>
      </w:r>
      <w:r w:rsidR="00495B77" w:rsidRPr="00E56978">
        <w:rPr>
          <w:spacing w:val="-2"/>
          <w:szCs w:val="19"/>
          <w:lang w:val="en-AU"/>
        </w:rPr>
        <w:t xml:space="preserve"> In comparison with the previous quarter, the expen</w:t>
      </w:r>
      <w:r w:rsidR="004E5F9D" w:rsidRPr="00E56978">
        <w:rPr>
          <w:spacing w:val="-2"/>
          <w:szCs w:val="19"/>
          <w:lang w:val="en-AU"/>
        </w:rPr>
        <w:t>ses</w:t>
      </w:r>
      <w:r w:rsidR="00495B77" w:rsidRPr="00E56978">
        <w:rPr>
          <w:spacing w:val="-2"/>
          <w:szCs w:val="19"/>
          <w:lang w:val="en-AU"/>
        </w:rPr>
        <w:t xml:space="preserve"> of</w:t>
      </w:r>
      <w:r w:rsidR="00BF2ABE" w:rsidRPr="00E56978">
        <w:rPr>
          <w:spacing w:val="-2"/>
          <w:szCs w:val="19"/>
          <w:lang w:val="en-AU"/>
        </w:rPr>
        <w:t xml:space="preserve"> both</w:t>
      </w:r>
      <w:r w:rsidR="00495B77" w:rsidRPr="00E56978">
        <w:rPr>
          <w:spacing w:val="-2"/>
          <w:szCs w:val="19"/>
          <w:lang w:val="en-AU"/>
        </w:rPr>
        <w:t xml:space="preserve"> foreigners </w:t>
      </w:r>
      <w:r w:rsidR="00BF2ABE" w:rsidRPr="00E56978">
        <w:rPr>
          <w:spacing w:val="-2"/>
          <w:szCs w:val="19"/>
          <w:lang w:val="en-AU"/>
        </w:rPr>
        <w:t>and</w:t>
      </w:r>
      <w:r w:rsidR="005A580D" w:rsidRPr="00E56978">
        <w:rPr>
          <w:spacing w:val="-2"/>
          <w:szCs w:val="19"/>
          <w:lang w:val="en-AU"/>
        </w:rPr>
        <w:t xml:space="preserve"> Poles increased</w:t>
      </w:r>
      <w:r w:rsidR="00515355" w:rsidRPr="00E56978">
        <w:rPr>
          <w:spacing w:val="-2"/>
          <w:szCs w:val="19"/>
          <w:lang w:val="en-AU"/>
        </w:rPr>
        <w:t xml:space="preserve"> </w:t>
      </w:r>
      <w:r w:rsidR="00BF2ABE" w:rsidRPr="00E56978">
        <w:rPr>
          <w:spacing w:val="-2"/>
          <w:szCs w:val="19"/>
          <w:lang w:val="en-AU"/>
        </w:rPr>
        <w:t xml:space="preserve">respectively </w:t>
      </w:r>
      <w:r w:rsidR="00515355" w:rsidRPr="00E56978">
        <w:rPr>
          <w:spacing w:val="-2"/>
          <w:szCs w:val="19"/>
          <w:lang w:val="en-AU"/>
        </w:rPr>
        <w:t xml:space="preserve">by </w:t>
      </w:r>
      <w:r w:rsidR="00C8449C" w:rsidRPr="00C8449C">
        <w:rPr>
          <w:spacing w:val="-2"/>
          <w:szCs w:val="19"/>
          <w:lang w:val="en-AU"/>
        </w:rPr>
        <w:t>19.1%</w:t>
      </w:r>
      <w:r w:rsidR="00BF2ABE" w:rsidRPr="00C8449C">
        <w:rPr>
          <w:spacing w:val="-2"/>
          <w:szCs w:val="19"/>
          <w:lang w:val="en-AU"/>
        </w:rPr>
        <w:t xml:space="preserve"> </w:t>
      </w:r>
      <w:r w:rsidR="00BF2ABE" w:rsidRPr="00E56978">
        <w:rPr>
          <w:spacing w:val="-2"/>
          <w:szCs w:val="19"/>
          <w:lang w:val="en-AU"/>
        </w:rPr>
        <w:t xml:space="preserve">and </w:t>
      </w:r>
      <w:r w:rsidR="00E56978">
        <w:rPr>
          <w:spacing w:val="-2"/>
          <w:szCs w:val="19"/>
          <w:lang w:val="en-AU"/>
        </w:rPr>
        <w:t>22.0</w:t>
      </w:r>
      <w:r w:rsidR="00BF2ABE" w:rsidRPr="00E56978">
        <w:rPr>
          <w:spacing w:val="-2"/>
          <w:szCs w:val="19"/>
          <w:lang w:val="en-AU"/>
        </w:rPr>
        <w:t>%</w:t>
      </w:r>
      <w:r w:rsidR="00495B77" w:rsidRPr="00E56978">
        <w:rPr>
          <w:spacing w:val="-2"/>
          <w:szCs w:val="19"/>
          <w:lang w:val="en-AU"/>
        </w:rPr>
        <w:t>.</w:t>
      </w:r>
    </w:p>
    <w:p w14:paraId="6D1ED03A" w14:textId="45C6AE0C" w:rsidR="002002C9" w:rsidRPr="00284EC9" w:rsidRDefault="003F2221" w:rsidP="00202679">
      <w:pPr>
        <w:spacing w:before="0" w:line="240" w:lineRule="auto"/>
        <w:ind w:left="697" w:hanging="697"/>
        <w:rPr>
          <w:rFonts w:cs="Arial"/>
          <w:b/>
          <w:bCs/>
          <w:color w:val="FF0000"/>
          <w:spacing w:val="-2"/>
          <w:szCs w:val="19"/>
          <w:lang w:val="en-AU"/>
        </w:rPr>
      </w:pPr>
      <w:r>
        <w:rPr>
          <w:rFonts w:cs="Arial"/>
          <w:b/>
          <w:bCs/>
          <w:spacing w:val="-2"/>
          <w:szCs w:val="19"/>
          <w:lang w:val="en-AU"/>
        </w:rPr>
        <w:t>Chart 2</w:t>
      </w:r>
      <w:r w:rsidR="002002C9" w:rsidRPr="00FA59D7">
        <w:rPr>
          <w:rFonts w:cs="Arial"/>
          <w:b/>
          <w:bCs/>
          <w:spacing w:val="-2"/>
          <w:szCs w:val="19"/>
          <w:lang w:val="en-AU"/>
        </w:rPr>
        <w:t xml:space="preserve">. </w:t>
      </w:r>
      <w:r w:rsidRPr="00A963B2">
        <w:rPr>
          <w:rFonts w:cs="Arial"/>
          <w:b/>
          <w:bCs/>
          <w:spacing w:val="-2"/>
          <w:szCs w:val="19"/>
          <w:lang w:val="en-AU"/>
        </w:rPr>
        <w:t>T</w:t>
      </w:r>
      <w:r w:rsidR="00AB2B43" w:rsidRPr="00A963B2">
        <w:rPr>
          <w:rFonts w:cs="Arial"/>
          <w:b/>
          <w:bCs/>
          <w:szCs w:val="19"/>
          <w:lang w:val="en-AU"/>
        </w:rPr>
        <w:t xml:space="preserve">otal </w:t>
      </w:r>
      <w:r w:rsidR="002002C9" w:rsidRPr="00A963B2">
        <w:rPr>
          <w:rFonts w:cs="Arial"/>
          <w:b/>
          <w:bCs/>
          <w:szCs w:val="19"/>
          <w:lang w:val="en-AU"/>
        </w:rPr>
        <w:t>expenses made by foreigners in Poland and by Poles abroad</w:t>
      </w:r>
      <w:r w:rsidR="007A4BDB" w:rsidRPr="00A963B2">
        <w:rPr>
          <w:rFonts w:cs="Arial"/>
          <w:b/>
          <w:bCs/>
          <w:szCs w:val="19"/>
          <w:lang w:val="en-AU"/>
        </w:rPr>
        <w:t xml:space="preserve"> by border</w:t>
      </w:r>
      <w:r w:rsidR="00273235" w:rsidRPr="00A963B2">
        <w:rPr>
          <w:rFonts w:cs="Arial"/>
          <w:b/>
          <w:bCs/>
          <w:szCs w:val="19"/>
          <w:lang w:val="en-AU"/>
        </w:rPr>
        <w:br/>
      </w:r>
      <w:r w:rsidR="007A4BDB" w:rsidRPr="00A963B2">
        <w:rPr>
          <w:rFonts w:cs="Arial"/>
          <w:b/>
          <w:bCs/>
          <w:szCs w:val="19"/>
          <w:lang w:val="en-AU"/>
        </w:rPr>
        <w:t>section</w:t>
      </w:r>
      <w:r w:rsidR="00EC06CC" w:rsidRPr="00A963B2">
        <w:rPr>
          <w:rFonts w:cs="Arial"/>
          <w:b/>
          <w:bCs/>
          <w:szCs w:val="19"/>
          <w:lang w:val="en-AU"/>
        </w:rPr>
        <w:t>s</w:t>
      </w:r>
      <w:r w:rsidR="002002C9" w:rsidRPr="00A963B2">
        <w:rPr>
          <w:rFonts w:cs="Arial"/>
          <w:b/>
          <w:bCs/>
          <w:szCs w:val="19"/>
          <w:lang w:val="en-AU"/>
        </w:rPr>
        <w:t xml:space="preserve"> in the</w:t>
      </w:r>
      <w:r w:rsidR="00EC06CC" w:rsidRPr="00A963B2">
        <w:rPr>
          <w:rFonts w:cs="Arial"/>
          <w:b/>
          <w:bCs/>
          <w:szCs w:val="19"/>
          <w:lang w:val="en-AU"/>
        </w:rPr>
        <w:t xml:space="preserve"> </w:t>
      </w:r>
      <w:r w:rsidR="00A57090" w:rsidRPr="00A963B2">
        <w:rPr>
          <w:rFonts w:cs="Arial"/>
          <w:b/>
          <w:bCs/>
          <w:szCs w:val="19"/>
          <w:lang w:val="en-AU"/>
        </w:rPr>
        <w:t>3rd</w:t>
      </w:r>
      <w:r w:rsidR="002002C9" w:rsidRPr="00A963B2">
        <w:rPr>
          <w:rFonts w:cs="Arial"/>
          <w:b/>
          <w:bCs/>
          <w:szCs w:val="19"/>
          <w:lang w:val="en-AU"/>
        </w:rPr>
        <w:t xml:space="preserve"> quarter of 20</w:t>
      </w:r>
      <w:r w:rsidR="002002C9" w:rsidRPr="00A963B2">
        <w:rPr>
          <w:rFonts w:cs="Arial"/>
          <w:b/>
          <w:bCs/>
          <w:spacing w:val="-2"/>
          <w:szCs w:val="19"/>
          <w:lang w:val="en-AU"/>
        </w:rPr>
        <w:t>2</w:t>
      </w:r>
      <w:r w:rsidR="00430F21" w:rsidRPr="00A963B2">
        <w:rPr>
          <w:rFonts w:cs="Arial"/>
          <w:b/>
          <w:bCs/>
          <w:spacing w:val="-2"/>
          <w:szCs w:val="19"/>
          <w:lang w:val="en-AU"/>
        </w:rPr>
        <w:t>4</w:t>
      </w:r>
    </w:p>
    <w:p w14:paraId="2F48644C" w14:textId="6D3C60B1" w:rsidR="008F56E0" w:rsidRPr="00A963B2" w:rsidRDefault="00A963B2" w:rsidP="008F56E0">
      <w:pPr>
        <w:spacing w:before="240" w:after="240" w:line="240" w:lineRule="auto"/>
        <w:jc w:val="center"/>
        <w:rPr>
          <w:szCs w:val="19"/>
          <w:lang w:val="en-AU"/>
        </w:rPr>
      </w:pPr>
      <w:r>
        <w:rPr>
          <w:noProof/>
          <w:szCs w:val="19"/>
          <w:lang w:eastAsia="pl-PL"/>
        </w:rPr>
        <w:drawing>
          <wp:inline distT="0" distB="0" distL="0" distR="0" wp14:anchorId="40564EC0" wp14:editId="5A51E376">
            <wp:extent cx="5122545" cy="2616835"/>
            <wp:effectExtent l="0" t="0" r="1905" b="0"/>
            <wp:docPr id="12" name="Obraz 12" descr="Chart 2. Total expenses made by foreigners in Poland and by Poles abroad by border sections in the 3rd quarter of 2024.&#10;The value of total expenditure for foreigners amounted to PLN 14.4 billion and PLN 9.6 billion for Pol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_wydatki a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2545" cy="2616835"/>
                    </a:xfrm>
                    <a:prstGeom prst="rect">
                      <a:avLst/>
                    </a:prstGeom>
                  </pic:spPr>
                </pic:pic>
              </a:graphicData>
            </a:graphic>
          </wp:inline>
        </w:drawing>
      </w:r>
    </w:p>
    <w:p w14:paraId="5B0CE7B7" w14:textId="34573BE0" w:rsidR="00566710" w:rsidRPr="00C8449C" w:rsidRDefault="00ED3D4E" w:rsidP="00566710">
      <w:pPr>
        <w:overflowPunct w:val="0"/>
        <w:autoSpaceDE w:val="0"/>
        <w:autoSpaceDN w:val="0"/>
        <w:adjustRightInd w:val="0"/>
        <w:spacing w:after="0"/>
        <w:textAlignment w:val="baseline"/>
        <w:rPr>
          <w:spacing w:val="-2"/>
          <w:szCs w:val="19"/>
          <w:lang w:val="en-AU"/>
        </w:rPr>
      </w:pPr>
      <w:r w:rsidRPr="00C8449C">
        <w:rPr>
          <w:spacing w:val="-2"/>
          <w:szCs w:val="19"/>
          <w:lang w:val="en-AU"/>
        </w:rPr>
        <w:t>In the structure of expenses incurred in Poland by foreigners crossing the land border</w:t>
      </w:r>
      <w:r w:rsidR="005D1D2A" w:rsidRPr="00C8449C">
        <w:rPr>
          <w:spacing w:val="-2"/>
          <w:szCs w:val="19"/>
          <w:lang w:val="en-AU"/>
        </w:rPr>
        <w:t xml:space="preserve"> in the </w:t>
      </w:r>
      <w:r w:rsidR="00E56978" w:rsidRPr="00C8449C">
        <w:rPr>
          <w:spacing w:val="-2"/>
          <w:szCs w:val="19"/>
          <w:lang w:val="en-AU"/>
        </w:rPr>
        <w:t>3rd</w:t>
      </w:r>
      <w:r w:rsidR="005D1D2A" w:rsidRPr="00C8449C">
        <w:rPr>
          <w:spacing w:val="-2"/>
          <w:szCs w:val="19"/>
          <w:lang w:val="en-AU"/>
        </w:rPr>
        <w:t xml:space="preserve"> quarter of 202</w:t>
      </w:r>
      <w:r w:rsidR="00413522" w:rsidRPr="00C8449C">
        <w:rPr>
          <w:spacing w:val="-2"/>
          <w:szCs w:val="19"/>
          <w:lang w:val="en-AU"/>
        </w:rPr>
        <w:t>4</w:t>
      </w:r>
      <w:r w:rsidRPr="00C8449C">
        <w:rPr>
          <w:spacing w:val="-2"/>
          <w:szCs w:val="19"/>
          <w:lang w:val="en-AU"/>
        </w:rPr>
        <w:t xml:space="preserve">, the largest share </w:t>
      </w:r>
      <w:r w:rsidR="005C439D" w:rsidRPr="00C8449C">
        <w:rPr>
          <w:spacing w:val="-2"/>
          <w:szCs w:val="19"/>
          <w:lang w:val="en-AU"/>
        </w:rPr>
        <w:t xml:space="preserve">was </w:t>
      </w:r>
      <w:r w:rsidRPr="00C8449C">
        <w:rPr>
          <w:spacing w:val="-2"/>
          <w:szCs w:val="19"/>
          <w:lang w:val="en-AU"/>
        </w:rPr>
        <w:t xml:space="preserve">constituted </w:t>
      </w:r>
      <w:r w:rsidR="005C439D" w:rsidRPr="00C8449C">
        <w:rPr>
          <w:spacing w:val="-2"/>
          <w:szCs w:val="19"/>
          <w:lang w:val="en-AU"/>
        </w:rPr>
        <w:t xml:space="preserve">by </w:t>
      </w:r>
      <w:r w:rsidRPr="00C8449C">
        <w:rPr>
          <w:spacing w:val="-2"/>
          <w:szCs w:val="19"/>
          <w:lang w:val="en-AU"/>
        </w:rPr>
        <w:t>expenses of persons crossing the border with Germany</w:t>
      </w:r>
      <w:r w:rsidR="00566710" w:rsidRPr="00C8449C">
        <w:rPr>
          <w:spacing w:val="-2"/>
          <w:szCs w:val="19"/>
          <w:lang w:val="en-AU"/>
        </w:rPr>
        <w:t xml:space="preserve"> (</w:t>
      </w:r>
      <w:r w:rsidR="00C8449C" w:rsidRPr="00C8449C">
        <w:rPr>
          <w:spacing w:val="-2"/>
          <w:szCs w:val="19"/>
          <w:lang w:val="en-AU"/>
        </w:rPr>
        <w:t>50.7</w:t>
      </w:r>
      <w:r w:rsidRPr="00C8449C">
        <w:rPr>
          <w:spacing w:val="-2"/>
          <w:szCs w:val="19"/>
          <w:lang w:val="en-AU"/>
        </w:rPr>
        <w:t>%), followed by</w:t>
      </w:r>
      <w:r w:rsidR="00F10BC1" w:rsidRPr="00C8449C">
        <w:rPr>
          <w:spacing w:val="-2"/>
          <w:szCs w:val="19"/>
          <w:lang w:val="en-AU"/>
        </w:rPr>
        <w:t xml:space="preserve"> </w:t>
      </w:r>
      <w:r w:rsidR="00CC7968" w:rsidRPr="00C8449C">
        <w:rPr>
          <w:spacing w:val="-2"/>
          <w:szCs w:val="19"/>
          <w:lang w:val="en-AU"/>
        </w:rPr>
        <w:t>Ukraine (</w:t>
      </w:r>
      <w:r w:rsidR="00C8449C" w:rsidRPr="00C8449C">
        <w:rPr>
          <w:spacing w:val="-2"/>
          <w:szCs w:val="19"/>
          <w:lang w:val="en-AU"/>
        </w:rPr>
        <w:t>21.2</w:t>
      </w:r>
      <w:r w:rsidR="00CC7968" w:rsidRPr="00C8449C">
        <w:rPr>
          <w:spacing w:val="-2"/>
          <w:szCs w:val="19"/>
          <w:lang w:val="en-AU"/>
        </w:rPr>
        <w:t xml:space="preserve">%), </w:t>
      </w:r>
      <w:r w:rsidRPr="00C8449C">
        <w:rPr>
          <w:spacing w:val="-2"/>
          <w:szCs w:val="19"/>
          <w:lang w:val="en-AU"/>
        </w:rPr>
        <w:t xml:space="preserve">Czechia </w:t>
      </w:r>
      <w:r w:rsidR="00566710" w:rsidRPr="00C8449C">
        <w:rPr>
          <w:spacing w:val="-2"/>
          <w:szCs w:val="19"/>
          <w:lang w:val="en-AU"/>
        </w:rPr>
        <w:t>(</w:t>
      </w:r>
      <w:r w:rsidR="00C8449C" w:rsidRPr="00C8449C">
        <w:rPr>
          <w:spacing w:val="-2"/>
          <w:szCs w:val="19"/>
          <w:lang w:val="en-AU"/>
        </w:rPr>
        <w:t>13.4</w:t>
      </w:r>
      <w:r w:rsidRPr="00C8449C">
        <w:rPr>
          <w:spacing w:val="-2"/>
          <w:szCs w:val="19"/>
          <w:lang w:val="en-AU"/>
        </w:rPr>
        <w:t>%), Slovakia</w:t>
      </w:r>
      <w:r w:rsidR="00566710" w:rsidRPr="00C8449C">
        <w:rPr>
          <w:spacing w:val="-2"/>
          <w:szCs w:val="19"/>
          <w:lang w:val="en-AU"/>
        </w:rPr>
        <w:t xml:space="preserve"> (</w:t>
      </w:r>
      <w:r w:rsidR="00C8449C" w:rsidRPr="00C8449C">
        <w:rPr>
          <w:spacing w:val="-2"/>
          <w:szCs w:val="19"/>
          <w:lang w:val="en-AU"/>
        </w:rPr>
        <w:t>8.0</w:t>
      </w:r>
      <w:r w:rsidRPr="00C8449C">
        <w:rPr>
          <w:spacing w:val="-2"/>
          <w:szCs w:val="19"/>
          <w:lang w:val="en-AU"/>
        </w:rPr>
        <w:t>%), Lithuania</w:t>
      </w:r>
      <w:r w:rsidR="00566710" w:rsidRPr="00C8449C">
        <w:rPr>
          <w:spacing w:val="-2"/>
          <w:szCs w:val="19"/>
          <w:lang w:val="en-AU"/>
        </w:rPr>
        <w:t xml:space="preserve"> (</w:t>
      </w:r>
      <w:r w:rsidR="00C26C86" w:rsidRPr="00C8449C">
        <w:rPr>
          <w:spacing w:val="-2"/>
          <w:szCs w:val="19"/>
          <w:lang w:val="en-AU"/>
        </w:rPr>
        <w:t>4.</w:t>
      </w:r>
      <w:r w:rsidR="00C8449C" w:rsidRPr="00C8449C">
        <w:rPr>
          <w:spacing w:val="-2"/>
          <w:szCs w:val="19"/>
          <w:lang w:val="en-AU"/>
        </w:rPr>
        <w:t>5</w:t>
      </w:r>
      <w:r w:rsidRPr="00C8449C">
        <w:rPr>
          <w:spacing w:val="-2"/>
          <w:szCs w:val="19"/>
          <w:lang w:val="en-AU"/>
        </w:rPr>
        <w:t>%), Belarus</w:t>
      </w:r>
      <w:r w:rsidR="00566710" w:rsidRPr="00C8449C">
        <w:rPr>
          <w:spacing w:val="-2"/>
          <w:szCs w:val="19"/>
          <w:lang w:val="en-AU"/>
        </w:rPr>
        <w:t xml:space="preserve"> (</w:t>
      </w:r>
      <w:r w:rsidR="00C8449C" w:rsidRPr="00C8449C">
        <w:rPr>
          <w:spacing w:val="-2"/>
          <w:szCs w:val="19"/>
          <w:lang w:val="en-AU"/>
        </w:rPr>
        <w:t>1.8</w:t>
      </w:r>
      <w:r w:rsidR="00F42CE5" w:rsidRPr="00C8449C">
        <w:rPr>
          <w:spacing w:val="-2"/>
          <w:szCs w:val="19"/>
          <w:lang w:val="en-AU"/>
        </w:rPr>
        <w:t>%)</w:t>
      </w:r>
      <w:r w:rsidRPr="00C8449C">
        <w:rPr>
          <w:spacing w:val="-2"/>
          <w:szCs w:val="19"/>
          <w:lang w:val="en-AU"/>
        </w:rPr>
        <w:t xml:space="preserve"> and Russia</w:t>
      </w:r>
      <w:r w:rsidR="00566710" w:rsidRPr="00C8449C">
        <w:rPr>
          <w:spacing w:val="-2"/>
          <w:szCs w:val="19"/>
          <w:lang w:val="en-AU"/>
        </w:rPr>
        <w:t xml:space="preserve"> (</w:t>
      </w:r>
      <w:r w:rsidR="00F10BC1" w:rsidRPr="00C8449C">
        <w:rPr>
          <w:spacing w:val="-2"/>
          <w:szCs w:val="19"/>
          <w:lang w:val="en-AU"/>
        </w:rPr>
        <w:t>0.</w:t>
      </w:r>
      <w:r w:rsidR="00C8449C" w:rsidRPr="00C8449C">
        <w:rPr>
          <w:spacing w:val="-2"/>
          <w:szCs w:val="19"/>
          <w:lang w:val="en-AU"/>
        </w:rPr>
        <w:t>4</w:t>
      </w:r>
      <w:r w:rsidR="00566710" w:rsidRPr="00C8449C">
        <w:rPr>
          <w:spacing w:val="-2"/>
          <w:szCs w:val="19"/>
          <w:lang w:val="en-AU"/>
        </w:rPr>
        <w:t>%).</w:t>
      </w:r>
    </w:p>
    <w:p w14:paraId="5707B417" w14:textId="4EFB10D3"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00273235">
        <w:rPr>
          <w:spacing w:val="-2"/>
          <w:szCs w:val="19"/>
          <w:lang w:val="en-AU"/>
        </w:rPr>
        <w:t xml:space="preserve"> </w:t>
      </w:r>
      <w:r w:rsidRPr="008F07A8">
        <w:rPr>
          <w:spacing w:val="-2"/>
          <w:szCs w:val="19"/>
          <w:lang w:val="en-AU"/>
        </w:rPr>
        <w:t>expenses abroad were incurred by persons crossing the border with Germany</w:t>
      </w:r>
      <w:r w:rsidR="00566710" w:rsidRPr="008F07A8">
        <w:rPr>
          <w:spacing w:val="-2"/>
          <w:szCs w:val="19"/>
          <w:lang w:val="en-AU"/>
        </w:rPr>
        <w:t xml:space="preserve"> (</w:t>
      </w:r>
      <w:r w:rsidR="00E56978">
        <w:rPr>
          <w:spacing w:val="-2"/>
          <w:szCs w:val="19"/>
          <w:lang w:val="en-AU"/>
        </w:rPr>
        <w:t>58.2</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E56978">
        <w:rPr>
          <w:spacing w:val="-2"/>
          <w:szCs w:val="19"/>
          <w:lang w:val="en-AU"/>
        </w:rPr>
        <w:t>24.2</w:t>
      </w:r>
      <w:r w:rsidR="00F10BC1" w:rsidRPr="008F07A8">
        <w:rPr>
          <w:spacing w:val="-2"/>
          <w:szCs w:val="19"/>
          <w:lang w:val="en-AU"/>
        </w:rPr>
        <w:t>%), Slovakia</w:t>
      </w:r>
      <w:r w:rsidR="00566710" w:rsidRPr="008F07A8">
        <w:rPr>
          <w:spacing w:val="-2"/>
          <w:szCs w:val="19"/>
          <w:lang w:val="en-AU"/>
        </w:rPr>
        <w:t xml:space="preserve"> (</w:t>
      </w:r>
      <w:r w:rsidR="00E56978">
        <w:rPr>
          <w:spacing w:val="-2"/>
          <w:szCs w:val="19"/>
          <w:lang w:val="en-AU"/>
        </w:rPr>
        <w:t>14.4</w:t>
      </w:r>
      <w:r w:rsidR="00F10BC1" w:rsidRPr="008F07A8">
        <w:rPr>
          <w:spacing w:val="-2"/>
          <w:szCs w:val="19"/>
          <w:lang w:val="en-AU"/>
        </w:rPr>
        <w:t>%), Lithuania</w:t>
      </w:r>
      <w:r w:rsidR="00566710" w:rsidRPr="008F07A8">
        <w:rPr>
          <w:spacing w:val="-2"/>
          <w:szCs w:val="19"/>
          <w:lang w:val="en-AU"/>
        </w:rPr>
        <w:t xml:space="preserve"> (</w:t>
      </w:r>
      <w:r w:rsidR="00E56978">
        <w:rPr>
          <w:spacing w:val="-2"/>
          <w:szCs w:val="19"/>
          <w:lang w:val="en-AU"/>
        </w:rPr>
        <w:t>2.7</w:t>
      </w:r>
      <w:r w:rsidR="00F10BC1" w:rsidRPr="008F07A8">
        <w:rPr>
          <w:spacing w:val="-2"/>
          <w:szCs w:val="19"/>
          <w:lang w:val="en-AU"/>
        </w:rPr>
        <w:t>%), Ukraine (0.</w:t>
      </w:r>
      <w:r w:rsidR="006C44BE">
        <w:rPr>
          <w:spacing w:val="-2"/>
          <w:szCs w:val="19"/>
          <w:lang w:val="en-AU"/>
        </w:rPr>
        <w:t>3</w:t>
      </w:r>
      <w:r w:rsidR="00F10BC1" w:rsidRPr="008F07A8">
        <w:rPr>
          <w:spacing w:val="-2"/>
          <w:szCs w:val="19"/>
          <w:lang w:val="en-AU"/>
        </w:rPr>
        <w:t>%)</w:t>
      </w:r>
      <w:r w:rsidR="00003021">
        <w:rPr>
          <w:spacing w:val="-2"/>
          <w:szCs w:val="19"/>
          <w:lang w:val="en-AU"/>
        </w:rPr>
        <w:t>,</w:t>
      </w:r>
      <w:r w:rsidR="00973FC7">
        <w:rPr>
          <w:spacing w:val="-2"/>
          <w:szCs w:val="19"/>
          <w:lang w:val="en-AU"/>
        </w:rPr>
        <w:t xml:space="preserve"> </w:t>
      </w:r>
      <w:r w:rsidR="00F10BC1" w:rsidRPr="008F07A8">
        <w:rPr>
          <w:spacing w:val="-2"/>
          <w:szCs w:val="19"/>
          <w:lang w:val="en-AU"/>
        </w:rPr>
        <w:t>Belarus</w:t>
      </w:r>
      <w:r w:rsidR="00CC1258">
        <w:rPr>
          <w:spacing w:val="-2"/>
          <w:szCs w:val="19"/>
          <w:lang w:val="en-AU"/>
        </w:rPr>
        <w:t xml:space="preserve"> and Russia (0.1%</w:t>
      </w:r>
      <w:r w:rsidR="006C44BE">
        <w:rPr>
          <w:spacing w:val="-2"/>
          <w:szCs w:val="19"/>
          <w:lang w:val="en-AU"/>
        </w:rPr>
        <w:t xml:space="preserve"> each</w:t>
      </w:r>
      <w:r w:rsidR="00CC1258">
        <w:rPr>
          <w:spacing w:val="-2"/>
          <w:szCs w:val="19"/>
          <w:lang w:val="en-AU"/>
        </w:rPr>
        <w:t>).</w:t>
      </w:r>
    </w:p>
    <w:p w14:paraId="12DDA033" w14:textId="2C70011B" w:rsidR="00FD4CD2" w:rsidRPr="00A62F0D" w:rsidRDefault="003F2221" w:rsidP="00202679">
      <w:pPr>
        <w:pStyle w:val="Tekstpodstawowy"/>
        <w:spacing w:before="120" w:after="120" w:line="240" w:lineRule="auto"/>
        <w:ind w:left="709" w:hanging="709"/>
        <w:jc w:val="left"/>
        <w:rPr>
          <w:rFonts w:ascii="Fira Sans" w:hAnsi="Fira Sans" w:cs="Arial"/>
          <w:b/>
          <w:bCs/>
          <w:sz w:val="19"/>
          <w:szCs w:val="19"/>
          <w:lang w:val="en-AU"/>
        </w:rPr>
      </w:pPr>
      <w:r w:rsidRPr="00A62F0D">
        <w:rPr>
          <w:rFonts w:ascii="Fira Sans" w:hAnsi="Fira Sans" w:cs="Arial"/>
          <w:b/>
          <w:bCs/>
          <w:sz w:val="19"/>
          <w:szCs w:val="19"/>
          <w:lang w:val="en-AU"/>
        </w:rPr>
        <w:t>Chart 3</w:t>
      </w:r>
      <w:r w:rsidR="00FD4CD2" w:rsidRPr="00A62F0D">
        <w:rPr>
          <w:rFonts w:ascii="Fira Sans" w:hAnsi="Fira Sans" w:cs="Arial"/>
          <w:b/>
          <w:bCs/>
          <w:sz w:val="19"/>
          <w:szCs w:val="19"/>
          <w:lang w:val="en-AU"/>
        </w:rPr>
        <w:t xml:space="preserve">. Structure of </w:t>
      </w:r>
      <w:r w:rsidR="00844B7D" w:rsidRPr="00A62F0D">
        <w:rPr>
          <w:rFonts w:ascii="Fira Sans" w:hAnsi="Fira Sans" w:cs="Arial"/>
          <w:b/>
          <w:bCs/>
          <w:sz w:val="19"/>
          <w:szCs w:val="19"/>
          <w:lang w:val="en-AU"/>
        </w:rPr>
        <w:t xml:space="preserve">total </w:t>
      </w:r>
      <w:r w:rsidR="00FD4CD2" w:rsidRPr="00A62F0D">
        <w:rPr>
          <w:rFonts w:ascii="Fira Sans" w:hAnsi="Fira Sans" w:cs="Arial"/>
          <w:b/>
          <w:bCs/>
          <w:sz w:val="19"/>
          <w:szCs w:val="19"/>
          <w:lang w:val="en-AU"/>
        </w:rPr>
        <w:t xml:space="preserve">expenses made by foreigners in Poland and by Poles abroad by assortment groups in the </w:t>
      </w:r>
      <w:r w:rsidR="00A57090" w:rsidRPr="00A62F0D">
        <w:rPr>
          <w:rFonts w:ascii="Fira Sans" w:hAnsi="Fira Sans" w:cs="Arial"/>
          <w:b/>
          <w:bCs/>
          <w:sz w:val="19"/>
          <w:szCs w:val="19"/>
          <w:lang w:val="en-AU"/>
        </w:rPr>
        <w:t>3rd</w:t>
      </w:r>
      <w:r w:rsidR="00FD4CD2" w:rsidRPr="00A62F0D">
        <w:rPr>
          <w:rFonts w:ascii="Fira Sans" w:hAnsi="Fira Sans" w:cs="Arial"/>
          <w:b/>
          <w:bCs/>
          <w:sz w:val="19"/>
          <w:szCs w:val="19"/>
          <w:lang w:val="en-AU"/>
        </w:rPr>
        <w:t xml:space="preserve"> quarter of 202</w:t>
      </w:r>
      <w:r w:rsidRPr="00A62F0D">
        <w:rPr>
          <w:rFonts w:ascii="Fira Sans" w:hAnsi="Fira Sans" w:cs="Arial"/>
          <w:b/>
          <w:bCs/>
          <w:sz w:val="19"/>
          <w:szCs w:val="19"/>
          <w:lang w:val="en-AU"/>
        </w:rPr>
        <w:t>4</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7D81CC05" w:rsidR="008F56E0" w:rsidRPr="008F07A8" w:rsidRDefault="00A62F0D" w:rsidP="008F56E0">
      <w:pPr>
        <w:pStyle w:val="Tekstpodstawowy"/>
        <w:spacing w:before="120" w:line="240" w:lineRule="auto"/>
        <w:ind w:left="1049" w:hanging="1049"/>
        <w:jc w:val="center"/>
        <w:rPr>
          <w:noProof/>
          <w:lang w:val="en-AU"/>
        </w:rPr>
      </w:pPr>
      <w:r w:rsidRPr="00A62F0D">
        <w:rPr>
          <w:noProof/>
        </w:rPr>
        <w:drawing>
          <wp:inline distT="0" distB="0" distL="0" distR="0" wp14:anchorId="204B8BC6" wp14:editId="10B1F0CC">
            <wp:extent cx="5122545" cy="1731565"/>
            <wp:effectExtent l="0" t="0" r="0" b="2540"/>
            <wp:docPr id="6" name="Obraz 6" descr="Chart 3. Structure of total expenses made by foreigners in Poland and by Poles abroad by assortment groups in the 3rd quarter of 2024.&#10;Two treemap charts showing the share of particular assortment groups in the total expenditure of foreigners and Poles – food and non-alcoholic drinks, non-food products, alcoholic drinks, tobacco products and servic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2545" cy="1731565"/>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174B3EE4" w:rsidR="008A697D" w:rsidRPr="00C8449C" w:rsidRDefault="00F10BC1" w:rsidP="00D447C2">
      <w:pPr>
        <w:spacing w:before="0"/>
        <w:rPr>
          <w:szCs w:val="19"/>
          <w:lang w:val="en-AU"/>
        </w:rPr>
      </w:pPr>
      <w:r w:rsidRPr="00C8449C">
        <w:rPr>
          <w:szCs w:val="19"/>
          <w:lang w:val="en-AU"/>
        </w:rPr>
        <w:t xml:space="preserve">Foreigners crossing the external land border of the EU </w:t>
      </w:r>
      <w:r w:rsidR="00FF226E" w:rsidRPr="00C8449C">
        <w:rPr>
          <w:szCs w:val="19"/>
          <w:lang w:val="en-AU"/>
        </w:rPr>
        <w:t xml:space="preserve">in </w:t>
      </w:r>
      <w:r w:rsidRPr="00C8449C">
        <w:rPr>
          <w:szCs w:val="19"/>
          <w:lang w:val="en-AU"/>
        </w:rPr>
        <w:t xml:space="preserve">Poland incurred </w:t>
      </w:r>
      <w:r w:rsidR="00C8449C" w:rsidRPr="00C8449C">
        <w:rPr>
          <w:szCs w:val="19"/>
          <w:lang w:val="en-AU"/>
        </w:rPr>
        <w:t>76.9</w:t>
      </w:r>
      <w:r w:rsidR="008A697D" w:rsidRPr="00C8449C">
        <w:rPr>
          <w:szCs w:val="19"/>
          <w:lang w:val="en-AU"/>
        </w:rPr>
        <w:t>%</w:t>
      </w:r>
      <w:r w:rsidRPr="00C8449C">
        <w:rPr>
          <w:spacing w:val="-4"/>
          <w:lang w:val="en-AU"/>
        </w:rPr>
        <w:t xml:space="preserve"> </w:t>
      </w:r>
      <w:r w:rsidRPr="00C8449C">
        <w:rPr>
          <w:szCs w:val="19"/>
          <w:lang w:val="en-AU"/>
        </w:rPr>
        <w:t>of their</w:t>
      </w:r>
      <w:r w:rsidR="00273235" w:rsidRPr="00C8449C">
        <w:rPr>
          <w:szCs w:val="19"/>
          <w:lang w:val="en-AU"/>
        </w:rPr>
        <w:br/>
      </w:r>
      <w:r w:rsidRPr="00C8449C">
        <w:rPr>
          <w:szCs w:val="19"/>
          <w:lang w:val="en-AU"/>
        </w:rPr>
        <w:t>expenses for the purchase of non-food products</w:t>
      </w:r>
      <w:r w:rsidR="008A697D" w:rsidRPr="00C8449C">
        <w:rPr>
          <w:szCs w:val="19"/>
          <w:lang w:val="en-AU"/>
        </w:rPr>
        <w:t>,</w:t>
      </w:r>
      <w:r w:rsidRPr="00C8449C">
        <w:rPr>
          <w:spacing w:val="-4"/>
          <w:lang w:val="en-AU"/>
        </w:rPr>
        <w:t xml:space="preserve"> </w:t>
      </w:r>
      <w:r w:rsidRPr="00C8449C">
        <w:rPr>
          <w:szCs w:val="19"/>
          <w:lang w:val="en-AU"/>
        </w:rPr>
        <w:t xml:space="preserve">on food and non-alcoholic drinks </w:t>
      </w:r>
      <w:r w:rsidR="00FF226E" w:rsidRPr="00C8449C">
        <w:rPr>
          <w:szCs w:val="19"/>
          <w:lang w:val="en-AU"/>
        </w:rPr>
        <w:t xml:space="preserve">– </w:t>
      </w:r>
      <w:r w:rsidR="00C8449C" w:rsidRPr="00C8449C">
        <w:rPr>
          <w:szCs w:val="19"/>
          <w:lang w:val="en-AU"/>
        </w:rPr>
        <w:t>14.2</w:t>
      </w:r>
      <w:r w:rsidR="00FF226E" w:rsidRPr="00C8449C">
        <w:rPr>
          <w:szCs w:val="19"/>
          <w:lang w:val="en-AU"/>
        </w:rPr>
        <w:t xml:space="preserve">% </w:t>
      </w:r>
      <w:r w:rsidRPr="00C8449C">
        <w:rPr>
          <w:szCs w:val="19"/>
          <w:lang w:val="en-AU"/>
        </w:rPr>
        <w:t>and</w:t>
      </w:r>
      <w:r w:rsidR="006A4048" w:rsidRPr="00C8449C">
        <w:rPr>
          <w:szCs w:val="19"/>
          <w:lang w:val="en-AU"/>
        </w:rPr>
        <w:t xml:space="preserve"> </w:t>
      </w:r>
      <w:r w:rsidR="00AC5CB2" w:rsidRPr="00C8449C">
        <w:rPr>
          <w:szCs w:val="19"/>
          <w:lang w:val="en-AU"/>
        </w:rPr>
        <w:t>8</w:t>
      </w:r>
      <w:r w:rsidR="00C8449C" w:rsidRPr="00C8449C">
        <w:rPr>
          <w:szCs w:val="19"/>
          <w:lang w:val="en-AU"/>
        </w:rPr>
        <w:t>.8</w:t>
      </w:r>
      <w:r w:rsidR="00BF7B08" w:rsidRPr="00C8449C">
        <w:rPr>
          <w:szCs w:val="19"/>
          <w:lang w:val="en-AU"/>
        </w:rPr>
        <w:t>%</w:t>
      </w:r>
      <w:r w:rsidRPr="00C8449C">
        <w:rPr>
          <w:spacing w:val="-4"/>
          <w:lang w:val="en-AU"/>
        </w:rPr>
        <w:t xml:space="preserve"> </w:t>
      </w:r>
      <w:r w:rsidRPr="00C8449C">
        <w:rPr>
          <w:szCs w:val="19"/>
          <w:lang w:val="en-AU"/>
        </w:rPr>
        <w:t>on other expenses (services)</w:t>
      </w:r>
      <w:r w:rsidR="00BF7B08" w:rsidRPr="00C8449C">
        <w:rPr>
          <w:szCs w:val="19"/>
          <w:lang w:val="en-AU"/>
        </w:rPr>
        <w:t>.</w:t>
      </w:r>
    </w:p>
    <w:p w14:paraId="4F6A51A7" w14:textId="0C9689DD" w:rsidR="00566710" w:rsidRPr="008F07A8" w:rsidRDefault="00F10BC1" w:rsidP="008F56E0">
      <w:pPr>
        <w:spacing w:after="0"/>
        <w:rPr>
          <w:szCs w:val="19"/>
          <w:lang w:val="en-AU"/>
        </w:rPr>
      </w:pPr>
      <w:r w:rsidRPr="008F07A8">
        <w:rPr>
          <w:szCs w:val="19"/>
          <w:lang w:val="en-AU"/>
        </w:rPr>
        <w:t>Polish residents who crossed the external land border of the EU in Poland spent majority of their expenses</w:t>
      </w:r>
      <w:r w:rsidR="00AC5CB2">
        <w:rPr>
          <w:szCs w:val="19"/>
          <w:lang w:val="en-AU"/>
        </w:rPr>
        <w:t xml:space="preserve"> abroad (</w:t>
      </w:r>
      <w:r w:rsidR="00E56978">
        <w:rPr>
          <w:szCs w:val="19"/>
          <w:lang w:val="en-AU"/>
        </w:rPr>
        <w:t>53.</w:t>
      </w:r>
      <w:r w:rsidR="00165DBF">
        <w:rPr>
          <w:szCs w:val="19"/>
          <w:lang w:val="en-AU"/>
        </w:rPr>
        <w:t>8</w:t>
      </w:r>
      <w:r w:rsidR="00566710" w:rsidRPr="008F07A8">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E56978">
        <w:rPr>
          <w:szCs w:val="19"/>
          <w:lang w:val="en-AU"/>
        </w:rPr>
        <w:t>21.6</w:t>
      </w:r>
      <w:r w:rsidR="00566710" w:rsidRPr="008F07A8">
        <w:rPr>
          <w:szCs w:val="19"/>
          <w:lang w:val="en-AU"/>
        </w:rPr>
        <w:t>%,</w:t>
      </w:r>
      <w:r w:rsidRPr="008F07A8">
        <w:rPr>
          <w:szCs w:val="19"/>
          <w:lang w:val="en-AU"/>
        </w:rPr>
        <w:t xml:space="preserve"> and f</w:t>
      </w:r>
      <w:r w:rsidR="003169FC">
        <w:rPr>
          <w:szCs w:val="19"/>
          <w:lang w:val="en-AU"/>
        </w:rPr>
        <w:t>ood and non-alcoholic drinks to</w:t>
      </w:r>
      <w:r w:rsidR="00230652" w:rsidRPr="008F07A8">
        <w:rPr>
          <w:szCs w:val="19"/>
          <w:lang w:val="en-AU"/>
        </w:rPr>
        <w:t xml:space="preserve"> </w:t>
      </w:r>
      <w:r w:rsidR="00E56978">
        <w:rPr>
          <w:szCs w:val="19"/>
          <w:lang w:val="en-AU"/>
        </w:rPr>
        <w:t>11.1</w:t>
      </w:r>
      <w:r w:rsidR="00566710" w:rsidRPr="008F07A8">
        <w:rPr>
          <w:szCs w:val="19"/>
          <w:lang w:val="en-AU"/>
        </w:rPr>
        <w:t>%.</w:t>
      </w:r>
    </w:p>
    <w:p w14:paraId="3CCB4BC9" w14:textId="68BACA45" w:rsidR="00566710" w:rsidRPr="00521233" w:rsidRDefault="00573E2F" w:rsidP="00566710">
      <w:pPr>
        <w:rPr>
          <w:spacing w:val="-4"/>
          <w:lang w:val="en-AU"/>
        </w:rPr>
      </w:pPr>
      <w:r w:rsidRPr="00C8449C">
        <w:rPr>
          <w:szCs w:val="19"/>
          <w:lang w:val="en-AU"/>
        </w:rPr>
        <w:lastRenderedPageBreak/>
        <w:t>Expenditure on non-food products was t</w:t>
      </w:r>
      <w:r w:rsidR="00FA4EAE" w:rsidRPr="00C8449C">
        <w:rPr>
          <w:szCs w:val="19"/>
          <w:lang w:val="en-AU"/>
        </w:rPr>
        <w:t>he largest percentage</w:t>
      </w:r>
      <w:r w:rsidR="00AC5CB2" w:rsidRPr="00C8449C">
        <w:rPr>
          <w:szCs w:val="19"/>
          <w:lang w:val="en-AU"/>
        </w:rPr>
        <w:t xml:space="preserve"> (</w:t>
      </w:r>
      <w:r w:rsidR="00C8449C" w:rsidRPr="00C8449C">
        <w:rPr>
          <w:szCs w:val="19"/>
          <w:lang w:val="en-AU"/>
        </w:rPr>
        <w:t>51.</w:t>
      </w:r>
      <w:r w:rsidR="003068BA">
        <w:rPr>
          <w:szCs w:val="19"/>
          <w:lang w:val="en-AU"/>
        </w:rPr>
        <w:t>8</w:t>
      </w:r>
      <w:bookmarkStart w:id="0" w:name="_GoBack"/>
      <w:bookmarkEnd w:id="0"/>
      <w:r w:rsidRPr="00C8449C">
        <w:rPr>
          <w:szCs w:val="19"/>
          <w:lang w:val="en-AU"/>
        </w:rPr>
        <w:t>%) in the structure of</w:t>
      </w:r>
      <w:r w:rsidR="00273235" w:rsidRPr="00C8449C">
        <w:rPr>
          <w:szCs w:val="19"/>
          <w:lang w:val="en-AU"/>
        </w:rPr>
        <w:br/>
      </w:r>
      <w:r w:rsidRPr="00C8449C">
        <w:rPr>
          <w:szCs w:val="19"/>
          <w:lang w:val="en-AU"/>
        </w:rPr>
        <w:t>total</w:t>
      </w:r>
      <w:r w:rsidR="00FA4EAE" w:rsidRPr="00C8449C">
        <w:rPr>
          <w:szCs w:val="19"/>
          <w:lang w:val="en-AU"/>
        </w:rPr>
        <w:t xml:space="preserve"> </w:t>
      </w:r>
      <w:r w:rsidRPr="00C8449C">
        <w:rPr>
          <w:szCs w:val="19"/>
          <w:lang w:val="en-AU"/>
        </w:rPr>
        <w:t>expenses incurred in Poland by f</w:t>
      </w:r>
      <w:r w:rsidR="00BD65B7" w:rsidRPr="00C8449C">
        <w:rPr>
          <w:szCs w:val="19"/>
          <w:lang w:val="en-AU"/>
        </w:rPr>
        <w:t>oreigners crossing the internal EU border</w:t>
      </w:r>
      <w:r w:rsidR="00CF3D06" w:rsidRPr="00C8449C">
        <w:rPr>
          <w:szCs w:val="19"/>
          <w:lang w:val="en-AU"/>
        </w:rPr>
        <w:t xml:space="preserve"> in </w:t>
      </w:r>
      <w:r w:rsidR="00C8449C" w:rsidRPr="00C8449C">
        <w:rPr>
          <w:szCs w:val="19"/>
          <w:lang w:val="en-AU"/>
        </w:rPr>
        <w:t>3rd</w:t>
      </w:r>
      <w:r w:rsidR="00CF3D06" w:rsidRPr="00C8449C">
        <w:rPr>
          <w:szCs w:val="19"/>
          <w:lang w:val="en-AU"/>
        </w:rPr>
        <w:t xml:space="preserve"> quarter of 202</w:t>
      </w:r>
      <w:r w:rsidR="00C44CDF" w:rsidRPr="00C8449C">
        <w:rPr>
          <w:szCs w:val="19"/>
          <w:lang w:val="en-AU"/>
        </w:rPr>
        <w:t>4</w:t>
      </w:r>
      <w:r w:rsidR="00566710" w:rsidRPr="00C8449C">
        <w:rPr>
          <w:szCs w:val="19"/>
          <w:lang w:val="en-AU"/>
        </w:rPr>
        <w:t>.</w:t>
      </w:r>
      <w:r w:rsidR="00AA7CB0" w:rsidRPr="00C8449C">
        <w:rPr>
          <w:szCs w:val="19"/>
          <w:lang w:val="en-AU"/>
        </w:rPr>
        <w:t xml:space="preserve"> </w:t>
      </w:r>
      <w:r w:rsidR="00521233" w:rsidRPr="00C8449C">
        <w:rPr>
          <w:szCs w:val="19"/>
          <w:lang w:val="en-AU"/>
        </w:rPr>
        <w:t xml:space="preserve">Other expenses (services) had a significant share in the structure of non-residents expenses – </w:t>
      </w:r>
      <w:r w:rsidR="00C8449C" w:rsidRPr="00C8449C">
        <w:rPr>
          <w:szCs w:val="19"/>
          <w:lang w:val="en-AU"/>
        </w:rPr>
        <w:t>20.8</w:t>
      </w:r>
      <w:r w:rsidR="00521233" w:rsidRPr="00C8449C">
        <w:rPr>
          <w:szCs w:val="19"/>
          <w:lang w:val="en-AU"/>
        </w:rPr>
        <w:t xml:space="preserve">% and </w:t>
      </w:r>
      <w:r w:rsidR="00701EB3" w:rsidRPr="00C8449C">
        <w:rPr>
          <w:szCs w:val="19"/>
          <w:lang w:val="en-AU"/>
        </w:rPr>
        <w:t xml:space="preserve">expenses on </w:t>
      </w:r>
      <w:r w:rsidR="00521233" w:rsidRPr="00C8449C">
        <w:rPr>
          <w:szCs w:val="19"/>
          <w:lang w:val="en-AU"/>
        </w:rPr>
        <w:t>f</w:t>
      </w:r>
      <w:r w:rsidR="00BD65B7" w:rsidRPr="00C8449C">
        <w:rPr>
          <w:szCs w:val="19"/>
          <w:lang w:val="en-AU"/>
        </w:rPr>
        <w:t>ood and non-alcoholic drinks</w:t>
      </w:r>
      <w:r w:rsidR="00521233" w:rsidRPr="00C8449C">
        <w:rPr>
          <w:szCs w:val="19"/>
          <w:lang w:val="en-AU"/>
        </w:rPr>
        <w:t xml:space="preserve"> – </w:t>
      </w:r>
      <w:r w:rsidR="00C8449C" w:rsidRPr="00C8449C">
        <w:rPr>
          <w:szCs w:val="19"/>
          <w:lang w:val="en-AU"/>
        </w:rPr>
        <w:t>13.5</w:t>
      </w:r>
      <w:r w:rsidR="00521233" w:rsidRPr="00C8449C">
        <w:rPr>
          <w:szCs w:val="19"/>
          <w:lang w:val="en-AU"/>
        </w:rPr>
        <w:t>%.</w:t>
      </w:r>
      <w:r w:rsidR="00521233" w:rsidRPr="00C8449C">
        <w:rPr>
          <w:lang w:val="en-AU"/>
        </w:rPr>
        <w:t xml:space="preserve"> </w:t>
      </w:r>
      <w:r w:rsidR="00BD65B7" w:rsidRPr="00C8449C">
        <w:rPr>
          <w:szCs w:val="19"/>
          <w:lang w:val="en-AU"/>
        </w:rPr>
        <w:t xml:space="preserve">On </w:t>
      </w:r>
      <w:r w:rsidR="00BD65B7" w:rsidRPr="008F07A8">
        <w:rPr>
          <w:szCs w:val="19"/>
          <w:lang w:val="en-AU"/>
        </w:rPr>
        <w:t>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00BD65B7" w:rsidRPr="008F07A8">
        <w:rPr>
          <w:szCs w:val="19"/>
          <w:lang w:val="en-AU"/>
        </w:rPr>
        <w:t xml:space="preserve"> </w:t>
      </w:r>
      <w:r w:rsidR="00E56978">
        <w:rPr>
          <w:szCs w:val="19"/>
          <w:lang w:val="en-AU"/>
        </w:rPr>
        <w:t>52.6</w:t>
      </w:r>
      <w:r w:rsidR="00BD65B7" w:rsidRPr="008F07A8">
        <w:rPr>
          <w:szCs w:val="19"/>
          <w:lang w:val="en-AU"/>
        </w:rPr>
        <w:t xml:space="preserve">% and non-food products </w:t>
      </w:r>
      <w:r w:rsidR="000F1089" w:rsidRPr="008F07A8">
        <w:rPr>
          <w:szCs w:val="19"/>
          <w:lang w:val="en-AU"/>
        </w:rPr>
        <w:t>–</w:t>
      </w:r>
      <w:r w:rsidR="00BD65B7" w:rsidRPr="008F07A8">
        <w:rPr>
          <w:szCs w:val="19"/>
          <w:lang w:val="en-AU"/>
        </w:rPr>
        <w:t xml:space="preserve"> </w:t>
      </w:r>
      <w:r w:rsidR="00E56978">
        <w:rPr>
          <w:szCs w:val="19"/>
          <w:lang w:val="en-AU"/>
        </w:rPr>
        <w:t>31.5</w:t>
      </w:r>
      <w:r w:rsidR="00BD65B7" w:rsidRPr="008F07A8">
        <w:rPr>
          <w:szCs w:val="19"/>
          <w:lang w:val="en-AU"/>
        </w:rPr>
        <w:t>%</w:t>
      </w:r>
      <w:r w:rsidR="00BA3D54">
        <w:rPr>
          <w:szCs w:val="19"/>
          <w:lang w:val="en-AU"/>
        </w:rPr>
        <w:t xml:space="preserve"> pre</w:t>
      </w:r>
      <w:r w:rsidR="00BA3D54" w:rsidRPr="008F07A8">
        <w:rPr>
          <w:szCs w:val="19"/>
          <w:lang w:val="en-AU"/>
        </w:rPr>
        <w:t>dominated</w:t>
      </w:r>
      <w:r w:rsidR="00BD65B7" w:rsidRPr="008F07A8">
        <w:rPr>
          <w:szCs w:val="19"/>
          <w:lang w:val="en-AU"/>
        </w:rPr>
        <w:t xml:space="preserve">, while </w:t>
      </w:r>
      <w:r w:rsidR="00E56978">
        <w:rPr>
          <w:szCs w:val="19"/>
          <w:lang w:val="en-AU"/>
        </w:rPr>
        <w:t>12.7</w:t>
      </w:r>
      <w:r w:rsidR="00BA3D54" w:rsidRPr="008F07A8">
        <w:rPr>
          <w:szCs w:val="19"/>
          <w:lang w:val="en-AU"/>
        </w:rPr>
        <w:t>%</w:t>
      </w:r>
      <w:r w:rsidR="00BA3D54">
        <w:rPr>
          <w:szCs w:val="19"/>
          <w:lang w:val="en-AU"/>
        </w:rPr>
        <w:t xml:space="preserve"> of </w:t>
      </w:r>
      <w:r w:rsidR="00BD65B7" w:rsidRPr="008F07A8">
        <w:rPr>
          <w:szCs w:val="19"/>
          <w:lang w:val="en-AU"/>
        </w:rPr>
        <w:t>Poles</w:t>
      </w:r>
      <w:r w:rsidR="00BA3D54">
        <w:rPr>
          <w:szCs w:val="19"/>
          <w:lang w:val="en-AU"/>
        </w:rPr>
        <w:t>’</w:t>
      </w:r>
      <w:r w:rsidR="00BD65B7"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00BD65B7" w:rsidRPr="008F07A8">
        <w:rPr>
          <w:szCs w:val="19"/>
          <w:lang w:val="en-AU"/>
        </w:rPr>
        <w:t>on food and non-alcoholic beverages.</w:t>
      </w:r>
    </w:p>
    <w:p w14:paraId="1572090C" w14:textId="086F4819" w:rsidR="00BD65B7" w:rsidRPr="008062C9" w:rsidRDefault="00BD65B7" w:rsidP="00202679">
      <w:pPr>
        <w:spacing w:before="240" w:line="240" w:lineRule="auto"/>
        <w:ind w:left="680" w:hanging="680"/>
        <w:rPr>
          <w:b/>
          <w:spacing w:val="-4"/>
          <w:szCs w:val="19"/>
          <w:lang w:val="en-AU"/>
        </w:rPr>
      </w:pPr>
      <w:r w:rsidRPr="008062C9">
        <w:rPr>
          <w:b/>
          <w:spacing w:val="-4"/>
          <w:szCs w:val="19"/>
          <w:lang w:val="en-AU"/>
        </w:rPr>
        <w:t xml:space="preserve">Table 1. </w:t>
      </w:r>
      <w:r w:rsidRPr="000633EF">
        <w:rPr>
          <w:b/>
          <w:spacing w:val="-4"/>
          <w:szCs w:val="19"/>
          <w:lang w:val="en-AU"/>
        </w:rPr>
        <w:t xml:space="preserve">Border traffic and expenses of foreigners in Poland and Poles abroad in the </w:t>
      </w:r>
      <w:r w:rsidR="002B2014">
        <w:rPr>
          <w:b/>
          <w:spacing w:val="-4"/>
          <w:szCs w:val="19"/>
          <w:lang w:val="en-AU"/>
        </w:rPr>
        <w:t>3rd</w:t>
      </w:r>
      <w:r w:rsidRPr="000633EF">
        <w:rPr>
          <w:b/>
          <w:spacing w:val="-4"/>
          <w:szCs w:val="19"/>
          <w:lang w:val="en-AU"/>
        </w:rPr>
        <w:t xml:space="preserve"> quarter of 202</w:t>
      </w:r>
      <w:r w:rsidR="009E1F4A">
        <w:rPr>
          <w:b/>
          <w:spacing w:val="-4"/>
          <w:szCs w:val="19"/>
          <w:lang w:val="en-AU"/>
        </w:rPr>
        <w:t>4</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Caption w:val="Border traffic and expenses of foreigners in Poland and Poles abroad in the 3rd quarter of 2024"/>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3rd quarter of 2024 in relation to the 3rd quarter of 2023."/>
      </w:tblPr>
      <w:tblGrid>
        <w:gridCol w:w="1598"/>
        <w:gridCol w:w="808"/>
        <w:gridCol w:w="810"/>
        <w:gridCol w:w="808"/>
        <w:gridCol w:w="810"/>
        <w:gridCol w:w="808"/>
        <w:gridCol w:w="810"/>
        <w:gridCol w:w="808"/>
        <w:gridCol w:w="807"/>
      </w:tblGrid>
      <w:tr w:rsidR="002B3114" w:rsidRPr="00227837" w14:paraId="4C8DF1C1" w14:textId="77777777" w:rsidTr="00A34066">
        <w:trPr>
          <w:trHeight w:hRule="exact" w:val="312"/>
        </w:trPr>
        <w:tc>
          <w:tcPr>
            <w:tcW w:w="990"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B3114" w:rsidRPr="00227837" w14:paraId="2C8FD65B" w14:textId="77777777" w:rsidTr="00A34066">
        <w:trPr>
          <w:trHeight w:hRule="exact" w:val="312"/>
        </w:trPr>
        <w:tc>
          <w:tcPr>
            <w:tcW w:w="990"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3"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1003"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1003"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1001"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2B3114" w:rsidRPr="00227837" w14:paraId="3F323632" w14:textId="77777777" w:rsidTr="00BB61A7">
        <w:trPr>
          <w:trHeight w:val="794"/>
        </w:trPr>
        <w:tc>
          <w:tcPr>
            <w:tcW w:w="990" w:type="pct"/>
            <w:vMerge/>
          </w:tcPr>
          <w:p w14:paraId="251F3D4C" w14:textId="77777777" w:rsidR="002B3114" w:rsidRPr="00227837" w:rsidRDefault="002B3114" w:rsidP="002B3114">
            <w:pPr>
              <w:spacing w:before="60" w:after="60"/>
              <w:jc w:val="both"/>
              <w:rPr>
                <w:color w:val="000000" w:themeColor="text1"/>
                <w:szCs w:val="19"/>
                <w:lang w:val="en-GB"/>
              </w:rPr>
            </w:pPr>
          </w:p>
        </w:tc>
        <w:tc>
          <w:tcPr>
            <w:tcW w:w="501" w:type="pct"/>
            <w:vAlign w:val="center"/>
          </w:tcPr>
          <w:p w14:paraId="3A7F5717" w14:textId="6D05AFD2"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423CD5F6" w14:textId="1CB02F2F" w:rsidR="002B3114" w:rsidRPr="00227837" w:rsidRDefault="002B3114" w:rsidP="002B2014">
            <w:pPr>
              <w:spacing w:before="20" w:after="20"/>
              <w:ind w:left="-57" w:right="-57"/>
              <w:jc w:val="center"/>
              <w:rPr>
                <w:color w:val="000000" w:themeColor="text1"/>
                <w:spacing w:val="-4"/>
                <w:szCs w:val="19"/>
                <w:lang w:val="en-GB"/>
              </w:rPr>
            </w:pPr>
            <w:r w:rsidRPr="00227837">
              <w:rPr>
                <w:lang w:val="en-GB"/>
              </w:rPr>
              <w:t>Q</w:t>
            </w:r>
            <w:r w:rsidR="002B2014">
              <w:rPr>
                <w:lang w:val="en-GB"/>
              </w:rPr>
              <w:t>3</w:t>
            </w:r>
            <w:r w:rsidRPr="00227837">
              <w:rPr>
                <w:lang w:val="en-GB"/>
              </w:rPr>
              <w:t xml:space="preserve"> 202</w:t>
            </w:r>
            <w:r w:rsidR="00E1181E">
              <w:rPr>
                <w:lang w:val="en-GB"/>
              </w:rPr>
              <w:t>3</w:t>
            </w:r>
            <w:r w:rsidRPr="00227837">
              <w:rPr>
                <w:lang w:val="en-GB"/>
              </w:rPr>
              <w:t xml:space="preserve"> =100</w:t>
            </w:r>
          </w:p>
        </w:tc>
        <w:tc>
          <w:tcPr>
            <w:tcW w:w="501" w:type="pct"/>
            <w:vAlign w:val="center"/>
          </w:tcPr>
          <w:p w14:paraId="32E91895" w14:textId="488FA464"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3360DA48" w14:textId="098E40DC" w:rsidR="002B3114" w:rsidRPr="00227837" w:rsidRDefault="005D0713" w:rsidP="002B2014">
            <w:pPr>
              <w:spacing w:before="20" w:after="20"/>
              <w:ind w:left="-57" w:right="-57"/>
              <w:jc w:val="center"/>
              <w:rPr>
                <w:color w:val="000000" w:themeColor="text1"/>
                <w:spacing w:val="-4"/>
                <w:szCs w:val="19"/>
                <w:lang w:val="en-GB"/>
              </w:rPr>
            </w:pPr>
            <w:r w:rsidRPr="00227837">
              <w:rPr>
                <w:lang w:val="en-GB"/>
              </w:rPr>
              <w:t>Q</w:t>
            </w:r>
            <w:r w:rsidR="002B2014">
              <w:rPr>
                <w:lang w:val="en-GB"/>
              </w:rPr>
              <w:t>3</w:t>
            </w:r>
            <w:r w:rsidRPr="00227837">
              <w:rPr>
                <w:lang w:val="en-GB"/>
              </w:rPr>
              <w:t xml:space="preserve"> 202</w:t>
            </w:r>
            <w:r w:rsidR="00E1181E">
              <w:rPr>
                <w:lang w:val="en-GB"/>
              </w:rPr>
              <w:t>3</w:t>
            </w:r>
            <w:r w:rsidRPr="00227837">
              <w:rPr>
                <w:lang w:val="en-GB"/>
              </w:rPr>
              <w:t xml:space="preserve"> =100</w:t>
            </w:r>
          </w:p>
        </w:tc>
        <w:tc>
          <w:tcPr>
            <w:tcW w:w="501" w:type="pct"/>
            <w:vAlign w:val="center"/>
          </w:tcPr>
          <w:p w14:paraId="25A2C0F1" w14:textId="2322C3AD"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2" w:type="pct"/>
            <w:vAlign w:val="center"/>
          </w:tcPr>
          <w:p w14:paraId="6FD0ADA6" w14:textId="02FAD1CE" w:rsidR="002B3114" w:rsidRPr="00227837" w:rsidRDefault="005D0713" w:rsidP="002B2014">
            <w:pPr>
              <w:spacing w:before="20" w:after="20"/>
              <w:ind w:left="-57" w:right="-57"/>
              <w:jc w:val="center"/>
              <w:rPr>
                <w:spacing w:val="-4"/>
                <w:szCs w:val="19"/>
                <w:lang w:val="en-GB"/>
              </w:rPr>
            </w:pPr>
            <w:r w:rsidRPr="00227837">
              <w:rPr>
                <w:lang w:val="en-GB"/>
              </w:rPr>
              <w:t>Q</w:t>
            </w:r>
            <w:r w:rsidR="002B2014">
              <w:rPr>
                <w:lang w:val="en-GB"/>
              </w:rPr>
              <w:t>3</w:t>
            </w:r>
            <w:r w:rsidRPr="00227837">
              <w:rPr>
                <w:lang w:val="en-GB"/>
              </w:rPr>
              <w:t xml:space="preserve"> 202</w:t>
            </w:r>
            <w:r w:rsidR="00E1181E">
              <w:rPr>
                <w:lang w:val="en-GB"/>
              </w:rPr>
              <w:t>3</w:t>
            </w:r>
            <w:r w:rsidRPr="00227837">
              <w:rPr>
                <w:lang w:val="en-GB"/>
              </w:rPr>
              <w:t xml:space="preserve"> =100</w:t>
            </w:r>
          </w:p>
        </w:tc>
        <w:tc>
          <w:tcPr>
            <w:tcW w:w="501" w:type="pct"/>
            <w:vAlign w:val="center"/>
          </w:tcPr>
          <w:p w14:paraId="33A299D0" w14:textId="479D156A"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0" w:type="pct"/>
            <w:vAlign w:val="center"/>
          </w:tcPr>
          <w:p w14:paraId="7FF3989A" w14:textId="285B9C59" w:rsidR="002B3114" w:rsidRPr="00227837" w:rsidRDefault="005D0713" w:rsidP="002B2014">
            <w:pPr>
              <w:spacing w:before="20" w:after="20"/>
              <w:ind w:left="-57" w:right="-57"/>
              <w:jc w:val="center"/>
              <w:rPr>
                <w:spacing w:val="-4"/>
                <w:szCs w:val="19"/>
                <w:lang w:val="en-GB"/>
              </w:rPr>
            </w:pPr>
            <w:r w:rsidRPr="00227837">
              <w:rPr>
                <w:lang w:val="en-GB"/>
              </w:rPr>
              <w:t>Q</w:t>
            </w:r>
            <w:r w:rsidR="002B2014">
              <w:rPr>
                <w:lang w:val="en-GB"/>
              </w:rPr>
              <w:t>3</w:t>
            </w:r>
            <w:r w:rsidRPr="00227837">
              <w:rPr>
                <w:lang w:val="en-GB"/>
              </w:rPr>
              <w:t xml:space="preserve"> 202</w:t>
            </w:r>
            <w:r w:rsidR="00E1181E">
              <w:rPr>
                <w:lang w:val="en-GB"/>
              </w:rPr>
              <w:t>3</w:t>
            </w:r>
            <w:r w:rsidRPr="00227837">
              <w:rPr>
                <w:lang w:val="en-GB"/>
              </w:rPr>
              <w:t xml:space="preserve"> =100</w:t>
            </w:r>
          </w:p>
        </w:tc>
      </w:tr>
      <w:tr w:rsidR="00C8449C" w:rsidRPr="00227837" w14:paraId="148A55B6" w14:textId="77777777" w:rsidTr="00C8449C">
        <w:trPr>
          <w:trHeight w:hRule="exact" w:val="340"/>
        </w:trPr>
        <w:tc>
          <w:tcPr>
            <w:tcW w:w="990" w:type="pct"/>
            <w:vAlign w:val="bottom"/>
          </w:tcPr>
          <w:p w14:paraId="0455E586" w14:textId="4888DFDE" w:rsidR="00C8449C" w:rsidRPr="00227837" w:rsidRDefault="00C8449C" w:rsidP="00C8449C">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p>
        </w:tc>
        <w:tc>
          <w:tcPr>
            <w:tcW w:w="501" w:type="pct"/>
            <w:vAlign w:val="bottom"/>
          </w:tcPr>
          <w:p w14:paraId="6E52F27C" w14:textId="42B13F0B" w:rsidR="00C8449C" w:rsidRPr="002B2014" w:rsidRDefault="00C8449C" w:rsidP="00C8449C">
            <w:pPr>
              <w:spacing w:before="20" w:after="20"/>
              <w:ind w:right="-57"/>
              <w:jc w:val="right"/>
              <w:rPr>
                <w:rFonts w:cs="Times New Roman"/>
                <w:spacing w:val="-4"/>
                <w:szCs w:val="19"/>
                <w:lang w:val="en-GB"/>
              </w:rPr>
            </w:pPr>
            <w:r w:rsidRPr="002B2014">
              <w:rPr>
                <w:rFonts w:cs="Arial"/>
                <w:bCs/>
                <w:szCs w:val="19"/>
              </w:rPr>
              <w:t>45</w:t>
            </w:r>
            <w:r>
              <w:rPr>
                <w:rFonts w:cs="Arial"/>
                <w:bCs/>
                <w:szCs w:val="19"/>
              </w:rPr>
              <w:t>.</w:t>
            </w:r>
            <w:r w:rsidRPr="002B2014">
              <w:rPr>
                <w:rFonts w:cs="Arial"/>
                <w:bCs/>
                <w:szCs w:val="19"/>
              </w:rPr>
              <w:t>79</w:t>
            </w:r>
          </w:p>
        </w:tc>
        <w:tc>
          <w:tcPr>
            <w:tcW w:w="502" w:type="pct"/>
            <w:vAlign w:val="bottom"/>
          </w:tcPr>
          <w:p w14:paraId="7F2D70B6" w14:textId="714F4FB2" w:rsidR="00C8449C" w:rsidRPr="002B2014" w:rsidRDefault="00C8449C" w:rsidP="00C8449C">
            <w:pPr>
              <w:spacing w:before="20" w:after="20"/>
              <w:ind w:right="-57"/>
              <w:jc w:val="right"/>
              <w:rPr>
                <w:rFonts w:cs="Times New Roman"/>
                <w:szCs w:val="19"/>
                <w:lang w:val="en-GB"/>
              </w:rPr>
            </w:pPr>
            <w:r w:rsidRPr="002B2014">
              <w:rPr>
                <w:rFonts w:cs="Arial"/>
                <w:bCs/>
                <w:szCs w:val="19"/>
              </w:rPr>
              <w:t>97</w:t>
            </w:r>
            <w:r>
              <w:rPr>
                <w:rFonts w:cs="Arial"/>
                <w:bCs/>
                <w:szCs w:val="19"/>
              </w:rPr>
              <w:t>.</w:t>
            </w:r>
            <w:r w:rsidRPr="002B2014">
              <w:rPr>
                <w:rFonts w:cs="Arial"/>
                <w:bCs/>
                <w:szCs w:val="19"/>
              </w:rPr>
              <w:t>7</w:t>
            </w:r>
          </w:p>
        </w:tc>
        <w:tc>
          <w:tcPr>
            <w:tcW w:w="501" w:type="pct"/>
            <w:vAlign w:val="bottom"/>
          </w:tcPr>
          <w:p w14:paraId="0D49E517" w14:textId="10BA8E3E" w:rsidR="00C8449C" w:rsidRPr="002B2014" w:rsidRDefault="00C8449C" w:rsidP="00C8449C">
            <w:pPr>
              <w:spacing w:before="20" w:after="20"/>
              <w:ind w:right="-57"/>
              <w:jc w:val="right"/>
              <w:rPr>
                <w:rFonts w:cs="Times New Roman"/>
                <w:spacing w:val="-4"/>
                <w:szCs w:val="19"/>
                <w:lang w:val="en-GB"/>
              </w:rPr>
            </w:pPr>
            <w:r w:rsidRPr="002B2014">
              <w:rPr>
                <w:rFonts w:cs="Arial"/>
                <w:bCs/>
                <w:szCs w:val="19"/>
              </w:rPr>
              <w:t>37</w:t>
            </w:r>
            <w:r>
              <w:rPr>
                <w:rFonts w:cs="Arial"/>
                <w:bCs/>
                <w:szCs w:val="19"/>
              </w:rPr>
              <w:t>.</w:t>
            </w:r>
            <w:r w:rsidRPr="002B2014">
              <w:rPr>
                <w:rFonts w:cs="Arial"/>
                <w:bCs/>
                <w:szCs w:val="19"/>
              </w:rPr>
              <w:t>67</w:t>
            </w:r>
          </w:p>
        </w:tc>
        <w:tc>
          <w:tcPr>
            <w:tcW w:w="502" w:type="pct"/>
            <w:vAlign w:val="bottom"/>
          </w:tcPr>
          <w:p w14:paraId="66E65747" w14:textId="0A22E291" w:rsidR="00C8449C" w:rsidRPr="002B2014" w:rsidRDefault="00C8449C" w:rsidP="00C8449C">
            <w:pPr>
              <w:spacing w:before="20" w:after="20"/>
              <w:ind w:right="-57"/>
              <w:jc w:val="right"/>
              <w:rPr>
                <w:rFonts w:cs="Times New Roman"/>
                <w:szCs w:val="19"/>
                <w:lang w:val="en-GB"/>
              </w:rPr>
            </w:pPr>
            <w:r w:rsidRPr="002B2014">
              <w:rPr>
                <w:rFonts w:cs="Arial"/>
                <w:bCs/>
                <w:szCs w:val="19"/>
              </w:rPr>
              <w:t>102</w:t>
            </w:r>
            <w:r>
              <w:rPr>
                <w:rFonts w:cs="Arial"/>
                <w:bCs/>
                <w:szCs w:val="19"/>
              </w:rPr>
              <w:t>.</w:t>
            </w:r>
            <w:r w:rsidRPr="002B2014">
              <w:rPr>
                <w:rFonts w:cs="Arial"/>
                <w:bCs/>
                <w:szCs w:val="19"/>
              </w:rPr>
              <w:t>6</w:t>
            </w:r>
          </w:p>
        </w:tc>
        <w:tc>
          <w:tcPr>
            <w:tcW w:w="501" w:type="pct"/>
            <w:vAlign w:val="bottom"/>
          </w:tcPr>
          <w:p w14:paraId="2DAF3A47" w14:textId="47FADA84" w:rsidR="00C8449C" w:rsidRPr="00227837" w:rsidRDefault="00C8449C" w:rsidP="00C8449C">
            <w:pPr>
              <w:spacing w:before="20" w:after="20"/>
              <w:ind w:left="-57" w:right="-57"/>
              <w:jc w:val="right"/>
              <w:rPr>
                <w:rFonts w:cs="Times New Roman"/>
                <w:spacing w:val="-2"/>
                <w:szCs w:val="19"/>
                <w:lang w:val="en-GB"/>
              </w:rPr>
            </w:pPr>
            <w:r w:rsidRPr="00431FBE">
              <w:t>14 393</w:t>
            </w:r>
            <w:r>
              <w:t>.</w:t>
            </w:r>
            <w:r w:rsidRPr="00431FBE">
              <w:t>2</w:t>
            </w:r>
          </w:p>
        </w:tc>
        <w:tc>
          <w:tcPr>
            <w:tcW w:w="502" w:type="pct"/>
            <w:vAlign w:val="bottom"/>
          </w:tcPr>
          <w:p w14:paraId="365B7675" w14:textId="2C1D758C" w:rsidR="00C8449C" w:rsidRPr="00227837" w:rsidRDefault="00C8449C" w:rsidP="00C8449C">
            <w:pPr>
              <w:spacing w:before="20" w:after="20"/>
              <w:ind w:right="-57"/>
              <w:jc w:val="right"/>
              <w:rPr>
                <w:rFonts w:cs="Times New Roman"/>
                <w:szCs w:val="19"/>
                <w:lang w:val="en-GB"/>
              </w:rPr>
            </w:pPr>
            <w:r w:rsidRPr="00431FBE">
              <w:t>106</w:t>
            </w:r>
            <w:r>
              <w:t>.</w:t>
            </w:r>
            <w:r w:rsidRPr="00431FBE">
              <w:t>3</w:t>
            </w:r>
          </w:p>
        </w:tc>
        <w:tc>
          <w:tcPr>
            <w:tcW w:w="501" w:type="pct"/>
            <w:vAlign w:val="bottom"/>
          </w:tcPr>
          <w:p w14:paraId="6DDC36F9" w14:textId="254FC364" w:rsidR="00C8449C" w:rsidRPr="00227837" w:rsidRDefault="00C8449C" w:rsidP="00C8449C">
            <w:pPr>
              <w:spacing w:before="20" w:after="20"/>
              <w:ind w:right="-57"/>
              <w:jc w:val="right"/>
              <w:rPr>
                <w:rFonts w:cs="Times New Roman"/>
                <w:spacing w:val="-2"/>
                <w:szCs w:val="19"/>
                <w:lang w:val="en-GB"/>
              </w:rPr>
            </w:pPr>
            <w:r w:rsidRPr="00E836AC">
              <w:t>9 620</w:t>
            </w:r>
            <w:r>
              <w:t>.</w:t>
            </w:r>
            <w:r w:rsidRPr="00E836AC">
              <w:t>3</w:t>
            </w:r>
          </w:p>
        </w:tc>
        <w:tc>
          <w:tcPr>
            <w:tcW w:w="500" w:type="pct"/>
            <w:vAlign w:val="bottom"/>
          </w:tcPr>
          <w:p w14:paraId="3435F1CF" w14:textId="40F882E4" w:rsidR="00C8449C" w:rsidRPr="00227837" w:rsidRDefault="00C8449C" w:rsidP="00C8449C">
            <w:pPr>
              <w:spacing w:before="20" w:after="20"/>
              <w:ind w:right="-57"/>
              <w:jc w:val="right"/>
              <w:rPr>
                <w:rFonts w:cs="Times New Roman"/>
                <w:szCs w:val="19"/>
                <w:lang w:val="en-GB"/>
              </w:rPr>
            </w:pPr>
            <w:r w:rsidRPr="00E836AC">
              <w:t>108</w:t>
            </w:r>
            <w:r>
              <w:t>.</w:t>
            </w:r>
            <w:r w:rsidRPr="00E836AC">
              <w:t>4</w:t>
            </w:r>
          </w:p>
        </w:tc>
      </w:tr>
      <w:tr w:rsidR="00C8449C" w:rsidRPr="00227837" w14:paraId="34B130C3" w14:textId="77777777" w:rsidTr="00C8449C">
        <w:trPr>
          <w:trHeight w:hRule="exact" w:val="340"/>
        </w:trPr>
        <w:tc>
          <w:tcPr>
            <w:tcW w:w="990" w:type="pct"/>
            <w:vAlign w:val="bottom"/>
          </w:tcPr>
          <w:p w14:paraId="1A06F3D9" w14:textId="309AB882" w:rsidR="00C8449C" w:rsidRPr="00227837" w:rsidRDefault="00C8449C" w:rsidP="00C8449C">
            <w:pPr>
              <w:tabs>
                <w:tab w:val="left" w:leader="dot" w:pos="990"/>
              </w:tabs>
              <w:spacing w:before="20" w:after="20"/>
              <w:ind w:right="-57"/>
              <w:rPr>
                <w:color w:val="000000" w:themeColor="text1"/>
                <w:szCs w:val="19"/>
                <w:lang w:val="en-GB"/>
              </w:rPr>
            </w:pPr>
            <w:r w:rsidRPr="00227837">
              <w:rPr>
                <w:lang w:val="en-GB"/>
              </w:rPr>
              <w:t>land</w:t>
            </w:r>
          </w:p>
        </w:tc>
        <w:tc>
          <w:tcPr>
            <w:tcW w:w="501" w:type="pct"/>
            <w:vAlign w:val="bottom"/>
          </w:tcPr>
          <w:p w14:paraId="17C57F50" w14:textId="2D89F7E9" w:rsidR="00C8449C" w:rsidRPr="002B2014" w:rsidRDefault="00C8449C" w:rsidP="00C8449C">
            <w:pPr>
              <w:spacing w:before="20" w:after="20"/>
              <w:ind w:right="-57"/>
              <w:jc w:val="right"/>
              <w:rPr>
                <w:rFonts w:cs="Times New Roman"/>
                <w:spacing w:val="-4"/>
                <w:szCs w:val="19"/>
                <w:lang w:val="en-GB"/>
              </w:rPr>
            </w:pPr>
            <w:r>
              <w:rPr>
                <w:rFonts w:cs="Arial"/>
                <w:bCs/>
                <w:szCs w:val="19"/>
              </w:rPr>
              <w:t>39.</w:t>
            </w:r>
            <w:r w:rsidRPr="002B2014">
              <w:rPr>
                <w:rFonts w:cs="Arial"/>
                <w:bCs/>
                <w:szCs w:val="19"/>
              </w:rPr>
              <w:t>22</w:t>
            </w:r>
          </w:p>
        </w:tc>
        <w:tc>
          <w:tcPr>
            <w:tcW w:w="502" w:type="pct"/>
            <w:vAlign w:val="bottom"/>
          </w:tcPr>
          <w:p w14:paraId="0EB1CB60" w14:textId="0CEB4EB4" w:rsidR="00C8449C" w:rsidRPr="002B2014" w:rsidRDefault="00C8449C" w:rsidP="00C8449C">
            <w:pPr>
              <w:spacing w:before="20" w:after="20"/>
              <w:ind w:right="-57"/>
              <w:jc w:val="right"/>
              <w:rPr>
                <w:rFonts w:cs="Times New Roman"/>
                <w:szCs w:val="19"/>
                <w:lang w:val="en-GB"/>
              </w:rPr>
            </w:pPr>
            <w:r w:rsidRPr="002B2014">
              <w:rPr>
                <w:rFonts w:cs="Arial"/>
                <w:bCs/>
                <w:szCs w:val="19"/>
              </w:rPr>
              <w:t>96</w:t>
            </w:r>
            <w:r>
              <w:rPr>
                <w:rFonts w:cs="Arial"/>
                <w:bCs/>
                <w:szCs w:val="19"/>
              </w:rPr>
              <w:t>.</w:t>
            </w:r>
            <w:r w:rsidRPr="002B2014">
              <w:rPr>
                <w:rFonts w:cs="Arial"/>
                <w:bCs/>
                <w:szCs w:val="19"/>
              </w:rPr>
              <w:t>2</w:t>
            </w:r>
          </w:p>
        </w:tc>
        <w:tc>
          <w:tcPr>
            <w:tcW w:w="501" w:type="pct"/>
            <w:vAlign w:val="bottom"/>
          </w:tcPr>
          <w:p w14:paraId="55D3D4E6" w14:textId="5C1F7A03" w:rsidR="00C8449C" w:rsidRPr="002B2014" w:rsidRDefault="00C8449C" w:rsidP="00C8449C">
            <w:pPr>
              <w:spacing w:before="20" w:after="20"/>
              <w:ind w:right="-57"/>
              <w:jc w:val="right"/>
              <w:rPr>
                <w:rFonts w:cs="Times New Roman"/>
                <w:spacing w:val="-4"/>
                <w:szCs w:val="19"/>
                <w:lang w:val="en-GB"/>
              </w:rPr>
            </w:pPr>
            <w:r w:rsidRPr="002B2014">
              <w:rPr>
                <w:rFonts w:cs="Arial"/>
                <w:bCs/>
                <w:szCs w:val="19"/>
              </w:rPr>
              <w:t>25</w:t>
            </w:r>
            <w:r>
              <w:rPr>
                <w:rFonts w:cs="Arial"/>
                <w:bCs/>
                <w:szCs w:val="19"/>
              </w:rPr>
              <w:t>.</w:t>
            </w:r>
            <w:r w:rsidRPr="002B2014">
              <w:rPr>
                <w:rFonts w:cs="Arial"/>
                <w:bCs/>
                <w:szCs w:val="19"/>
              </w:rPr>
              <w:t>77</w:t>
            </w:r>
          </w:p>
        </w:tc>
        <w:tc>
          <w:tcPr>
            <w:tcW w:w="502" w:type="pct"/>
            <w:vAlign w:val="bottom"/>
          </w:tcPr>
          <w:p w14:paraId="3A9B7025" w14:textId="06BBEAC6" w:rsidR="00C8449C" w:rsidRPr="002B2014" w:rsidRDefault="00C8449C" w:rsidP="00C8449C">
            <w:pPr>
              <w:spacing w:before="20" w:after="20"/>
              <w:ind w:right="-57"/>
              <w:jc w:val="right"/>
              <w:rPr>
                <w:rFonts w:cs="Times New Roman"/>
                <w:szCs w:val="19"/>
                <w:lang w:val="en-GB"/>
              </w:rPr>
            </w:pPr>
            <w:r w:rsidRPr="002B2014">
              <w:rPr>
                <w:rFonts w:cs="Arial"/>
                <w:bCs/>
                <w:szCs w:val="19"/>
              </w:rPr>
              <w:t>97</w:t>
            </w:r>
            <w:r>
              <w:rPr>
                <w:rFonts w:cs="Arial"/>
                <w:bCs/>
                <w:szCs w:val="19"/>
              </w:rPr>
              <w:t>.</w:t>
            </w:r>
            <w:r w:rsidRPr="002B2014">
              <w:rPr>
                <w:rFonts w:cs="Arial"/>
                <w:bCs/>
                <w:szCs w:val="19"/>
              </w:rPr>
              <w:t>3</w:t>
            </w:r>
          </w:p>
        </w:tc>
        <w:tc>
          <w:tcPr>
            <w:tcW w:w="501" w:type="pct"/>
            <w:vAlign w:val="bottom"/>
          </w:tcPr>
          <w:p w14:paraId="782A0731" w14:textId="2754DDC1" w:rsidR="00C8449C" w:rsidRPr="00227837" w:rsidRDefault="00C8449C" w:rsidP="00C8449C">
            <w:pPr>
              <w:spacing w:before="20" w:after="20"/>
              <w:ind w:left="-57" w:right="-57"/>
              <w:jc w:val="right"/>
              <w:rPr>
                <w:rFonts w:cs="Times New Roman"/>
                <w:spacing w:val="-2"/>
                <w:szCs w:val="19"/>
                <w:lang w:val="en-GB"/>
              </w:rPr>
            </w:pPr>
            <w:r w:rsidRPr="00431FBE">
              <w:t>10 381</w:t>
            </w:r>
            <w:r>
              <w:t>.</w:t>
            </w:r>
            <w:r w:rsidRPr="00431FBE">
              <w:t>5</w:t>
            </w:r>
          </w:p>
        </w:tc>
        <w:tc>
          <w:tcPr>
            <w:tcW w:w="502" w:type="pct"/>
            <w:vAlign w:val="bottom"/>
          </w:tcPr>
          <w:p w14:paraId="7F62D523" w14:textId="183885E3" w:rsidR="00C8449C" w:rsidRPr="00227837" w:rsidRDefault="00C8449C" w:rsidP="00C8449C">
            <w:pPr>
              <w:spacing w:before="20" w:after="20"/>
              <w:ind w:right="-57"/>
              <w:jc w:val="right"/>
              <w:rPr>
                <w:rFonts w:cs="Times New Roman"/>
                <w:szCs w:val="19"/>
                <w:lang w:val="en-GB"/>
              </w:rPr>
            </w:pPr>
            <w:r w:rsidRPr="00431FBE">
              <w:t>101</w:t>
            </w:r>
            <w:r>
              <w:t>.</w:t>
            </w:r>
            <w:r w:rsidRPr="00431FBE">
              <w:t>1</w:t>
            </w:r>
          </w:p>
        </w:tc>
        <w:tc>
          <w:tcPr>
            <w:tcW w:w="501" w:type="pct"/>
            <w:vAlign w:val="bottom"/>
          </w:tcPr>
          <w:p w14:paraId="0D97A71D" w14:textId="6BDA48BC" w:rsidR="00C8449C" w:rsidRPr="00227837" w:rsidRDefault="00C8449C" w:rsidP="00C8449C">
            <w:pPr>
              <w:spacing w:before="20" w:after="20"/>
              <w:ind w:right="-57"/>
              <w:jc w:val="right"/>
              <w:rPr>
                <w:rFonts w:cs="Times New Roman"/>
                <w:szCs w:val="19"/>
                <w:lang w:val="en-GB"/>
              </w:rPr>
            </w:pPr>
            <w:r w:rsidRPr="00E836AC">
              <w:t>4 459</w:t>
            </w:r>
            <w:r>
              <w:t>.</w:t>
            </w:r>
            <w:r w:rsidRPr="00E836AC">
              <w:t>5</w:t>
            </w:r>
          </w:p>
        </w:tc>
        <w:tc>
          <w:tcPr>
            <w:tcW w:w="500" w:type="pct"/>
            <w:vAlign w:val="bottom"/>
          </w:tcPr>
          <w:p w14:paraId="0DF2BFB5" w14:textId="1F8CCDD6" w:rsidR="00C8449C" w:rsidRPr="00227837" w:rsidRDefault="00C8449C" w:rsidP="00C8449C">
            <w:pPr>
              <w:spacing w:before="20" w:after="20"/>
              <w:ind w:right="-57"/>
              <w:jc w:val="right"/>
              <w:rPr>
                <w:rFonts w:cs="Times New Roman"/>
                <w:szCs w:val="19"/>
                <w:lang w:val="en-GB"/>
              </w:rPr>
            </w:pPr>
            <w:r w:rsidRPr="00E836AC">
              <w:t>102</w:t>
            </w:r>
            <w:r>
              <w:t>.</w:t>
            </w:r>
            <w:r w:rsidRPr="00E836AC">
              <w:t>6</w:t>
            </w:r>
          </w:p>
        </w:tc>
      </w:tr>
      <w:tr w:rsidR="00C8449C" w:rsidRPr="00227837" w14:paraId="6C1D5028" w14:textId="77777777" w:rsidTr="00C8449C">
        <w:trPr>
          <w:trHeight w:hRule="exact" w:val="340"/>
        </w:trPr>
        <w:tc>
          <w:tcPr>
            <w:tcW w:w="990" w:type="pct"/>
            <w:vAlign w:val="bottom"/>
          </w:tcPr>
          <w:p w14:paraId="0CA8708D" w14:textId="6AF2F70C" w:rsidR="00C8449C" w:rsidRPr="00227837" w:rsidRDefault="00C8449C" w:rsidP="00C8449C">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bottom"/>
          </w:tcPr>
          <w:p w14:paraId="34F27E2E" w14:textId="665869F6" w:rsidR="00C8449C" w:rsidRPr="002B2014" w:rsidRDefault="00C8449C" w:rsidP="00C8449C">
            <w:pPr>
              <w:spacing w:before="20" w:after="20"/>
              <w:ind w:right="-57"/>
              <w:jc w:val="right"/>
              <w:rPr>
                <w:rFonts w:cs="Times New Roman"/>
                <w:spacing w:val="-4"/>
                <w:szCs w:val="19"/>
                <w:lang w:val="en-GB"/>
              </w:rPr>
            </w:pPr>
            <w:r>
              <w:rPr>
                <w:rFonts w:cs="Arial"/>
                <w:bCs/>
                <w:szCs w:val="19"/>
              </w:rPr>
              <w:t>6.</w:t>
            </w:r>
            <w:r w:rsidRPr="002B2014">
              <w:rPr>
                <w:rFonts w:cs="Arial"/>
                <w:bCs/>
                <w:szCs w:val="19"/>
              </w:rPr>
              <w:t>26</w:t>
            </w:r>
          </w:p>
        </w:tc>
        <w:tc>
          <w:tcPr>
            <w:tcW w:w="502" w:type="pct"/>
            <w:vAlign w:val="bottom"/>
          </w:tcPr>
          <w:p w14:paraId="55DF83F3" w14:textId="08E29A2E" w:rsidR="00C8449C" w:rsidRPr="002B2014" w:rsidRDefault="00C8449C" w:rsidP="00C8449C">
            <w:pPr>
              <w:spacing w:before="20" w:after="20"/>
              <w:ind w:right="-57"/>
              <w:jc w:val="right"/>
              <w:rPr>
                <w:rFonts w:cs="Times New Roman"/>
                <w:szCs w:val="19"/>
                <w:lang w:val="en-GB"/>
              </w:rPr>
            </w:pPr>
            <w:r w:rsidRPr="002B2014">
              <w:rPr>
                <w:rFonts w:cs="Arial"/>
                <w:bCs/>
                <w:szCs w:val="19"/>
              </w:rPr>
              <w:t>95</w:t>
            </w:r>
            <w:r>
              <w:rPr>
                <w:rFonts w:cs="Arial"/>
                <w:bCs/>
                <w:szCs w:val="19"/>
              </w:rPr>
              <w:t>.</w:t>
            </w:r>
            <w:r w:rsidRPr="002B2014">
              <w:rPr>
                <w:rFonts w:cs="Arial"/>
                <w:bCs/>
                <w:szCs w:val="19"/>
              </w:rPr>
              <w:t>9</w:t>
            </w:r>
          </w:p>
        </w:tc>
        <w:tc>
          <w:tcPr>
            <w:tcW w:w="501" w:type="pct"/>
            <w:vAlign w:val="bottom"/>
          </w:tcPr>
          <w:p w14:paraId="7AD5E7ED" w14:textId="6A3AD9CD"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0</w:t>
            </w:r>
            <w:r>
              <w:rPr>
                <w:rFonts w:cs="Calibri"/>
                <w:color w:val="000000"/>
                <w:szCs w:val="19"/>
              </w:rPr>
              <w:t>.</w:t>
            </w:r>
            <w:r w:rsidRPr="002B2014">
              <w:rPr>
                <w:rFonts w:cs="Calibri"/>
                <w:color w:val="000000"/>
                <w:szCs w:val="19"/>
              </w:rPr>
              <w:t>19</w:t>
            </w:r>
          </w:p>
        </w:tc>
        <w:tc>
          <w:tcPr>
            <w:tcW w:w="502" w:type="pct"/>
            <w:vAlign w:val="bottom"/>
          </w:tcPr>
          <w:p w14:paraId="7B2F6974" w14:textId="1E8B7B7D"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100</w:t>
            </w:r>
            <w:r>
              <w:rPr>
                <w:rFonts w:cs="Calibri"/>
                <w:color w:val="000000"/>
                <w:szCs w:val="19"/>
              </w:rPr>
              <w:t>.</w:t>
            </w:r>
            <w:r w:rsidRPr="002B2014">
              <w:rPr>
                <w:rFonts w:cs="Calibri"/>
                <w:color w:val="000000"/>
                <w:szCs w:val="19"/>
              </w:rPr>
              <w:t>5</w:t>
            </w:r>
          </w:p>
        </w:tc>
        <w:tc>
          <w:tcPr>
            <w:tcW w:w="501" w:type="pct"/>
            <w:vAlign w:val="bottom"/>
          </w:tcPr>
          <w:p w14:paraId="64ED78CE" w14:textId="64691146" w:rsidR="00C8449C" w:rsidRPr="00227837" w:rsidRDefault="00C8449C" w:rsidP="00C8449C">
            <w:pPr>
              <w:spacing w:before="20" w:after="20"/>
              <w:ind w:left="-57" w:right="-57"/>
              <w:jc w:val="right"/>
              <w:rPr>
                <w:rFonts w:cs="Times New Roman"/>
                <w:spacing w:val="-2"/>
                <w:szCs w:val="19"/>
                <w:lang w:val="en-GB"/>
              </w:rPr>
            </w:pPr>
            <w:r w:rsidRPr="00431FBE">
              <w:t>2 423</w:t>
            </w:r>
            <w:r>
              <w:t>.</w:t>
            </w:r>
            <w:r w:rsidRPr="00431FBE">
              <w:t>4</w:t>
            </w:r>
          </w:p>
        </w:tc>
        <w:tc>
          <w:tcPr>
            <w:tcW w:w="502" w:type="pct"/>
            <w:vAlign w:val="bottom"/>
          </w:tcPr>
          <w:p w14:paraId="054065CF" w14:textId="00CC19A3" w:rsidR="00C8449C" w:rsidRPr="00227837" w:rsidRDefault="00C8449C" w:rsidP="00C8449C">
            <w:pPr>
              <w:spacing w:before="20" w:after="20"/>
              <w:ind w:right="-57"/>
              <w:jc w:val="right"/>
              <w:rPr>
                <w:rFonts w:cs="Times New Roman"/>
                <w:szCs w:val="19"/>
                <w:lang w:val="en-GB"/>
              </w:rPr>
            </w:pPr>
            <w:r w:rsidRPr="00431FBE">
              <w:t>96</w:t>
            </w:r>
            <w:r>
              <w:t>.</w:t>
            </w:r>
            <w:r w:rsidRPr="00431FBE">
              <w:t>8</w:t>
            </w:r>
          </w:p>
        </w:tc>
        <w:tc>
          <w:tcPr>
            <w:tcW w:w="501" w:type="pct"/>
            <w:vAlign w:val="bottom"/>
          </w:tcPr>
          <w:p w14:paraId="128E6A0D" w14:textId="504824CB" w:rsidR="00C8449C" w:rsidRPr="00227837" w:rsidRDefault="00C8449C" w:rsidP="00C8449C">
            <w:pPr>
              <w:spacing w:before="20" w:after="20"/>
              <w:ind w:right="-57"/>
              <w:jc w:val="right"/>
              <w:rPr>
                <w:rFonts w:cs="Times New Roman"/>
                <w:szCs w:val="19"/>
                <w:lang w:val="en-GB"/>
              </w:rPr>
            </w:pPr>
            <w:r w:rsidRPr="00E836AC">
              <w:t>22</w:t>
            </w:r>
            <w:r>
              <w:t>.</w:t>
            </w:r>
            <w:r w:rsidRPr="00E836AC">
              <w:t>0</w:t>
            </w:r>
          </w:p>
        </w:tc>
        <w:tc>
          <w:tcPr>
            <w:tcW w:w="500" w:type="pct"/>
            <w:vAlign w:val="bottom"/>
          </w:tcPr>
          <w:p w14:paraId="7C8742DF" w14:textId="0E03D926" w:rsidR="00C8449C" w:rsidRPr="00227837" w:rsidRDefault="00C8449C" w:rsidP="00C8449C">
            <w:pPr>
              <w:spacing w:before="20" w:after="20"/>
              <w:ind w:right="-57"/>
              <w:jc w:val="right"/>
              <w:rPr>
                <w:rFonts w:cs="Times New Roman"/>
                <w:szCs w:val="19"/>
                <w:lang w:val="en-GB"/>
              </w:rPr>
            </w:pPr>
            <w:r w:rsidRPr="00E836AC">
              <w:t>102</w:t>
            </w:r>
            <w:r>
              <w:t>.</w:t>
            </w:r>
            <w:r w:rsidRPr="00E836AC">
              <w:t>2</w:t>
            </w:r>
          </w:p>
        </w:tc>
      </w:tr>
      <w:tr w:rsidR="00C8449C" w:rsidRPr="00227837" w14:paraId="544E4FE0" w14:textId="77777777" w:rsidTr="00C8449C">
        <w:trPr>
          <w:trHeight w:hRule="exact" w:val="340"/>
        </w:trPr>
        <w:tc>
          <w:tcPr>
            <w:tcW w:w="990" w:type="pct"/>
            <w:vAlign w:val="bottom"/>
          </w:tcPr>
          <w:p w14:paraId="3B990525" w14:textId="42656272" w:rsidR="00C8449C" w:rsidRPr="00227837" w:rsidRDefault="00C8449C" w:rsidP="00C8449C">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bottom"/>
          </w:tcPr>
          <w:p w14:paraId="78672498" w14:textId="750052AF" w:rsidR="00C8449C" w:rsidRPr="002B2014" w:rsidRDefault="00C8449C" w:rsidP="00C8449C">
            <w:pPr>
              <w:spacing w:before="20" w:after="20"/>
              <w:ind w:right="-57"/>
              <w:jc w:val="right"/>
              <w:rPr>
                <w:rFonts w:cs="Times New Roman"/>
                <w:spacing w:val="-4"/>
                <w:szCs w:val="19"/>
                <w:lang w:val="en-GB"/>
              </w:rPr>
            </w:pPr>
            <w:r>
              <w:rPr>
                <w:rFonts w:cs="Arial"/>
                <w:bCs/>
                <w:szCs w:val="19"/>
              </w:rPr>
              <w:t>0.</w:t>
            </w:r>
            <w:r w:rsidRPr="002B2014">
              <w:rPr>
                <w:rFonts w:cs="Arial"/>
                <w:bCs/>
                <w:szCs w:val="19"/>
              </w:rPr>
              <w:t>23</w:t>
            </w:r>
          </w:p>
        </w:tc>
        <w:tc>
          <w:tcPr>
            <w:tcW w:w="502" w:type="pct"/>
            <w:vAlign w:val="bottom"/>
          </w:tcPr>
          <w:p w14:paraId="27F3D85A" w14:textId="0EB50D6F" w:rsidR="00C8449C" w:rsidRPr="002B2014" w:rsidRDefault="00C8449C" w:rsidP="00C8449C">
            <w:pPr>
              <w:spacing w:before="20" w:after="20"/>
              <w:ind w:right="-57"/>
              <w:jc w:val="right"/>
              <w:rPr>
                <w:rFonts w:cs="Times New Roman"/>
                <w:szCs w:val="19"/>
                <w:lang w:val="en-GB"/>
              </w:rPr>
            </w:pPr>
            <w:r w:rsidRPr="002B2014">
              <w:rPr>
                <w:rFonts w:cs="Arial"/>
                <w:bCs/>
                <w:szCs w:val="19"/>
              </w:rPr>
              <w:t>125</w:t>
            </w:r>
            <w:r>
              <w:rPr>
                <w:rFonts w:cs="Arial"/>
                <w:bCs/>
                <w:szCs w:val="19"/>
              </w:rPr>
              <w:t>.</w:t>
            </w:r>
            <w:r w:rsidRPr="002B2014">
              <w:rPr>
                <w:rFonts w:cs="Arial"/>
                <w:bCs/>
                <w:szCs w:val="19"/>
              </w:rPr>
              <w:t>5</w:t>
            </w:r>
          </w:p>
        </w:tc>
        <w:tc>
          <w:tcPr>
            <w:tcW w:w="501" w:type="pct"/>
            <w:vAlign w:val="bottom"/>
          </w:tcPr>
          <w:p w14:paraId="50BFB55C" w14:textId="7848B6DA"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0</w:t>
            </w:r>
            <w:r>
              <w:rPr>
                <w:rFonts w:cs="Calibri"/>
                <w:color w:val="000000"/>
                <w:szCs w:val="19"/>
              </w:rPr>
              <w:t>.</w:t>
            </w:r>
            <w:r w:rsidRPr="002B2014">
              <w:rPr>
                <w:rFonts w:cs="Calibri"/>
                <w:color w:val="000000"/>
                <w:szCs w:val="19"/>
              </w:rPr>
              <w:t>02</w:t>
            </w:r>
          </w:p>
        </w:tc>
        <w:tc>
          <w:tcPr>
            <w:tcW w:w="502" w:type="pct"/>
            <w:vAlign w:val="bottom"/>
          </w:tcPr>
          <w:p w14:paraId="659D5AE5" w14:textId="43159C6F"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97</w:t>
            </w:r>
            <w:r>
              <w:rPr>
                <w:rFonts w:cs="Calibri"/>
                <w:color w:val="000000"/>
                <w:szCs w:val="19"/>
              </w:rPr>
              <w:t>.</w:t>
            </w:r>
            <w:r w:rsidRPr="002B2014">
              <w:rPr>
                <w:rFonts w:cs="Calibri"/>
                <w:color w:val="000000"/>
                <w:szCs w:val="19"/>
              </w:rPr>
              <w:t>3</w:t>
            </w:r>
          </w:p>
        </w:tc>
        <w:tc>
          <w:tcPr>
            <w:tcW w:w="501" w:type="pct"/>
            <w:vAlign w:val="bottom"/>
          </w:tcPr>
          <w:p w14:paraId="60B4E02D" w14:textId="72743DD0" w:rsidR="00C8449C" w:rsidRPr="00227837" w:rsidRDefault="00C8449C" w:rsidP="00C8449C">
            <w:pPr>
              <w:spacing w:before="20" w:after="20"/>
              <w:ind w:left="-57" w:right="-57"/>
              <w:jc w:val="right"/>
              <w:rPr>
                <w:rFonts w:cs="Times New Roman"/>
                <w:spacing w:val="-2"/>
                <w:szCs w:val="19"/>
                <w:lang w:val="en-GB"/>
              </w:rPr>
            </w:pPr>
            <w:r w:rsidRPr="00431FBE">
              <w:t>42</w:t>
            </w:r>
            <w:r>
              <w:t>.</w:t>
            </w:r>
            <w:r w:rsidRPr="00431FBE">
              <w:t>4</w:t>
            </w:r>
          </w:p>
        </w:tc>
        <w:tc>
          <w:tcPr>
            <w:tcW w:w="502" w:type="pct"/>
            <w:vAlign w:val="bottom"/>
          </w:tcPr>
          <w:p w14:paraId="16090826" w14:textId="385696E6" w:rsidR="00C8449C" w:rsidRPr="00227837" w:rsidRDefault="00C8449C" w:rsidP="00C8449C">
            <w:pPr>
              <w:spacing w:before="20" w:after="20"/>
              <w:ind w:right="-57"/>
              <w:jc w:val="right"/>
              <w:rPr>
                <w:rFonts w:cs="Times New Roman"/>
                <w:szCs w:val="19"/>
                <w:lang w:val="en-GB"/>
              </w:rPr>
            </w:pPr>
            <w:r w:rsidRPr="00431FBE">
              <w:t>122</w:t>
            </w:r>
            <w:r>
              <w:t>.</w:t>
            </w:r>
            <w:r w:rsidRPr="00431FBE">
              <w:t>3</w:t>
            </w:r>
          </w:p>
        </w:tc>
        <w:tc>
          <w:tcPr>
            <w:tcW w:w="501" w:type="pct"/>
            <w:vAlign w:val="bottom"/>
          </w:tcPr>
          <w:p w14:paraId="738A5F8F" w14:textId="6CE19819" w:rsidR="00C8449C" w:rsidRPr="00227837" w:rsidRDefault="00C8449C" w:rsidP="00C8449C">
            <w:pPr>
              <w:spacing w:before="20" w:after="20"/>
              <w:ind w:right="-57"/>
              <w:jc w:val="right"/>
              <w:rPr>
                <w:rFonts w:cs="Times New Roman"/>
                <w:szCs w:val="19"/>
                <w:lang w:val="en-GB"/>
              </w:rPr>
            </w:pPr>
            <w:r w:rsidRPr="00E836AC">
              <w:t>2</w:t>
            </w:r>
            <w:r>
              <w:t>.</w:t>
            </w:r>
            <w:r w:rsidRPr="00E836AC">
              <w:t>4</w:t>
            </w:r>
          </w:p>
        </w:tc>
        <w:tc>
          <w:tcPr>
            <w:tcW w:w="500" w:type="pct"/>
            <w:vAlign w:val="bottom"/>
          </w:tcPr>
          <w:p w14:paraId="1E80F546" w14:textId="5E894125" w:rsidR="00C8449C" w:rsidRPr="00227837" w:rsidRDefault="00C8449C" w:rsidP="00C8449C">
            <w:pPr>
              <w:spacing w:before="20" w:after="20"/>
              <w:ind w:right="-57"/>
              <w:jc w:val="right"/>
              <w:rPr>
                <w:rFonts w:cs="Times New Roman"/>
                <w:szCs w:val="19"/>
                <w:lang w:val="en-GB"/>
              </w:rPr>
            </w:pPr>
            <w:r w:rsidRPr="00E836AC">
              <w:t>97</w:t>
            </w:r>
            <w:r>
              <w:t>.</w:t>
            </w:r>
            <w:r w:rsidRPr="00E836AC">
              <w:t>6</w:t>
            </w:r>
          </w:p>
        </w:tc>
      </w:tr>
      <w:tr w:rsidR="00C8449C" w:rsidRPr="00227837" w14:paraId="64100D99" w14:textId="77777777" w:rsidTr="00C8449C">
        <w:trPr>
          <w:trHeight w:hRule="exact" w:val="340"/>
        </w:trPr>
        <w:tc>
          <w:tcPr>
            <w:tcW w:w="990" w:type="pct"/>
            <w:vAlign w:val="bottom"/>
          </w:tcPr>
          <w:p w14:paraId="5B5B2F39" w14:textId="2283DC90" w:rsidR="00C8449C" w:rsidRPr="00227837" w:rsidRDefault="00C8449C" w:rsidP="00C8449C">
            <w:pPr>
              <w:tabs>
                <w:tab w:val="left" w:leader="dot" w:pos="1202"/>
              </w:tabs>
              <w:spacing w:before="20" w:after="20"/>
              <w:ind w:left="335" w:right="-57"/>
              <w:rPr>
                <w:color w:val="000000" w:themeColor="text1"/>
                <w:szCs w:val="19"/>
                <w:lang w:val="en-GB"/>
              </w:rPr>
            </w:pPr>
            <w:r w:rsidRPr="00227837">
              <w:rPr>
                <w:lang w:val="en-GB"/>
              </w:rPr>
              <w:t>Belarus</w:t>
            </w:r>
          </w:p>
        </w:tc>
        <w:tc>
          <w:tcPr>
            <w:tcW w:w="501" w:type="pct"/>
            <w:vAlign w:val="bottom"/>
          </w:tcPr>
          <w:p w14:paraId="542F784B" w14:textId="604068F9" w:rsidR="00C8449C" w:rsidRPr="002B2014" w:rsidRDefault="00C8449C" w:rsidP="00C8449C">
            <w:pPr>
              <w:spacing w:before="20" w:after="20"/>
              <w:ind w:right="-57"/>
              <w:jc w:val="right"/>
              <w:rPr>
                <w:rFonts w:cs="Times New Roman"/>
                <w:spacing w:val="-4"/>
                <w:szCs w:val="19"/>
                <w:lang w:val="en-GB"/>
              </w:rPr>
            </w:pPr>
            <w:r>
              <w:rPr>
                <w:rFonts w:cs="Arial"/>
                <w:bCs/>
                <w:szCs w:val="19"/>
              </w:rPr>
              <w:t>0.</w:t>
            </w:r>
            <w:r w:rsidRPr="002B2014">
              <w:rPr>
                <w:rFonts w:cs="Arial"/>
                <w:bCs/>
                <w:szCs w:val="19"/>
              </w:rPr>
              <w:t>74</w:t>
            </w:r>
          </w:p>
        </w:tc>
        <w:tc>
          <w:tcPr>
            <w:tcW w:w="502" w:type="pct"/>
            <w:vAlign w:val="bottom"/>
          </w:tcPr>
          <w:p w14:paraId="3C26C63D" w14:textId="1E0454E3" w:rsidR="00C8449C" w:rsidRPr="002B2014" w:rsidRDefault="00C8449C" w:rsidP="00C8449C">
            <w:pPr>
              <w:spacing w:before="20" w:after="20"/>
              <w:ind w:right="-57"/>
              <w:jc w:val="right"/>
              <w:rPr>
                <w:rFonts w:cs="Times New Roman"/>
                <w:szCs w:val="19"/>
                <w:lang w:val="en-GB"/>
              </w:rPr>
            </w:pPr>
            <w:r w:rsidRPr="002B2014">
              <w:rPr>
                <w:rFonts w:cs="Arial"/>
                <w:bCs/>
                <w:szCs w:val="19"/>
              </w:rPr>
              <w:t>100</w:t>
            </w:r>
            <w:r>
              <w:rPr>
                <w:rFonts w:cs="Arial"/>
                <w:bCs/>
                <w:szCs w:val="19"/>
              </w:rPr>
              <w:t>.</w:t>
            </w:r>
            <w:r w:rsidRPr="002B2014">
              <w:rPr>
                <w:rFonts w:cs="Arial"/>
                <w:bCs/>
                <w:szCs w:val="19"/>
              </w:rPr>
              <w:t>7</w:t>
            </w:r>
          </w:p>
        </w:tc>
        <w:tc>
          <w:tcPr>
            <w:tcW w:w="501" w:type="pct"/>
            <w:vAlign w:val="bottom"/>
          </w:tcPr>
          <w:p w14:paraId="368FE8B4" w14:textId="61DF38FC"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0</w:t>
            </w:r>
            <w:r>
              <w:rPr>
                <w:rFonts w:cs="Calibri"/>
                <w:color w:val="000000"/>
                <w:szCs w:val="19"/>
              </w:rPr>
              <w:t>.</w:t>
            </w:r>
            <w:r w:rsidRPr="002B2014">
              <w:rPr>
                <w:rFonts w:cs="Calibri"/>
                <w:color w:val="000000"/>
                <w:szCs w:val="19"/>
              </w:rPr>
              <w:t>04</w:t>
            </w:r>
          </w:p>
        </w:tc>
        <w:tc>
          <w:tcPr>
            <w:tcW w:w="502" w:type="pct"/>
            <w:vAlign w:val="bottom"/>
          </w:tcPr>
          <w:p w14:paraId="49DF135D" w14:textId="1CFDE936"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109</w:t>
            </w:r>
            <w:r>
              <w:rPr>
                <w:rFonts w:cs="Calibri"/>
                <w:color w:val="000000"/>
                <w:szCs w:val="19"/>
              </w:rPr>
              <w:t>.</w:t>
            </w:r>
            <w:r w:rsidRPr="002B2014">
              <w:rPr>
                <w:rFonts w:cs="Calibri"/>
                <w:color w:val="000000"/>
                <w:szCs w:val="19"/>
              </w:rPr>
              <w:t>7</w:t>
            </w:r>
          </w:p>
        </w:tc>
        <w:tc>
          <w:tcPr>
            <w:tcW w:w="501" w:type="pct"/>
            <w:vAlign w:val="bottom"/>
          </w:tcPr>
          <w:p w14:paraId="0DF6A5B0" w14:textId="14DB1E0E" w:rsidR="00C8449C" w:rsidRPr="00227837" w:rsidRDefault="00C8449C" w:rsidP="00C8449C">
            <w:pPr>
              <w:spacing w:before="20" w:after="20"/>
              <w:ind w:left="-57" w:right="-57"/>
              <w:jc w:val="right"/>
              <w:rPr>
                <w:rFonts w:cs="Times New Roman"/>
                <w:spacing w:val="-2"/>
                <w:szCs w:val="19"/>
                <w:lang w:val="en-GB"/>
              </w:rPr>
            </w:pPr>
            <w:r w:rsidRPr="00431FBE">
              <w:t>183</w:t>
            </w:r>
            <w:r>
              <w:t>.</w:t>
            </w:r>
            <w:r w:rsidRPr="00431FBE">
              <w:t>7</w:t>
            </w:r>
          </w:p>
        </w:tc>
        <w:tc>
          <w:tcPr>
            <w:tcW w:w="502" w:type="pct"/>
            <w:vAlign w:val="bottom"/>
          </w:tcPr>
          <w:p w14:paraId="4A3F0EAE" w14:textId="2A767EEA" w:rsidR="00C8449C" w:rsidRPr="00227837" w:rsidRDefault="00C8449C" w:rsidP="00C8449C">
            <w:pPr>
              <w:spacing w:before="20" w:after="20"/>
              <w:ind w:right="-57"/>
              <w:jc w:val="right"/>
              <w:rPr>
                <w:rFonts w:cs="Times New Roman"/>
                <w:szCs w:val="19"/>
                <w:lang w:val="en-GB"/>
              </w:rPr>
            </w:pPr>
            <w:r w:rsidRPr="00431FBE">
              <w:t>77</w:t>
            </w:r>
            <w:r>
              <w:t>.</w:t>
            </w:r>
            <w:r w:rsidRPr="00431FBE">
              <w:t>1</w:t>
            </w:r>
          </w:p>
        </w:tc>
        <w:tc>
          <w:tcPr>
            <w:tcW w:w="501" w:type="pct"/>
            <w:vAlign w:val="bottom"/>
          </w:tcPr>
          <w:p w14:paraId="7022F676" w14:textId="3BC71BD6" w:rsidR="00C8449C" w:rsidRPr="00227837" w:rsidRDefault="00C8449C" w:rsidP="00C8449C">
            <w:pPr>
              <w:spacing w:before="20" w:after="20"/>
              <w:ind w:right="-57"/>
              <w:jc w:val="right"/>
              <w:rPr>
                <w:rFonts w:cs="Times New Roman"/>
                <w:szCs w:val="19"/>
                <w:lang w:val="en-GB"/>
              </w:rPr>
            </w:pPr>
            <w:r w:rsidRPr="00E836AC">
              <w:t>4</w:t>
            </w:r>
            <w:r>
              <w:t>.</w:t>
            </w:r>
            <w:r w:rsidRPr="00E836AC">
              <w:t>2</w:t>
            </w:r>
          </w:p>
        </w:tc>
        <w:tc>
          <w:tcPr>
            <w:tcW w:w="500" w:type="pct"/>
            <w:vAlign w:val="bottom"/>
          </w:tcPr>
          <w:p w14:paraId="0855F120" w14:textId="35217FC3" w:rsidR="00C8449C" w:rsidRPr="00227837" w:rsidRDefault="00C8449C" w:rsidP="00C8449C">
            <w:pPr>
              <w:spacing w:before="20" w:after="20"/>
              <w:ind w:right="-57"/>
              <w:jc w:val="right"/>
              <w:rPr>
                <w:rFonts w:cs="Times New Roman"/>
                <w:szCs w:val="19"/>
                <w:lang w:val="en-GB"/>
              </w:rPr>
            </w:pPr>
            <w:r w:rsidRPr="00E836AC">
              <w:t>101</w:t>
            </w:r>
            <w:r>
              <w:t>.</w:t>
            </w:r>
            <w:r w:rsidRPr="00E836AC">
              <w:t>2</w:t>
            </w:r>
          </w:p>
        </w:tc>
      </w:tr>
      <w:tr w:rsidR="00C8449C" w:rsidRPr="00227837" w14:paraId="7827E39F" w14:textId="77777777" w:rsidTr="00C8449C">
        <w:trPr>
          <w:trHeight w:hRule="exact" w:val="340"/>
        </w:trPr>
        <w:tc>
          <w:tcPr>
            <w:tcW w:w="990" w:type="pct"/>
            <w:vAlign w:val="bottom"/>
          </w:tcPr>
          <w:p w14:paraId="56E69088" w14:textId="27023CB1" w:rsidR="00C8449C" w:rsidRPr="00227837" w:rsidRDefault="00C8449C" w:rsidP="00C8449C">
            <w:pPr>
              <w:tabs>
                <w:tab w:val="left" w:leader="dot" w:pos="1202"/>
              </w:tabs>
              <w:spacing w:before="20" w:after="20"/>
              <w:ind w:left="335" w:right="-57"/>
              <w:rPr>
                <w:color w:val="000000" w:themeColor="text1"/>
                <w:szCs w:val="19"/>
                <w:lang w:val="en-GB"/>
              </w:rPr>
            </w:pPr>
            <w:r w:rsidRPr="00227837">
              <w:rPr>
                <w:lang w:val="en-GB"/>
              </w:rPr>
              <w:t>Ukraine</w:t>
            </w:r>
          </w:p>
        </w:tc>
        <w:tc>
          <w:tcPr>
            <w:tcW w:w="501" w:type="pct"/>
            <w:vAlign w:val="bottom"/>
          </w:tcPr>
          <w:p w14:paraId="66438519" w14:textId="581BB042" w:rsidR="00C8449C" w:rsidRPr="002B2014" w:rsidRDefault="00C8449C" w:rsidP="00C8449C">
            <w:pPr>
              <w:spacing w:before="20" w:after="20"/>
              <w:ind w:right="-57"/>
              <w:jc w:val="right"/>
              <w:rPr>
                <w:rFonts w:cs="Times New Roman"/>
                <w:spacing w:val="-4"/>
                <w:szCs w:val="19"/>
                <w:lang w:val="en-GB"/>
              </w:rPr>
            </w:pPr>
            <w:r>
              <w:rPr>
                <w:rFonts w:cs="Arial"/>
                <w:bCs/>
                <w:szCs w:val="19"/>
              </w:rPr>
              <w:t>5.</w:t>
            </w:r>
            <w:r w:rsidRPr="002B2014">
              <w:rPr>
                <w:rFonts w:cs="Arial"/>
                <w:bCs/>
                <w:szCs w:val="19"/>
              </w:rPr>
              <w:t>30</w:t>
            </w:r>
          </w:p>
        </w:tc>
        <w:tc>
          <w:tcPr>
            <w:tcW w:w="502" w:type="pct"/>
            <w:vAlign w:val="bottom"/>
          </w:tcPr>
          <w:p w14:paraId="47560C2A" w14:textId="5F3739DD" w:rsidR="00C8449C" w:rsidRPr="002B2014" w:rsidRDefault="00C8449C" w:rsidP="00C8449C">
            <w:pPr>
              <w:spacing w:before="20" w:after="20"/>
              <w:ind w:right="-57"/>
              <w:jc w:val="right"/>
              <w:rPr>
                <w:rFonts w:cs="Times New Roman"/>
                <w:szCs w:val="19"/>
                <w:lang w:val="en-GB"/>
              </w:rPr>
            </w:pPr>
            <w:r w:rsidRPr="002B2014">
              <w:rPr>
                <w:rFonts w:cs="Arial"/>
                <w:bCs/>
                <w:szCs w:val="19"/>
              </w:rPr>
              <w:t>94</w:t>
            </w:r>
            <w:r>
              <w:rPr>
                <w:rFonts w:cs="Arial"/>
                <w:bCs/>
                <w:szCs w:val="19"/>
              </w:rPr>
              <w:t>.</w:t>
            </w:r>
            <w:r w:rsidRPr="002B2014">
              <w:rPr>
                <w:rFonts w:cs="Arial"/>
                <w:bCs/>
                <w:szCs w:val="19"/>
              </w:rPr>
              <w:t>3</w:t>
            </w:r>
          </w:p>
        </w:tc>
        <w:tc>
          <w:tcPr>
            <w:tcW w:w="501" w:type="pct"/>
            <w:vAlign w:val="bottom"/>
          </w:tcPr>
          <w:p w14:paraId="4B1D794E" w14:textId="5CE9DA8D"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0</w:t>
            </w:r>
            <w:r>
              <w:rPr>
                <w:rFonts w:cs="Calibri"/>
                <w:color w:val="000000"/>
                <w:szCs w:val="19"/>
              </w:rPr>
              <w:t>.</w:t>
            </w:r>
            <w:r w:rsidRPr="002B2014">
              <w:rPr>
                <w:rFonts w:cs="Calibri"/>
                <w:color w:val="000000"/>
                <w:szCs w:val="19"/>
              </w:rPr>
              <w:t>13</w:t>
            </w:r>
          </w:p>
        </w:tc>
        <w:tc>
          <w:tcPr>
            <w:tcW w:w="502" w:type="pct"/>
            <w:vAlign w:val="bottom"/>
          </w:tcPr>
          <w:p w14:paraId="44C37B34" w14:textId="4E02AEF7"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98</w:t>
            </w:r>
            <w:r>
              <w:rPr>
                <w:rFonts w:cs="Calibri"/>
                <w:color w:val="000000"/>
                <w:szCs w:val="19"/>
              </w:rPr>
              <w:t>.</w:t>
            </w:r>
            <w:r w:rsidRPr="002B2014">
              <w:rPr>
                <w:rFonts w:cs="Calibri"/>
                <w:color w:val="000000"/>
                <w:szCs w:val="19"/>
              </w:rPr>
              <w:t>4</w:t>
            </w:r>
          </w:p>
        </w:tc>
        <w:tc>
          <w:tcPr>
            <w:tcW w:w="501" w:type="pct"/>
            <w:vAlign w:val="bottom"/>
          </w:tcPr>
          <w:p w14:paraId="1A5A59E0" w14:textId="6B46932D" w:rsidR="00C8449C" w:rsidRPr="00227837" w:rsidRDefault="00C8449C" w:rsidP="00C8449C">
            <w:pPr>
              <w:spacing w:before="20" w:after="20"/>
              <w:ind w:left="-57" w:right="-57"/>
              <w:jc w:val="right"/>
              <w:rPr>
                <w:rFonts w:cs="Times New Roman"/>
                <w:spacing w:val="-2"/>
                <w:szCs w:val="19"/>
                <w:lang w:val="en-GB"/>
              </w:rPr>
            </w:pPr>
            <w:r w:rsidRPr="00431FBE">
              <w:t>2 197</w:t>
            </w:r>
            <w:r>
              <w:t>.</w:t>
            </w:r>
            <w:r w:rsidRPr="00431FBE">
              <w:t>4</w:t>
            </w:r>
          </w:p>
        </w:tc>
        <w:tc>
          <w:tcPr>
            <w:tcW w:w="502" w:type="pct"/>
            <w:vAlign w:val="bottom"/>
          </w:tcPr>
          <w:p w14:paraId="1736B401" w14:textId="5EA9840A" w:rsidR="00C8449C" w:rsidRPr="00227837" w:rsidRDefault="00C8449C" w:rsidP="00C8449C">
            <w:pPr>
              <w:spacing w:before="20" w:after="20"/>
              <w:ind w:right="-57"/>
              <w:jc w:val="right"/>
              <w:rPr>
                <w:rFonts w:cs="Times New Roman"/>
                <w:szCs w:val="19"/>
                <w:lang w:val="en-GB"/>
              </w:rPr>
            </w:pPr>
            <w:r w:rsidRPr="00431FBE">
              <w:t>98</w:t>
            </w:r>
            <w:r>
              <w:t>.</w:t>
            </w:r>
            <w:r w:rsidRPr="00431FBE">
              <w:t>4</w:t>
            </w:r>
          </w:p>
        </w:tc>
        <w:tc>
          <w:tcPr>
            <w:tcW w:w="501" w:type="pct"/>
            <w:vAlign w:val="bottom"/>
          </w:tcPr>
          <w:p w14:paraId="28A444BC" w14:textId="6C3679DA" w:rsidR="00C8449C" w:rsidRPr="00227837" w:rsidRDefault="00C8449C" w:rsidP="00C8449C">
            <w:pPr>
              <w:spacing w:before="20" w:after="20"/>
              <w:ind w:right="-57"/>
              <w:jc w:val="right"/>
              <w:rPr>
                <w:rFonts w:cs="Times New Roman"/>
                <w:szCs w:val="19"/>
                <w:lang w:val="en-GB"/>
              </w:rPr>
            </w:pPr>
            <w:r w:rsidRPr="00E836AC">
              <w:t>15</w:t>
            </w:r>
            <w:r>
              <w:t>.</w:t>
            </w:r>
            <w:r w:rsidRPr="00E836AC">
              <w:t>4</w:t>
            </w:r>
          </w:p>
        </w:tc>
        <w:tc>
          <w:tcPr>
            <w:tcW w:w="500" w:type="pct"/>
            <w:vAlign w:val="bottom"/>
          </w:tcPr>
          <w:p w14:paraId="40EDA6E1" w14:textId="372C5B02" w:rsidR="00C8449C" w:rsidRPr="00227837" w:rsidRDefault="00C8449C" w:rsidP="00C8449C">
            <w:pPr>
              <w:spacing w:before="20" w:after="20"/>
              <w:ind w:right="-57"/>
              <w:jc w:val="right"/>
              <w:rPr>
                <w:rFonts w:cs="Times New Roman"/>
                <w:szCs w:val="19"/>
                <w:lang w:val="en-GB"/>
              </w:rPr>
            </w:pPr>
            <w:r w:rsidRPr="00E836AC">
              <w:t>103</w:t>
            </w:r>
            <w:r>
              <w:t>.</w:t>
            </w:r>
            <w:r w:rsidRPr="00E836AC">
              <w:t>2</w:t>
            </w:r>
          </w:p>
        </w:tc>
      </w:tr>
      <w:tr w:rsidR="00C8449C" w:rsidRPr="00227837" w14:paraId="4EEC40DF" w14:textId="77777777" w:rsidTr="00C8449C">
        <w:trPr>
          <w:trHeight w:hRule="exact" w:val="340"/>
        </w:trPr>
        <w:tc>
          <w:tcPr>
            <w:tcW w:w="990" w:type="pct"/>
            <w:vAlign w:val="bottom"/>
          </w:tcPr>
          <w:p w14:paraId="2D543B75" w14:textId="577FE2DC" w:rsidR="00C8449C" w:rsidRPr="00227837" w:rsidRDefault="00C8449C" w:rsidP="00C8449C">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bottom"/>
          </w:tcPr>
          <w:p w14:paraId="1379B22D" w14:textId="7F7208E8" w:rsidR="00C8449C" w:rsidRPr="002B2014" w:rsidRDefault="00C8449C" w:rsidP="00C8449C">
            <w:pPr>
              <w:spacing w:before="20" w:after="20"/>
              <w:ind w:right="-57"/>
              <w:jc w:val="right"/>
              <w:rPr>
                <w:rFonts w:cs="Times New Roman"/>
                <w:spacing w:val="-4"/>
                <w:szCs w:val="19"/>
                <w:lang w:val="en-GB"/>
              </w:rPr>
            </w:pPr>
            <w:r>
              <w:rPr>
                <w:rFonts w:cs="Arial"/>
                <w:bCs/>
                <w:szCs w:val="19"/>
              </w:rPr>
              <w:t>32.</w:t>
            </w:r>
            <w:r w:rsidRPr="002B2014">
              <w:rPr>
                <w:rFonts w:cs="Arial"/>
                <w:bCs/>
                <w:szCs w:val="19"/>
              </w:rPr>
              <w:t>96</w:t>
            </w:r>
          </w:p>
        </w:tc>
        <w:tc>
          <w:tcPr>
            <w:tcW w:w="502" w:type="pct"/>
            <w:vAlign w:val="bottom"/>
          </w:tcPr>
          <w:p w14:paraId="3EB52471" w14:textId="236063B5" w:rsidR="00C8449C" w:rsidRPr="002B2014" w:rsidRDefault="00C8449C" w:rsidP="00C8449C">
            <w:pPr>
              <w:spacing w:before="20" w:after="20"/>
              <w:ind w:right="-57"/>
              <w:jc w:val="right"/>
              <w:rPr>
                <w:rFonts w:cs="Times New Roman"/>
                <w:szCs w:val="19"/>
                <w:lang w:val="en-GB"/>
              </w:rPr>
            </w:pPr>
            <w:r w:rsidRPr="002B2014">
              <w:rPr>
                <w:rFonts w:cs="Arial"/>
                <w:bCs/>
                <w:szCs w:val="19"/>
              </w:rPr>
              <w:t>96</w:t>
            </w:r>
            <w:r>
              <w:rPr>
                <w:rFonts w:cs="Arial"/>
                <w:bCs/>
                <w:szCs w:val="19"/>
              </w:rPr>
              <w:t>.</w:t>
            </w:r>
            <w:r w:rsidRPr="002B2014">
              <w:rPr>
                <w:rFonts w:cs="Arial"/>
                <w:bCs/>
                <w:szCs w:val="19"/>
              </w:rPr>
              <w:t>3</w:t>
            </w:r>
          </w:p>
        </w:tc>
        <w:tc>
          <w:tcPr>
            <w:tcW w:w="501" w:type="pct"/>
            <w:vAlign w:val="bottom"/>
          </w:tcPr>
          <w:p w14:paraId="4643D074" w14:textId="186E3D17"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25</w:t>
            </w:r>
            <w:r>
              <w:rPr>
                <w:rFonts w:cs="Calibri"/>
                <w:color w:val="000000"/>
                <w:szCs w:val="19"/>
              </w:rPr>
              <w:t>.</w:t>
            </w:r>
            <w:r w:rsidRPr="002B2014">
              <w:rPr>
                <w:rFonts w:cs="Calibri"/>
                <w:color w:val="000000"/>
                <w:szCs w:val="19"/>
              </w:rPr>
              <w:t>58</w:t>
            </w:r>
          </w:p>
        </w:tc>
        <w:tc>
          <w:tcPr>
            <w:tcW w:w="502" w:type="pct"/>
            <w:vAlign w:val="bottom"/>
          </w:tcPr>
          <w:p w14:paraId="32A0BDF8" w14:textId="28B5BA70"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97</w:t>
            </w:r>
            <w:r>
              <w:rPr>
                <w:rFonts w:cs="Calibri"/>
                <w:color w:val="000000"/>
                <w:szCs w:val="19"/>
              </w:rPr>
              <w:t>.</w:t>
            </w:r>
            <w:r w:rsidRPr="002B2014">
              <w:rPr>
                <w:rFonts w:cs="Calibri"/>
                <w:color w:val="000000"/>
                <w:szCs w:val="19"/>
              </w:rPr>
              <w:t>3</w:t>
            </w:r>
          </w:p>
        </w:tc>
        <w:tc>
          <w:tcPr>
            <w:tcW w:w="501" w:type="pct"/>
            <w:vAlign w:val="bottom"/>
          </w:tcPr>
          <w:p w14:paraId="5BA4A60A" w14:textId="0AC0D6F6" w:rsidR="00C8449C" w:rsidRPr="00227837" w:rsidRDefault="00C8449C" w:rsidP="00C8449C">
            <w:pPr>
              <w:spacing w:before="20" w:after="20"/>
              <w:ind w:left="-57" w:right="-57"/>
              <w:jc w:val="right"/>
              <w:rPr>
                <w:rFonts w:cs="Times New Roman"/>
                <w:spacing w:val="-2"/>
                <w:szCs w:val="19"/>
                <w:lang w:val="en-GB"/>
              </w:rPr>
            </w:pPr>
            <w:r w:rsidRPr="00431FBE">
              <w:t>7 958</w:t>
            </w:r>
            <w:r>
              <w:t>.</w:t>
            </w:r>
            <w:r w:rsidRPr="00431FBE">
              <w:t>1</w:t>
            </w:r>
          </w:p>
        </w:tc>
        <w:tc>
          <w:tcPr>
            <w:tcW w:w="502" w:type="pct"/>
            <w:vAlign w:val="bottom"/>
          </w:tcPr>
          <w:p w14:paraId="5682AA65" w14:textId="534D4B1C" w:rsidR="00C8449C" w:rsidRPr="00227837" w:rsidRDefault="00C8449C" w:rsidP="00C8449C">
            <w:pPr>
              <w:spacing w:before="20" w:after="20"/>
              <w:ind w:right="-57"/>
              <w:jc w:val="right"/>
              <w:rPr>
                <w:rFonts w:cs="Times New Roman"/>
                <w:szCs w:val="19"/>
                <w:lang w:val="en-GB"/>
              </w:rPr>
            </w:pPr>
            <w:r w:rsidRPr="00431FBE">
              <w:t>102</w:t>
            </w:r>
            <w:r>
              <w:t>.</w:t>
            </w:r>
            <w:r w:rsidRPr="00431FBE">
              <w:t>5</w:t>
            </w:r>
          </w:p>
        </w:tc>
        <w:tc>
          <w:tcPr>
            <w:tcW w:w="501" w:type="pct"/>
            <w:vAlign w:val="bottom"/>
          </w:tcPr>
          <w:p w14:paraId="6DCFB995" w14:textId="55739CA2" w:rsidR="00C8449C" w:rsidRPr="00227837" w:rsidRDefault="00C8449C" w:rsidP="00C8449C">
            <w:pPr>
              <w:spacing w:before="20" w:after="20"/>
              <w:ind w:right="-57"/>
              <w:jc w:val="right"/>
              <w:rPr>
                <w:rFonts w:cs="Times New Roman"/>
                <w:szCs w:val="19"/>
                <w:lang w:val="en-GB"/>
              </w:rPr>
            </w:pPr>
            <w:r w:rsidRPr="00E836AC">
              <w:t>4 437</w:t>
            </w:r>
            <w:r>
              <w:t>.</w:t>
            </w:r>
            <w:r w:rsidRPr="00E836AC">
              <w:t>5</w:t>
            </w:r>
          </w:p>
        </w:tc>
        <w:tc>
          <w:tcPr>
            <w:tcW w:w="500" w:type="pct"/>
            <w:vAlign w:val="bottom"/>
          </w:tcPr>
          <w:p w14:paraId="550F819D" w14:textId="53691089" w:rsidR="00C8449C" w:rsidRPr="00227837" w:rsidRDefault="00C8449C" w:rsidP="00C8449C">
            <w:pPr>
              <w:spacing w:before="20" w:after="20"/>
              <w:ind w:right="-57"/>
              <w:jc w:val="right"/>
              <w:rPr>
                <w:rFonts w:cs="Times New Roman"/>
                <w:szCs w:val="19"/>
                <w:lang w:val="en-GB"/>
              </w:rPr>
            </w:pPr>
            <w:r w:rsidRPr="00E836AC">
              <w:t>102</w:t>
            </w:r>
            <w:r>
              <w:t>.</w:t>
            </w:r>
            <w:r w:rsidRPr="00E836AC">
              <w:t>6</w:t>
            </w:r>
          </w:p>
        </w:tc>
      </w:tr>
      <w:tr w:rsidR="00C8449C" w:rsidRPr="00227837" w14:paraId="3FB076DD" w14:textId="77777777" w:rsidTr="00C8449C">
        <w:trPr>
          <w:trHeight w:hRule="exact" w:val="340"/>
        </w:trPr>
        <w:tc>
          <w:tcPr>
            <w:tcW w:w="990" w:type="pct"/>
            <w:vAlign w:val="bottom"/>
          </w:tcPr>
          <w:p w14:paraId="588186DF" w14:textId="1E827A89" w:rsidR="00C8449C" w:rsidRPr="00227837" w:rsidRDefault="00C8449C" w:rsidP="00C8449C">
            <w:pPr>
              <w:tabs>
                <w:tab w:val="left" w:leader="dot" w:pos="1202"/>
              </w:tabs>
              <w:spacing w:before="20" w:after="20"/>
              <w:ind w:right="-57"/>
              <w:rPr>
                <w:color w:val="000000" w:themeColor="text1"/>
                <w:szCs w:val="19"/>
                <w:lang w:val="en-GB"/>
              </w:rPr>
            </w:pPr>
            <w:r w:rsidRPr="00227837">
              <w:rPr>
                <w:lang w:val="en-GB"/>
              </w:rPr>
              <w:t>with: Lithuania</w:t>
            </w:r>
          </w:p>
        </w:tc>
        <w:tc>
          <w:tcPr>
            <w:tcW w:w="501" w:type="pct"/>
            <w:vAlign w:val="bottom"/>
          </w:tcPr>
          <w:p w14:paraId="7C200D5F" w14:textId="26478FE3" w:rsidR="00C8449C" w:rsidRPr="002B2014" w:rsidRDefault="00C8449C" w:rsidP="00C8449C">
            <w:pPr>
              <w:spacing w:before="20" w:after="20"/>
              <w:ind w:right="-57"/>
              <w:jc w:val="right"/>
              <w:rPr>
                <w:rFonts w:cs="Times New Roman"/>
                <w:spacing w:val="-4"/>
                <w:szCs w:val="19"/>
                <w:lang w:val="en-GB"/>
              </w:rPr>
            </w:pPr>
            <w:r>
              <w:rPr>
                <w:rFonts w:cs="Arial"/>
                <w:bCs/>
                <w:szCs w:val="19"/>
              </w:rPr>
              <w:t>1.</w:t>
            </w:r>
            <w:r w:rsidRPr="002B2014">
              <w:rPr>
                <w:rFonts w:cs="Arial"/>
                <w:bCs/>
                <w:szCs w:val="19"/>
              </w:rPr>
              <w:t>57</w:t>
            </w:r>
          </w:p>
        </w:tc>
        <w:tc>
          <w:tcPr>
            <w:tcW w:w="502" w:type="pct"/>
            <w:vAlign w:val="bottom"/>
          </w:tcPr>
          <w:p w14:paraId="74ADF915" w14:textId="22153F04" w:rsidR="00C8449C" w:rsidRPr="002B2014" w:rsidRDefault="00C8449C" w:rsidP="00C8449C">
            <w:pPr>
              <w:spacing w:before="20" w:after="20"/>
              <w:ind w:right="-57"/>
              <w:jc w:val="right"/>
              <w:rPr>
                <w:rFonts w:cs="Times New Roman"/>
                <w:szCs w:val="19"/>
                <w:lang w:val="en-GB"/>
              </w:rPr>
            </w:pPr>
            <w:r w:rsidRPr="002B2014">
              <w:rPr>
                <w:rFonts w:cs="Arial"/>
                <w:bCs/>
                <w:szCs w:val="19"/>
              </w:rPr>
              <w:t>99</w:t>
            </w:r>
            <w:r>
              <w:rPr>
                <w:rFonts w:cs="Arial"/>
                <w:bCs/>
                <w:szCs w:val="19"/>
              </w:rPr>
              <w:t>.</w:t>
            </w:r>
            <w:r w:rsidRPr="002B2014">
              <w:rPr>
                <w:rFonts w:cs="Arial"/>
                <w:bCs/>
                <w:szCs w:val="19"/>
              </w:rPr>
              <w:t>8</w:t>
            </w:r>
          </w:p>
        </w:tc>
        <w:tc>
          <w:tcPr>
            <w:tcW w:w="501" w:type="pct"/>
            <w:vAlign w:val="bottom"/>
          </w:tcPr>
          <w:p w14:paraId="51399955" w14:textId="7EC3BEA2"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0</w:t>
            </w:r>
            <w:r>
              <w:rPr>
                <w:rFonts w:cs="Calibri"/>
                <w:color w:val="000000"/>
                <w:szCs w:val="19"/>
              </w:rPr>
              <w:t>.</w:t>
            </w:r>
            <w:r w:rsidRPr="002B2014">
              <w:rPr>
                <w:rFonts w:cs="Calibri"/>
                <w:color w:val="000000"/>
                <w:szCs w:val="19"/>
              </w:rPr>
              <w:t>76</w:t>
            </w:r>
          </w:p>
        </w:tc>
        <w:tc>
          <w:tcPr>
            <w:tcW w:w="502" w:type="pct"/>
            <w:vAlign w:val="bottom"/>
          </w:tcPr>
          <w:p w14:paraId="29BC31B7" w14:textId="11766248"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97</w:t>
            </w:r>
            <w:r>
              <w:rPr>
                <w:rFonts w:cs="Calibri"/>
                <w:color w:val="000000"/>
                <w:szCs w:val="19"/>
              </w:rPr>
              <w:t>.</w:t>
            </w:r>
            <w:r w:rsidRPr="002B2014">
              <w:rPr>
                <w:rFonts w:cs="Calibri"/>
                <w:color w:val="000000"/>
                <w:szCs w:val="19"/>
              </w:rPr>
              <w:t>4</w:t>
            </w:r>
          </w:p>
        </w:tc>
        <w:tc>
          <w:tcPr>
            <w:tcW w:w="501" w:type="pct"/>
            <w:vAlign w:val="bottom"/>
          </w:tcPr>
          <w:p w14:paraId="33CBF92C" w14:textId="682C0032" w:rsidR="00C8449C" w:rsidRPr="00227837" w:rsidRDefault="00C8449C" w:rsidP="00C8449C">
            <w:pPr>
              <w:spacing w:before="20" w:after="20"/>
              <w:ind w:left="-57" w:right="-57"/>
              <w:jc w:val="right"/>
              <w:rPr>
                <w:rFonts w:cs="Times New Roman"/>
                <w:spacing w:val="-2"/>
                <w:szCs w:val="19"/>
                <w:lang w:val="en-GB"/>
              </w:rPr>
            </w:pPr>
            <w:r w:rsidRPr="00431FBE">
              <w:t>464</w:t>
            </w:r>
            <w:r>
              <w:t>.</w:t>
            </w:r>
            <w:r w:rsidRPr="00431FBE">
              <w:t>9</w:t>
            </w:r>
          </w:p>
        </w:tc>
        <w:tc>
          <w:tcPr>
            <w:tcW w:w="502" w:type="pct"/>
            <w:vAlign w:val="bottom"/>
          </w:tcPr>
          <w:p w14:paraId="3322CF99" w14:textId="3F9F326B" w:rsidR="00C8449C" w:rsidRPr="00227837" w:rsidRDefault="00C8449C" w:rsidP="00C8449C">
            <w:pPr>
              <w:spacing w:before="20" w:after="20"/>
              <w:ind w:right="-57"/>
              <w:jc w:val="right"/>
              <w:rPr>
                <w:rFonts w:cs="Times New Roman"/>
                <w:szCs w:val="19"/>
                <w:lang w:val="en-GB"/>
              </w:rPr>
            </w:pPr>
            <w:r w:rsidRPr="00431FBE">
              <w:t>106</w:t>
            </w:r>
            <w:r>
              <w:t>.</w:t>
            </w:r>
            <w:r w:rsidRPr="00431FBE">
              <w:t>0</w:t>
            </w:r>
          </w:p>
        </w:tc>
        <w:tc>
          <w:tcPr>
            <w:tcW w:w="501" w:type="pct"/>
            <w:vAlign w:val="bottom"/>
          </w:tcPr>
          <w:p w14:paraId="5982E66A" w14:textId="6C285A9D" w:rsidR="00C8449C" w:rsidRPr="00227837" w:rsidRDefault="00C8449C" w:rsidP="00C8449C">
            <w:pPr>
              <w:spacing w:before="20" w:after="20"/>
              <w:ind w:right="-57"/>
              <w:jc w:val="right"/>
              <w:rPr>
                <w:rFonts w:cs="Times New Roman"/>
                <w:szCs w:val="19"/>
                <w:lang w:val="en-GB"/>
              </w:rPr>
            </w:pPr>
            <w:r w:rsidRPr="00E836AC">
              <w:t>120</w:t>
            </w:r>
            <w:r>
              <w:t>.</w:t>
            </w:r>
            <w:r w:rsidRPr="00E836AC">
              <w:t>4</w:t>
            </w:r>
          </w:p>
        </w:tc>
        <w:tc>
          <w:tcPr>
            <w:tcW w:w="500" w:type="pct"/>
            <w:vAlign w:val="bottom"/>
          </w:tcPr>
          <w:p w14:paraId="0DCE5571" w14:textId="3C8918D9" w:rsidR="00C8449C" w:rsidRPr="00227837" w:rsidRDefault="00C8449C" w:rsidP="00C8449C">
            <w:pPr>
              <w:spacing w:before="20" w:after="20"/>
              <w:ind w:right="-57"/>
              <w:jc w:val="right"/>
              <w:rPr>
                <w:rFonts w:cs="Times New Roman"/>
                <w:szCs w:val="19"/>
                <w:lang w:val="en-GB"/>
              </w:rPr>
            </w:pPr>
            <w:r w:rsidRPr="00E836AC">
              <w:t>98</w:t>
            </w:r>
            <w:r>
              <w:t>.</w:t>
            </w:r>
            <w:r w:rsidRPr="00E836AC">
              <w:t>8</w:t>
            </w:r>
          </w:p>
        </w:tc>
      </w:tr>
      <w:tr w:rsidR="00C8449C" w:rsidRPr="00227837" w14:paraId="2F6B0A10" w14:textId="77777777" w:rsidTr="00C8449C">
        <w:trPr>
          <w:trHeight w:hRule="exact" w:val="340"/>
        </w:trPr>
        <w:tc>
          <w:tcPr>
            <w:tcW w:w="990" w:type="pct"/>
            <w:vAlign w:val="bottom"/>
          </w:tcPr>
          <w:p w14:paraId="6FCCD991" w14:textId="338B3A44" w:rsidR="00C8449C" w:rsidRPr="00227837" w:rsidRDefault="00C8449C" w:rsidP="00C8449C">
            <w:pPr>
              <w:tabs>
                <w:tab w:val="left" w:leader="dot" w:pos="1202"/>
              </w:tabs>
              <w:spacing w:before="20" w:after="20"/>
              <w:ind w:left="335" w:right="-57"/>
              <w:rPr>
                <w:color w:val="000000" w:themeColor="text1"/>
                <w:szCs w:val="19"/>
                <w:lang w:val="en-GB"/>
              </w:rPr>
            </w:pPr>
            <w:r w:rsidRPr="00227837">
              <w:rPr>
                <w:lang w:val="en-GB"/>
              </w:rPr>
              <w:t>Slovakia</w:t>
            </w:r>
          </w:p>
        </w:tc>
        <w:tc>
          <w:tcPr>
            <w:tcW w:w="501" w:type="pct"/>
            <w:vAlign w:val="bottom"/>
          </w:tcPr>
          <w:p w14:paraId="20C3955A" w14:textId="5EBB5016" w:rsidR="00C8449C" w:rsidRPr="002B2014" w:rsidRDefault="00C8449C" w:rsidP="00C8449C">
            <w:pPr>
              <w:spacing w:before="20" w:after="20"/>
              <w:ind w:right="-57"/>
              <w:jc w:val="right"/>
              <w:rPr>
                <w:rFonts w:cs="Times New Roman"/>
                <w:spacing w:val="-4"/>
                <w:szCs w:val="19"/>
                <w:lang w:val="en-GB"/>
              </w:rPr>
            </w:pPr>
            <w:r>
              <w:rPr>
                <w:rFonts w:cs="Arial"/>
                <w:bCs/>
                <w:szCs w:val="19"/>
              </w:rPr>
              <w:t>4.</w:t>
            </w:r>
            <w:r w:rsidRPr="002B2014">
              <w:rPr>
                <w:rFonts w:cs="Arial"/>
                <w:bCs/>
                <w:szCs w:val="19"/>
              </w:rPr>
              <w:t>22</w:t>
            </w:r>
          </w:p>
        </w:tc>
        <w:tc>
          <w:tcPr>
            <w:tcW w:w="502" w:type="pct"/>
            <w:vAlign w:val="bottom"/>
          </w:tcPr>
          <w:p w14:paraId="0A4552F9" w14:textId="3FC4361E" w:rsidR="00C8449C" w:rsidRPr="002B2014" w:rsidRDefault="00C8449C" w:rsidP="00C8449C">
            <w:pPr>
              <w:spacing w:before="20" w:after="20"/>
              <w:ind w:right="-57"/>
              <w:jc w:val="right"/>
              <w:rPr>
                <w:rFonts w:cs="Times New Roman"/>
                <w:szCs w:val="19"/>
                <w:lang w:val="en-GB"/>
              </w:rPr>
            </w:pPr>
            <w:r w:rsidRPr="002B2014">
              <w:rPr>
                <w:rFonts w:cs="Arial"/>
                <w:bCs/>
                <w:szCs w:val="19"/>
              </w:rPr>
              <w:t>94</w:t>
            </w:r>
            <w:r>
              <w:rPr>
                <w:rFonts w:cs="Arial"/>
                <w:bCs/>
                <w:szCs w:val="19"/>
              </w:rPr>
              <w:t>.</w:t>
            </w:r>
            <w:r w:rsidRPr="002B2014">
              <w:rPr>
                <w:rFonts w:cs="Arial"/>
                <w:bCs/>
                <w:szCs w:val="19"/>
              </w:rPr>
              <w:t>7</w:t>
            </w:r>
          </w:p>
        </w:tc>
        <w:tc>
          <w:tcPr>
            <w:tcW w:w="501" w:type="pct"/>
            <w:vAlign w:val="bottom"/>
          </w:tcPr>
          <w:p w14:paraId="208CD38E" w14:textId="3A611D33"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4</w:t>
            </w:r>
            <w:r>
              <w:rPr>
                <w:rFonts w:cs="Calibri"/>
                <w:color w:val="000000"/>
                <w:szCs w:val="19"/>
              </w:rPr>
              <w:t>.</w:t>
            </w:r>
            <w:r w:rsidRPr="002B2014">
              <w:rPr>
                <w:rFonts w:cs="Calibri"/>
                <w:color w:val="000000"/>
                <w:szCs w:val="19"/>
              </w:rPr>
              <w:t>09</w:t>
            </w:r>
          </w:p>
        </w:tc>
        <w:tc>
          <w:tcPr>
            <w:tcW w:w="502" w:type="pct"/>
            <w:vAlign w:val="bottom"/>
          </w:tcPr>
          <w:p w14:paraId="559CB1CC" w14:textId="39DD38D8"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96</w:t>
            </w:r>
            <w:r>
              <w:rPr>
                <w:rFonts w:cs="Calibri"/>
                <w:color w:val="000000"/>
                <w:szCs w:val="19"/>
              </w:rPr>
              <w:t>.</w:t>
            </w:r>
            <w:r w:rsidRPr="002B2014">
              <w:rPr>
                <w:rFonts w:cs="Calibri"/>
                <w:color w:val="000000"/>
                <w:szCs w:val="19"/>
              </w:rPr>
              <w:t>4</w:t>
            </w:r>
          </w:p>
        </w:tc>
        <w:tc>
          <w:tcPr>
            <w:tcW w:w="501" w:type="pct"/>
            <w:vAlign w:val="bottom"/>
          </w:tcPr>
          <w:p w14:paraId="775DB653" w14:textId="0A5959ED" w:rsidR="00C8449C" w:rsidRPr="00227837" w:rsidRDefault="00C8449C" w:rsidP="00C8449C">
            <w:pPr>
              <w:spacing w:before="20" w:after="20"/>
              <w:ind w:left="-57" w:right="-57"/>
              <w:jc w:val="right"/>
              <w:rPr>
                <w:rFonts w:cs="Times New Roman"/>
                <w:spacing w:val="-2"/>
                <w:szCs w:val="19"/>
                <w:lang w:val="en-GB"/>
              </w:rPr>
            </w:pPr>
            <w:r w:rsidRPr="00431FBE">
              <w:t>833</w:t>
            </w:r>
            <w:r>
              <w:t>.</w:t>
            </w:r>
            <w:r w:rsidRPr="00431FBE">
              <w:t>7</w:t>
            </w:r>
          </w:p>
        </w:tc>
        <w:tc>
          <w:tcPr>
            <w:tcW w:w="502" w:type="pct"/>
            <w:vAlign w:val="bottom"/>
          </w:tcPr>
          <w:p w14:paraId="61287879" w14:textId="249253B6" w:rsidR="00C8449C" w:rsidRPr="00227837" w:rsidRDefault="00C8449C" w:rsidP="00C8449C">
            <w:pPr>
              <w:spacing w:before="20" w:after="20"/>
              <w:ind w:right="-57"/>
              <w:jc w:val="right"/>
              <w:rPr>
                <w:rFonts w:cs="Times New Roman"/>
                <w:szCs w:val="19"/>
                <w:lang w:val="en-GB"/>
              </w:rPr>
            </w:pPr>
            <w:r w:rsidRPr="00431FBE">
              <w:t>99</w:t>
            </w:r>
            <w:r>
              <w:t>.</w:t>
            </w:r>
            <w:r w:rsidRPr="00431FBE">
              <w:t>7</w:t>
            </w:r>
          </w:p>
        </w:tc>
        <w:tc>
          <w:tcPr>
            <w:tcW w:w="501" w:type="pct"/>
            <w:vAlign w:val="bottom"/>
          </w:tcPr>
          <w:p w14:paraId="68A2B091" w14:textId="5B50C8E8" w:rsidR="00C8449C" w:rsidRPr="00227837" w:rsidRDefault="00C8449C" w:rsidP="00C8449C">
            <w:pPr>
              <w:spacing w:before="20" w:after="20"/>
              <w:ind w:right="-57"/>
              <w:jc w:val="right"/>
              <w:rPr>
                <w:rFonts w:cs="Times New Roman"/>
                <w:szCs w:val="19"/>
                <w:lang w:val="en-GB"/>
              </w:rPr>
            </w:pPr>
            <w:r w:rsidRPr="00E836AC">
              <w:t>640</w:t>
            </w:r>
            <w:r>
              <w:t>.</w:t>
            </w:r>
            <w:r w:rsidRPr="00E836AC">
              <w:t>9</w:t>
            </w:r>
          </w:p>
        </w:tc>
        <w:tc>
          <w:tcPr>
            <w:tcW w:w="500" w:type="pct"/>
            <w:vAlign w:val="bottom"/>
          </w:tcPr>
          <w:p w14:paraId="445C991F" w14:textId="1E287F6E" w:rsidR="00C8449C" w:rsidRPr="00227837" w:rsidRDefault="00C8449C" w:rsidP="00C8449C">
            <w:pPr>
              <w:spacing w:before="20" w:after="20"/>
              <w:ind w:right="-57"/>
              <w:jc w:val="right"/>
              <w:rPr>
                <w:rFonts w:cs="Times New Roman"/>
                <w:szCs w:val="19"/>
                <w:lang w:val="en-GB"/>
              </w:rPr>
            </w:pPr>
            <w:r w:rsidRPr="00E836AC">
              <w:t>102</w:t>
            </w:r>
            <w:r>
              <w:t>.</w:t>
            </w:r>
            <w:r w:rsidRPr="00E836AC">
              <w:t>8</w:t>
            </w:r>
          </w:p>
        </w:tc>
      </w:tr>
      <w:tr w:rsidR="00C8449C" w:rsidRPr="00227837" w14:paraId="4339BB1A" w14:textId="77777777" w:rsidTr="00C8449C">
        <w:trPr>
          <w:trHeight w:hRule="exact" w:val="340"/>
        </w:trPr>
        <w:tc>
          <w:tcPr>
            <w:tcW w:w="990" w:type="pct"/>
            <w:vAlign w:val="bottom"/>
          </w:tcPr>
          <w:p w14:paraId="386DCC73" w14:textId="65A057DB" w:rsidR="00C8449C" w:rsidRPr="00227837" w:rsidRDefault="00C8449C" w:rsidP="00C8449C">
            <w:pPr>
              <w:tabs>
                <w:tab w:val="left" w:leader="dot" w:pos="1202"/>
              </w:tabs>
              <w:spacing w:before="20" w:after="20"/>
              <w:ind w:left="335" w:right="-57"/>
              <w:rPr>
                <w:color w:val="000000" w:themeColor="text1"/>
                <w:szCs w:val="19"/>
                <w:lang w:val="en-GB"/>
              </w:rPr>
            </w:pPr>
            <w:r w:rsidRPr="00227837">
              <w:rPr>
                <w:lang w:val="en-GB"/>
              </w:rPr>
              <w:t>Czechia</w:t>
            </w:r>
          </w:p>
        </w:tc>
        <w:tc>
          <w:tcPr>
            <w:tcW w:w="501" w:type="pct"/>
            <w:vAlign w:val="bottom"/>
          </w:tcPr>
          <w:p w14:paraId="674919F0" w14:textId="4D93A156" w:rsidR="00C8449C" w:rsidRPr="002B2014" w:rsidRDefault="00C8449C" w:rsidP="00C8449C">
            <w:pPr>
              <w:spacing w:before="20" w:after="20"/>
              <w:ind w:right="-57"/>
              <w:jc w:val="right"/>
              <w:rPr>
                <w:rFonts w:cs="Times New Roman"/>
                <w:spacing w:val="-4"/>
                <w:szCs w:val="19"/>
                <w:lang w:val="en-GB"/>
              </w:rPr>
            </w:pPr>
            <w:r>
              <w:rPr>
                <w:rFonts w:cs="Arial"/>
                <w:bCs/>
                <w:szCs w:val="19"/>
              </w:rPr>
              <w:t>7.</w:t>
            </w:r>
            <w:r w:rsidRPr="002B2014">
              <w:rPr>
                <w:rFonts w:cs="Arial"/>
                <w:bCs/>
                <w:szCs w:val="19"/>
              </w:rPr>
              <w:t>62</w:t>
            </w:r>
          </w:p>
        </w:tc>
        <w:tc>
          <w:tcPr>
            <w:tcW w:w="502" w:type="pct"/>
            <w:vAlign w:val="bottom"/>
          </w:tcPr>
          <w:p w14:paraId="7A74F4EF" w14:textId="394D30B4" w:rsidR="00C8449C" w:rsidRPr="002B2014" w:rsidRDefault="00C8449C" w:rsidP="00C8449C">
            <w:pPr>
              <w:spacing w:before="20" w:after="20"/>
              <w:ind w:right="-57"/>
              <w:jc w:val="right"/>
              <w:rPr>
                <w:rFonts w:cs="Times New Roman"/>
                <w:szCs w:val="19"/>
                <w:lang w:val="en-GB"/>
              </w:rPr>
            </w:pPr>
            <w:r w:rsidRPr="002B2014">
              <w:rPr>
                <w:rFonts w:cs="Arial"/>
                <w:bCs/>
                <w:szCs w:val="19"/>
              </w:rPr>
              <w:t>97</w:t>
            </w:r>
            <w:r>
              <w:rPr>
                <w:rFonts w:cs="Arial"/>
                <w:bCs/>
                <w:szCs w:val="19"/>
              </w:rPr>
              <w:t>.</w:t>
            </w:r>
            <w:r w:rsidRPr="002B2014">
              <w:rPr>
                <w:rFonts w:cs="Arial"/>
                <w:bCs/>
                <w:szCs w:val="19"/>
              </w:rPr>
              <w:t>4</w:t>
            </w:r>
          </w:p>
        </w:tc>
        <w:tc>
          <w:tcPr>
            <w:tcW w:w="501" w:type="pct"/>
            <w:vAlign w:val="bottom"/>
          </w:tcPr>
          <w:p w14:paraId="73E5727A" w14:textId="18BAAE40"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7</w:t>
            </w:r>
            <w:r>
              <w:rPr>
                <w:rFonts w:cs="Calibri"/>
                <w:color w:val="000000"/>
                <w:szCs w:val="19"/>
              </w:rPr>
              <w:t>.</w:t>
            </w:r>
            <w:r w:rsidRPr="002B2014">
              <w:rPr>
                <w:rFonts w:cs="Calibri"/>
                <w:color w:val="000000"/>
                <w:szCs w:val="19"/>
              </w:rPr>
              <w:t>99</w:t>
            </w:r>
          </w:p>
        </w:tc>
        <w:tc>
          <w:tcPr>
            <w:tcW w:w="502" w:type="pct"/>
            <w:vAlign w:val="bottom"/>
          </w:tcPr>
          <w:p w14:paraId="4465A3B0" w14:textId="60F16E9A"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97</w:t>
            </w:r>
            <w:r>
              <w:rPr>
                <w:rFonts w:cs="Calibri"/>
                <w:color w:val="000000"/>
                <w:szCs w:val="19"/>
              </w:rPr>
              <w:t>.</w:t>
            </w:r>
            <w:r w:rsidRPr="002B2014">
              <w:rPr>
                <w:rFonts w:cs="Calibri"/>
                <w:color w:val="000000"/>
                <w:szCs w:val="19"/>
              </w:rPr>
              <w:t>9</w:t>
            </w:r>
          </w:p>
        </w:tc>
        <w:tc>
          <w:tcPr>
            <w:tcW w:w="501" w:type="pct"/>
            <w:vAlign w:val="bottom"/>
          </w:tcPr>
          <w:p w14:paraId="0A456A09" w14:textId="145BA6CA" w:rsidR="00C8449C" w:rsidRPr="00227837" w:rsidRDefault="00C8449C" w:rsidP="00C8449C">
            <w:pPr>
              <w:spacing w:before="20" w:after="20"/>
              <w:ind w:left="-57" w:right="-57"/>
              <w:jc w:val="right"/>
              <w:rPr>
                <w:rFonts w:cs="Times New Roman"/>
                <w:spacing w:val="-2"/>
                <w:szCs w:val="19"/>
                <w:lang w:val="en-GB"/>
              </w:rPr>
            </w:pPr>
            <w:r w:rsidRPr="00431FBE">
              <w:t>1 392</w:t>
            </w:r>
            <w:r>
              <w:t>.</w:t>
            </w:r>
            <w:r w:rsidRPr="00431FBE">
              <w:t>5</w:t>
            </w:r>
          </w:p>
        </w:tc>
        <w:tc>
          <w:tcPr>
            <w:tcW w:w="502" w:type="pct"/>
            <w:vAlign w:val="bottom"/>
          </w:tcPr>
          <w:p w14:paraId="24019F9B" w14:textId="59D27AF4" w:rsidR="00C8449C" w:rsidRPr="00227837" w:rsidRDefault="00C8449C" w:rsidP="00C8449C">
            <w:pPr>
              <w:spacing w:before="20" w:after="20"/>
              <w:ind w:right="-57"/>
              <w:jc w:val="right"/>
              <w:rPr>
                <w:rFonts w:cs="Times New Roman"/>
                <w:szCs w:val="19"/>
                <w:lang w:val="en-GB"/>
              </w:rPr>
            </w:pPr>
            <w:r w:rsidRPr="00431FBE">
              <w:t>103</w:t>
            </w:r>
            <w:r>
              <w:t>.</w:t>
            </w:r>
            <w:r w:rsidRPr="00431FBE">
              <w:t>0</w:t>
            </w:r>
          </w:p>
        </w:tc>
        <w:tc>
          <w:tcPr>
            <w:tcW w:w="501" w:type="pct"/>
            <w:vAlign w:val="bottom"/>
          </w:tcPr>
          <w:p w14:paraId="6D54C9F5" w14:textId="230EAD03" w:rsidR="00C8449C" w:rsidRPr="00227837" w:rsidRDefault="00C8449C" w:rsidP="00C8449C">
            <w:pPr>
              <w:spacing w:before="20" w:after="20"/>
              <w:ind w:right="-57"/>
              <w:jc w:val="right"/>
              <w:rPr>
                <w:rFonts w:cs="Times New Roman"/>
                <w:szCs w:val="19"/>
                <w:lang w:val="en-GB"/>
              </w:rPr>
            </w:pPr>
            <w:r w:rsidRPr="00E836AC">
              <w:t>1 078</w:t>
            </w:r>
            <w:r>
              <w:t>.</w:t>
            </w:r>
            <w:r w:rsidRPr="00E836AC">
              <w:t>4</w:t>
            </w:r>
          </w:p>
        </w:tc>
        <w:tc>
          <w:tcPr>
            <w:tcW w:w="500" w:type="pct"/>
            <w:vAlign w:val="bottom"/>
          </w:tcPr>
          <w:p w14:paraId="68D4B53C" w14:textId="51DD6E92" w:rsidR="00C8449C" w:rsidRPr="00227837" w:rsidRDefault="00C8449C" w:rsidP="00C8449C">
            <w:pPr>
              <w:spacing w:before="20" w:after="20"/>
              <w:ind w:right="-57"/>
              <w:jc w:val="right"/>
              <w:rPr>
                <w:rFonts w:cs="Times New Roman"/>
                <w:szCs w:val="19"/>
                <w:lang w:val="en-GB"/>
              </w:rPr>
            </w:pPr>
            <w:r w:rsidRPr="00E836AC">
              <w:t>98</w:t>
            </w:r>
            <w:r>
              <w:t>.</w:t>
            </w:r>
            <w:r w:rsidRPr="00E836AC">
              <w:t>5</w:t>
            </w:r>
          </w:p>
        </w:tc>
      </w:tr>
      <w:tr w:rsidR="00C8449C" w:rsidRPr="00227837" w14:paraId="31346D64" w14:textId="77777777" w:rsidTr="00C8449C">
        <w:trPr>
          <w:trHeight w:hRule="exact" w:val="340"/>
        </w:trPr>
        <w:tc>
          <w:tcPr>
            <w:tcW w:w="990" w:type="pct"/>
            <w:vAlign w:val="bottom"/>
          </w:tcPr>
          <w:p w14:paraId="18CBBB66" w14:textId="5A565922" w:rsidR="00C8449C" w:rsidRPr="00227837" w:rsidRDefault="00C8449C" w:rsidP="00C8449C">
            <w:pPr>
              <w:tabs>
                <w:tab w:val="left" w:leader="dot" w:pos="1361"/>
              </w:tabs>
              <w:spacing w:before="20" w:after="20"/>
              <w:ind w:left="335" w:right="-57"/>
              <w:rPr>
                <w:color w:val="000000" w:themeColor="text1"/>
                <w:szCs w:val="19"/>
                <w:lang w:val="en-GB"/>
              </w:rPr>
            </w:pPr>
            <w:r w:rsidRPr="00227837">
              <w:rPr>
                <w:lang w:val="en-GB"/>
              </w:rPr>
              <w:t>Germany</w:t>
            </w:r>
          </w:p>
        </w:tc>
        <w:tc>
          <w:tcPr>
            <w:tcW w:w="501" w:type="pct"/>
            <w:vAlign w:val="bottom"/>
          </w:tcPr>
          <w:p w14:paraId="5AE1018F" w14:textId="0C496BF9" w:rsidR="00C8449C" w:rsidRPr="002B2014" w:rsidRDefault="00C8449C" w:rsidP="00C8449C">
            <w:pPr>
              <w:spacing w:before="20" w:after="20"/>
              <w:ind w:right="-57"/>
              <w:jc w:val="right"/>
              <w:rPr>
                <w:rFonts w:cs="Times New Roman"/>
                <w:spacing w:val="-4"/>
                <w:szCs w:val="19"/>
                <w:lang w:val="en-GB"/>
              </w:rPr>
            </w:pPr>
            <w:r>
              <w:rPr>
                <w:rFonts w:cs="Arial"/>
                <w:bCs/>
                <w:szCs w:val="19"/>
              </w:rPr>
              <w:t>19.</w:t>
            </w:r>
            <w:r w:rsidRPr="002B2014">
              <w:rPr>
                <w:rFonts w:cs="Arial"/>
                <w:bCs/>
                <w:szCs w:val="19"/>
              </w:rPr>
              <w:t>55</w:t>
            </w:r>
          </w:p>
        </w:tc>
        <w:tc>
          <w:tcPr>
            <w:tcW w:w="502" w:type="pct"/>
            <w:vAlign w:val="bottom"/>
          </w:tcPr>
          <w:p w14:paraId="0505AC0F" w14:textId="265FCD22" w:rsidR="00C8449C" w:rsidRPr="002B2014" w:rsidRDefault="00C8449C" w:rsidP="00C8449C">
            <w:pPr>
              <w:spacing w:before="20" w:after="20"/>
              <w:ind w:right="-57"/>
              <w:jc w:val="right"/>
              <w:rPr>
                <w:rFonts w:cs="Times New Roman"/>
                <w:szCs w:val="19"/>
                <w:lang w:val="en-GB"/>
              </w:rPr>
            </w:pPr>
            <w:r w:rsidRPr="002B2014">
              <w:rPr>
                <w:rFonts w:cs="Arial"/>
                <w:bCs/>
                <w:szCs w:val="19"/>
              </w:rPr>
              <w:t>95</w:t>
            </w:r>
            <w:r>
              <w:rPr>
                <w:rFonts w:cs="Arial"/>
                <w:bCs/>
                <w:szCs w:val="19"/>
              </w:rPr>
              <w:t>.</w:t>
            </w:r>
            <w:r w:rsidRPr="002B2014">
              <w:rPr>
                <w:rFonts w:cs="Arial"/>
                <w:bCs/>
                <w:szCs w:val="19"/>
              </w:rPr>
              <w:t>9</w:t>
            </w:r>
          </w:p>
        </w:tc>
        <w:tc>
          <w:tcPr>
            <w:tcW w:w="501" w:type="pct"/>
            <w:vAlign w:val="bottom"/>
          </w:tcPr>
          <w:p w14:paraId="45A67E83" w14:textId="2FE225C2"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12</w:t>
            </w:r>
            <w:r>
              <w:rPr>
                <w:rFonts w:cs="Calibri"/>
                <w:color w:val="000000"/>
                <w:szCs w:val="19"/>
              </w:rPr>
              <w:t>.</w:t>
            </w:r>
            <w:r w:rsidRPr="002B2014">
              <w:rPr>
                <w:rFonts w:cs="Calibri"/>
                <w:color w:val="000000"/>
                <w:szCs w:val="19"/>
              </w:rPr>
              <w:t>75</w:t>
            </w:r>
          </w:p>
        </w:tc>
        <w:tc>
          <w:tcPr>
            <w:tcW w:w="502" w:type="pct"/>
            <w:vAlign w:val="bottom"/>
          </w:tcPr>
          <w:p w14:paraId="1F5030DF" w14:textId="1C9EE9DD"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97</w:t>
            </w:r>
            <w:r>
              <w:rPr>
                <w:rFonts w:cs="Calibri"/>
                <w:color w:val="000000"/>
                <w:szCs w:val="19"/>
              </w:rPr>
              <w:t>.</w:t>
            </w:r>
            <w:r w:rsidRPr="002B2014">
              <w:rPr>
                <w:rFonts w:cs="Calibri"/>
                <w:color w:val="000000"/>
                <w:szCs w:val="19"/>
              </w:rPr>
              <w:t>1</w:t>
            </w:r>
          </w:p>
        </w:tc>
        <w:tc>
          <w:tcPr>
            <w:tcW w:w="501" w:type="pct"/>
            <w:vAlign w:val="bottom"/>
          </w:tcPr>
          <w:p w14:paraId="626FA736" w14:textId="46A058A0" w:rsidR="00C8449C" w:rsidRPr="00227837" w:rsidRDefault="00C8449C" w:rsidP="00C8449C">
            <w:pPr>
              <w:spacing w:before="20" w:after="20"/>
              <w:ind w:left="-57" w:right="-57"/>
              <w:jc w:val="right"/>
              <w:rPr>
                <w:rFonts w:cs="Times New Roman"/>
                <w:spacing w:val="-2"/>
                <w:szCs w:val="19"/>
                <w:lang w:val="en-GB"/>
              </w:rPr>
            </w:pPr>
            <w:r w:rsidRPr="00431FBE">
              <w:t>5 266</w:t>
            </w:r>
            <w:r>
              <w:t>.</w:t>
            </w:r>
            <w:r w:rsidRPr="00431FBE">
              <w:t>9</w:t>
            </w:r>
          </w:p>
        </w:tc>
        <w:tc>
          <w:tcPr>
            <w:tcW w:w="502" w:type="pct"/>
            <w:vAlign w:val="bottom"/>
          </w:tcPr>
          <w:p w14:paraId="706EB867" w14:textId="6BE412D9" w:rsidR="00C8449C" w:rsidRPr="00227837" w:rsidRDefault="00C8449C" w:rsidP="00C8449C">
            <w:pPr>
              <w:spacing w:before="20" w:after="20"/>
              <w:ind w:right="-57"/>
              <w:jc w:val="right"/>
              <w:rPr>
                <w:rFonts w:cs="Times New Roman"/>
                <w:szCs w:val="19"/>
                <w:lang w:val="en-GB"/>
              </w:rPr>
            </w:pPr>
            <w:r w:rsidRPr="00431FBE">
              <w:t>102</w:t>
            </w:r>
            <w:r>
              <w:t>.</w:t>
            </w:r>
            <w:r w:rsidRPr="00431FBE">
              <w:t>5</w:t>
            </w:r>
          </w:p>
        </w:tc>
        <w:tc>
          <w:tcPr>
            <w:tcW w:w="501" w:type="pct"/>
            <w:vAlign w:val="bottom"/>
          </w:tcPr>
          <w:p w14:paraId="62A535EF" w14:textId="737362A5" w:rsidR="00C8449C" w:rsidRPr="00227837" w:rsidRDefault="00C8449C" w:rsidP="00C8449C">
            <w:pPr>
              <w:spacing w:before="20" w:after="20"/>
              <w:ind w:right="-57"/>
              <w:jc w:val="right"/>
              <w:rPr>
                <w:rFonts w:cs="Times New Roman"/>
                <w:szCs w:val="19"/>
                <w:lang w:val="en-GB"/>
              </w:rPr>
            </w:pPr>
            <w:r w:rsidRPr="00E836AC">
              <w:t>2 597</w:t>
            </w:r>
            <w:r>
              <w:t>.</w:t>
            </w:r>
            <w:r w:rsidRPr="00E836AC">
              <w:t>8</w:t>
            </w:r>
          </w:p>
        </w:tc>
        <w:tc>
          <w:tcPr>
            <w:tcW w:w="500" w:type="pct"/>
            <w:vAlign w:val="bottom"/>
          </w:tcPr>
          <w:p w14:paraId="77130F07" w14:textId="04CD9BC3" w:rsidR="00C8449C" w:rsidRPr="00227837" w:rsidRDefault="00C8449C" w:rsidP="00C8449C">
            <w:pPr>
              <w:spacing w:before="20" w:after="20"/>
              <w:ind w:right="-57"/>
              <w:jc w:val="right"/>
              <w:rPr>
                <w:rFonts w:cs="Times New Roman"/>
                <w:szCs w:val="19"/>
                <w:lang w:val="en-GB"/>
              </w:rPr>
            </w:pPr>
            <w:r w:rsidRPr="00E836AC">
              <w:t>104</w:t>
            </w:r>
            <w:r>
              <w:t>.</w:t>
            </w:r>
            <w:r w:rsidRPr="00E836AC">
              <w:t>5</w:t>
            </w:r>
          </w:p>
        </w:tc>
      </w:tr>
      <w:tr w:rsidR="00C8449C" w:rsidRPr="00227837" w14:paraId="74AFD183" w14:textId="77777777" w:rsidTr="00C8449C">
        <w:trPr>
          <w:trHeight w:hRule="exact" w:val="340"/>
        </w:trPr>
        <w:tc>
          <w:tcPr>
            <w:tcW w:w="990" w:type="pct"/>
            <w:vAlign w:val="bottom"/>
          </w:tcPr>
          <w:p w14:paraId="435553E5" w14:textId="64455947" w:rsidR="00C8449C" w:rsidRPr="00227837" w:rsidRDefault="00C8449C" w:rsidP="00C8449C">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bottom"/>
          </w:tcPr>
          <w:p w14:paraId="3B80455E" w14:textId="0A249E2E" w:rsidR="00C8449C" w:rsidRPr="002B2014" w:rsidRDefault="00C8449C" w:rsidP="00C8449C">
            <w:pPr>
              <w:spacing w:before="20" w:after="20"/>
              <w:ind w:right="-57"/>
              <w:jc w:val="right"/>
              <w:rPr>
                <w:rFonts w:cs="Times New Roman"/>
                <w:spacing w:val="-4"/>
                <w:szCs w:val="19"/>
                <w:lang w:val="en-GB"/>
              </w:rPr>
            </w:pPr>
            <w:r>
              <w:rPr>
                <w:rFonts w:cs="Arial"/>
                <w:bCs/>
                <w:szCs w:val="19"/>
              </w:rPr>
              <w:t>0.</w:t>
            </w:r>
            <w:r w:rsidRPr="002B2014">
              <w:rPr>
                <w:rFonts w:cs="Arial"/>
                <w:bCs/>
                <w:szCs w:val="19"/>
              </w:rPr>
              <w:t>28</w:t>
            </w:r>
          </w:p>
        </w:tc>
        <w:tc>
          <w:tcPr>
            <w:tcW w:w="502" w:type="pct"/>
            <w:vAlign w:val="bottom"/>
          </w:tcPr>
          <w:p w14:paraId="42F2046F" w14:textId="5F8DD775" w:rsidR="00C8449C" w:rsidRPr="002B2014" w:rsidRDefault="00C8449C" w:rsidP="00C8449C">
            <w:pPr>
              <w:spacing w:before="20" w:after="20"/>
              <w:ind w:right="-57"/>
              <w:jc w:val="right"/>
              <w:rPr>
                <w:rFonts w:cs="Times New Roman"/>
                <w:szCs w:val="19"/>
                <w:lang w:val="en-GB"/>
              </w:rPr>
            </w:pPr>
            <w:r w:rsidRPr="002B2014">
              <w:rPr>
                <w:rFonts w:cs="Arial"/>
                <w:bCs/>
                <w:szCs w:val="19"/>
              </w:rPr>
              <w:t>106</w:t>
            </w:r>
            <w:r>
              <w:rPr>
                <w:rFonts w:cs="Arial"/>
                <w:bCs/>
                <w:szCs w:val="19"/>
              </w:rPr>
              <w:t>.</w:t>
            </w:r>
            <w:r w:rsidRPr="002B2014">
              <w:rPr>
                <w:rFonts w:cs="Arial"/>
                <w:bCs/>
                <w:szCs w:val="19"/>
              </w:rPr>
              <w:t>2</w:t>
            </w:r>
          </w:p>
        </w:tc>
        <w:tc>
          <w:tcPr>
            <w:tcW w:w="501" w:type="pct"/>
            <w:vAlign w:val="bottom"/>
          </w:tcPr>
          <w:p w14:paraId="59A0F5A2" w14:textId="52EEBE98"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0</w:t>
            </w:r>
            <w:r>
              <w:rPr>
                <w:rFonts w:cs="Calibri"/>
                <w:color w:val="000000"/>
                <w:szCs w:val="19"/>
              </w:rPr>
              <w:t>.</w:t>
            </w:r>
            <w:r w:rsidRPr="002B2014">
              <w:rPr>
                <w:rFonts w:cs="Calibri"/>
                <w:color w:val="000000"/>
                <w:szCs w:val="19"/>
              </w:rPr>
              <w:t>35</w:t>
            </w:r>
          </w:p>
        </w:tc>
        <w:tc>
          <w:tcPr>
            <w:tcW w:w="502" w:type="pct"/>
            <w:vAlign w:val="bottom"/>
          </w:tcPr>
          <w:p w14:paraId="0EFC237E" w14:textId="2ECCBE40"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105</w:t>
            </w:r>
            <w:r>
              <w:rPr>
                <w:rFonts w:cs="Calibri"/>
                <w:color w:val="000000"/>
                <w:szCs w:val="19"/>
              </w:rPr>
              <w:t>.</w:t>
            </w:r>
            <w:r w:rsidRPr="002B2014">
              <w:rPr>
                <w:rFonts w:cs="Calibri"/>
                <w:color w:val="000000"/>
                <w:szCs w:val="19"/>
              </w:rPr>
              <w:t>4</w:t>
            </w:r>
          </w:p>
        </w:tc>
        <w:tc>
          <w:tcPr>
            <w:tcW w:w="501" w:type="pct"/>
            <w:vAlign w:val="bottom"/>
          </w:tcPr>
          <w:p w14:paraId="79EA51DE" w14:textId="3FF6F1EF" w:rsidR="00C8449C" w:rsidRPr="00227837" w:rsidRDefault="00C8449C" w:rsidP="00C8449C">
            <w:pPr>
              <w:spacing w:before="20" w:after="20"/>
              <w:ind w:left="-57" w:right="-57"/>
              <w:jc w:val="right"/>
              <w:rPr>
                <w:rFonts w:cs="Times New Roman"/>
                <w:spacing w:val="-2"/>
                <w:szCs w:val="19"/>
                <w:lang w:val="en-GB"/>
              </w:rPr>
            </w:pPr>
            <w:r w:rsidRPr="00431FBE">
              <w:t>188</w:t>
            </w:r>
            <w:r>
              <w:t>.</w:t>
            </w:r>
            <w:r w:rsidRPr="00431FBE">
              <w:t>9</w:t>
            </w:r>
          </w:p>
        </w:tc>
        <w:tc>
          <w:tcPr>
            <w:tcW w:w="502" w:type="pct"/>
            <w:vAlign w:val="bottom"/>
          </w:tcPr>
          <w:p w14:paraId="2D539B39" w14:textId="0B39B972" w:rsidR="00C8449C" w:rsidRPr="00227837" w:rsidRDefault="00C8449C" w:rsidP="00C8449C">
            <w:pPr>
              <w:spacing w:before="20" w:after="20"/>
              <w:ind w:right="-57"/>
              <w:jc w:val="right"/>
              <w:rPr>
                <w:rFonts w:cs="Times New Roman"/>
                <w:szCs w:val="19"/>
                <w:lang w:val="en-GB"/>
              </w:rPr>
            </w:pPr>
            <w:r w:rsidRPr="00431FBE">
              <w:t>113</w:t>
            </w:r>
            <w:r>
              <w:t>.</w:t>
            </w:r>
            <w:r w:rsidRPr="00431FBE">
              <w:t>8</w:t>
            </w:r>
          </w:p>
        </w:tc>
        <w:tc>
          <w:tcPr>
            <w:tcW w:w="501" w:type="pct"/>
            <w:vAlign w:val="bottom"/>
          </w:tcPr>
          <w:p w14:paraId="7B76B0FF" w14:textId="66425ABA" w:rsidR="00C8449C" w:rsidRPr="00227837" w:rsidRDefault="00C8449C" w:rsidP="00C8449C">
            <w:pPr>
              <w:spacing w:before="20" w:after="20"/>
              <w:ind w:right="-57"/>
              <w:jc w:val="right"/>
              <w:rPr>
                <w:rFonts w:cs="Times New Roman"/>
                <w:szCs w:val="19"/>
                <w:lang w:val="en-GB"/>
              </w:rPr>
            </w:pPr>
            <w:r w:rsidRPr="00E836AC">
              <w:t>150</w:t>
            </w:r>
            <w:r>
              <w:t>.</w:t>
            </w:r>
            <w:r w:rsidRPr="00E836AC">
              <w:t>4</w:t>
            </w:r>
          </w:p>
        </w:tc>
        <w:tc>
          <w:tcPr>
            <w:tcW w:w="500" w:type="pct"/>
            <w:vAlign w:val="bottom"/>
          </w:tcPr>
          <w:p w14:paraId="137117EE" w14:textId="756ED8B2" w:rsidR="00C8449C" w:rsidRPr="00227837" w:rsidRDefault="00C8449C" w:rsidP="00C8449C">
            <w:pPr>
              <w:spacing w:before="20" w:after="20"/>
              <w:ind w:right="-57"/>
              <w:jc w:val="right"/>
              <w:rPr>
                <w:rFonts w:cs="Times New Roman"/>
                <w:szCs w:val="19"/>
                <w:lang w:val="en-GB"/>
              </w:rPr>
            </w:pPr>
            <w:r w:rsidRPr="00E836AC">
              <w:t>106</w:t>
            </w:r>
            <w:r>
              <w:t>.</w:t>
            </w:r>
            <w:r w:rsidRPr="00E836AC">
              <w:t>8</w:t>
            </w:r>
          </w:p>
        </w:tc>
      </w:tr>
      <w:tr w:rsidR="00C8449C" w:rsidRPr="00227837" w14:paraId="2AD29EAB" w14:textId="77777777" w:rsidTr="00C8449C">
        <w:trPr>
          <w:trHeight w:hRule="exact" w:val="340"/>
        </w:trPr>
        <w:tc>
          <w:tcPr>
            <w:tcW w:w="990" w:type="pct"/>
            <w:vAlign w:val="bottom"/>
          </w:tcPr>
          <w:p w14:paraId="18057671" w14:textId="471DB796" w:rsidR="00C8449C" w:rsidRPr="00227837" w:rsidRDefault="00C8449C" w:rsidP="00C8449C">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bottom"/>
          </w:tcPr>
          <w:p w14:paraId="249D9D9A" w14:textId="3B000AEC" w:rsidR="00C8449C" w:rsidRPr="002B2014" w:rsidRDefault="00C8449C" w:rsidP="00C8449C">
            <w:pPr>
              <w:spacing w:before="20" w:after="20"/>
              <w:ind w:right="-57"/>
              <w:jc w:val="right"/>
              <w:rPr>
                <w:rFonts w:cs="Times New Roman"/>
                <w:spacing w:val="-4"/>
                <w:szCs w:val="19"/>
                <w:lang w:val="en-GB"/>
              </w:rPr>
            </w:pPr>
            <w:r>
              <w:rPr>
                <w:rFonts w:cs="Arial"/>
                <w:bCs/>
                <w:szCs w:val="19"/>
              </w:rPr>
              <w:t>6.</w:t>
            </w:r>
            <w:r w:rsidRPr="002B2014">
              <w:rPr>
                <w:rFonts w:cs="Arial"/>
                <w:bCs/>
                <w:szCs w:val="19"/>
              </w:rPr>
              <w:t>29</w:t>
            </w:r>
          </w:p>
        </w:tc>
        <w:tc>
          <w:tcPr>
            <w:tcW w:w="502" w:type="pct"/>
            <w:vAlign w:val="bottom"/>
          </w:tcPr>
          <w:p w14:paraId="4DB3DA89" w14:textId="333FCA97" w:rsidR="00C8449C" w:rsidRPr="002B2014" w:rsidRDefault="00C8449C" w:rsidP="00C8449C">
            <w:pPr>
              <w:spacing w:before="20" w:after="20"/>
              <w:ind w:right="-57"/>
              <w:jc w:val="right"/>
              <w:rPr>
                <w:rFonts w:cs="Times New Roman"/>
                <w:szCs w:val="19"/>
                <w:lang w:val="en-GB"/>
              </w:rPr>
            </w:pPr>
            <w:r w:rsidRPr="002B2014">
              <w:rPr>
                <w:rFonts w:cs="Arial"/>
                <w:bCs/>
                <w:szCs w:val="19"/>
              </w:rPr>
              <w:t>107</w:t>
            </w:r>
            <w:r>
              <w:rPr>
                <w:rFonts w:cs="Arial"/>
                <w:bCs/>
                <w:szCs w:val="19"/>
              </w:rPr>
              <w:t>.</w:t>
            </w:r>
            <w:r w:rsidRPr="002B2014">
              <w:rPr>
                <w:rFonts w:cs="Arial"/>
                <w:bCs/>
                <w:szCs w:val="19"/>
              </w:rPr>
              <w:t>4</w:t>
            </w:r>
          </w:p>
        </w:tc>
        <w:tc>
          <w:tcPr>
            <w:tcW w:w="501" w:type="pct"/>
            <w:vAlign w:val="bottom"/>
          </w:tcPr>
          <w:p w14:paraId="07D39F73" w14:textId="454796E1" w:rsidR="00C8449C" w:rsidRPr="002B2014" w:rsidRDefault="00C8449C" w:rsidP="00C8449C">
            <w:pPr>
              <w:spacing w:before="20" w:after="20"/>
              <w:ind w:right="-57"/>
              <w:jc w:val="right"/>
              <w:rPr>
                <w:rFonts w:cs="Times New Roman"/>
                <w:spacing w:val="-4"/>
                <w:szCs w:val="19"/>
                <w:lang w:val="en-GB"/>
              </w:rPr>
            </w:pPr>
            <w:r w:rsidRPr="002B2014">
              <w:rPr>
                <w:rFonts w:cs="Calibri"/>
                <w:color w:val="000000"/>
                <w:szCs w:val="19"/>
              </w:rPr>
              <w:t>11</w:t>
            </w:r>
            <w:r>
              <w:rPr>
                <w:rFonts w:cs="Calibri"/>
                <w:color w:val="000000"/>
                <w:szCs w:val="19"/>
              </w:rPr>
              <w:t>.</w:t>
            </w:r>
            <w:r w:rsidRPr="002B2014">
              <w:rPr>
                <w:rFonts w:cs="Calibri"/>
                <w:color w:val="000000"/>
                <w:szCs w:val="19"/>
              </w:rPr>
              <w:t>55</w:t>
            </w:r>
          </w:p>
        </w:tc>
        <w:tc>
          <w:tcPr>
            <w:tcW w:w="502" w:type="pct"/>
            <w:vAlign w:val="bottom"/>
          </w:tcPr>
          <w:p w14:paraId="5C98C4E9" w14:textId="0FDF3769" w:rsidR="00C8449C" w:rsidRPr="002B2014" w:rsidRDefault="00C8449C" w:rsidP="00C8449C">
            <w:pPr>
              <w:spacing w:before="20" w:after="20"/>
              <w:ind w:right="-57"/>
              <w:jc w:val="right"/>
              <w:rPr>
                <w:rFonts w:cs="Times New Roman"/>
                <w:szCs w:val="19"/>
                <w:lang w:val="en-GB"/>
              </w:rPr>
            </w:pPr>
            <w:r w:rsidRPr="002B2014">
              <w:rPr>
                <w:rFonts w:cs="Calibri"/>
                <w:color w:val="000000"/>
                <w:szCs w:val="19"/>
              </w:rPr>
              <w:t>116</w:t>
            </w:r>
            <w:r>
              <w:rPr>
                <w:rFonts w:cs="Calibri"/>
                <w:color w:val="000000"/>
                <w:szCs w:val="19"/>
              </w:rPr>
              <w:t>.</w:t>
            </w:r>
            <w:r w:rsidRPr="002B2014">
              <w:rPr>
                <w:rFonts w:cs="Calibri"/>
                <w:color w:val="000000"/>
                <w:szCs w:val="19"/>
              </w:rPr>
              <w:t>6</w:t>
            </w:r>
          </w:p>
        </w:tc>
        <w:tc>
          <w:tcPr>
            <w:tcW w:w="501" w:type="pct"/>
            <w:vAlign w:val="bottom"/>
          </w:tcPr>
          <w:p w14:paraId="6BC6F915" w14:textId="5455F3FC" w:rsidR="00C8449C" w:rsidRPr="00227837" w:rsidRDefault="00C8449C" w:rsidP="00C8449C">
            <w:pPr>
              <w:spacing w:before="20" w:after="20"/>
              <w:ind w:left="-57" w:right="-57"/>
              <w:jc w:val="right"/>
              <w:rPr>
                <w:rFonts w:cs="Times New Roman"/>
                <w:spacing w:val="-2"/>
                <w:szCs w:val="19"/>
                <w:lang w:val="en-GB"/>
              </w:rPr>
            </w:pPr>
            <w:r w:rsidRPr="00431FBE">
              <w:t>3 822</w:t>
            </w:r>
            <w:r>
              <w:t>.</w:t>
            </w:r>
            <w:r w:rsidRPr="00431FBE">
              <w:t>8</w:t>
            </w:r>
          </w:p>
        </w:tc>
        <w:tc>
          <w:tcPr>
            <w:tcW w:w="502" w:type="pct"/>
            <w:vAlign w:val="bottom"/>
          </w:tcPr>
          <w:p w14:paraId="4B4E7DAF" w14:textId="78CC3A57" w:rsidR="00C8449C" w:rsidRPr="00227837" w:rsidRDefault="00C8449C" w:rsidP="00C8449C">
            <w:pPr>
              <w:spacing w:before="20" w:after="20"/>
              <w:ind w:right="-57"/>
              <w:jc w:val="right"/>
              <w:rPr>
                <w:rFonts w:cs="Times New Roman"/>
                <w:szCs w:val="19"/>
                <w:lang w:val="en-GB"/>
              </w:rPr>
            </w:pPr>
            <w:r w:rsidRPr="00431FBE">
              <w:t>123</w:t>
            </w:r>
            <w:r>
              <w:t>.</w:t>
            </w:r>
            <w:r w:rsidRPr="00431FBE">
              <w:t>3</w:t>
            </w:r>
          </w:p>
        </w:tc>
        <w:tc>
          <w:tcPr>
            <w:tcW w:w="501" w:type="pct"/>
            <w:vAlign w:val="bottom"/>
          </w:tcPr>
          <w:p w14:paraId="1D388183" w14:textId="0BE19E5F" w:rsidR="00C8449C" w:rsidRPr="00227837" w:rsidRDefault="00C8449C" w:rsidP="00C8449C">
            <w:pPr>
              <w:spacing w:before="20" w:after="20"/>
              <w:ind w:right="-57"/>
              <w:jc w:val="right"/>
              <w:rPr>
                <w:rFonts w:cs="Times New Roman"/>
                <w:szCs w:val="19"/>
                <w:lang w:val="en-GB"/>
              </w:rPr>
            </w:pPr>
            <w:r w:rsidRPr="00E836AC">
              <w:t>5 010</w:t>
            </w:r>
            <w:r>
              <w:t>.</w:t>
            </w:r>
            <w:r w:rsidRPr="00E836AC">
              <w:t>4</w:t>
            </w:r>
          </w:p>
        </w:tc>
        <w:tc>
          <w:tcPr>
            <w:tcW w:w="500" w:type="pct"/>
            <w:vAlign w:val="bottom"/>
          </w:tcPr>
          <w:p w14:paraId="1BCD3763" w14:textId="392CD482" w:rsidR="00C8449C" w:rsidRPr="00227837" w:rsidRDefault="00C8449C" w:rsidP="00C8449C">
            <w:pPr>
              <w:spacing w:before="20" w:after="20"/>
              <w:ind w:right="-57"/>
              <w:jc w:val="right"/>
              <w:rPr>
                <w:rFonts w:cs="Times New Roman"/>
                <w:szCs w:val="19"/>
                <w:lang w:val="en-GB"/>
              </w:rPr>
            </w:pPr>
            <w:r w:rsidRPr="00E836AC">
              <w:t>114</w:t>
            </w:r>
            <w:r>
              <w:t>.</w:t>
            </w:r>
            <w:r w:rsidRPr="00E836AC">
              <w:t>1</w:t>
            </w:r>
          </w:p>
        </w:tc>
      </w:tr>
    </w:tbl>
    <w:p w14:paraId="068054B3" w14:textId="68A60EDA" w:rsidR="00BD65B7" w:rsidRPr="00BB61A7" w:rsidRDefault="00BB61A7" w:rsidP="00227837">
      <w:pPr>
        <w:tabs>
          <w:tab w:val="center" w:pos="4033"/>
        </w:tabs>
        <w:spacing w:after="0" w:line="240" w:lineRule="auto"/>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2C9E50A1" w:rsidR="009A0C8E" w:rsidRDefault="009A0C8E" w:rsidP="00863683">
      <w:pPr>
        <w:spacing w:before="240" w:after="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47CF8189" w14:textId="0DE8A097" w:rsidR="00863683" w:rsidRPr="00863683" w:rsidRDefault="008A5552" w:rsidP="00863683">
      <w:pPr>
        <w:spacing w:before="360" w:line="240" w:lineRule="auto"/>
        <w:rPr>
          <w:spacing w:val="-5"/>
          <w:szCs w:val="19"/>
          <w:lang w:val="en-AU"/>
        </w:rPr>
      </w:pPr>
      <w:r w:rsidRPr="008F1F40">
        <w:rPr>
          <w:b/>
          <w:noProof/>
          <w:spacing w:val="-2"/>
          <w:szCs w:val="19"/>
          <w:lang w:eastAsia="pl-PL"/>
        </w:rPr>
        <mc:AlternateContent>
          <mc:Choice Requires="wps">
            <w:drawing>
              <wp:anchor distT="45720" distB="45720" distL="114300" distR="114300" simplePos="0" relativeHeight="251807744" behindDoc="1" locked="0" layoutInCell="1" allowOverlap="1" wp14:anchorId="39BC4E53" wp14:editId="09354E10">
                <wp:simplePos x="0" y="0"/>
                <wp:positionH relativeFrom="column">
                  <wp:posOffset>5256144</wp:posOffset>
                </wp:positionH>
                <wp:positionV relativeFrom="paragraph">
                  <wp:posOffset>363192</wp:posOffset>
                </wp:positionV>
                <wp:extent cx="1744345" cy="1009650"/>
                <wp:effectExtent l="0" t="0" r="0" b="0"/>
                <wp:wrapTight wrapText="bothSides">
                  <wp:wrapPolygon edited="0">
                    <wp:start x="708" y="0"/>
                    <wp:lineTo x="708" y="21192"/>
                    <wp:lineTo x="20759" y="21192"/>
                    <wp:lineTo x="20759" y="0"/>
                    <wp:lineTo x="708" y="0"/>
                  </wp:wrapPolygon>
                </wp:wrapTight>
                <wp:docPr id="3" name="Pole tekstowe 3" descr="In the 3rd quarter of 2024, local border traffic accounted for 3.1% of crossings by foreigners of Poland's land border with Ukra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009650"/>
                        </a:xfrm>
                        <a:prstGeom prst="rect">
                          <a:avLst/>
                        </a:prstGeom>
                        <a:noFill/>
                        <a:ln w="9525">
                          <a:noFill/>
                          <a:miter lim="800000"/>
                          <a:headEnd/>
                          <a:tailEnd/>
                        </a:ln>
                      </wps:spPr>
                      <wps:txbx>
                        <w:txbxContent>
                          <w:p w14:paraId="410AA6BA" w14:textId="1DB189A7" w:rsidR="00DA2547" w:rsidRPr="00631237" w:rsidRDefault="00DA2547" w:rsidP="00574BFB">
                            <w:pPr>
                              <w:pStyle w:val="tekstzboku"/>
                              <w:rPr>
                                <w:spacing w:val="-2"/>
                                <w:lang w:val="en-AU"/>
                              </w:rPr>
                            </w:pPr>
                            <w:r w:rsidRPr="00574BFB">
                              <w:rPr>
                                <w:spacing w:val="-2"/>
                                <w:lang w:val="en-AU"/>
                              </w:rPr>
                              <w:t xml:space="preserve">In the </w:t>
                            </w:r>
                            <w:r w:rsidR="001422FF">
                              <w:rPr>
                                <w:spacing w:val="-2"/>
                                <w:lang w:val="en-AU"/>
                              </w:rPr>
                              <w:t>3rd</w:t>
                            </w:r>
                            <w:r w:rsidRPr="00574BFB">
                              <w:rPr>
                                <w:spacing w:val="-2"/>
                                <w:lang w:val="en-AU"/>
                              </w:rPr>
                              <w:t xml:space="preserve"> quarter of 202</w:t>
                            </w:r>
                            <w:r>
                              <w:rPr>
                                <w:spacing w:val="-2"/>
                                <w:lang w:val="en-AU"/>
                              </w:rPr>
                              <w:t>4</w:t>
                            </w:r>
                            <w:r w:rsidRPr="00574BFB">
                              <w:rPr>
                                <w:spacing w:val="-2"/>
                                <w:lang w:val="en-AU"/>
                              </w:rPr>
                              <w:t xml:space="preserve">, local border traffic accounted for </w:t>
                            </w:r>
                            <w:r w:rsidR="001422FF">
                              <w:rPr>
                                <w:spacing w:val="-2"/>
                                <w:lang w:val="en-AU"/>
                              </w:rPr>
                              <w:t>3.1</w:t>
                            </w:r>
                            <w:r w:rsidRPr="00574BFB">
                              <w:rPr>
                                <w:spacing w:val="-2"/>
                                <w:lang w:val="en-AU"/>
                              </w:rPr>
                              <w:t>% of crossings by foreigners of Poland's lan</w:t>
                            </w:r>
                            <w:r>
                              <w:rPr>
                                <w:spacing w:val="-2"/>
                                <w:lang w:val="en-AU"/>
                              </w:rPr>
                              <w:t>d border with Ukraine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C4E53" id="_x0000_t202" coordsize="21600,21600" o:spt="202" path="m,l,21600r21600,l21600,xe">
                <v:stroke joinstyle="miter"/>
                <v:path gradientshapeok="t" o:connecttype="rect"/>
              </v:shapetype>
              <v:shape id="Pole tekstowe 3" o:spid="_x0000_s1030" type="#_x0000_t202" alt="In the 3rd quarter of 2024, local border traffic accounted for 3.1% of crossings by foreigners of Poland's land border with Ukraine" style="position:absolute;margin-left:413.85pt;margin-top:28.6pt;width:137.35pt;height:79.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" filled="f" stroked="f">
                <v:textbox inset=",0,,0">
                  <w:txbxContent>
                    <w:p w14:paraId="410AA6BA" w14:textId="1DB189A7" w:rsidR="00DA2547" w:rsidRPr="00631237" w:rsidRDefault="00DA2547" w:rsidP="00574BFB">
                      <w:pPr>
                        <w:pStyle w:val="tekstzboku"/>
                        <w:rPr>
                          <w:spacing w:val="-2"/>
                          <w:lang w:val="en-AU"/>
                        </w:rPr>
                      </w:pPr>
                      <w:r w:rsidRPr="00574BFB">
                        <w:rPr>
                          <w:spacing w:val="-2"/>
                          <w:lang w:val="en-AU"/>
                        </w:rPr>
                        <w:t xml:space="preserve">In the </w:t>
                      </w:r>
                      <w:r w:rsidR="001422FF">
                        <w:rPr>
                          <w:spacing w:val="-2"/>
                          <w:lang w:val="en-AU"/>
                        </w:rPr>
                        <w:t>3rd</w:t>
                      </w:r>
                      <w:r w:rsidRPr="00574BFB">
                        <w:rPr>
                          <w:spacing w:val="-2"/>
                          <w:lang w:val="en-AU"/>
                        </w:rPr>
                        <w:t xml:space="preserve"> quarter of 202</w:t>
                      </w:r>
                      <w:r>
                        <w:rPr>
                          <w:spacing w:val="-2"/>
                          <w:lang w:val="en-AU"/>
                        </w:rPr>
                        <w:t>4</w:t>
                      </w:r>
                      <w:r w:rsidRPr="00574BFB">
                        <w:rPr>
                          <w:spacing w:val="-2"/>
                          <w:lang w:val="en-AU"/>
                        </w:rPr>
                        <w:t xml:space="preserve">, local border traffic accounted for </w:t>
                      </w:r>
                      <w:r w:rsidR="001422FF">
                        <w:rPr>
                          <w:spacing w:val="-2"/>
                          <w:lang w:val="en-AU"/>
                        </w:rPr>
                        <w:t>3.1</w:t>
                      </w:r>
                      <w:r w:rsidRPr="00574BFB">
                        <w:rPr>
                          <w:spacing w:val="-2"/>
                          <w:lang w:val="en-AU"/>
                        </w:rPr>
                        <w:t>% of crossings by foreigners of Poland's lan</w:t>
                      </w:r>
                      <w:r>
                        <w:rPr>
                          <w:spacing w:val="-2"/>
                          <w:lang w:val="en-AU"/>
                        </w:rPr>
                        <w:t>d border with Ukraine</w:t>
                      </w:r>
                    </w:p>
                  </w:txbxContent>
                </v:textbox>
                <w10:wrap type="tight"/>
              </v:shape>
            </w:pict>
          </mc:Fallback>
        </mc:AlternateContent>
      </w:r>
      <w:r w:rsidR="00863683">
        <w:rPr>
          <w:b/>
          <w:color w:val="001D77"/>
          <w:lang w:val="en-AU"/>
        </w:rPr>
        <w:t>Local</w:t>
      </w:r>
      <w:r w:rsidR="00863683" w:rsidRPr="00863683">
        <w:rPr>
          <w:b/>
          <w:color w:val="001D77"/>
          <w:lang w:val="en-AU"/>
        </w:rPr>
        <w:t xml:space="preserve"> </w:t>
      </w:r>
      <w:r w:rsidR="00863683">
        <w:rPr>
          <w:b/>
          <w:color w:val="001D77"/>
          <w:lang w:val="en-AU"/>
        </w:rPr>
        <w:t>border</w:t>
      </w:r>
      <w:r w:rsidR="00863683" w:rsidRPr="00863683">
        <w:rPr>
          <w:b/>
          <w:color w:val="001D77"/>
          <w:lang w:val="en-AU"/>
        </w:rPr>
        <w:t xml:space="preserve"> </w:t>
      </w:r>
      <w:r w:rsidR="00863683">
        <w:rPr>
          <w:b/>
          <w:color w:val="001D77"/>
          <w:lang w:val="en-AU"/>
        </w:rPr>
        <w:t>traffic</w:t>
      </w:r>
    </w:p>
    <w:p w14:paraId="3141EDE9" w14:textId="5B169F42" w:rsidR="009A0C8E" w:rsidRPr="008F07A8" w:rsidRDefault="009A0C8E" w:rsidP="00A80AAA">
      <w:pPr>
        <w:rPr>
          <w:lang w:val="en-AU"/>
        </w:rPr>
      </w:pPr>
      <w:r w:rsidRPr="008F07A8">
        <w:rPr>
          <w:lang w:val="en-AU"/>
        </w:rPr>
        <w:t xml:space="preserve">In the </w:t>
      </w:r>
      <w:r w:rsidR="00172A42">
        <w:rPr>
          <w:lang w:val="en-AU"/>
        </w:rPr>
        <w:t>3rd</w:t>
      </w:r>
      <w:r w:rsidR="00DF3E67">
        <w:rPr>
          <w:lang w:val="en-AU"/>
        </w:rPr>
        <w:t xml:space="preserve"> </w:t>
      </w:r>
      <w:r w:rsidRPr="008F07A8">
        <w:rPr>
          <w:lang w:val="en-AU"/>
        </w:rPr>
        <w:t>quarter of 202</w:t>
      </w:r>
      <w:r w:rsidR="005E3643">
        <w:rPr>
          <w:lang w:val="en-AU"/>
        </w:rPr>
        <w:t>4</w:t>
      </w:r>
      <w:r w:rsidR="00A46475">
        <w:rPr>
          <w:lang w:val="en-AU"/>
        </w:rPr>
        <w:t>,</w:t>
      </w:r>
      <w:r w:rsidR="00A259A7">
        <w:rPr>
          <w:lang w:val="en-AU"/>
        </w:rPr>
        <w:t xml:space="preserve"> </w:t>
      </w:r>
      <w:r w:rsidR="00172A42">
        <w:rPr>
          <w:lang w:val="en-AU"/>
        </w:rPr>
        <w:t>162.8</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0033738F" w:rsidRPr="0033738F">
        <w:rPr>
          <w:lang w:val="en-AU"/>
        </w:rPr>
        <w:t>Compared to the same period of</w:t>
      </w:r>
      <w:r w:rsidR="00517641">
        <w:rPr>
          <w:lang w:val="en-AU"/>
        </w:rPr>
        <w:t xml:space="preserve"> the previous year, there was a</w:t>
      </w:r>
      <w:r w:rsidR="0033738F" w:rsidRPr="0033738F">
        <w:rPr>
          <w:lang w:val="en-AU"/>
        </w:rPr>
        <w:t xml:space="preserve"> </w:t>
      </w:r>
      <w:r w:rsidR="00517641">
        <w:rPr>
          <w:lang w:val="en-AU"/>
        </w:rPr>
        <w:t>de</w:t>
      </w:r>
      <w:r w:rsidR="0033738F" w:rsidRPr="0033738F">
        <w:rPr>
          <w:lang w:val="en-AU"/>
        </w:rPr>
        <w:t xml:space="preserve">crease of </w:t>
      </w:r>
      <w:r w:rsidR="00517641">
        <w:rPr>
          <w:lang w:val="en-AU"/>
        </w:rPr>
        <w:t>28.8</w:t>
      </w:r>
      <w:r w:rsidR="0033738F" w:rsidRPr="0033738F">
        <w:rPr>
          <w:lang w:val="en-AU"/>
        </w:rPr>
        <w:t>% in crossings under the LBT regime,</w:t>
      </w:r>
      <w:r w:rsidR="005E3643">
        <w:rPr>
          <w:lang w:val="en-AU"/>
        </w:rPr>
        <w:t xml:space="preserve"> and a</w:t>
      </w:r>
      <w:r w:rsidR="0033738F" w:rsidRPr="0033738F">
        <w:rPr>
          <w:lang w:val="en-AU"/>
        </w:rPr>
        <w:t xml:space="preserve"> </w:t>
      </w:r>
      <w:r w:rsidR="005E3643">
        <w:rPr>
          <w:lang w:val="en-AU"/>
        </w:rPr>
        <w:t>de</w:t>
      </w:r>
      <w:r w:rsidR="0033738F" w:rsidRPr="0033738F">
        <w:rPr>
          <w:lang w:val="en-AU"/>
        </w:rPr>
        <w:t xml:space="preserve">crease of </w:t>
      </w:r>
      <w:r w:rsidR="00172A42">
        <w:rPr>
          <w:lang w:val="en-AU"/>
        </w:rPr>
        <w:t>13.0</w:t>
      </w:r>
      <w:r w:rsidR="0033738F" w:rsidRPr="0033738F">
        <w:rPr>
          <w:lang w:val="en-AU"/>
        </w:rPr>
        <w:t>% compared to the previous quart</w:t>
      </w:r>
      <w:r w:rsidR="0033738F" w:rsidRPr="00F5436A">
        <w:rPr>
          <w:lang w:val="en-AU"/>
        </w:rPr>
        <w:t xml:space="preserve">er. </w:t>
      </w:r>
      <w:r w:rsidR="00200A48" w:rsidRPr="00F5436A">
        <w:rPr>
          <w:lang w:val="en-AU"/>
        </w:rPr>
        <w:t xml:space="preserve">The value of expenses incurred by foreigners crossing the border under the </w:t>
      </w:r>
      <w:r w:rsidR="00AF02D5" w:rsidRPr="00F5436A">
        <w:rPr>
          <w:lang w:val="en-AU"/>
        </w:rPr>
        <w:t>LBT</w:t>
      </w:r>
      <w:r w:rsidR="00200A48" w:rsidRPr="00F5436A">
        <w:rPr>
          <w:lang w:val="en-AU"/>
        </w:rPr>
        <w:t xml:space="preserve"> regime </w:t>
      </w:r>
      <w:r w:rsidR="00F5436A">
        <w:rPr>
          <w:lang w:val="en-AU"/>
        </w:rPr>
        <w:t>in the 3rd</w:t>
      </w:r>
      <w:r w:rsidR="00715AF0" w:rsidRPr="00F5436A">
        <w:rPr>
          <w:lang w:val="en-AU"/>
        </w:rPr>
        <w:t xml:space="preserve"> quarter of 202</w:t>
      </w:r>
      <w:r w:rsidR="00B8500D" w:rsidRPr="00F5436A">
        <w:rPr>
          <w:lang w:val="en-AU"/>
        </w:rPr>
        <w:t>4</w:t>
      </w:r>
      <w:r w:rsidR="00715AF0" w:rsidRPr="00F5436A">
        <w:rPr>
          <w:lang w:val="en-AU"/>
        </w:rPr>
        <w:t xml:space="preserve"> </w:t>
      </w:r>
      <w:r w:rsidR="00200A48" w:rsidRPr="00F5436A">
        <w:rPr>
          <w:lang w:val="en-AU"/>
        </w:rPr>
        <w:t xml:space="preserve">amounted to PLN </w:t>
      </w:r>
      <w:r w:rsidR="00F5436A" w:rsidRPr="00F5436A">
        <w:rPr>
          <w:lang w:val="en-AU"/>
        </w:rPr>
        <w:t>70.7</w:t>
      </w:r>
      <w:r w:rsidR="00200A48" w:rsidRPr="00F5436A">
        <w:rPr>
          <w:lang w:val="en-AU"/>
        </w:rPr>
        <w:t xml:space="preserve"> million</w:t>
      </w:r>
      <w:r w:rsidR="008F410A" w:rsidRPr="00F5436A">
        <w:rPr>
          <w:lang w:val="en-AU"/>
        </w:rPr>
        <w:t>.</w:t>
      </w:r>
    </w:p>
    <w:p w14:paraId="00ADF5E9" w14:textId="61441DE6" w:rsidR="009A0C8E" w:rsidRPr="00304B17" w:rsidRDefault="000178CE" w:rsidP="009A0C8E">
      <w:pPr>
        <w:pStyle w:val="Nagwek1"/>
        <w:spacing w:after="180"/>
        <w:rPr>
          <w:rFonts w:ascii="Fira Sans" w:hAnsi="Fira Sans" w:cs="Arial"/>
          <w:b/>
          <w:color w:val="auto"/>
          <w:szCs w:val="19"/>
          <w:lang w:val="en-AU"/>
        </w:rPr>
      </w:pPr>
      <w:r w:rsidRPr="008F1F40">
        <w:rPr>
          <w:rFonts w:ascii="Fira Sans" w:hAnsi="Fira Sans" w:cs="Arial"/>
          <w:b/>
          <w:color w:val="auto"/>
          <w:szCs w:val="19"/>
          <w:lang w:val="en-AU"/>
        </w:rPr>
        <w:lastRenderedPageBreak/>
        <w:t>Chart 4</w:t>
      </w:r>
      <w:r w:rsidR="009A0C8E" w:rsidRPr="008F1F40">
        <w:rPr>
          <w:rFonts w:ascii="Fira Sans" w:hAnsi="Fira Sans" w:cs="Arial"/>
          <w:b/>
          <w:color w:val="auto"/>
          <w:szCs w:val="19"/>
          <w:lang w:val="en-AU"/>
        </w:rPr>
        <w:t>. Local border traffic of foreigners on the Polish-Ukrainian border</w:t>
      </w:r>
      <w:r w:rsidR="00046396" w:rsidRPr="008F1F40">
        <w:rPr>
          <w:rFonts w:ascii="Fira Sans" w:hAnsi="Fira Sans" w:cs="Arial"/>
          <w:b/>
          <w:color w:val="auto"/>
          <w:szCs w:val="19"/>
          <w:lang w:val="en-AU"/>
        </w:rPr>
        <w:t xml:space="preserve"> by quarters</w:t>
      </w:r>
    </w:p>
    <w:p w14:paraId="27099079" w14:textId="7E174137" w:rsidR="007D39F6" w:rsidRPr="008F07A8" w:rsidRDefault="008F1F40" w:rsidP="007C0D9C">
      <w:pPr>
        <w:pStyle w:val="Nagwek1"/>
        <w:spacing w:after="180"/>
        <w:rPr>
          <w:rFonts w:ascii="Fira Sans" w:hAnsi="Fira Sans" w:cs="Arial"/>
          <w:b/>
          <w:color w:val="auto"/>
          <w:sz w:val="18"/>
          <w:szCs w:val="18"/>
          <w:lang w:val="en-AU"/>
        </w:rPr>
      </w:pPr>
      <w:r w:rsidRPr="008F1F40">
        <w:rPr>
          <w:noProof/>
        </w:rPr>
        <w:drawing>
          <wp:inline distT="0" distB="0" distL="0" distR="0" wp14:anchorId="063E9EFC" wp14:editId="156F77A6">
            <wp:extent cx="5122545" cy="2340943"/>
            <wp:effectExtent l="0" t="0" r="1905" b="2540"/>
            <wp:docPr id="13" name="Obraz 13" descr="Chart 4. Values of expenses and volume of border traffic of foreigners under the local border traffic regime at the Polish-Ukrainian border in individual quarters from 2014 to 2024. Data on expenditure are presented in a bar chart, and data on border crossings in a line chart.&#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2340943"/>
                    </a:xfrm>
                    <a:prstGeom prst="rect">
                      <a:avLst/>
                    </a:prstGeom>
                    <a:noFill/>
                    <a:ln>
                      <a:noFill/>
                    </a:ln>
                  </pic:spPr>
                </pic:pic>
              </a:graphicData>
            </a:graphic>
          </wp:inline>
        </w:drawing>
      </w:r>
    </w:p>
    <w:p w14:paraId="65131B68" w14:textId="16D61AC8" w:rsidR="009A0C8E" w:rsidRPr="008F07A8" w:rsidRDefault="00390E15" w:rsidP="009A0C8E">
      <w:pPr>
        <w:spacing w:before="360"/>
        <w:rPr>
          <w:b/>
          <w:color w:val="001D77"/>
          <w:lang w:val="en-AU"/>
        </w:rPr>
      </w:pPr>
      <w:r>
        <w:rPr>
          <w:b/>
          <w:color w:val="001D77"/>
          <w:lang w:val="en-AU"/>
        </w:rPr>
        <w:t>R</w:t>
      </w:r>
      <w:r w:rsidRPr="00B759D9">
        <w:rPr>
          <w:b/>
          <w:color w:val="001D77"/>
          <w:lang w:val="en-AU"/>
        </w:rPr>
        <w:t xml:space="preserve">ange </w:t>
      </w:r>
      <w:r w:rsidR="00AF02D5">
        <w:rPr>
          <w:b/>
          <w:color w:val="001D77"/>
          <w:lang w:val="en-AU"/>
        </w:rPr>
        <w:t>of b</w:t>
      </w:r>
      <w:r w:rsidR="00B759D9" w:rsidRPr="00B759D9">
        <w:rPr>
          <w:b/>
          <w:color w:val="001D77"/>
          <w:lang w:val="en-AU"/>
        </w:rPr>
        <w:t>order impact</w:t>
      </w:r>
    </w:p>
    <w:p w14:paraId="1D5BE8B9" w14:textId="04D49E0B"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show that </w:t>
      </w:r>
      <w:r w:rsidR="00C47A7E" w:rsidRPr="008F07A8">
        <w:rPr>
          <w:rFonts w:ascii="Fira Sans" w:hAnsi="Fira Sans"/>
          <w:spacing w:val="-2"/>
          <w:sz w:val="19"/>
          <w:szCs w:val="19"/>
          <w:lang w:val="en-AU"/>
        </w:rPr>
        <w:t xml:space="preserve">in the </w:t>
      </w:r>
      <w:r w:rsidR="00E17713">
        <w:rPr>
          <w:rFonts w:ascii="Fira Sans" w:hAnsi="Fira Sans"/>
          <w:spacing w:val="-2"/>
          <w:sz w:val="19"/>
          <w:szCs w:val="19"/>
          <w:lang w:val="en-AU"/>
        </w:rPr>
        <w:t>3rd</w:t>
      </w:r>
      <w:r w:rsidR="00C47A7E" w:rsidRPr="008F07A8">
        <w:rPr>
          <w:rFonts w:ascii="Fira Sans" w:hAnsi="Fira Sans"/>
          <w:spacing w:val="-2"/>
          <w:sz w:val="19"/>
          <w:szCs w:val="19"/>
          <w:lang w:val="en-AU"/>
        </w:rPr>
        <w:t xml:space="preserve"> quarter of 202</w:t>
      </w:r>
      <w:r w:rsidR="002B2B93">
        <w:rPr>
          <w:rFonts w:ascii="Fira Sans" w:hAnsi="Fira Sans"/>
          <w:spacing w:val="-2"/>
          <w:sz w:val="19"/>
          <w:szCs w:val="19"/>
          <w:lang w:val="en-AU"/>
        </w:rPr>
        <w:t>4</w:t>
      </w:r>
      <w:r w:rsidR="00C47A7E">
        <w:rPr>
          <w:rFonts w:ascii="Fira Sans" w:hAnsi="Fira Sans"/>
          <w:spacing w:val="-2"/>
          <w:sz w:val="19"/>
          <w:szCs w:val="19"/>
          <w:lang w:val="en-AU"/>
        </w:rPr>
        <w:t xml:space="preserve"> </w:t>
      </w:r>
      <w:r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B8221F" w:rsidRPr="00B8221F">
        <w:rPr>
          <w:rFonts w:ascii="Fira Sans" w:hAnsi="Fira Sans"/>
          <w:spacing w:val="-2"/>
          <w:sz w:val="19"/>
          <w:szCs w:val="19"/>
          <w:lang w:val="en-AU"/>
        </w:rPr>
        <w:t>71.7</w:t>
      </w:r>
      <w:r w:rsidRPr="00B8221F">
        <w:rPr>
          <w:rFonts w:ascii="Fira Sans" w:hAnsi="Fira Sans"/>
          <w:spacing w:val="-2"/>
          <w:sz w:val="19"/>
          <w:szCs w:val="19"/>
          <w:lang w:val="en-AU"/>
        </w:rPr>
        <w:t>%</w:t>
      </w:r>
      <w:r w:rsidR="006B7AD7" w:rsidRPr="00B8221F">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672183">
        <w:rPr>
          <w:rFonts w:ascii="Fira Sans" w:hAnsi="Fira Sans"/>
          <w:spacing w:val="-2"/>
          <w:sz w:val="19"/>
          <w:szCs w:val="19"/>
          <w:lang w:val="en-AU"/>
        </w:rPr>
        <w:t>69.9</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B8221F" w:rsidRPr="00B8221F">
        <w:rPr>
          <w:rFonts w:ascii="Fira Sans" w:hAnsi="Fira Sans"/>
          <w:spacing w:val="-2"/>
          <w:sz w:val="19"/>
          <w:szCs w:val="19"/>
          <w:lang w:val="en-AU"/>
        </w:rPr>
        <w:t>53.4</w:t>
      </w:r>
      <w:r w:rsidRPr="008F07A8">
        <w:rPr>
          <w:rFonts w:ascii="Fira Sans" w:hAnsi="Fira Sans"/>
          <w:spacing w:val="-2"/>
          <w:sz w:val="19"/>
          <w:szCs w:val="19"/>
          <w:lang w:val="en-AU"/>
        </w:rPr>
        <w:t xml:space="preserve">% of foreigners and </w:t>
      </w:r>
      <w:r w:rsidR="00672183">
        <w:rPr>
          <w:rFonts w:ascii="Fira Sans" w:hAnsi="Fira Sans"/>
          <w:spacing w:val="-2"/>
          <w:sz w:val="19"/>
          <w:szCs w:val="19"/>
          <w:lang w:val="en-AU"/>
        </w:rPr>
        <w:t>57.6</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0F4895A0" w:rsidR="009A0C8E" w:rsidRPr="007260EB" w:rsidRDefault="0065792B" w:rsidP="00202679">
      <w:pPr>
        <w:tabs>
          <w:tab w:val="left" w:pos="840"/>
        </w:tabs>
        <w:spacing w:before="240" w:after="180" w:line="240" w:lineRule="auto"/>
        <w:ind w:left="567" w:hanging="567"/>
        <w:rPr>
          <w:rFonts w:eastAsia="Times New Roman" w:cs="Arial"/>
          <w:b/>
          <w:bCs/>
          <w:spacing w:val="-2"/>
          <w:szCs w:val="19"/>
          <w:lang w:val="en-AU" w:eastAsia="pl-PL"/>
        </w:rPr>
      </w:pPr>
      <w:r w:rsidRPr="007260EB">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7F160C37">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DA2547" w:rsidRPr="00631237" w:rsidRDefault="00DA2547"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03BEE" id="_x0000_s1031" type="#_x0000_t202" alt="Both foreigners and Poles crossing the Polish land border were most often residents of places located up to 50 km from the border"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" filled="f" stroked="f">
                <v:textbox inset=",0,,0">
                  <w:txbxContent>
                    <w:p w14:paraId="37DB388F" w14:textId="646529E8" w:rsidR="00DA2547" w:rsidRPr="00631237" w:rsidRDefault="00DA2547"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0178CE" w:rsidRPr="007260EB">
        <w:rPr>
          <w:rFonts w:eastAsia="Times New Roman" w:cs="Arial"/>
          <w:b/>
          <w:spacing w:val="-2"/>
          <w:szCs w:val="19"/>
          <w:lang w:val="en-AU" w:eastAsia="pl-PL"/>
        </w:rPr>
        <w:t>Map 1</w:t>
      </w:r>
      <w:r w:rsidR="009A0C8E" w:rsidRPr="007260EB">
        <w:rPr>
          <w:rFonts w:eastAsia="Times New Roman" w:cs="Arial"/>
          <w:b/>
          <w:spacing w:val="-2"/>
          <w:szCs w:val="19"/>
          <w:lang w:val="en-AU" w:eastAsia="pl-PL"/>
        </w:rPr>
        <w:t xml:space="preserve">. </w:t>
      </w:r>
      <w:r w:rsidR="009A0C8E" w:rsidRPr="00E81EEF">
        <w:rPr>
          <w:rFonts w:eastAsia="Times New Roman" w:cs="Arial"/>
          <w:b/>
          <w:spacing w:val="-2"/>
          <w:szCs w:val="19"/>
          <w:lang w:val="en-AU" w:eastAsia="pl-PL"/>
        </w:rPr>
        <w:t>Range of impact of the border on the basis of crossing the sections of the border</w:t>
      </w:r>
      <w:r w:rsidR="009A0C8E" w:rsidRPr="00E81EEF">
        <w:rPr>
          <w:rFonts w:eastAsia="Times New Roman" w:cs="Arial"/>
          <w:b/>
          <w:spacing w:val="-2"/>
          <w:szCs w:val="19"/>
          <w:lang w:val="en-AU" w:eastAsia="pl-PL"/>
        </w:rPr>
        <w:br/>
        <w:t xml:space="preserve">by foreigners in the </w:t>
      </w:r>
      <w:r w:rsidR="00A57090" w:rsidRPr="00E81EEF">
        <w:rPr>
          <w:rFonts w:eastAsia="Times New Roman" w:cs="Arial"/>
          <w:b/>
          <w:spacing w:val="-2"/>
          <w:szCs w:val="19"/>
          <w:lang w:val="en-AU" w:eastAsia="pl-PL"/>
        </w:rPr>
        <w:t>3rd</w:t>
      </w:r>
      <w:r w:rsidR="009A0C8E" w:rsidRPr="00E81EEF">
        <w:rPr>
          <w:rFonts w:eastAsia="Times New Roman" w:cs="Arial"/>
          <w:b/>
          <w:spacing w:val="-2"/>
          <w:szCs w:val="19"/>
          <w:lang w:val="en-AU" w:eastAsia="pl-PL"/>
        </w:rPr>
        <w:t xml:space="preserve"> </w:t>
      </w:r>
      <w:r w:rsidR="009A0C8E" w:rsidRPr="00E81EEF">
        <w:rPr>
          <w:rFonts w:eastAsia="Times New Roman" w:cs="Arial"/>
          <w:b/>
          <w:bCs/>
          <w:spacing w:val="-2"/>
          <w:szCs w:val="19"/>
          <w:lang w:val="en-AU" w:eastAsia="pl-PL"/>
        </w:rPr>
        <w:t>quarter of 202</w:t>
      </w:r>
      <w:r w:rsidR="000178CE" w:rsidRPr="00E81EEF">
        <w:rPr>
          <w:rFonts w:eastAsia="Times New Roman" w:cs="Arial"/>
          <w:b/>
          <w:bCs/>
          <w:spacing w:val="-2"/>
          <w:szCs w:val="19"/>
          <w:lang w:val="en-AU" w:eastAsia="pl-PL"/>
        </w:rPr>
        <w:t>4</w:t>
      </w:r>
    </w:p>
    <w:p w14:paraId="69FBCF81" w14:textId="77777777" w:rsidR="008A697D" w:rsidRPr="00E81EEF" w:rsidRDefault="00E81EEF" w:rsidP="00631237">
      <w:pPr>
        <w:tabs>
          <w:tab w:val="left" w:pos="840"/>
        </w:tabs>
        <w:spacing w:before="240" w:after="180" w:line="240" w:lineRule="auto"/>
        <w:ind w:left="652" w:hanging="652"/>
        <w:rPr>
          <w:rFonts w:eastAsia="Times New Roman" w:cs="Arial"/>
          <w:b/>
          <w:sz w:val="18"/>
          <w:szCs w:val="18"/>
          <w:lang w:val="en-AU" w:eastAsia="pl-PL"/>
        </w:rPr>
      </w:pPr>
      <w:r w:rsidRPr="00E81EEF">
        <w:rPr>
          <w:noProof/>
          <w:lang w:eastAsia="pl-PL"/>
        </w:rPr>
        <w:drawing>
          <wp:inline distT="0" distB="0" distL="0" distR="0" wp14:anchorId="70339F44" wp14:editId="09148023">
            <wp:extent cx="4749503" cy="2952000"/>
            <wp:effectExtent l="0" t="0" r="0" b="1270"/>
            <wp:docPr id="14" name="Obraz 14" descr="Map 1. Structure of distance from the border of place of residence and place of purchase by foreigners in the 3rd quarter of 2024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9503" cy="2952000"/>
                    </a:xfrm>
                    <a:prstGeom prst="rect">
                      <a:avLst/>
                    </a:prstGeom>
                    <a:noFill/>
                    <a:ln>
                      <a:noFill/>
                    </a:ln>
                  </pic:spPr>
                </pic:pic>
              </a:graphicData>
            </a:graphic>
          </wp:inline>
        </w:drawing>
      </w:r>
    </w:p>
    <w:p w14:paraId="7C5480F2" w14:textId="0F0A2065"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B8221F" w:rsidRPr="00B8221F">
        <w:rPr>
          <w:rFonts w:eastAsia="Times New Roman" w:cs="Times New Roman"/>
          <w:szCs w:val="19"/>
          <w:lang w:val="en-AU" w:eastAsia="pl-PL"/>
        </w:rPr>
        <w:t>60.4</w:t>
      </w:r>
      <w:r w:rsidRPr="00B8221F">
        <w:rPr>
          <w:rFonts w:eastAsia="Times New Roman" w:cs="Times New Roman"/>
          <w:szCs w:val="19"/>
          <w:lang w:val="en-AU" w:eastAsia="pl-PL"/>
        </w:rPr>
        <w:t xml:space="preserve">% </w:t>
      </w:r>
      <w:r w:rsidRPr="008F07A8">
        <w:rPr>
          <w:rFonts w:eastAsia="Times New Roman" w:cs="Times New Roman"/>
          <w:szCs w:val="19"/>
          <w:lang w:val="en-AU" w:eastAsia="pl-PL"/>
        </w:rPr>
        <w:t xml:space="preserve">of foreigners and </w:t>
      </w:r>
      <w:r w:rsidR="00672183">
        <w:rPr>
          <w:rFonts w:eastAsia="Times New Roman" w:cs="Times New Roman"/>
          <w:szCs w:val="19"/>
          <w:lang w:val="en-AU" w:eastAsia="pl-PL"/>
        </w:rPr>
        <w:t>66.7</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B8221F" w:rsidRPr="00B8221F">
        <w:rPr>
          <w:rFonts w:eastAsia="Times New Roman" w:cs="Times New Roman"/>
          <w:szCs w:val="19"/>
          <w:lang w:val="en-AU" w:eastAsia="pl-PL"/>
        </w:rPr>
        <w:t>73.8</w:t>
      </w:r>
      <w:r w:rsidRPr="008F07A8">
        <w:rPr>
          <w:rFonts w:eastAsia="Times New Roman" w:cs="Times New Roman"/>
          <w:szCs w:val="19"/>
          <w:lang w:val="en-AU" w:eastAsia="pl-PL"/>
        </w:rPr>
        <w:t xml:space="preserve">% and </w:t>
      </w:r>
      <w:r w:rsidR="00E07E12">
        <w:rPr>
          <w:rFonts w:eastAsia="Times New Roman" w:cs="Times New Roman"/>
          <w:szCs w:val="19"/>
          <w:lang w:val="en-AU" w:eastAsia="pl-PL"/>
        </w:rPr>
        <w:t>69.9</w:t>
      </w:r>
      <w:r w:rsidRPr="008F07A8">
        <w:rPr>
          <w:rFonts w:eastAsia="Times New Roman" w:cs="Times New Roman"/>
          <w:szCs w:val="19"/>
          <w:lang w:val="en-AU" w:eastAsia="pl-PL"/>
        </w:rPr>
        <w:t>% respectively.</w:t>
      </w:r>
    </w:p>
    <w:p w14:paraId="17ACF354" w14:textId="484D248C" w:rsidR="00DA69C4" w:rsidRPr="007260EB" w:rsidRDefault="003C3AAE" w:rsidP="00202679">
      <w:pPr>
        <w:tabs>
          <w:tab w:val="left" w:pos="840"/>
        </w:tabs>
        <w:spacing w:before="240" w:after="180"/>
        <w:ind w:left="595" w:hanging="595"/>
        <w:rPr>
          <w:rFonts w:eastAsia="Times New Roman" w:cs="Arial"/>
          <w:b/>
          <w:bCs/>
          <w:szCs w:val="19"/>
          <w:lang w:val="en-AU" w:eastAsia="pl-PL"/>
        </w:rPr>
      </w:pPr>
      <w:r>
        <w:rPr>
          <w:rFonts w:eastAsia="Times New Roman" w:cs="Arial"/>
          <w:b/>
          <w:bCs/>
          <w:sz w:val="18"/>
          <w:szCs w:val="18"/>
          <w:highlight w:val="yellow"/>
          <w:lang w:val="en-AU" w:eastAsia="pl-PL"/>
        </w:rPr>
        <w:br w:type="column"/>
      </w:r>
      <w:r w:rsidR="000178CE" w:rsidRPr="007260EB">
        <w:rPr>
          <w:rFonts w:eastAsia="Times New Roman" w:cs="Arial"/>
          <w:b/>
          <w:bCs/>
          <w:szCs w:val="19"/>
          <w:lang w:val="en-AU" w:eastAsia="pl-PL"/>
        </w:rPr>
        <w:lastRenderedPageBreak/>
        <w:t>Map 2</w:t>
      </w:r>
      <w:r w:rsidR="00DA69C4" w:rsidRPr="007260EB">
        <w:rPr>
          <w:rFonts w:eastAsia="Times New Roman" w:cs="Arial"/>
          <w:b/>
          <w:bCs/>
          <w:szCs w:val="19"/>
          <w:lang w:val="en-AU" w:eastAsia="pl-PL"/>
        </w:rPr>
        <w:t xml:space="preserve">. </w:t>
      </w:r>
      <w:r w:rsidR="00DA69C4" w:rsidRPr="00F0477D">
        <w:rPr>
          <w:rFonts w:eastAsia="Times New Roman" w:cs="Arial"/>
          <w:b/>
          <w:szCs w:val="19"/>
          <w:lang w:val="en-AU" w:eastAsia="pl-PL"/>
        </w:rPr>
        <w:t>Range of impact of the border on the basis of crossing the sections of the border</w:t>
      </w:r>
      <w:r w:rsidR="00DA69C4" w:rsidRPr="00F0477D">
        <w:rPr>
          <w:rFonts w:eastAsia="Times New Roman" w:cs="Arial"/>
          <w:b/>
          <w:szCs w:val="19"/>
          <w:lang w:val="en-AU" w:eastAsia="pl-PL"/>
        </w:rPr>
        <w:br/>
        <w:t xml:space="preserve">by Poles in </w:t>
      </w:r>
      <w:r w:rsidR="00DA69C4" w:rsidRPr="00F0477D">
        <w:rPr>
          <w:rFonts w:eastAsia="Times New Roman" w:cs="Arial"/>
          <w:b/>
          <w:bCs/>
          <w:szCs w:val="19"/>
          <w:lang w:val="en-AU" w:eastAsia="pl-PL"/>
        </w:rPr>
        <w:t xml:space="preserve">the </w:t>
      </w:r>
      <w:r w:rsidR="00A57090" w:rsidRPr="00F0477D">
        <w:rPr>
          <w:rFonts w:eastAsia="Times New Roman" w:cs="Arial"/>
          <w:b/>
          <w:bCs/>
          <w:szCs w:val="19"/>
          <w:lang w:val="en-AU" w:eastAsia="pl-PL"/>
        </w:rPr>
        <w:t>3rd</w:t>
      </w:r>
      <w:r w:rsidR="00DA69C4" w:rsidRPr="00F0477D">
        <w:rPr>
          <w:rFonts w:eastAsia="Times New Roman" w:cs="Arial"/>
          <w:b/>
          <w:bCs/>
          <w:szCs w:val="19"/>
          <w:lang w:val="en-AU" w:eastAsia="pl-PL"/>
        </w:rPr>
        <w:t xml:space="preserve"> quarter of 202</w:t>
      </w:r>
      <w:r w:rsidR="000178CE" w:rsidRPr="00F0477D">
        <w:rPr>
          <w:rFonts w:eastAsia="Times New Roman" w:cs="Arial"/>
          <w:b/>
          <w:bCs/>
          <w:szCs w:val="19"/>
          <w:lang w:val="en-AU" w:eastAsia="pl-PL"/>
        </w:rPr>
        <w:t>4</w:t>
      </w:r>
    </w:p>
    <w:p w14:paraId="50E3B222" w14:textId="347454BD" w:rsidR="008A697D" w:rsidRPr="00C81395" w:rsidRDefault="00A70A11" w:rsidP="007A4155">
      <w:pPr>
        <w:tabs>
          <w:tab w:val="left" w:pos="840"/>
        </w:tabs>
        <w:spacing w:before="240" w:after="180" w:line="240" w:lineRule="auto"/>
        <w:ind w:left="680" w:hanging="680"/>
        <w:rPr>
          <w:rFonts w:eastAsia="Times New Roman" w:cs="Arial"/>
          <w:b/>
          <w:sz w:val="18"/>
          <w:szCs w:val="18"/>
          <w:lang w:val="en-AU" w:eastAsia="pl-PL"/>
        </w:rPr>
      </w:pPr>
      <w:r w:rsidRPr="00F32A47">
        <w:rPr>
          <w:b/>
          <w:noProof/>
          <w:spacing w:val="-2"/>
          <w:szCs w:val="19"/>
          <w:highlight w:val="yellow"/>
          <w:lang w:eastAsia="pl-PL"/>
        </w:rPr>
        <mc:AlternateContent>
          <mc:Choice Requires="wps">
            <w:drawing>
              <wp:anchor distT="45720" distB="45720" distL="114300" distR="114300" simplePos="0" relativeHeight="251768832" behindDoc="1" locked="0" layoutInCell="1" allowOverlap="1" wp14:anchorId="0EC0877F" wp14:editId="0EDD3C69">
                <wp:simplePos x="0" y="0"/>
                <wp:positionH relativeFrom="page">
                  <wp:posOffset>5763797</wp:posOffset>
                </wp:positionH>
                <wp:positionV relativeFrom="paragraph">
                  <wp:posOffset>483919</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6B943D0C" w:rsidR="00DA2547" w:rsidRPr="00631237" w:rsidRDefault="00DA2547" w:rsidP="006C122F">
                            <w:pPr>
                              <w:pStyle w:val="tekstzboku"/>
                              <w:spacing w:before="0"/>
                              <w:rPr>
                                <w:spacing w:val="-2"/>
                                <w:lang w:val="en-AU"/>
                              </w:rPr>
                            </w:pPr>
                            <w:r w:rsidRPr="009A0C8E">
                              <w:rPr>
                                <w:spacing w:val="-2"/>
                                <w:lang w:val="en-AU"/>
                              </w:rPr>
                              <w:t>The majority of both foreigners and Poles crossing the Polish land border made purchases with</w:t>
                            </w:r>
                            <w:r>
                              <w:rPr>
                                <w:spacing w:val="-2"/>
                                <w:lang w:val="en-AU"/>
                              </w:rPr>
                              <w:t>i</w:t>
                            </w:r>
                            <w:r w:rsidRPr="009A0C8E">
                              <w:rPr>
                                <w:spacing w:val="-2"/>
                                <w:lang w:val="en-AU"/>
                              </w:rPr>
                              <w:t>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0877F" id="Pole tekstowe 19" o:spid="_x0000_s1032" type="#_x0000_t202" alt="The majority of both foreigners and Poles crossing the Polish land border made purchases within 50 km from the border" style="position:absolute;left:0;text-align:left;margin-left:453.85pt;margin-top:38.1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" filled="f" stroked="f">
                <v:textbox inset=",0,2mm,0">
                  <w:txbxContent>
                    <w:p w14:paraId="5D16A280" w14:textId="6B943D0C" w:rsidR="00DA2547" w:rsidRPr="00631237" w:rsidRDefault="00DA2547" w:rsidP="006C122F">
                      <w:pPr>
                        <w:pStyle w:val="tekstzboku"/>
                        <w:spacing w:before="0"/>
                        <w:rPr>
                          <w:spacing w:val="-2"/>
                          <w:lang w:val="en-AU"/>
                        </w:rPr>
                      </w:pPr>
                      <w:r w:rsidRPr="009A0C8E">
                        <w:rPr>
                          <w:spacing w:val="-2"/>
                          <w:lang w:val="en-AU"/>
                        </w:rPr>
                        <w:t>The majority of both foreigners and Poles crossing the Polish land border made purchases with</w:t>
                      </w:r>
                      <w:r>
                        <w:rPr>
                          <w:spacing w:val="-2"/>
                          <w:lang w:val="en-AU"/>
                        </w:rPr>
                        <w:t>i</w:t>
                      </w:r>
                      <w:r w:rsidRPr="009A0C8E">
                        <w:rPr>
                          <w:spacing w:val="-2"/>
                          <w:lang w:val="en-AU"/>
                        </w:rPr>
                        <w:t>n 50 km from the border</w:t>
                      </w:r>
                    </w:p>
                  </w:txbxContent>
                </v:textbox>
                <w10:wrap type="tight" anchorx="page"/>
              </v:shape>
            </w:pict>
          </mc:Fallback>
        </mc:AlternateContent>
      </w:r>
      <w:r w:rsidR="003C3AAE" w:rsidRPr="003C3AAE">
        <w:rPr>
          <w:rFonts w:eastAsia="Times New Roman" w:cs="Arial"/>
          <w:b/>
          <w:sz w:val="18"/>
          <w:szCs w:val="18"/>
          <w:lang w:val="en-AU" w:eastAsia="pl-PL"/>
        </w:rPr>
        <w:t xml:space="preserve"> </w:t>
      </w:r>
      <w:r w:rsidR="00E81EEF" w:rsidRPr="00E81EEF">
        <w:rPr>
          <w:noProof/>
          <w:lang w:eastAsia="pl-PL"/>
        </w:rPr>
        <w:drawing>
          <wp:inline distT="0" distB="0" distL="0" distR="0" wp14:anchorId="25C0E288" wp14:editId="1A4F3604">
            <wp:extent cx="4741680" cy="2952000"/>
            <wp:effectExtent l="0" t="0" r="0" b="1270"/>
            <wp:docPr id="16" name="Obraz 16" descr="Map 2. Structure of the distance from the border of the place of residence and place of purchase by Poles in the 3rd quarter of 2024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1680" cy="2952000"/>
                    </a:xfrm>
                    <a:prstGeom prst="rect">
                      <a:avLst/>
                    </a:prstGeom>
                    <a:noFill/>
                    <a:ln>
                      <a:noFill/>
                    </a:ln>
                  </pic:spPr>
                </pic:pic>
              </a:graphicData>
            </a:graphic>
          </wp:inline>
        </w:drawing>
      </w:r>
    </w:p>
    <w:p w14:paraId="1DD08022" w14:textId="18BC8CDC" w:rsidR="00DA441D" w:rsidRPr="008F07A8" w:rsidRDefault="00C83952" w:rsidP="000C0002">
      <w:pPr>
        <w:spacing w:before="240" w:after="0" w:line="240" w:lineRule="auto"/>
        <w:rPr>
          <w:rFonts w:eastAsia="Times New Roman" w:cs="Arial"/>
          <w:b/>
          <w:szCs w:val="19"/>
          <w:lang w:val="en-AU" w:eastAsia="pl-PL"/>
        </w:rPr>
      </w:pPr>
      <w:r w:rsidRPr="00B8221F">
        <w:rPr>
          <w:rFonts w:eastAsia="Times New Roman" w:cs="Times New Roman"/>
          <w:szCs w:val="19"/>
          <w:lang w:val="en-AU" w:eastAsia="pl-PL"/>
        </w:rPr>
        <w:t xml:space="preserve">Most </w:t>
      </w:r>
      <w:r w:rsidR="00DA69C4" w:rsidRPr="00B8221F">
        <w:rPr>
          <w:rFonts w:eastAsia="Times New Roman" w:cs="Times New Roman"/>
          <w:szCs w:val="19"/>
          <w:lang w:val="en-AU" w:eastAsia="pl-PL"/>
        </w:rPr>
        <w:t xml:space="preserve">of </w:t>
      </w:r>
      <w:r w:rsidRPr="00B8221F">
        <w:rPr>
          <w:rFonts w:eastAsia="Times New Roman" w:cs="Times New Roman"/>
          <w:szCs w:val="19"/>
          <w:lang w:val="en-AU" w:eastAsia="pl-PL"/>
        </w:rPr>
        <w:t xml:space="preserve">the </w:t>
      </w:r>
      <w:r w:rsidR="00DA69C4" w:rsidRPr="00B8221F">
        <w:rPr>
          <w:rFonts w:eastAsia="Times New Roman" w:cs="Times New Roman"/>
          <w:szCs w:val="19"/>
          <w:lang w:val="en-AU" w:eastAsia="pl-PL"/>
        </w:rPr>
        <w:t>surveyed foreigners made purchase</w:t>
      </w:r>
      <w:r w:rsidR="00F4642B" w:rsidRPr="00B8221F">
        <w:rPr>
          <w:rFonts w:eastAsia="Times New Roman" w:cs="Times New Roman"/>
          <w:szCs w:val="19"/>
          <w:lang w:val="en-AU" w:eastAsia="pl-PL"/>
        </w:rPr>
        <w:t>s</w:t>
      </w:r>
      <w:r w:rsidR="00DA69C4" w:rsidRPr="00B8221F">
        <w:rPr>
          <w:rFonts w:eastAsia="Times New Roman" w:cs="Times New Roman"/>
          <w:szCs w:val="19"/>
          <w:lang w:val="en-AU" w:eastAsia="pl-PL"/>
        </w:rPr>
        <w:t xml:space="preserve"> at the distance of up to 50 km</w:t>
      </w:r>
      <w:r w:rsidR="00DE70DA" w:rsidRPr="00B8221F">
        <w:rPr>
          <w:rFonts w:eastAsia="Times New Roman" w:cs="Times New Roman"/>
          <w:szCs w:val="19"/>
          <w:lang w:val="en-AU" w:eastAsia="pl-PL"/>
        </w:rPr>
        <w:t xml:space="preserve"> from the border</w:t>
      </w:r>
      <w:r w:rsidR="00E01EBA" w:rsidRPr="00B8221F">
        <w:rPr>
          <w:rFonts w:eastAsia="Times New Roman" w:cs="Times New Roman"/>
          <w:szCs w:val="19"/>
          <w:lang w:val="en-AU" w:eastAsia="pl-PL"/>
        </w:rPr>
        <w:t>.</w:t>
      </w:r>
      <w:r w:rsidR="00DA69C4" w:rsidRPr="00B8221F">
        <w:rPr>
          <w:rFonts w:eastAsia="Times New Roman" w:cs="Times New Roman"/>
          <w:szCs w:val="19"/>
          <w:lang w:val="en-AU" w:eastAsia="pl-PL"/>
        </w:rPr>
        <w:t xml:space="preserve"> </w:t>
      </w:r>
      <w:r w:rsidR="00E01EBA" w:rsidRPr="00B8221F">
        <w:rPr>
          <w:rFonts w:eastAsia="Times New Roman" w:cs="Times New Roman"/>
          <w:szCs w:val="19"/>
          <w:lang w:val="en-AU" w:eastAsia="pl-PL"/>
        </w:rPr>
        <w:t>I</w:t>
      </w:r>
      <w:r w:rsidR="00DA69C4" w:rsidRPr="00B8221F">
        <w:rPr>
          <w:rFonts w:eastAsia="Times New Roman" w:cs="Times New Roman"/>
          <w:szCs w:val="19"/>
          <w:lang w:val="en-AU" w:eastAsia="pl-PL"/>
        </w:rPr>
        <w:t xml:space="preserve">n the case of the external border of the European Union in Poland it was </w:t>
      </w:r>
      <w:r w:rsidR="00B8221F" w:rsidRPr="00B8221F">
        <w:rPr>
          <w:rFonts w:eastAsia="Times New Roman" w:cs="Times New Roman"/>
          <w:szCs w:val="19"/>
          <w:lang w:val="en-AU" w:eastAsia="pl-PL"/>
        </w:rPr>
        <w:t>64.0</w:t>
      </w:r>
      <w:r w:rsidR="00F436E5" w:rsidRPr="00B8221F">
        <w:rPr>
          <w:rFonts w:eastAsia="Times New Roman" w:cs="Times New Roman"/>
          <w:szCs w:val="19"/>
          <w:lang w:val="en-AU" w:eastAsia="pl-PL"/>
        </w:rPr>
        <w:t>%</w:t>
      </w:r>
      <w:r w:rsidR="00DA69C4" w:rsidRPr="00B8221F">
        <w:rPr>
          <w:rFonts w:eastAsia="Times New Roman" w:cs="Times New Roman"/>
          <w:szCs w:val="19"/>
          <w:lang w:val="en-AU" w:eastAsia="pl-PL"/>
        </w:rPr>
        <w:t xml:space="preserve"> of those crossing the border, and in the case of the internal EU border </w:t>
      </w:r>
      <w:r w:rsidR="00F436E5" w:rsidRPr="00B8221F">
        <w:rPr>
          <w:rFonts w:eastAsia="Times New Roman" w:cs="Times New Roman"/>
          <w:szCs w:val="19"/>
          <w:lang w:val="en-AU" w:eastAsia="pl-PL"/>
        </w:rPr>
        <w:t xml:space="preserve">– </w:t>
      </w:r>
      <w:r w:rsidR="00B8221F" w:rsidRPr="00B8221F">
        <w:rPr>
          <w:rFonts w:eastAsia="Times New Roman" w:cs="Times New Roman"/>
          <w:szCs w:val="19"/>
          <w:lang w:val="en-AU" w:eastAsia="pl-PL"/>
        </w:rPr>
        <w:t>85.4</w:t>
      </w:r>
      <w:r w:rsidR="00F436E5" w:rsidRPr="00B8221F">
        <w:rPr>
          <w:rFonts w:eastAsia="Times New Roman" w:cs="Times New Roman"/>
          <w:szCs w:val="19"/>
          <w:lang w:val="en-AU" w:eastAsia="pl-PL"/>
        </w:rPr>
        <w:t xml:space="preserve">%. </w:t>
      </w:r>
      <w:r w:rsidR="00DA69C4"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00DA69C4"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sidR="00672183">
        <w:rPr>
          <w:rFonts w:eastAsia="Times New Roman" w:cs="Times New Roman"/>
          <w:szCs w:val="19"/>
          <w:lang w:val="en-AU" w:eastAsia="pl-PL"/>
        </w:rPr>
        <w:t>86.6</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00DA69C4" w:rsidRPr="008F07A8">
        <w:rPr>
          <w:rFonts w:eastAsia="Times New Roman" w:cs="Times New Roman"/>
          <w:szCs w:val="19"/>
          <w:lang w:val="en-AU" w:eastAsia="pl-PL"/>
        </w:rPr>
        <w:t xml:space="preserve">the external border and </w:t>
      </w:r>
      <w:r w:rsidR="00672183">
        <w:rPr>
          <w:rFonts w:eastAsia="Times New Roman" w:cs="Times New Roman"/>
          <w:szCs w:val="19"/>
          <w:lang w:val="en-AU" w:eastAsia="pl-PL"/>
        </w:rPr>
        <w:t>65.7</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00DA69C4"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5E1E0A0E"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xml:space="preserve">. Since 2014 the surveys conducted jointly by these institutions are the result of the integration of </w:t>
      </w:r>
      <w:r w:rsidR="00E87332" w:rsidRPr="00E87332">
        <w:rPr>
          <w:szCs w:val="19"/>
          <w:lang w:val="en-AU"/>
        </w:rPr>
        <w:t>four</w:t>
      </w:r>
      <w:r w:rsidRPr="008F07A8">
        <w:rPr>
          <w:szCs w:val="19"/>
          <w:lang w:val="en-AU"/>
        </w:rPr>
        <w:t xml:space="preserve"> surveys (including "The survey of goods and services turnover at the external land border of European Union on the territory of Poland").</w:t>
      </w:r>
    </w:p>
    <w:p w14:paraId="7AA2DAA6" w14:textId="36C43458"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EC1C83">
        <w:rPr>
          <w:szCs w:val="19"/>
          <w:lang w:val="en-AU"/>
        </w:rPr>
        <w:t>third</w:t>
      </w:r>
      <w:r w:rsidRPr="008F07A8">
        <w:rPr>
          <w:szCs w:val="19"/>
          <w:lang w:val="en-AU"/>
        </w:rPr>
        <w:t xml:space="preserve"> quarter of 202</w:t>
      </w:r>
      <w:r w:rsidR="009F789E">
        <w:rPr>
          <w:szCs w:val="19"/>
          <w:lang w:val="en-AU"/>
        </w:rPr>
        <w:t>4</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781EF528"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w:t>
      </w:r>
      <w:r w:rsidR="00AE7387">
        <w:rPr>
          <w:szCs w:val="19"/>
          <w:lang w:val="en-AU"/>
        </w:rPr>
        <w:t xml:space="preserve"> mainly</w:t>
      </w:r>
      <w:r w:rsidRPr="008F07A8">
        <w:rPr>
          <w:szCs w:val="19"/>
          <w:lang w:val="en-AU"/>
        </w:rPr>
        <w:t xml:space="preserve">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6F8EEBE5" w:rsidR="00DA69C4" w:rsidRPr="008F07A8" w:rsidRDefault="00F2308B" w:rsidP="00DA69C4">
      <w:pPr>
        <w:numPr>
          <w:ilvl w:val="0"/>
          <w:numId w:val="4"/>
        </w:numPr>
        <w:rPr>
          <w:szCs w:val="19"/>
          <w:lang w:val="en-AU"/>
        </w:rPr>
      </w:pPr>
      <w:r w:rsidRPr="00F2308B">
        <w:rPr>
          <w:szCs w:val="19"/>
          <w:lang w:val="en-AU"/>
        </w:rPr>
        <w:t xml:space="preserve">The rules for crossing the border at </w:t>
      </w:r>
      <w:r w:rsidR="001B5FC5" w:rsidRPr="00F2308B">
        <w:rPr>
          <w:szCs w:val="19"/>
          <w:lang w:val="en-AU"/>
        </w:rPr>
        <w:t>specific</w:t>
      </w:r>
      <w:r w:rsidRPr="00F2308B">
        <w:rPr>
          <w:szCs w:val="19"/>
          <w:lang w:val="en-AU"/>
        </w:rPr>
        <w:t xml:space="preserve"> border crossing are defined in the Regulation of the Minister of Internal Affairs and Administration of 13 March 2020 on </w:t>
      </w:r>
      <w:r w:rsidR="001B5FC5" w:rsidRPr="00F2308B">
        <w:rPr>
          <w:szCs w:val="19"/>
          <w:lang w:val="en-AU"/>
        </w:rPr>
        <w:t>temporary</w:t>
      </w:r>
      <w:r w:rsidRPr="00F2308B">
        <w:rPr>
          <w:szCs w:val="19"/>
          <w:lang w:val="en-AU"/>
        </w:rPr>
        <w:t xml:space="preserve"> suspension or restriction of border traffic at specific border crossing (Journal of Laws of 2020, item 435, with later amendments).</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3188C018" w:rsidR="00DA69C4" w:rsidRDefault="00DA69C4" w:rsidP="00DA69C4">
      <w:pPr>
        <w:numPr>
          <w:ilvl w:val="0"/>
          <w:numId w:val="4"/>
        </w:numPr>
        <w:rPr>
          <w:szCs w:val="19"/>
          <w:lang w:val="en-AU"/>
        </w:rPr>
      </w:pPr>
      <w:r w:rsidRPr="008F07A8">
        <w:rPr>
          <w:szCs w:val="19"/>
          <w:lang w:val="en-AU"/>
        </w:rPr>
        <w:t xml:space="preserve">The </w:t>
      </w:r>
      <w:r w:rsidR="00FC5F2F" w:rsidRPr="008F07A8">
        <w:rPr>
          <w:szCs w:val="19"/>
          <w:lang w:val="en-AU"/>
        </w:rPr>
        <w:t xml:space="preserve">presented </w:t>
      </w:r>
      <w:r w:rsidRPr="008F07A8">
        <w:rPr>
          <w:szCs w:val="19"/>
          <w:lang w:val="en-AU"/>
        </w:rPr>
        <w:t>data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rsidRPr="00E81EEF" w14:paraId="5D706B47" w14:textId="77777777" w:rsidTr="00C82472">
        <w:trPr>
          <w:trHeight w:val="1626"/>
        </w:trPr>
        <w:tc>
          <w:tcPr>
            <w:tcW w:w="4926" w:type="dxa"/>
          </w:tcPr>
          <w:p w14:paraId="5A9D2F77" w14:textId="77777777" w:rsidR="007046A1" w:rsidRPr="008A0A10" w:rsidRDefault="007046A1" w:rsidP="00C82472">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C82472">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45A51A34" w14:textId="77777777" w:rsidR="007046A1" w:rsidRPr="00AE54DC" w:rsidRDefault="007046A1" w:rsidP="00C82472">
            <w:pPr>
              <w:spacing w:before="0" w:after="0" w:line="276" w:lineRule="auto"/>
              <w:rPr>
                <w:b/>
                <w:sz w:val="20"/>
                <w:szCs w:val="20"/>
                <w:lang w:val="fi-FI"/>
              </w:rPr>
            </w:pPr>
            <w:r w:rsidRPr="00EB4183">
              <w:rPr>
                <w:b/>
                <w:sz w:val="20"/>
                <w:szCs w:val="20"/>
                <w:lang w:val="fi-FI"/>
              </w:rPr>
              <w:t>Director Marek Cierpiał-Wolan</w:t>
            </w:r>
          </w:p>
          <w:p w14:paraId="69EB099D" w14:textId="38575348" w:rsidR="009F789E" w:rsidRPr="009F789E" w:rsidRDefault="007046A1" w:rsidP="00F84C96">
            <w:pPr>
              <w:pStyle w:val="Nagwek3"/>
              <w:spacing w:before="0" w:after="120" w:line="276" w:lineRule="auto"/>
              <w:ind w:left="606" w:hanging="606"/>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B66ADF">
              <w:rPr>
                <w:rFonts w:ascii="Fira Sans" w:hAnsi="Fira Sans" w:cs="Arial"/>
                <w:color w:val="000000" w:themeColor="text1"/>
                <w:sz w:val="20"/>
                <w:lang w:val="fi-FI"/>
              </w:rPr>
              <w:t>s</w:t>
            </w:r>
            <w:r w:rsidRPr="008F3638">
              <w:rPr>
                <w:rFonts w:ascii="Fira Sans" w:hAnsi="Fira Sans" w:cs="Arial"/>
                <w:color w:val="000000" w:themeColor="text1"/>
                <w:sz w:val="20"/>
                <w:lang w:val="fi-FI"/>
              </w:rPr>
              <w:t>:</w:t>
            </w:r>
            <w:r w:rsidR="009F789E">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r w:rsidR="009F789E">
              <w:rPr>
                <w:rFonts w:ascii="Fira Sans" w:hAnsi="Fira Sans" w:cs="Arial"/>
                <w:color w:val="000000" w:themeColor="text1"/>
                <w:sz w:val="20"/>
                <w:lang w:val="fi-FI"/>
              </w:rPr>
              <w:t>,</w:t>
            </w:r>
            <w:r w:rsidR="009F789E">
              <w:rPr>
                <w:rFonts w:ascii="Fira Sans" w:hAnsi="Fira Sans" w:cs="Arial"/>
                <w:color w:val="000000" w:themeColor="text1"/>
                <w:sz w:val="20"/>
                <w:lang w:val="fi-FI"/>
              </w:rPr>
              <w:br/>
            </w:r>
            <w:r w:rsidR="007231AE">
              <w:rPr>
                <w:rFonts w:ascii="Fira Sans" w:hAnsi="Fira Sans" w:cs="Arial"/>
                <w:color w:val="000000" w:themeColor="text1"/>
                <w:sz w:val="20"/>
                <w:lang w:val="fi-FI"/>
              </w:rPr>
              <w:t xml:space="preserve">   </w:t>
            </w:r>
            <w:r w:rsidR="009F789E">
              <w:rPr>
                <w:rFonts w:ascii="Fira Sans" w:hAnsi="Fira Sans" w:cs="Arial"/>
                <w:color w:val="000000" w:themeColor="text1"/>
                <w:sz w:val="20"/>
                <w:lang w:val="fi-FI"/>
              </w:rPr>
              <w:t>(</w:t>
            </w:r>
            <w:r w:rsidR="009F789E" w:rsidRPr="00863683">
              <w:rPr>
                <w:rFonts w:ascii="Fira Sans" w:hAnsi="Fira Sans"/>
                <w:color w:val="auto"/>
                <w:sz w:val="20"/>
                <w:lang w:val="en-AU"/>
              </w:rPr>
              <w:t xml:space="preserve">+48 </w:t>
            </w:r>
            <w:r w:rsidR="009F789E" w:rsidRPr="00545482">
              <w:rPr>
                <w:rFonts w:ascii="Fira Sans" w:hAnsi="Fira Sans" w:cs="Arial"/>
                <w:color w:val="auto"/>
                <w:sz w:val="20"/>
                <w:lang w:val="fi-FI"/>
              </w:rPr>
              <w:t>17</w:t>
            </w:r>
            <w:r w:rsidR="009F789E">
              <w:rPr>
                <w:rFonts w:ascii="Fira Sans" w:hAnsi="Fira Sans" w:cs="Arial"/>
                <w:color w:val="auto"/>
                <w:sz w:val="20"/>
                <w:lang w:val="fi-FI"/>
              </w:rPr>
              <w:t>)</w:t>
            </w:r>
            <w:r w:rsidR="009F789E" w:rsidRPr="00545482">
              <w:rPr>
                <w:rFonts w:ascii="Fira Sans" w:hAnsi="Fira Sans" w:cs="Arial"/>
                <w:color w:val="auto"/>
                <w:sz w:val="20"/>
                <w:lang w:val="fi-FI"/>
              </w:rPr>
              <w:t xml:space="preserve"> 853 52 19</w:t>
            </w:r>
          </w:p>
        </w:tc>
        <w:tc>
          <w:tcPr>
            <w:tcW w:w="4927" w:type="dxa"/>
          </w:tcPr>
          <w:p w14:paraId="2055E496" w14:textId="77777777" w:rsidR="00F7598D" w:rsidRPr="005653EE" w:rsidRDefault="007046A1" w:rsidP="00F7598D">
            <w:pPr>
              <w:rPr>
                <w:b/>
                <w:lang w:val="en-GB"/>
              </w:rPr>
            </w:pPr>
            <w:r w:rsidRPr="008A0A10">
              <w:rPr>
                <w:rFonts w:cs="Arial"/>
                <w:sz w:val="20"/>
                <w:lang w:val="en-AU"/>
              </w:rPr>
              <w:t>Issued by:</w:t>
            </w:r>
            <w:r w:rsidRPr="008A0A10">
              <w:rPr>
                <w:rFonts w:cs="Arial"/>
                <w:sz w:val="20"/>
                <w:lang w:val="en-AU"/>
              </w:rPr>
              <w:br/>
            </w:r>
            <w:r w:rsidR="00F7598D" w:rsidRPr="005653EE">
              <w:rPr>
                <w:b/>
                <w:lang w:val="en-GB"/>
              </w:rPr>
              <w:t>Press Office</w:t>
            </w:r>
          </w:p>
          <w:p w14:paraId="1A2F1B5F" w14:textId="77777777" w:rsidR="00F7598D" w:rsidRPr="0027575B" w:rsidRDefault="00F7598D" w:rsidP="00F7598D">
            <w:pPr>
              <w:rPr>
                <w:sz w:val="20"/>
                <w:lang w:val="en-GB"/>
              </w:rPr>
            </w:pPr>
            <w:r w:rsidRPr="0027575B">
              <w:rPr>
                <w:sz w:val="20"/>
                <w:lang w:val="en-GB"/>
              </w:rPr>
              <w:t>Mobile: (+48) 695 255 032</w:t>
            </w:r>
          </w:p>
          <w:p w14:paraId="1C39CCED" w14:textId="5706C038" w:rsidR="00F7598D" w:rsidRPr="0027575B" w:rsidRDefault="00F7598D" w:rsidP="00F7598D">
            <w:pPr>
              <w:spacing w:after="0"/>
              <w:rPr>
                <w:sz w:val="20"/>
                <w:lang w:val="en-GB"/>
              </w:rPr>
            </w:pPr>
            <w:r w:rsidRPr="0027575B">
              <w:rPr>
                <w:sz w:val="20"/>
                <w:lang w:val="en-GB"/>
              </w:rPr>
              <w:t>Phone</w:t>
            </w:r>
            <w:r w:rsidR="00D3728D">
              <w:rPr>
                <w:sz w:val="20"/>
                <w:lang w:val="en-GB"/>
              </w:rPr>
              <w:t>s</w:t>
            </w:r>
            <w:r w:rsidRPr="0027575B">
              <w:rPr>
                <w:sz w:val="20"/>
                <w:lang w:val="en-GB"/>
              </w:rPr>
              <w:t xml:space="preserve">: (+48 22) 608 38 04, (+48 22) 449 41 45, </w:t>
            </w:r>
          </w:p>
          <w:p w14:paraId="70776986" w14:textId="6B49FDFB" w:rsidR="00F7598D" w:rsidRPr="0027575B" w:rsidRDefault="00F7598D" w:rsidP="00F7598D">
            <w:pPr>
              <w:spacing w:before="0"/>
              <w:rPr>
                <w:sz w:val="20"/>
                <w:lang w:val="en-GB"/>
              </w:rPr>
            </w:pPr>
            <w:r w:rsidRPr="0027575B">
              <w:rPr>
                <w:sz w:val="20"/>
                <w:lang w:val="en-GB"/>
              </w:rPr>
              <w:t xml:space="preserve">             </w:t>
            </w:r>
            <w:r w:rsidR="00D3728D">
              <w:rPr>
                <w:sz w:val="20"/>
                <w:lang w:val="en-GB"/>
              </w:rPr>
              <w:t xml:space="preserve">  </w:t>
            </w:r>
            <w:r w:rsidRPr="0027575B">
              <w:rPr>
                <w:sz w:val="20"/>
                <w:lang w:val="en-GB"/>
              </w:rPr>
              <w:t>(+48 22) 608 30 09</w:t>
            </w:r>
          </w:p>
          <w:p w14:paraId="30183A2F" w14:textId="77777777" w:rsidR="00F7598D" w:rsidRPr="00AE54DC" w:rsidRDefault="00F7598D" w:rsidP="00F7598D">
            <w:pPr>
              <w:pStyle w:val="Nagwek3"/>
              <w:spacing w:before="0" w:after="120" w:line="276" w:lineRule="auto"/>
              <w:outlineLvl w:val="2"/>
              <w:rPr>
                <w:rFonts w:ascii="Fira Sans" w:hAnsi="Fira Sans" w:cs="Arial"/>
                <w:color w:val="000000" w:themeColor="text1"/>
                <w:sz w:val="20"/>
                <w:lang w:val="fi-FI"/>
              </w:rPr>
            </w:pPr>
            <w:r w:rsidRPr="00F17AA9">
              <w:rPr>
                <w:b/>
                <w:color w:val="auto"/>
                <w:sz w:val="20"/>
                <w:lang w:val="en-GB"/>
              </w:rPr>
              <w:t>e-mail:</w:t>
            </w:r>
            <w:r w:rsidRPr="00F17AA9">
              <w:rPr>
                <w:color w:val="auto"/>
                <w:sz w:val="20"/>
                <w:lang w:val="en-GB"/>
              </w:rPr>
              <w:t xml:space="preserve"> </w:t>
            </w:r>
            <w:hyperlink r:id="rId23" w:history="1">
              <w:r w:rsidRPr="00394E26">
                <w:rPr>
                  <w:rStyle w:val="Hipercze"/>
                  <w:rFonts w:cs="Arial"/>
                  <w:b/>
                  <w:color w:val="auto"/>
                  <w:sz w:val="20"/>
                  <w:szCs w:val="20"/>
                  <w:lang w:val="en-US"/>
                </w:rPr>
                <w:t>obslugaprasowa@stat.gov.pl</w:t>
              </w:r>
            </w:hyperlink>
          </w:p>
          <w:p w14:paraId="6459A088" w14:textId="3190F00D" w:rsidR="007046A1" w:rsidRPr="00863683" w:rsidRDefault="007046A1" w:rsidP="009347D5">
            <w:pPr>
              <w:rPr>
                <w:sz w:val="18"/>
                <w:lang w:val="en-AU"/>
              </w:rPr>
            </w:pPr>
          </w:p>
        </w:tc>
      </w:tr>
      <w:tr w:rsidR="007046A1" w14:paraId="6AB0A04E" w14:textId="77777777" w:rsidTr="00C82472">
        <w:trPr>
          <w:trHeight w:val="418"/>
        </w:trPr>
        <w:tc>
          <w:tcPr>
            <w:tcW w:w="4926" w:type="dxa"/>
            <w:vMerge w:val="restart"/>
          </w:tcPr>
          <w:p w14:paraId="5B604739" w14:textId="1D072D8B" w:rsidR="007046A1" w:rsidRPr="00F05FC7" w:rsidRDefault="007046A1" w:rsidP="00C82472">
            <w:pPr>
              <w:rPr>
                <w:sz w:val="18"/>
                <w:lang w:val="en-US"/>
              </w:rPr>
            </w:pPr>
          </w:p>
        </w:tc>
        <w:tc>
          <w:tcPr>
            <w:tcW w:w="4927" w:type="dxa"/>
            <w:vAlign w:val="center"/>
          </w:tcPr>
          <w:p w14:paraId="17992F19" w14:textId="77777777" w:rsidR="007046A1" w:rsidRDefault="007046A1" w:rsidP="00C82472">
            <w:pPr>
              <w:ind w:firstLine="680"/>
              <w:rPr>
                <w:sz w:val="18"/>
              </w:rPr>
            </w:pPr>
            <w:r>
              <w:rPr>
                <w:noProof/>
                <w:sz w:val="20"/>
                <w:lang w:eastAsia="pl-PL"/>
              </w:rPr>
              <w:drawing>
                <wp:anchor distT="0" distB="0" distL="114300" distR="114300" simplePos="0" relativeHeight="251800576" behindDoc="0" locked="0" layoutInCell="1" allowOverlap="1" wp14:anchorId="0834CDD3" wp14:editId="6CC8CD39">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14:paraId="364067C8" w14:textId="77777777" w:rsidTr="00C82472">
        <w:trPr>
          <w:trHeight w:val="418"/>
        </w:trPr>
        <w:tc>
          <w:tcPr>
            <w:tcW w:w="4926" w:type="dxa"/>
            <w:vMerge/>
          </w:tcPr>
          <w:p w14:paraId="1502C274" w14:textId="77777777" w:rsidR="007046A1" w:rsidRPr="00C91687" w:rsidRDefault="007046A1" w:rsidP="00C82472">
            <w:pPr>
              <w:rPr>
                <w:b/>
                <w:sz w:val="20"/>
              </w:rPr>
            </w:pPr>
          </w:p>
        </w:tc>
        <w:tc>
          <w:tcPr>
            <w:tcW w:w="4927" w:type="dxa"/>
            <w:vAlign w:val="center"/>
          </w:tcPr>
          <w:p w14:paraId="25EAA81F" w14:textId="110533A3" w:rsidR="007046A1" w:rsidRDefault="00E80BF1" w:rsidP="00C82472">
            <w:pPr>
              <w:ind w:firstLine="680"/>
              <w:rPr>
                <w:sz w:val="18"/>
              </w:rPr>
            </w:pPr>
            <w:r>
              <w:rPr>
                <w:noProof/>
                <w:sz w:val="20"/>
                <w:lang w:eastAsia="pl-PL"/>
              </w:rPr>
              <w:drawing>
                <wp:anchor distT="0" distB="0" distL="114300" distR="114300" simplePos="0" relativeHeight="251810816" behindDoc="0" locked="0" layoutInCell="1" allowOverlap="1" wp14:anchorId="0F9AB1BC" wp14:editId="33F6C48D">
                  <wp:simplePos x="0" y="0"/>
                  <wp:positionH relativeFrom="column">
                    <wp:posOffset>77470</wp:posOffset>
                  </wp:positionH>
                  <wp:positionV relativeFrom="paragraph">
                    <wp:posOffset>8255</wp:posOffset>
                  </wp:positionV>
                  <wp:extent cx="251460" cy="251460"/>
                  <wp:effectExtent l="0" t="0" r="0" b="0"/>
                  <wp:wrapNone/>
                  <wp:docPr id="28" name="Obraz 28" descr="logo platform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046A1" w:rsidRPr="003D5F42">
              <w:rPr>
                <w:sz w:val="20"/>
              </w:rPr>
              <w:t>@</w:t>
            </w:r>
            <w:proofErr w:type="spellStart"/>
            <w:r w:rsidR="007046A1" w:rsidRPr="00DE1D0A">
              <w:rPr>
                <w:noProof/>
                <w:sz w:val="20"/>
                <w:lang w:eastAsia="pl-PL"/>
              </w:rPr>
              <w:t>StatPoland</w:t>
            </w:r>
            <w:proofErr w:type="spellEnd"/>
          </w:p>
        </w:tc>
      </w:tr>
      <w:tr w:rsidR="007046A1" w14:paraId="7ECF3A59" w14:textId="77777777" w:rsidTr="00C82472">
        <w:trPr>
          <w:trHeight w:val="480"/>
        </w:trPr>
        <w:tc>
          <w:tcPr>
            <w:tcW w:w="4926" w:type="dxa"/>
            <w:vMerge/>
          </w:tcPr>
          <w:p w14:paraId="5FDA382C" w14:textId="77777777" w:rsidR="007046A1" w:rsidRPr="00C91687" w:rsidRDefault="007046A1" w:rsidP="00C82472">
            <w:pPr>
              <w:rPr>
                <w:b/>
                <w:sz w:val="20"/>
              </w:rPr>
            </w:pPr>
          </w:p>
        </w:tc>
        <w:tc>
          <w:tcPr>
            <w:tcW w:w="4927" w:type="dxa"/>
          </w:tcPr>
          <w:p w14:paraId="51A9EBFD" w14:textId="77777777" w:rsidR="007046A1" w:rsidRDefault="007046A1" w:rsidP="00C82472">
            <w:pPr>
              <w:ind w:firstLine="680"/>
              <w:rPr>
                <w:sz w:val="18"/>
              </w:rPr>
            </w:pPr>
            <w:r>
              <w:rPr>
                <w:noProof/>
                <w:sz w:val="20"/>
                <w:lang w:eastAsia="pl-PL"/>
              </w:rPr>
              <w:drawing>
                <wp:anchor distT="0" distB="0" distL="114300" distR="114300" simplePos="0" relativeHeight="251802624" behindDoc="0" locked="0" layoutInCell="1" allowOverlap="1" wp14:anchorId="295C80BD" wp14:editId="5CC3AD9F">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046A1" w14:paraId="5688792B" w14:textId="77777777" w:rsidTr="00C82472">
        <w:trPr>
          <w:trHeight w:val="480"/>
        </w:trPr>
        <w:tc>
          <w:tcPr>
            <w:tcW w:w="4926" w:type="dxa"/>
          </w:tcPr>
          <w:p w14:paraId="6EFE68AF" w14:textId="77777777" w:rsidR="007046A1" w:rsidRPr="00C91687" w:rsidRDefault="007046A1" w:rsidP="00C82472">
            <w:pPr>
              <w:rPr>
                <w:b/>
                <w:sz w:val="20"/>
              </w:rPr>
            </w:pPr>
          </w:p>
        </w:tc>
        <w:tc>
          <w:tcPr>
            <w:tcW w:w="4927" w:type="dxa"/>
          </w:tcPr>
          <w:p w14:paraId="3102E142" w14:textId="77777777" w:rsidR="007046A1" w:rsidRPr="003D5F42" w:rsidRDefault="007046A1" w:rsidP="00C82472">
            <w:pPr>
              <w:ind w:firstLine="680"/>
              <w:rPr>
                <w:sz w:val="20"/>
              </w:rPr>
            </w:pPr>
            <w:r>
              <w:rPr>
                <w:noProof/>
                <w:sz w:val="20"/>
                <w:lang w:eastAsia="pl-PL"/>
              </w:rPr>
              <w:drawing>
                <wp:anchor distT="0" distB="0" distL="114300" distR="114300" simplePos="0" relativeHeight="251803648" behindDoc="0" locked="0" layoutInCell="1" allowOverlap="1" wp14:anchorId="59E89A3B" wp14:editId="4B71B1BC">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14:paraId="647F0538" w14:textId="77777777" w:rsidTr="00C82472">
        <w:trPr>
          <w:trHeight w:val="480"/>
        </w:trPr>
        <w:tc>
          <w:tcPr>
            <w:tcW w:w="4926" w:type="dxa"/>
          </w:tcPr>
          <w:p w14:paraId="4C9D3871" w14:textId="77777777" w:rsidR="007046A1" w:rsidRPr="00C91687" w:rsidRDefault="007046A1" w:rsidP="00C82472">
            <w:pPr>
              <w:rPr>
                <w:b/>
                <w:sz w:val="20"/>
              </w:rPr>
            </w:pPr>
          </w:p>
        </w:tc>
        <w:tc>
          <w:tcPr>
            <w:tcW w:w="4927" w:type="dxa"/>
          </w:tcPr>
          <w:p w14:paraId="468B2E60" w14:textId="77777777" w:rsidR="007046A1" w:rsidRPr="003D5F42" w:rsidRDefault="007046A1" w:rsidP="00C82472">
            <w:pPr>
              <w:ind w:firstLine="680"/>
              <w:rPr>
                <w:sz w:val="20"/>
              </w:rPr>
            </w:pPr>
            <w:r>
              <w:rPr>
                <w:noProof/>
                <w:sz w:val="20"/>
                <w:lang w:eastAsia="pl-PL"/>
              </w:rPr>
              <w:drawing>
                <wp:anchor distT="0" distB="0" distL="114300" distR="114300" simplePos="0" relativeHeight="251804672" behindDoc="0" locked="0" layoutInCell="1" allowOverlap="1" wp14:anchorId="63BC4D24" wp14:editId="49E841BC">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14:paraId="49BD5342" w14:textId="77777777" w:rsidTr="00C82472">
        <w:trPr>
          <w:trHeight w:val="953"/>
        </w:trPr>
        <w:tc>
          <w:tcPr>
            <w:tcW w:w="4926" w:type="dxa"/>
          </w:tcPr>
          <w:p w14:paraId="77F82835" w14:textId="77777777" w:rsidR="007046A1" w:rsidRPr="00C91687" w:rsidRDefault="007046A1" w:rsidP="00C82472">
            <w:pPr>
              <w:rPr>
                <w:b/>
                <w:sz w:val="20"/>
              </w:rPr>
            </w:pPr>
          </w:p>
        </w:tc>
        <w:tc>
          <w:tcPr>
            <w:tcW w:w="4927" w:type="dxa"/>
          </w:tcPr>
          <w:p w14:paraId="062B648E" w14:textId="77777777" w:rsidR="007046A1" w:rsidRPr="003D5F42" w:rsidRDefault="007046A1" w:rsidP="00C8247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0BCE2311">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E81EEF" w14:paraId="73BF2D2B" w14:textId="77777777" w:rsidTr="00C82472">
        <w:trPr>
          <w:trHeight w:val="4114"/>
        </w:trPr>
        <w:tc>
          <w:tcPr>
            <w:tcW w:w="9853" w:type="dxa"/>
            <w:gridSpan w:val="2"/>
            <w:shd w:val="clear" w:color="auto" w:fill="D9D9D9" w:themeFill="background1" w:themeFillShade="D9"/>
          </w:tcPr>
          <w:p w14:paraId="7F2FE33D" w14:textId="77777777" w:rsidR="007046A1" w:rsidRPr="00735596" w:rsidRDefault="007046A1" w:rsidP="00C82472">
            <w:pPr>
              <w:shd w:val="clear" w:color="auto" w:fill="D9D9D9" w:themeFill="background1" w:themeFillShade="D9"/>
              <w:rPr>
                <w:b/>
                <w:lang w:val="en-AU"/>
              </w:rPr>
            </w:pPr>
            <w:r w:rsidRPr="00735596">
              <w:rPr>
                <w:b/>
                <w:lang w:val="en-AU"/>
              </w:rPr>
              <w:t>Related information</w:t>
            </w:r>
          </w:p>
          <w:p w14:paraId="6B2D9A50" w14:textId="164517F3" w:rsidR="007046A1" w:rsidRPr="00C96C4D" w:rsidRDefault="007046A1" w:rsidP="00C82472">
            <w:pPr>
              <w:rPr>
                <w:rStyle w:val="Hipercze"/>
                <w:lang w:val="en-AU"/>
              </w:rPr>
            </w:pPr>
            <w:r w:rsidRPr="00C96C4D">
              <w:rPr>
                <w:rFonts w:cs="Times New Roman"/>
                <w:color w:val="0000FF"/>
              </w:rPr>
              <w:fldChar w:fldCharType="begin"/>
            </w:r>
            <w:r w:rsidR="00EC1C83" w:rsidRPr="00A963B2">
              <w:rPr>
                <w:rFonts w:cs="Times New Roman"/>
                <w:color w:val="0000FF"/>
                <w:lang w:val="en-AU"/>
              </w:rPr>
              <w:instrText>HYPERLINK "https://stat.gov.pl/en/topics/prices-trade/trade/border-traffic-and-expenses-made-by-foreigners-in-poland-and-poles-abroad-in-2023,10,10.html" \o "Link to the publication Border traffic and expenses made by foreigners in Poland and Poland abroad in 2022"</w:instrText>
            </w:r>
            <w:r w:rsidRPr="00C96C4D">
              <w:rPr>
                <w:rFonts w:cs="Times New Roman"/>
                <w:color w:val="0000FF"/>
              </w:rPr>
              <w:fldChar w:fldCharType="separate"/>
            </w:r>
            <w:r w:rsidRPr="00C96C4D">
              <w:rPr>
                <w:rStyle w:val="Hipercze"/>
                <w:lang w:val="en-AU"/>
              </w:rPr>
              <w:t>Border traffic and expenses made by foreigners in Poland and Poles abroad in 202</w:t>
            </w:r>
            <w:r w:rsidR="00EC1C83">
              <w:rPr>
                <w:rStyle w:val="Hipercze"/>
                <w:lang w:val="en-AU"/>
              </w:rPr>
              <w:t>3</w:t>
            </w:r>
          </w:p>
          <w:p w14:paraId="4F85D258" w14:textId="060B079C" w:rsidR="007046A1" w:rsidRPr="00C96C4D" w:rsidRDefault="007046A1" w:rsidP="00C82472">
            <w:pPr>
              <w:rPr>
                <w:rFonts w:cs="Times New Roman"/>
                <w:color w:val="0000FF"/>
                <w:lang w:val="en-AU"/>
              </w:rPr>
            </w:pPr>
            <w:r w:rsidRPr="00C96C4D">
              <w:rPr>
                <w:rFonts w:cs="Times New Roman"/>
                <w:color w:val="0000FF"/>
              </w:rPr>
              <w:fldChar w:fldCharType="end"/>
            </w:r>
            <w:hyperlink r:id="rId30" w:tooltip="Link to the publication Tourism in 2023" w:history="1">
              <w:r w:rsidR="00517641" w:rsidRPr="00A963B2">
                <w:rPr>
                  <w:rStyle w:val="Hipercze"/>
                  <w:lang w:val="en-AU"/>
                </w:rPr>
                <w:t>Tourism in 2023</w:t>
              </w:r>
            </w:hyperlink>
          </w:p>
          <w:p w14:paraId="5BE3475E" w14:textId="77777777" w:rsidR="007046A1" w:rsidRPr="00735596" w:rsidRDefault="007046A1" w:rsidP="00C82472">
            <w:pPr>
              <w:shd w:val="clear" w:color="auto" w:fill="D9D9D9" w:themeFill="background1" w:themeFillShade="D9"/>
              <w:spacing w:before="360"/>
              <w:rPr>
                <w:b/>
                <w:szCs w:val="24"/>
                <w:lang w:val="en-AU"/>
              </w:rPr>
            </w:pPr>
            <w:r w:rsidRPr="00735596">
              <w:rPr>
                <w:b/>
                <w:szCs w:val="24"/>
                <w:lang w:val="en-AU"/>
              </w:rPr>
              <w:t>Terms used inn official statistics</w:t>
            </w:r>
          </w:p>
          <w:p w14:paraId="3935D357" w14:textId="3C02E191" w:rsidR="007046A1" w:rsidRPr="00C96C4D" w:rsidRDefault="003068BA" w:rsidP="00C82472">
            <w:pPr>
              <w:rPr>
                <w:rStyle w:val="Hipercze"/>
                <w:rFonts w:cstheme="minorBidi"/>
                <w:u w:val="none"/>
                <w:lang w:val="en-AU"/>
              </w:rPr>
            </w:pPr>
            <w:hyperlink r:id="rId31" w:tooltip="Link to the term foreigners" w:history="1">
              <w:r w:rsidR="007046A1" w:rsidRPr="00C96C4D">
                <w:rPr>
                  <w:rStyle w:val="Hipercze"/>
                  <w:lang w:val="en-AU"/>
                </w:rPr>
                <w:t>Foreigners</w:t>
              </w:r>
            </w:hyperlink>
          </w:p>
          <w:p w14:paraId="60F9838D" w14:textId="16F9704B" w:rsidR="007046A1" w:rsidRPr="00C96C4D" w:rsidRDefault="007046A1" w:rsidP="00C82472">
            <w:pPr>
              <w:rPr>
                <w:rStyle w:val="Hipercze"/>
                <w:rFonts w:cstheme="minorBidi"/>
                <w:lang w:val="en-AU"/>
              </w:rPr>
            </w:pP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C82472">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C82472">
            <w:pPr>
              <w:rPr>
                <w:rFonts w:cs="Times New Roman"/>
                <w:u w:val="single"/>
                <w:lang w:val="en-AU"/>
              </w:rPr>
            </w:pPr>
            <w:r w:rsidRPr="00C96C4D">
              <w:rPr>
                <w:rFonts w:cs="Times New Roman"/>
                <w:color w:val="0000FF"/>
              </w:rPr>
              <w:fldChar w:fldCharType="end"/>
            </w:r>
            <w:hyperlink r:id="rId32" w:tooltip="Link to the term local border traffic" w:history="1">
              <w:r w:rsidRPr="00C96C4D">
                <w:rPr>
                  <w:rStyle w:val="Hipercze"/>
                  <w:lang w:val="en-AU"/>
                </w:rPr>
                <w:t>Local border traffic</w:t>
              </w:r>
            </w:hyperlink>
          </w:p>
        </w:tc>
      </w:tr>
    </w:tbl>
    <w:p w14:paraId="7B920CD6" w14:textId="5345F9B0" w:rsidR="00D261A2" w:rsidRPr="008F07A8" w:rsidRDefault="00D261A2" w:rsidP="00033730">
      <w:pPr>
        <w:rPr>
          <w:color w:val="FF0000"/>
          <w:sz w:val="18"/>
          <w:lang w:val="en-AU"/>
        </w:rPr>
      </w:pPr>
    </w:p>
    <w:sectPr w:rsidR="00D261A2" w:rsidRPr="008F07A8"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3E0D1" w14:textId="77777777" w:rsidR="00DA2547" w:rsidRDefault="00DA2547" w:rsidP="000662E2">
      <w:pPr>
        <w:spacing w:after="0" w:line="240" w:lineRule="auto"/>
      </w:pPr>
      <w:r>
        <w:separator/>
      </w:r>
    </w:p>
  </w:endnote>
  <w:endnote w:type="continuationSeparator" w:id="0">
    <w:p w14:paraId="37CBAAC2" w14:textId="77777777" w:rsidR="00DA2547" w:rsidRDefault="00DA254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0000001" w:usb2="00000000" w:usb3="00000000" w:csb0="0000019F" w:csb1="00000000"/>
  </w:font>
  <w:font w:name="Fira Sans">
    <w:panose1 w:val="020B05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0000001" w:usb2="00000000" w:usb3="00000000" w:csb0="0000019F" w:csb1="00000000"/>
  </w:font>
  <w:font w:name="Fira Sans Medium">
    <w:panose1 w:val="020B0603050000020004"/>
    <w:charset w:val="EE"/>
    <w:family w:val="swiss"/>
    <w:pitch w:val="variable"/>
    <w:sig w:usb0="600002FF"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7B920CEF" w14:textId="77777777" w:rsidR="00DA2547" w:rsidRDefault="00DA2547" w:rsidP="003B18B6">
        <w:pPr>
          <w:pStyle w:val="Stopka"/>
          <w:jc w:val="center"/>
        </w:pPr>
        <w:r>
          <w:fldChar w:fldCharType="begin"/>
        </w:r>
        <w:r>
          <w:instrText>PAGE   \* MERGEFORMAT</w:instrText>
        </w:r>
        <w:r>
          <w:fldChar w:fldCharType="separate"/>
        </w:r>
        <w:r w:rsidR="003068BA">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7B920CF2" w14:textId="70EAAC2B" w:rsidR="00DA2547" w:rsidRDefault="00DA2547" w:rsidP="003B18B6">
        <w:pPr>
          <w:pStyle w:val="Stopka"/>
          <w:jc w:val="center"/>
        </w:pPr>
        <w:r>
          <w:fldChar w:fldCharType="begin"/>
        </w:r>
        <w:r>
          <w:instrText>PAGE   \* MERGEFORMAT</w:instrText>
        </w:r>
        <w:r>
          <w:fldChar w:fldCharType="separate"/>
        </w:r>
        <w:r w:rsidR="003068BA">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248272C6" w14:textId="77777777" w:rsidR="00DA2547" w:rsidRDefault="00DA2547" w:rsidP="003B18B6">
        <w:pPr>
          <w:pStyle w:val="Stopka"/>
          <w:jc w:val="center"/>
        </w:pPr>
        <w:r>
          <w:fldChar w:fldCharType="begin"/>
        </w:r>
        <w:r>
          <w:instrText>PAGE   \* MERGEFORMAT</w:instrText>
        </w:r>
        <w:r>
          <w:fldChar w:fldCharType="separate"/>
        </w:r>
        <w:r w:rsidR="003068BA">
          <w:rPr>
            <w:noProof/>
          </w:rPr>
          <w:t>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3D87B7A4" w14:textId="77777777" w:rsidR="00DA2547" w:rsidRDefault="00DA2547" w:rsidP="00B11874">
        <w:pPr>
          <w:pStyle w:val="Stopka"/>
          <w:tabs>
            <w:tab w:val="clear" w:pos="9072"/>
          </w:tabs>
          <w:ind w:right="-2423"/>
          <w:jc w:val="center"/>
        </w:pPr>
        <w:r>
          <w:fldChar w:fldCharType="begin"/>
        </w:r>
        <w:r>
          <w:instrText>PAGE   \* MERGEFORMAT</w:instrText>
        </w:r>
        <w:r>
          <w:fldChar w:fldCharType="separate"/>
        </w:r>
        <w:r w:rsidR="003068BA">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F8498" w14:textId="77777777" w:rsidR="00DA2547" w:rsidRDefault="00DA2547" w:rsidP="000662E2">
      <w:pPr>
        <w:spacing w:after="0" w:line="240" w:lineRule="auto"/>
      </w:pPr>
      <w:r>
        <w:separator/>
      </w:r>
    </w:p>
  </w:footnote>
  <w:footnote w:type="continuationSeparator" w:id="0">
    <w:p w14:paraId="22AD170E" w14:textId="77777777" w:rsidR="00DA2547" w:rsidRDefault="00DA2547"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ED" w14:textId="77777777" w:rsidR="00DA2547" w:rsidRDefault="00DA2547">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DA2547" w:rsidRDefault="00DA25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0" w14:textId="6817447B" w:rsidR="00DA2547" w:rsidRDefault="00DA2547"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DA2547" w:rsidRPr="003C6C8D" w:rsidRDefault="00DA2547"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DA2547" w:rsidRPr="003C6C8D" w:rsidRDefault="00DA2547"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DA2547" w:rsidRDefault="00DA2547"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DA2547" w:rsidRDefault="00DA2547"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6" name="Obraz 26"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DA2547" w:rsidRDefault="00DA2547">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7C3BEB7F">
              <wp:simplePos x="0" y="0"/>
              <wp:positionH relativeFrom="column">
                <wp:posOffset>5242931</wp:posOffset>
              </wp:positionH>
              <wp:positionV relativeFrom="paragraph">
                <wp:posOffset>278765</wp:posOffset>
              </wp:positionV>
              <wp:extent cx="1432293" cy="336589"/>
              <wp:effectExtent l="0" t="0" r="0" b="6350"/>
              <wp:wrapNone/>
              <wp:docPr id="17" name="Pole tekstowe 2" descr="19.12.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7B4F1E2" w14:textId="5D91DC03" w:rsidR="00DA2547" w:rsidRPr="00C97596" w:rsidRDefault="00C320C4" w:rsidP="00B14288">
                          <w:pPr>
                            <w:jc w:val="both"/>
                            <w:rPr>
                              <w:rFonts w:ascii="Fira Sans SemiBold" w:hAnsi="Fira Sans SemiBold"/>
                              <w:color w:val="001D77"/>
                            </w:rPr>
                          </w:pPr>
                          <w:r>
                            <w:rPr>
                              <w:rFonts w:ascii="Fira Sans SemiBold" w:hAnsi="Fira Sans SemiBold"/>
                              <w:color w:val="001D77"/>
                              <w:sz w:val="20"/>
                              <w:szCs w:val="20"/>
                            </w:rPr>
                            <w:t>19</w:t>
                          </w:r>
                          <w:r w:rsidR="00DD1AA4">
                            <w:rPr>
                              <w:rFonts w:ascii="Fira Sans SemiBold" w:hAnsi="Fira Sans SemiBold"/>
                              <w:color w:val="001D77"/>
                              <w:sz w:val="20"/>
                              <w:szCs w:val="20"/>
                            </w:rPr>
                            <w:t>.</w:t>
                          </w:r>
                          <w:r>
                            <w:rPr>
                              <w:rFonts w:ascii="Fira Sans SemiBold" w:hAnsi="Fira Sans SemiBold"/>
                              <w:color w:val="001D77"/>
                              <w:sz w:val="20"/>
                              <w:szCs w:val="20"/>
                            </w:rPr>
                            <w:t>12</w:t>
                          </w:r>
                          <w:r w:rsidR="00DA2547" w:rsidRPr="00395BCE">
                            <w:rPr>
                              <w:rFonts w:ascii="Fira Sans SemiBold" w:hAnsi="Fira Sans SemiBold"/>
                              <w:color w:val="001D77"/>
                              <w:sz w:val="20"/>
                              <w:szCs w:val="20"/>
                            </w:rPr>
                            <w:t>.202</w:t>
                          </w:r>
                          <w:r w:rsidR="00DA2547">
                            <w:rPr>
                              <w:rFonts w:ascii="Fira Sans SemiBold" w:hAnsi="Fira Sans SemiBold"/>
                              <w:color w:val="001D77"/>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19.12.2024"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" filled="f" stroked="f">
              <v:textbox>
                <w:txbxContent>
                  <w:p w14:paraId="27B4F1E2" w14:textId="5D91DC03" w:rsidR="00DA2547" w:rsidRPr="00C97596" w:rsidRDefault="00C320C4" w:rsidP="00B14288">
                    <w:pPr>
                      <w:jc w:val="both"/>
                      <w:rPr>
                        <w:rFonts w:ascii="Fira Sans SemiBold" w:hAnsi="Fira Sans SemiBold"/>
                        <w:color w:val="001D77"/>
                      </w:rPr>
                    </w:pPr>
                    <w:r>
                      <w:rPr>
                        <w:rFonts w:ascii="Fira Sans SemiBold" w:hAnsi="Fira Sans SemiBold"/>
                        <w:color w:val="001D77"/>
                        <w:sz w:val="20"/>
                        <w:szCs w:val="20"/>
                      </w:rPr>
                      <w:t>19</w:t>
                    </w:r>
                    <w:r w:rsidR="00DD1AA4">
                      <w:rPr>
                        <w:rFonts w:ascii="Fira Sans SemiBold" w:hAnsi="Fira Sans SemiBold"/>
                        <w:color w:val="001D77"/>
                        <w:sz w:val="20"/>
                        <w:szCs w:val="20"/>
                      </w:rPr>
                      <w:t>.</w:t>
                    </w:r>
                    <w:r>
                      <w:rPr>
                        <w:rFonts w:ascii="Fira Sans SemiBold" w:hAnsi="Fira Sans SemiBold"/>
                        <w:color w:val="001D77"/>
                        <w:sz w:val="20"/>
                        <w:szCs w:val="20"/>
                      </w:rPr>
                      <w:t>12</w:t>
                    </w:r>
                    <w:r w:rsidR="00DA2547" w:rsidRPr="00395BCE">
                      <w:rPr>
                        <w:rFonts w:ascii="Fira Sans SemiBold" w:hAnsi="Fira Sans SemiBold"/>
                        <w:color w:val="001D77"/>
                        <w:sz w:val="20"/>
                        <w:szCs w:val="20"/>
                      </w:rPr>
                      <w:t>.202</w:t>
                    </w:r>
                    <w:r w:rsidR="00DA2547">
                      <w:rPr>
                        <w:rFonts w:ascii="Fira Sans SemiBold" w:hAnsi="Fira Sans SemiBold"/>
                        <w:color w:val="001D77"/>
                        <w:sz w:val="20"/>
                        <w:szCs w:val="20"/>
                      </w:rPr>
                      <w:t>4</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DA2547" w:rsidRPr="00C97596" w:rsidRDefault="00DA2547"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DA2547" w:rsidRPr="00C97596" w:rsidRDefault="00DA2547"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D80" w14:textId="5A1086B9" w:rsidR="00DA2547" w:rsidRDefault="00DA2547">
    <w:pPr>
      <w:pStyle w:val="Nagwek"/>
      <w:rPr>
        <w:noProof/>
        <w:lang w:eastAsia="pl-PL"/>
      </w:rPr>
    </w:pPr>
  </w:p>
  <w:p w14:paraId="2E5C47AB" w14:textId="77777777" w:rsidR="00DA2547" w:rsidRDefault="00DA2547">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4F35" w14:textId="77777777" w:rsidR="00DA2547" w:rsidRDefault="00DA2547">
    <w:pPr>
      <w:pStyle w:val="Nagwek"/>
    </w:pPr>
  </w:p>
  <w:p w14:paraId="711FA068" w14:textId="77777777" w:rsidR="00DA2547" w:rsidRDefault="00DA25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5.2pt;visibility:visible;mso-wrap-style:square" o:bullet="t">
        <v:imagedata r:id="rId1" o:title=""/>
      </v:shape>
    </w:pict>
  </w:numPicBullet>
  <w:numPicBullet w:numPicBulletId="1">
    <w:pict>
      <v:shape id="_x0000_i1027" type="#_x0000_t75" style="width:123.9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021"/>
    <w:rsid w:val="00003437"/>
    <w:rsid w:val="00003FC2"/>
    <w:rsid w:val="00004DF3"/>
    <w:rsid w:val="00006AFE"/>
    <w:rsid w:val="0000709F"/>
    <w:rsid w:val="00010594"/>
    <w:rsid w:val="000108B8"/>
    <w:rsid w:val="0001115F"/>
    <w:rsid w:val="000152F5"/>
    <w:rsid w:val="00015CB1"/>
    <w:rsid w:val="0001765B"/>
    <w:rsid w:val="000178CE"/>
    <w:rsid w:val="000201A1"/>
    <w:rsid w:val="00021584"/>
    <w:rsid w:val="00024706"/>
    <w:rsid w:val="00025A76"/>
    <w:rsid w:val="00026E30"/>
    <w:rsid w:val="00030513"/>
    <w:rsid w:val="0003105E"/>
    <w:rsid w:val="0003274A"/>
    <w:rsid w:val="00033730"/>
    <w:rsid w:val="000344C9"/>
    <w:rsid w:val="00035157"/>
    <w:rsid w:val="00035D14"/>
    <w:rsid w:val="0004023A"/>
    <w:rsid w:val="000428AA"/>
    <w:rsid w:val="00043ADB"/>
    <w:rsid w:val="0004582E"/>
    <w:rsid w:val="00045925"/>
    <w:rsid w:val="00046396"/>
    <w:rsid w:val="000470AA"/>
    <w:rsid w:val="0005059D"/>
    <w:rsid w:val="00050C4F"/>
    <w:rsid w:val="00050CBE"/>
    <w:rsid w:val="0005533A"/>
    <w:rsid w:val="00057CA1"/>
    <w:rsid w:val="00060E46"/>
    <w:rsid w:val="00062311"/>
    <w:rsid w:val="000633EF"/>
    <w:rsid w:val="00064E3C"/>
    <w:rsid w:val="00065D77"/>
    <w:rsid w:val="0006629F"/>
    <w:rsid w:val="000662E2"/>
    <w:rsid w:val="00066529"/>
    <w:rsid w:val="00066883"/>
    <w:rsid w:val="00066ADD"/>
    <w:rsid w:val="00066EB7"/>
    <w:rsid w:val="000678BC"/>
    <w:rsid w:val="000712AA"/>
    <w:rsid w:val="000714EF"/>
    <w:rsid w:val="00074DD8"/>
    <w:rsid w:val="000763DB"/>
    <w:rsid w:val="000766AB"/>
    <w:rsid w:val="00080356"/>
    <w:rsid w:val="000806F7"/>
    <w:rsid w:val="0008109A"/>
    <w:rsid w:val="00081E2B"/>
    <w:rsid w:val="00082A48"/>
    <w:rsid w:val="00082F96"/>
    <w:rsid w:val="00084CAF"/>
    <w:rsid w:val="00086F3F"/>
    <w:rsid w:val="000906AC"/>
    <w:rsid w:val="00091AC8"/>
    <w:rsid w:val="000A2694"/>
    <w:rsid w:val="000A48D4"/>
    <w:rsid w:val="000A5E9B"/>
    <w:rsid w:val="000A7F5D"/>
    <w:rsid w:val="000B0727"/>
    <w:rsid w:val="000B2043"/>
    <w:rsid w:val="000B284B"/>
    <w:rsid w:val="000B7618"/>
    <w:rsid w:val="000C0002"/>
    <w:rsid w:val="000C04C7"/>
    <w:rsid w:val="000C135D"/>
    <w:rsid w:val="000C31D2"/>
    <w:rsid w:val="000C39C0"/>
    <w:rsid w:val="000C6699"/>
    <w:rsid w:val="000D009A"/>
    <w:rsid w:val="000D1D43"/>
    <w:rsid w:val="000D225C"/>
    <w:rsid w:val="000D2A5C"/>
    <w:rsid w:val="000D7251"/>
    <w:rsid w:val="000D79CC"/>
    <w:rsid w:val="000E0918"/>
    <w:rsid w:val="000E1164"/>
    <w:rsid w:val="000E3104"/>
    <w:rsid w:val="000E415D"/>
    <w:rsid w:val="000E49BF"/>
    <w:rsid w:val="000E5272"/>
    <w:rsid w:val="000E7E02"/>
    <w:rsid w:val="000F1089"/>
    <w:rsid w:val="000F1438"/>
    <w:rsid w:val="000F2175"/>
    <w:rsid w:val="000F2962"/>
    <w:rsid w:val="000F2E06"/>
    <w:rsid w:val="000F3807"/>
    <w:rsid w:val="000F46F9"/>
    <w:rsid w:val="001004C4"/>
    <w:rsid w:val="001011C3"/>
    <w:rsid w:val="00104912"/>
    <w:rsid w:val="00104A07"/>
    <w:rsid w:val="00105BF4"/>
    <w:rsid w:val="00110D87"/>
    <w:rsid w:val="00110DB9"/>
    <w:rsid w:val="00112070"/>
    <w:rsid w:val="0011220F"/>
    <w:rsid w:val="00114DB9"/>
    <w:rsid w:val="00115A35"/>
    <w:rsid w:val="00116087"/>
    <w:rsid w:val="00116130"/>
    <w:rsid w:val="001164BA"/>
    <w:rsid w:val="00116B54"/>
    <w:rsid w:val="0012101A"/>
    <w:rsid w:val="001211CF"/>
    <w:rsid w:val="00121A45"/>
    <w:rsid w:val="001254CD"/>
    <w:rsid w:val="001276B3"/>
    <w:rsid w:val="00130296"/>
    <w:rsid w:val="00130A7B"/>
    <w:rsid w:val="00130ABA"/>
    <w:rsid w:val="00131921"/>
    <w:rsid w:val="0013370B"/>
    <w:rsid w:val="00136635"/>
    <w:rsid w:val="00136F86"/>
    <w:rsid w:val="001405CA"/>
    <w:rsid w:val="00141613"/>
    <w:rsid w:val="001419D5"/>
    <w:rsid w:val="001422FF"/>
    <w:rsid w:val="001423B6"/>
    <w:rsid w:val="001442A2"/>
    <w:rsid w:val="001448A7"/>
    <w:rsid w:val="00144F20"/>
    <w:rsid w:val="00146621"/>
    <w:rsid w:val="00146E08"/>
    <w:rsid w:val="00151E32"/>
    <w:rsid w:val="00153A3D"/>
    <w:rsid w:val="001553AA"/>
    <w:rsid w:val="00155957"/>
    <w:rsid w:val="00155FCC"/>
    <w:rsid w:val="00162325"/>
    <w:rsid w:val="00163C58"/>
    <w:rsid w:val="001657BD"/>
    <w:rsid w:val="00165DBF"/>
    <w:rsid w:val="00166F61"/>
    <w:rsid w:val="00172A42"/>
    <w:rsid w:val="00173FEA"/>
    <w:rsid w:val="00180C90"/>
    <w:rsid w:val="0018429F"/>
    <w:rsid w:val="00184C4D"/>
    <w:rsid w:val="001857D2"/>
    <w:rsid w:val="00186442"/>
    <w:rsid w:val="00190E18"/>
    <w:rsid w:val="00192E39"/>
    <w:rsid w:val="0019378E"/>
    <w:rsid w:val="00193880"/>
    <w:rsid w:val="00194C20"/>
    <w:rsid w:val="001951DA"/>
    <w:rsid w:val="00197815"/>
    <w:rsid w:val="00197DF7"/>
    <w:rsid w:val="001A2106"/>
    <w:rsid w:val="001A247F"/>
    <w:rsid w:val="001A2630"/>
    <w:rsid w:val="001A2AC4"/>
    <w:rsid w:val="001A543A"/>
    <w:rsid w:val="001A7774"/>
    <w:rsid w:val="001B26AF"/>
    <w:rsid w:val="001B34DD"/>
    <w:rsid w:val="001B3556"/>
    <w:rsid w:val="001B4BE7"/>
    <w:rsid w:val="001B509B"/>
    <w:rsid w:val="001B5FC5"/>
    <w:rsid w:val="001B6EE6"/>
    <w:rsid w:val="001C138E"/>
    <w:rsid w:val="001C20D3"/>
    <w:rsid w:val="001C3269"/>
    <w:rsid w:val="001C3D87"/>
    <w:rsid w:val="001C5FB4"/>
    <w:rsid w:val="001D1A9A"/>
    <w:rsid w:val="001D1DB4"/>
    <w:rsid w:val="001D2B10"/>
    <w:rsid w:val="001D3EE3"/>
    <w:rsid w:val="001D4741"/>
    <w:rsid w:val="001D54F2"/>
    <w:rsid w:val="001D7556"/>
    <w:rsid w:val="001D7F5A"/>
    <w:rsid w:val="001E0023"/>
    <w:rsid w:val="001E1313"/>
    <w:rsid w:val="001E176C"/>
    <w:rsid w:val="001E1E85"/>
    <w:rsid w:val="001E1FF7"/>
    <w:rsid w:val="001E7F03"/>
    <w:rsid w:val="001F2408"/>
    <w:rsid w:val="001F33A7"/>
    <w:rsid w:val="001F4954"/>
    <w:rsid w:val="001F5539"/>
    <w:rsid w:val="001F6259"/>
    <w:rsid w:val="001F67C9"/>
    <w:rsid w:val="001F74DF"/>
    <w:rsid w:val="002002C9"/>
    <w:rsid w:val="00200A48"/>
    <w:rsid w:val="002013C3"/>
    <w:rsid w:val="00201E9D"/>
    <w:rsid w:val="00202679"/>
    <w:rsid w:val="0020643D"/>
    <w:rsid w:val="00206760"/>
    <w:rsid w:val="00206BD4"/>
    <w:rsid w:val="002072E8"/>
    <w:rsid w:val="00207510"/>
    <w:rsid w:val="00210F9B"/>
    <w:rsid w:val="00211969"/>
    <w:rsid w:val="002124B5"/>
    <w:rsid w:val="00212C20"/>
    <w:rsid w:val="002136EA"/>
    <w:rsid w:val="00214619"/>
    <w:rsid w:val="00214F0C"/>
    <w:rsid w:val="0021513F"/>
    <w:rsid w:val="00215CF3"/>
    <w:rsid w:val="00215D4D"/>
    <w:rsid w:val="0021602F"/>
    <w:rsid w:val="0021745D"/>
    <w:rsid w:val="002211CE"/>
    <w:rsid w:val="00222A19"/>
    <w:rsid w:val="00222D6D"/>
    <w:rsid w:val="002269E3"/>
    <w:rsid w:val="00226CA2"/>
    <w:rsid w:val="00227833"/>
    <w:rsid w:val="00227837"/>
    <w:rsid w:val="00230652"/>
    <w:rsid w:val="002338AB"/>
    <w:rsid w:val="00233F81"/>
    <w:rsid w:val="002362BE"/>
    <w:rsid w:val="00236F5A"/>
    <w:rsid w:val="00237405"/>
    <w:rsid w:val="002402A1"/>
    <w:rsid w:val="00242C61"/>
    <w:rsid w:val="00242D30"/>
    <w:rsid w:val="002441F9"/>
    <w:rsid w:val="00245BE0"/>
    <w:rsid w:val="002511A9"/>
    <w:rsid w:val="00251C07"/>
    <w:rsid w:val="00252CF8"/>
    <w:rsid w:val="002540AD"/>
    <w:rsid w:val="00254AFA"/>
    <w:rsid w:val="00254B0D"/>
    <w:rsid w:val="002574F9"/>
    <w:rsid w:val="00260342"/>
    <w:rsid w:val="0026274E"/>
    <w:rsid w:val="00262B61"/>
    <w:rsid w:val="00266960"/>
    <w:rsid w:val="0027162F"/>
    <w:rsid w:val="00271C58"/>
    <w:rsid w:val="00271C73"/>
    <w:rsid w:val="0027311B"/>
    <w:rsid w:val="00273235"/>
    <w:rsid w:val="00273754"/>
    <w:rsid w:val="00276811"/>
    <w:rsid w:val="00280B2C"/>
    <w:rsid w:val="00281510"/>
    <w:rsid w:val="0028155E"/>
    <w:rsid w:val="00282699"/>
    <w:rsid w:val="00284A60"/>
    <w:rsid w:val="00284EC9"/>
    <w:rsid w:val="002853F7"/>
    <w:rsid w:val="002868D6"/>
    <w:rsid w:val="00291259"/>
    <w:rsid w:val="002926DF"/>
    <w:rsid w:val="00294B1F"/>
    <w:rsid w:val="00294C11"/>
    <w:rsid w:val="002959FA"/>
    <w:rsid w:val="00296697"/>
    <w:rsid w:val="002A2195"/>
    <w:rsid w:val="002A3CB9"/>
    <w:rsid w:val="002A45A9"/>
    <w:rsid w:val="002A53C6"/>
    <w:rsid w:val="002A6B7E"/>
    <w:rsid w:val="002B0472"/>
    <w:rsid w:val="002B1885"/>
    <w:rsid w:val="002B2014"/>
    <w:rsid w:val="002B2B93"/>
    <w:rsid w:val="002B3114"/>
    <w:rsid w:val="002B356B"/>
    <w:rsid w:val="002B6B12"/>
    <w:rsid w:val="002B6D0B"/>
    <w:rsid w:val="002B7F7A"/>
    <w:rsid w:val="002C0D9C"/>
    <w:rsid w:val="002C16A1"/>
    <w:rsid w:val="002C2730"/>
    <w:rsid w:val="002C2C87"/>
    <w:rsid w:val="002C374A"/>
    <w:rsid w:val="002C3C16"/>
    <w:rsid w:val="002C7A04"/>
    <w:rsid w:val="002C7D02"/>
    <w:rsid w:val="002D126A"/>
    <w:rsid w:val="002D1D8D"/>
    <w:rsid w:val="002D1FF2"/>
    <w:rsid w:val="002D32DB"/>
    <w:rsid w:val="002D5109"/>
    <w:rsid w:val="002D5884"/>
    <w:rsid w:val="002D5BEE"/>
    <w:rsid w:val="002E0097"/>
    <w:rsid w:val="002E027F"/>
    <w:rsid w:val="002E3632"/>
    <w:rsid w:val="002E429D"/>
    <w:rsid w:val="002E5810"/>
    <w:rsid w:val="002E5BA7"/>
    <w:rsid w:val="002E6140"/>
    <w:rsid w:val="002E6795"/>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207B"/>
    <w:rsid w:val="00304B17"/>
    <w:rsid w:val="00304F22"/>
    <w:rsid w:val="00306338"/>
    <w:rsid w:val="003068BA"/>
    <w:rsid w:val="00306C7C"/>
    <w:rsid w:val="00310AF9"/>
    <w:rsid w:val="0031509A"/>
    <w:rsid w:val="003169FC"/>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3738F"/>
    <w:rsid w:val="003374FD"/>
    <w:rsid w:val="00341642"/>
    <w:rsid w:val="00342C78"/>
    <w:rsid w:val="00344749"/>
    <w:rsid w:val="003469AD"/>
    <w:rsid w:val="00347D72"/>
    <w:rsid w:val="00350E8E"/>
    <w:rsid w:val="00357611"/>
    <w:rsid w:val="00357D56"/>
    <w:rsid w:val="003602FF"/>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763"/>
    <w:rsid w:val="00380E3B"/>
    <w:rsid w:val="00382974"/>
    <w:rsid w:val="00382B20"/>
    <w:rsid w:val="00383323"/>
    <w:rsid w:val="00384100"/>
    <w:rsid w:val="003843DB"/>
    <w:rsid w:val="00386091"/>
    <w:rsid w:val="00386BA2"/>
    <w:rsid w:val="00390E15"/>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D92"/>
    <w:rsid w:val="003B64D7"/>
    <w:rsid w:val="003B7F85"/>
    <w:rsid w:val="003C0778"/>
    <w:rsid w:val="003C136B"/>
    <w:rsid w:val="003C1D9B"/>
    <w:rsid w:val="003C3AAE"/>
    <w:rsid w:val="003C3FDF"/>
    <w:rsid w:val="003C4795"/>
    <w:rsid w:val="003C59E0"/>
    <w:rsid w:val="003C6C8D"/>
    <w:rsid w:val="003D16B0"/>
    <w:rsid w:val="003D2202"/>
    <w:rsid w:val="003D28C2"/>
    <w:rsid w:val="003D3807"/>
    <w:rsid w:val="003D4F95"/>
    <w:rsid w:val="003D5F42"/>
    <w:rsid w:val="003D60A9"/>
    <w:rsid w:val="003D7432"/>
    <w:rsid w:val="003E0828"/>
    <w:rsid w:val="003E1EA3"/>
    <w:rsid w:val="003E291D"/>
    <w:rsid w:val="003E2993"/>
    <w:rsid w:val="003F0400"/>
    <w:rsid w:val="003F1D7F"/>
    <w:rsid w:val="003F2221"/>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3522"/>
    <w:rsid w:val="00415886"/>
    <w:rsid w:val="00416B5B"/>
    <w:rsid w:val="0041761C"/>
    <w:rsid w:val="004212E7"/>
    <w:rsid w:val="00421681"/>
    <w:rsid w:val="004234CF"/>
    <w:rsid w:val="0042446D"/>
    <w:rsid w:val="004260AC"/>
    <w:rsid w:val="0042648D"/>
    <w:rsid w:val="00427BF8"/>
    <w:rsid w:val="00430F21"/>
    <w:rsid w:val="00431C02"/>
    <w:rsid w:val="00431DBE"/>
    <w:rsid w:val="00432AB8"/>
    <w:rsid w:val="00435FCC"/>
    <w:rsid w:val="00437395"/>
    <w:rsid w:val="00440530"/>
    <w:rsid w:val="004419FF"/>
    <w:rsid w:val="00442578"/>
    <w:rsid w:val="00442E9E"/>
    <w:rsid w:val="00445047"/>
    <w:rsid w:val="00446CC4"/>
    <w:rsid w:val="0045140F"/>
    <w:rsid w:val="004515E3"/>
    <w:rsid w:val="00451A29"/>
    <w:rsid w:val="0045321E"/>
    <w:rsid w:val="00453D14"/>
    <w:rsid w:val="004552B4"/>
    <w:rsid w:val="004557A8"/>
    <w:rsid w:val="00455EA8"/>
    <w:rsid w:val="00457406"/>
    <w:rsid w:val="00457C14"/>
    <w:rsid w:val="00460060"/>
    <w:rsid w:val="0046063E"/>
    <w:rsid w:val="00463E39"/>
    <w:rsid w:val="004655F3"/>
    <w:rsid w:val="004657FC"/>
    <w:rsid w:val="00465E58"/>
    <w:rsid w:val="004671B7"/>
    <w:rsid w:val="004675FD"/>
    <w:rsid w:val="00470143"/>
    <w:rsid w:val="00472CE6"/>
    <w:rsid w:val="004732A5"/>
    <w:rsid w:val="004733F6"/>
    <w:rsid w:val="004746DF"/>
    <w:rsid w:val="00474E69"/>
    <w:rsid w:val="0047766B"/>
    <w:rsid w:val="00477950"/>
    <w:rsid w:val="004809B1"/>
    <w:rsid w:val="00481F82"/>
    <w:rsid w:val="00484C9F"/>
    <w:rsid w:val="004850CF"/>
    <w:rsid w:val="0048604D"/>
    <w:rsid w:val="0048617B"/>
    <w:rsid w:val="00486219"/>
    <w:rsid w:val="004863C7"/>
    <w:rsid w:val="00491128"/>
    <w:rsid w:val="00495B77"/>
    <w:rsid w:val="0049621B"/>
    <w:rsid w:val="00496EDB"/>
    <w:rsid w:val="00497664"/>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3E33"/>
    <w:rsid w:val="004E5F9D"/>
    <w:rsid w:val="004E631F"/>
    <w:rsid w:val="004E71E6"/>
    <w:rsid w:val="004E78EB"/>
    <w:rsid w:val="004F0C3C"/>
    <w:rsid w:val="004F2305"/>
    <w:rsid w:val="004F3C65"/>
    <w:rsid w:val="004F3D70"/>
    <w:rsid w:val="004F568A"/>
    <w:rsid w:val="004F58FD"/>
    <w:rsid w:val="004F63FC"/>
    <w:rsid w:val="004F74BC"/>
    <w:rsid w:val="00501187"/>
    <w:rsid w:val="005018D7"/>
    <w:rsid w:val="00502D51"/>
    <w:rsid w:val="00503A8C"/>
    <w:rsid w:val="00505A92"/>
    <w:rsid w:val="0051167B"/>
    <w:rsid w:val="00512D01"/>
    <w:rsid w:val="00515355"/>
    <w:rsid w:val="00516026"/>
    <w:rsid w:val="00517641"/>
    <w:rsid w:val="005203F1"/>
    <w:rsid w:val="00520CF4"/>
    <w:rsid w:val="00521233"/>
    <w:rsid w:val="005212EA"/>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064"/>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3E2F"/>
    <w:rsid w:val="00574BFB"/>
    <w:rsid w:val="00575A23"/>
    <w:rsid w:val="00575AA2"/>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580D"/>
    <w:rsid w:val="005A698C"/>
    <w:rsid w:val="005B0433"/>
    <w:rsid w:val="005B1F2D"/>
    <w:rsid w:val="005B1FE8"/>
    <w:rsid w:val="005B32C9"/>
    <w:rsid w:val="005B77BD"/>
    <w:rsid w:val="005C279C"/>
    <w:rsid w:val="005C3083"/>
    <w:rsid w:val="005C439D"/>
    <w:rsid w:val="005C6224"/>
    <w:rsid w:val="005C647D"/>
    <w:rsid w:val="005C6718"/>
    <w:rsid w:val="005C7166"/>
    <w:rsid w:val="005C76CC"/>
    <w:rsid w:val="005C7E77"/>
    <w:rsid w:val="005D0713"/>
    <w:rsid w:val="005D0C89"/>
    <w:rsid w:val="005D1D2A"/>
    <w:rsid w:val="005D2A3A"/>
    <w:rsid w:val="005D2A4F"/>
    <w:rsid w:val="005D2CC4"/>
    <w:rsid w:val="005D3337"/>
    <w:rsid w:val="005D469B"/>
    <w:rsid w:val="005D6F56"/>
    <w:rsid w:val="005E0799"/>
    <w:rsid w:val="005E0A5A"/>
    <w:rsid w:val="005E2C17"/>
    <w:rsid w:val="005E3643"/>
    <w:rsid w:val="005E67AB"/>
    <w:rsid w:val="005E7266"/>
    <w:rsid w:val="005F16DB"/>
    <w:rsid w:val="005F34F3"/>
    <w:rsid w:val="005F55A5"/>
    <w:rsid w:val="005F5754"/>
    <w:rsid w:val="005F592B"/>
    <w:rsid w:val="005F5A54"/>
    <w:rsid w:val="005F5A80"/>
    <w:rsid w:val="005F7CC6"/>
    <w:rsid w:val="00600F25"/>
    <w:rsid w:val="006016AC"/>
    <w:rsid w:val="00601E4B"/>
    <w:rsid w:val="006044FF"/>
    <w:rsid w:val="00607CC5"/>
    <w:rsid w:val="00610EC5"/>
    <w:rsid w:val="006111D9"/>
    <w:rsid w:val="00613882"/>
    <w:rsid w:val="0061574C"/>
    <w:rsid w:val="00615A2D"/>
    <w:rsid w:val="00617BED"/>
    <w:rsid w:val="00621461"/>
    <w:rsid w:val="00621E6B"/>
    <w:rsid w:val="006221AB"/>
    <w:rsid w:val="006259C4"/>
    <w:rsid w:val="00625E28"/>
    <w:rsid w:val="00626741"/>
    <w:rsid w:val="00626EEB"/>
    <w:rsid w:val="00627B33"/>
    <w:rsid w:val="00627D2F"/>
    <w:rsid w:val="006311D4"/>
    <w:rsid w:val="00631237"/>
    <w:rsid w:val="00632049"/>
    <w:rsid w:val="00632376"/>
    <w:rsid w:val="00633014"/>
    <w:rsid w:val="0063437B"/>
    <w:rsid w:val="00634F75"/>
    <w:rsid w:val="00635578"/>
    <w:rsid w:val="006367DF"/>
    <w:rsid w:val="00636E09"/>
    <w:rsid w:val="00637AF1"/>
    <w:rsid w:val="00637C7E"/>
    <w:rsid w:val="00637DD7"/>
    <w:rsid w:val="0064115A"/>
    <w:rsid w:val="00643833"/>
    <w:rsid w:val="006449A3"/>
    <w:rsid w:val="00644F6B"/>
    <w:rsid w:val="00646B95"/>
    <w:rsid w:val="00650842"/>
    <w:rsid w:val="006514D5"/>
    <w:rsid w:val="00652F85"/>
    <w:rsid w:val="00654802"/>
    <w:rsid w:val="006549B2"/>
    <w:rsid w:val="0065792B"/>
    <w:rsid w:val="006618C3"/>
    <w:rsid w:val="00662B96"/>
    <w:rsid w:val="00664235"/>
    <w:rsid w:val="006673CA"/>
    <w:rsid w:val="00667998"/>
    <w:rsid w:val="00670332"/>
    <w:rsid w:val="006705B9"/>
    <w:rsid w:val="00671EAE"/>
    <w:rsid w:val="00672183"/>
    <w:rsid w:val="00672511"/>
    <w:rsid w:val="00673C26"/>
    <w:rsid w:val="00675B62"/>
    <w:rsid w:val="0067609B"/>
    <w:rsid w:val="00676308"/>
    <w:rsid w:val="0067780F"/>
    <w:rsid w:val="0068073C"/>
    <w:rsid w:val="006812AF"/>
    <w:rsid w:val="006813AA"/>
    <w:rsid w:val="00682A31"/>
    <w:rsid w:val="0068327D"/>
    <w:rsid w:val="00683B4D"/>
    <w:rsid w:val="00685B4C"/>
    <w:rsid w:val="00687C31"/>
    <w:rsid w:val="0069055D"/>
    <w:rsid w:val="00691676"/>
    <w:rsid w:val="00692B1B"/>
    <w:rsid w:val="00693F30"/>
    <w:rsid w:val="00694AF0"/>
    <w:rsid w:val="00694B41"/>
    <w:rsid w:val="00695B71"/>
    <w:rsid w:val="00696CFC"/>
    <w:rsid w:val="006A1772"/>
    <w:rsid w:val="006A2410"/>
    <w:rsid w:val="006A4048"/>
    <w:rsid w:val="006A413B"/>
    <w:rsid w:val="006A4487"/>
    <w:rsid w:val="006A4686"/>
    <w:rsid w:val="006A55D3"/>
    <w:rsid w:val="006A6673"/>
    <w:rsid w:val="006A77FB"/>
    <w:rsid w:val="006B07C9"/>
    <w:rsid w:val="006B0CC5"/>
    <w:rsid w:val="006B0E9E"/>
    <w:rsid w:val="006B2EDE"/>
    <w:rsid w:val="006B3D24"/>
    <w:rsid w:val="006B5AE4"/>
    <w:rsid w:val="006B628D"/>
    <w:rsid w:val="006B707C"/>
    <w:rsid w:val="006B7AD7"/>
    <w:rsid w:val="006C122F"/>
    <w:rsid w:val="006C139F"/>
    <w:rsid w:val="006C24EB"/>
    <w:rsid w:val="006C2A50"/>
    <w:rsid w:val="006C2B23"/>
    <w:rsid w:val="006C44BE"/>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1AE"/>
    <w:rsid w:val="00723426"/>
    <w:rsid w:val="007260EB"/>
    <w:rsid w:val="007265CB"/>
    <w:rsid w:val="0072786C"/>
    <w:rsid w:val="007305E1"/>
    <w:rsid w:val="007325ED"/>
    <w:rsid w:val="0073486C"/>
    <w:rsid w:val="00735841"/>
    <w:rsid w:val="00740DC0"/>
    <w:rsid w:val="0074222A"/>
    <w:rsid w:val="00742D4B"/>
    <w:rsid w:val="00744A9C"/>
    <w:rsid w:val="00746187"/>
    <w:rsid w:val="00752332"/>
    <w:rsid w:val="007543BB"/>
    <w:rsid w:val="00756145"/>
    <w:rsid w:val="0075644A"/>
    <w:rsid w:val="00757D5A"/>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514B"/>
    <w:rsid w:val="0079538C"/>
    <w:rsid w:val="00797185"/>
    <w:rsid w:val="00797DAA"/>
    <w:rsid w:val="007A1D31"/>
    <w:rsid w:val="007A2DC1"/>
    <w:rsid w:val="007A350A"/>
    <w:rsid w:val="007A4155"/>
    <w:rsid w:val="007A4854"/>
    <w:rsid w:val="007A4BDB"/>
    <w:rsid w:val="007A5CF7"/>
    <w:rsid w:val="007A72CB"/>
    <w:rsid w:val="007A7526"/>
    <w:rsid w:val="007B0512"/>
    <w:rsid w:val="007B1B48"/>
    <w:rsid w:val="007B25DB"/>
    <w:rsid w:val="007B2A4E"/>
    <w:rsid w:val="007B46AE"/>
    <w:rsid w:val="007B698F"/>
    <w:rsid w:val="007B7880"/>
    <w:rsid w:val="007C0D9C"/>
    <w:rsid w:val="007C38DC"/>
    <w:rsid w:val="007C489E"/>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0509"/>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4B7D"/>
    <w:rsid w:val="00845113"/>
    <w:rsid w:val="00845769"/>
    <w:rsid w:val="00847F0F"/>
    <w:rsid w:val="00852448"/>
    <w:rsid w:val="00852D7B"/>
    <w:rsid w:val="008546C9"/>
    <w:rsid w:val="00854724"/>
    <w:rsid w:val="008567CA"/>
    <w:rsid w:val="008569E3"/>
    <w:rsid w:val="008571EC"/>
    <w:rsid w:val="00860A2D"/>
    <w:rsid w:val="00860EE0"/>
    <w:rsid w:val="00861897"/>
    <w:rsid w:val="00863683"/>
    <w:rsid w:val="00863D81"/>
    <w:rsid w:val="008666B7"/>
    <w:rsid w:val="00866759"/>
    <w:rsid w:val="00866F66"/>
    <w:rsid w:val="00867B3C"/>
    <w:rsid w:val="008725CA"/>
    <w:rsid w:val="0087328D"/>
    <w:rsid w:val="008749AC"/>
    <w:rsid w:val="00880311"/>
    <w:rsid w:val="00880D05"/>
    <w:rsid w:val="00881FC5"/>
    <w:rsid w:val="008823B6"/>
    <w:rsid w:val="008823E8"/>
    <w:rsid w:val="0088258A"/>
    <w:rsid w:val="00883204"/>
    <w:rsid w:val="00883335"/>
    <w:rsid w:val="00883788"/>
    <w:rsid w:val="00885B16"/>
    <w:rsid w:val="00886332"/>
    <w:rsid w:val="00886E90"/>
    <w:rsid w:val="008909C2"/>
    <w:rsid w:val="00892191"/>
    <w:rsid w:val="00893CE2"/>
    <w:rsid w:val="0089403B"/>
    <w:rsid w:val="008A26D9"/>
    <w:rsid w:val="008A40AC"/>
    <w:rsid w:val="008A52A0"/>
    <w:rsid w:val="008A5552"/>
    <w:rsid w:val="008A5C66"/>
    <w:rsid w:val="008A60B7"/>
    <w:rsid w:val="008A697D"/>
    <w:rsid w:val="008A6A5B"/>
    <w:rsid w:val="008A6FC3"/>
    <w:rsid w:val="008A70EE"/>
    <w:rsid w:val="008A7DCD"/>
    <w:rsid w:val="008B007F"/>
    <w:rsid w:val="008B2E0C"/>
    <w:rsid w:val="008B303C"/>
    <w:rsid w:val="008C0B0B"/>
    <w:rsid w:val="008C0C29"/>
    <w:rsid w:val="008C19E5"/>
    <w:rsid w:val="008C38E1"/>
    <w:rsid w:val="008C444A"/>
    <w:rsid w:val="008C7307"/>
    <w:rsid w:val="008D0EEA"/>
    <w:rsid w:val="008D1DFB"/>
    <w:rsid w:val="008D4862"/>
    <w:rsid w:val="008D5362"/>
    <w:rsid w:val="008D640C"/>
    <w:rsid w:val="008D67FA"/>
    <w:rsid w:val="008E001F"/>
    <w:rsid w:val="008E0837"/>
    <w:rsid w:val="008E25ED"/>
    <w:rsid w:val="008E5AA9"/>
    <w:rsid w:val="008E7CDC"/>
    <w:rsid w:val="008F07A8"/>
    <w:rsid w:val="008F0D35"/>
    <w:rsid w:val="008F1B47"/>
    <w:rsid w:val="008F1F40"/>
    <w:rsid w:val="008F2652"/>
    <w:rsid w:val="008F3638"/>
    <w:rsid w:val="008F410A"/>
    <w:rsid w:val="008F4441"/>
    <w:rsid w:val="008F4AEF"/>
    <w:rsid w:val="008F51FD"/>
    <w:rsid w:val="008F56E0"/>
    <w:rsid w:val="008F5F97"/>
    <w:rsid w:val="008F63C0"/>
    <w:rsid w:val="008F644D"/>
    <w:rsid w:val="008F6F31"/>
    <w:rsid w:val="008F74DF"/>
    <w:rsid w:val="008F7A4C"/>
    <w:rsid w:val="00901032"/>
    <w:rsid w:val="009016DC"/>
    <w:rsid w:val="00901A6B"/>
    <w:rsid w:val="00901D54"/>
    <w:rsid w:val="00902D82"/>
    <w:rsid w:val="00903345"/>
    <w:rsid w:val="009034BD"/>
    <w:rsid w:val="0090372C"/>
    <w:rsid w:val="00905677"/>
    <w:rsid w:val="00905A28"/>
    <w:rsid w:val="00905C4D"/>
    <w:rsid w:val="00907A81"/>
    <w:rsid w:val="00907D13"/>
    <w:rsid w:val="00911411"/>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7D5"/>
    <w:rsid w:val="00934C5E"/>
    <w:rsid w:val="00934F4E"/>
    <w:rsid w:val="009363FA"/>
    <w:rsid w:val="0093710A"/>
    <w:rsid w:val="0093759C"/>
    <w:rsid w:val="009401F8"/>
    <w:rsid w:val="009408AB"/>
    <w:rsid w:val="0094434A"/>
    <w:rsid w:val="009443F4"/>
    <w:rsid w:val="0094458F"/>
    <w:rsid w:val="009458F7"/>
    <w:rsid w:val="0094720B"/>
    <w:rsid w:val="009519DE"/>
    <w:rsid w:val="00952017"/>
    <w:rsid w:val="009530DB"/>
    <w:rsid w:val="00953676"/>
    <w:rsid w:val="00955C06"/>
    <w:rsid w:val="00956D9F"/>
    <w:rsid w:val="00963294"/>
    <w:rsid w:val="00963F95"/>
    <w:rsid w:val="00966215"/>
    <w:rsid w:val="009673EB"/>
    <w:rsid w:val="00970308"/>
    <w:rsid w:val="009705EE"/>
    <w:rsid w:val="00971905"/>
    <w:rsid w:val="00973FC7"/>
    <w:rsid w:val="0097446E"/>
    <w:rsid w:val="009750D8"/>
    <w:rsid w:val="00975CD0"/>
    <w:rsid w:val="00976B7C"/>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1C7B"/>
    <w:rsid w:val="009A4421"/>
    <w:rsid w:val="009A5FDC"/>
    <w:rsid w:val="009A6EA0"/>
    <w:rsid w:val="009A7464"/>
    <w:rsid w:val="009B126C"/>
    <w:rsid w:val="009B6C55"/>
    <w:rsid w:val="009B783E"/>
    <w:rsid w:val="009C1335"/>
    <w:rsid w:val="009C1343"/>
    <w:rsid w:val="009C1AB2"/>
    <w:rsid w:val="009C7251"/>
    <w:rsid w:val="009D0E32"/>
    <w:rsid w:val="009D4F18"/>
    <w:rsid w:val="009D73DA"/>
    <w:rsid w:val="009E0450"/>
    <w:rsid w:val="009E0FF4"/>
    <w:rsid w:val="009E15C1"/>
    <w:rsid w:val="009E1F4A"/>
    <w:rsid w:val="009E2E91"/>
    <w:rsid w:val="009E77DA"/>
    <w:rsid w:val="009F15A8"/>
    <w:rsid w:val="009F2834"/>
    <w:rsid w:val="009F30BF"/>
    <w:rsid w:val="009F352C"/>
    <w:rsid w:val="009F5428"/>
    <w:rsid w:val="009F551E"/>
    <w:rsid w:val="009F68A0"/>
    <w:rsid w:val="009F789E"/>
    <w:rsid w:val="00A00ED3"/>
    <w:rsid w:val="00A01D9A"/>
    <w:rsid w:val="00A02522"/>
    <w:rsid w:val="00A04718"/>
    <w:rsid w:val="00A05701"/>
    <w:rsid w:val="00A058A2"/>
    <w:rsid w:val="00A07764"/>
    <w:rsid w:val="00A135F5"/>
    <w:rsid w:val="00A139F5"/>
    <w:rsid w:val="00A14167"/>
    <w:rsid w:val="00A15106"/>
    <w:rsid w:val="00A15D43"/>
    <w:rsid w:val="00A168B4"/>
    <w:rsid w:val="00A20A5A"/>
    <w:rsid w:val="00A22FB2"/>
    <w:rsid w:val="00A235E4"/>
    <w:rsid w:val="00A25552"/>
    <w:rsid w:val="00A259A7"/>
    <w:rsid w:val="00A274E4"/>
    <w:rsid w:val="00A3251B"/>
    <w:rsid w:val="00A34066"/>
    <w:rsid w:val="00A35178"/>
    <w:rsid w:val="00A353E3"/>
    <w:rsid w:val="00A36185"/>
    <w:rsid w:val="00A365F4"/>
    <w:rsid w:val="00A36DBB"/>
    <w:rsid w:val="00A40BD1"/>
    <w:rsid w:val="00A40F79"/>
    <w:rsid w:val="00A432C2"/>
    <w:rsid w:val="00A43C4F"/>
    <w:rsid w:val="00A440CD"/>
    <w:rsid w:val="00A46475"/>
    <w:rsid w:val="00A47D80"/>
    <w:rsid w:val="00A50EC0"/>
    <w:rsid w:val="00A51EFD"/>
    <w:rsid w:val="00A5290E"/>
    <w:rsid w:val="00A53132"/>
    <w:rsid w:val="00A55109"/>
    <w:rsid w:val="00A563F2"/>
    <w:rsid w:val="00A566E8"/>
    <w:rsid w:val="00A57090"/>
    <w:rsid w:val="00A60D84"/>
    <w:rsid w:val="00A60DB8"/>
    <w:rsid w:val="00A616EC"/>
    <w:rsid w:val="00A61A6D"/>
    <w:rsid w:val="00A62F0D"/>
    <w:rsid w:val="00A63986"/>
    <w:rsid w:val="00A64285"/>
    <w:rsid w:val="00A6452E"/>
    <w:rsid w:val="00A65386"/>
    <w:rsid w:val="00A65DCC"/>
    <w:rsid w:val="00A671A2"/>
    <w:rsid w:val="00A67285"/>
    <w:rsid w:val="00A67EF4"/>
    <w:rsid w:val="00A70A11"/>
    <w:rsid w:val="00A71BEA"/>
    <w:rsid w:val="00A72F8E"/>
    <w:rsid w:val="00A73641"/>
    <w:rsid w:val="00A73C74"/>
    <w:rsid w:val="00A744C5"/>
    <w:rsid w:val="00A7636A"/>
    <w:rsid w:val="00A7666A"/>
    <w:rsid w:val="00A76B8D"/>
    <w:rsid w:val="00A80AAA"/>
    <w:rsid w:val="00A80F7A"/>
    <w:rsid w:val="00A810F9"/>
    <w:rsid w:val="00A816FE"/>
    <w:rsid w:val="00A86B0E"/>
    <w:rsid w:val="00A86ECC"/>
    <w:rsid w:val="00A86FCC"/>
    <w:rsid w:val="00A91CBC"/>
    <w:rsid w:val="00A93A99"/>
    <w:rsid w:val="00A95AA8"/>
    <w:rsid w:val="00A95C22"/>
    <w:rsid w:val="00A95EC6"/>
    <w:rsid w:val="00A963B2"/>
    <w:rsid w:val="00A96C39"/>
    <w:rsid w:val="00AA1CC6"/>
    <w:rsid w:val="00AA6F24"/>
    <w:rsid w:val="00AA710D"/>
    <w:rsid w:val="00AA7CB0"/>
    <w:rsid w:val="00AB0312"/>
    <w:rsid w:val="00AB0A2F"/>
    <w:rsid w:val="00AB24D3"/>
    <w:rsid w:val="00AB2B43"/>
    <w:rsid w:val="00AB3833"/>
    <w:rsid w:val="00AB6D25"/>
    <w:rsid w:val="00AB6EEE"/>
    <w:rsid w:val="00AC1BE6"/>
    <w:rsid w:val="00AC535D"/>
    <w:rsid w:val="00AC5A8E"/>
    <w:rsid w:val="00AC5CB2"/>
    <w:rsid w:val="00AC6504"/>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E7387"/>
    <w:rsid w:val="00AF02D5"/>
    <w:rsid w:val="00AF0711"/>
    <w:rsid w:val="00AF2A44"/>
    <w:rsid w:val="00AF4433"/>
    <w:rsid w:val="00AF480D"/>
    <w:rsid w:val="00AF4933"/>
    <w:rsid w:val="00AF5045"/>
    <w:rsid w:val="00AF532B"/>
    <w:rsid w:val="00AF5CBD"/>
    <w:rsid w:val="00AF6425"/>
    <w:rsid w:val="00AF7B08"/>
    <w:rsid w:val="00B0168F"/>
    <w:rsid w:val="00B02F40"/>
    <w:rsid w:val="00B04F27"/>
    <w:rsid w:val="00B05124"/>
    <w:rsid w:val="00B0602E"/>
    <w:rsid w:val="00B06A3B"/>
    <w:rsid w:val="00B0718A"/>
    <w:rsid w:val="00B074E0"/>
    <w:rsid w:val="00B10221"/>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3F1"/>
    <w:rsid w:val="00B3387B"/>
    <w:rsid w:val="00B35C6C"/>
    <w:rsid w:val="00B362D1"/>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ADF"/>
    <w:rsid w:val="00B66B19"/>
    <w:rsid w:val="00B671B0"/>
    <w:rsid w:val="00B71068"/>
    <w:rsid w:val="00B7153F"/>
    <w:rsid w:val="00B71B2B"/>
    <w:rsid w:val="00B759D9"/>
    <w:rsid w:val="00B77504"/>
    <w:rsid w:val="00B80D5D"/>
    <w:rsid w:val="00B81271"/>
    <w:rsid w:val="00B812A7"/>
    <w:rsid w:val="00B8166B"/>
    <w:rsid w:val="00B8221F"/>
    <w:rsid w:val="00B82E21"/>
    <w:rsid w:val="00B832AE"/>
    <w:rsid w:val="00B841EA"/>
    <w:rsid w:val="00B84542"/>
    <w:rsid w:val="00B84593"/>
    <w:rsid w:val="00B8500D"/>
    <w:rsid w:val="00B87646"/>
    <w:rsid w:val="00B90B9F"/>
    <w:rsid w:val="00B914E9"/>
    <w:rsid w:val="00B91A19"/>
    <w:rsid w:val="00B92230"/>
    <w:rsid w:val="00B94073"/>
    <w:rsid w:val="00B956EE"/>
    <w:rsid w:val="00B95EA7"/>
    <w:rsid w:val="00BA1E8B"/>
    <w:rsid w:val="00BA2BA1"/>
    <w:rsid w:val="00BA2D57"/>
    <w:rsid w:val="00BA2F4E"/>
    <w:rsid w:val="00BA34C2"/>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4D52"/>
    <w:rsid w:val="00BC5110"/>
    <w:rsid w:val="00BC5721"/>
    <w:rsid w:val="00BC7187"/>
    <w:rsid w:val="00BC7D0F"/>
    <w:rsid w:val="00BD0158"/>
    <w:rsid w:val="00BD4E33"/>
    <w:rsid w:val="00BD5651"/>
    <w:rsid w:val="00BD585A"/>
    <w:rsid w:val="00BD5F5C"/>
    <w:rsid w:val="00BD65B7"/>
    <w:rsid w:val="00BE06E3"/>
    <w:rsid w:val="00BE1E9C"/>
    <w:rsid w:val="00BE30FC"/>
    <w:rsid w:val="00BE4BB6"/>
    <w:rsid w:val="00BE6878"/>
    <w:rsid w:val="00BE694A"/>
    <w:rsid w:val="00BE75ED"/>
    <w:rsid w:val="00BF0900"/>
    <w:rsid w:val="00BF134E"/>
    <w:rsid w:val="00BF2ABE"/>
    <w:rsid w:val="00BF3EC1"/>
    <w:rsid w:val="00BF7B08"/>
    <w:rsid w:val="00C00D57"/>
    <w:rsid w:val="00C01D4E"/>
    <w:rsid w:val="00C030DE"/>
    <w:rsid w:val="00C032ED"/>
    <w:rsid w:val="00C0584B"/>
    <w:rsid w:val="00C06E53"/>
    <w:rsid w:val="00C06F1E"/>
    <w:rsid w:val="00C07316"/>
    <w:rsid w:val="00C11826"/>
    <w:rsid w:val="00C11B7B"/>
    <w:rsid w:val="00C13363"/>
    <w:rsid w:val="00C13BF1"/>
    <w:rsid w:val="00C16833"/>
    <w:rsid w:val="00C16AD4"/>
    <w:rsid w:val="00C20C24"/>
    <w:rsid w:val="00C22105"/>
    <w:rsid w:val="00C22FEA"/>
    <w:rsid w:val="00C23799"/>
    <w:rsid w:val="00C244B6"/>
    <w:rsid w:val="00C2529C"/>
    <w:rsid w:val="00C25304"/>
    <w:rsid w:val="00C26C86"/>
    <w:rsid w:val="00C3147D"/>
    <w:rsid w:val="00C31681"/>
    <w:rsid w:val="00C320C4"/>
    <w:rsid w:val="00C353AB"/>
    <w:rsid w:val="00C356CA"/>
    <w:rsid w:val="00C3702F"/>
    <w:rsid w:val="00C424E8"/>
    <w:rsid w:val="00C42E97"/>
    <w:rsid w:val="00C44BD9"/>
    <w:rsid w:val="00C44CDF"/>
    <w:rsid w:val="00C44CE0"/>
    <w:rsid w:val="00C44D89"/>
    <w:rsid w:val="00C4741F"/>
    <w:rsid w:val="00C47A7E"/>
    <w:rsid w:val="00C5010F"/>
    <w:rsid w:val="00C52082"/>
    <w:rsid w:val="00C531D7"/>
    <w:rsid w:val="00C54779"/>
    <w:rsid w:val="00C54C3B"/>
    <w:rsid w:val="00C55361"/>
    <w:rsid w:val="00C561C1"/>
    <w:rsid w:val="00C60E6A"/>
    <w:rsid w:val="00C63FC8"/>
    <w:rsid w:val="00C6403A"/>
    <w:rsid w:val="00C64A37"/>
    <w:rsid w:val="00C65ED3"/>
    <w:rsid w:val="00C660FD"/>
    <w:rsid w:val="00C6618E"/>
    <w:rsid w:val="00C6635C"/>
    <w:rsid w:val="00C6659B"/>
    <w:rsid w:val="00C70BBA"/>
    <w:rsid w:val="00C7158E"/>
    <w:rsid w:val="00C7250B"/>
    <w:rsid w:val="00C7264F"/>
    <w:rsid w:val="00C7346B"/>
    <w:rsid w:val="00C747FB"/>
    <w:rsid w:val="00C74CED"/>
    <w:rsid w:val="00C76294"/>
    <w:rsid w:val="00C77188"/>
    <w:rsid w:val="00C77C0E"/>
    <w:rsid w:val="00C77FC6"/>
    <w:rsid w:val="00C80885"/>
    <w:rsid w:val="00C80CC2"/>
    <w:rsid w:val="00C81395"/>
    <w:rsid w:val="00C81C9B"/>
    <w:rsid w:val="00C82472"/>
    <w:rsid w:val="00C83952"/>
    <w:rsid w:val="00C8449C"/>
    <w:rsid w:val="00C85B17"/>
    <w:rsid w:val="00C85E77"/>
    <w:rsid w:val="00C8737E"/>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A62A6"/>
    <w:rsid w:val="00CB0FAF"/>
    <w:rsid w:val="00CB1620"/>
    <w:rsid w:val="00CB7330"/>
    <w:rsid w:val="00CB784A"/>
    <w:rsid w:val="00CB7B6B"/>
    <w:rsid w:val="00CC0140"/>
    <w:rsid w:val="00CC06B3"/>
    <w:rsid w:val="00CC08FC"/>
    <w:rsid w:val="00CC1258"/>
    <w:rsid w:val="00CC131B"/>
    <w:rsid w:val="00CC13D5"/>
    <w:rsid w:val="00CC4FFD"/>
    <w:rsid w:val="00CC5836"/>
    <w:rsid w:val="00CC739E"/>
    <w:rsid w:val="00CC78F3"/>
    <w:rsid w:val="00CC7968"/>
    <w:rsid w:val="00CC7D80"/>
    <w:rsid w:val="00CD2934"/>
    <w:rsid w:val="00CD5421"/>
    <w:rsid w:val="00CD58B7"/>
    <w:rsid w:val="00CD754C"/>
    <w:rsid w:val="00CD78AA"/>
    <w:rsid w:val="00CE0447"/>
    <w:rsid w:val="00CE67A5"/>
    <w:rsid w:val="00CF0366"/>
    <w:rsid w:val="00CF07BC"/>
    <w:rsid w:val="00CF0BDC"/>
    <w:rsid w:val="00CF1CB7"/>
    <w:rsid w:val="00CF31A8"/>
    <w:rsid w:val="00CF3D06"/>
    <w:rsid w:val="00CF4099"/>
    <w:rsid w:val="00CF49DE"/>
    <w:rsid w:val="00CF5754"/>
    <w:rsid w:val="00CF70C1"/>
    <w:rsid w:val="00CF7CEB"/>
    <w:rsid w:val="00D000F4"/>
    <w:rsid w:val="00D00796"/>
    <w:rsid w:val="00D01A26"/>
    <w:rsid w:val="00D02661"/>
    <w:rsid w:val="00D02E61"/>
    <w:rsid w:val="00D03CF8"/>
    <w:rsid w:val="00D047A0"/>
    <w:rsid w:val="00D05189"/>
    <w:rsid w:val="00D0600B"/>
    <w:rsid w:val="00D07AC7"/>
    <w:rsid w:val="00D10B0D"/>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371FC"/>
    <w:rsid w:val="00D3728D"/>
    <w:rsid w:val="00D40016"/>
    <w:rsid w:val="00D40934"/>
    <w:rsid w:val="00D40E77"/>
    <w:rsid w:val="00D40FF4"/>
    <w:rsid w:val="00D4236A"/>
    <w:rsid w:val="00D42FFA"/>
    <w:rsid w:val="00D447C2"/>
    <w:rsid w:val="00D47886"/>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547"/>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488E"/>
    <w:rsid w:val="00DB55D7"/>
    <w:rsid w:val="00DB5A15"/>
    <w:rsid w:val="00DC0E1E"/>
    <w:rsid w:val="00DC128B"/>
    <w:rsid w:val="00DC396A"/>
    <w:rsid w:val="00DC4BA0"/>
    <w:rsid w:val="00DC5BEF"/>
    <w:rsid w:val="00DC6708"/>
    <w:rsid w:val="00DC69AD"/>
    <w:rsid w:val="00DD15AC"/>
    <w:rsid w:val="00DD1AA4"/>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1EBA"/>
    <w:rsid w:val="00E02728"/>
    <w:rsid w:val="00E027D1"/>
    <w:rsid w:val="00E03C88"/>
    <w:rsid w:val="00E045BD"/>
    <w:rsid w:val="00E052CC"/>
    <w:rsid w:val="00E0684F"/>
    <w:rsid w:val="00E07E12"/>
    <w:rsid w:val="00E10DAC"/>
    <w:rsid w:val="00E1181E"/>
    <w:rsid w:val="00E11AE4"/>
    <w:rsid w:val="00E11FE3"/>
    <w:rsid w:val="00E134E9"/>
    <w:rsid w:val="00E148F0"/>
    <w:rsid w:val="00E14B71"/>
    <w:rsid w:val="00E15722"/>
    <w:rsid w:val="00E15B3F"/>
    <w:rsid w:val="00E15DD6"/>
    <w:rsid w:val="00E1615A"/>
    <w:rsid w:val="00E16F35"/>
    <w:rsid w:val="00E17713"/>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37E2C"/>
    <w:rsid w:val="00E40778"/>
    <w:rsid w:val="00E41381"/>
    <w:rsid w:val="00E42A08"/>
    <w:rsid w:val="00E42FF9"/>
    <w:rsid w:val="00E430CD"/>
    <w:rsid w:val="00E43D10"/>
    <w:rsid w:val="00E44116"/>
    <w:rsid w:val="00E4714C"/>
    <w:rsid w:val="00E479AB"/>
    <w:rsid w:val="00E50686"/>
    <w:rsid w:val="00E51AEB"/>
    <w:rsid w:val="00E5206B"/>
    <w:rsid w:val="00E522A7"/>
    <w:rsid w:val="00E54452"/>
    <w:rsid w:val="00E54BAB"/>
    <w:rsid w:val="00E56503"/>
    <w:rsid w:val="00E56978"/>
    <w:rsid w:val="00E56E9C"/>
    <w:rsid w:val="00E57F6D"/>
    <w:rsid w:val="00E62DC9"/>
    <w:rsid w:val="00E6393C"/>
    <w:rsid w:val="00E64788"/>
    <w:rsid w:val="00E650FA"/>
    <w:rsid w:val="00E664C5"/>
    <w:rsid w:val="00E671A2"/>
    <w:rsid w:val="00E71658"/>
    <w:rsid w:val="00E729BA"/>
    <w:rsid w:val="00E7445D"/>
    <w:rsid w:val="00E7464D"/>
    <w:rsid w:val="00E76D26"/>
    <w:rsid w:val="00E77ED1"/>
    <w:rsid w:val="00E80BF1"/>
    <w:rsid w:val="00E8140F"/>
    <w:rsid w:val="00E81EEF"/>
    <w:rsid w:val="00E82084"/>
    <w:rsid w:val="00E83855"/>
    <w:rsid w:val="00E83AB0"/>
    <w:rsid w:val="00E842A1"/>
    <w:rsid w:val="00E86983"/>
    <w:rsid w:val="00E87332"/>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6CC"/>
    <w:rsid w:val="00EC0812"/>
    <w:rsid w:val="00EC1C83"/>
    <w:rsid w:val="00EC4083"/>
    <w:rsid w:val="00EC53D2"/>
    <w:rsid w:val="00EC6C50"/>
    <w:rsid w:val="00ED0240"/>
    <w:rsid w:val="00ED0316"/>
    <w:rsid w:val="00ED0524"/>
    <w:rsid w:val="00ED1964"/>
    <w:rsid w:val="00ED3D4E"/>
    <w:rsid w:val="00ED471B"/>
    <w:rsid w:val="00ED55C0"/>
    <w:rsid w:val="00ED682B"/>
    <w:rsid w:val="00ED6AC7"/>
    <w:rsid w:val="00ED7B14"/>
    <w:rsid w:val="00EE3571"/>
    <w:rsid w:val="00EE3B7C"/>
    <w:rsid w:val="00EE41D5"/>
    <w:rsid w:val="00EE45F3"/>
    <w:rsid w:val="00EE51F0"/>
    <w:rsid w:val="00EE54BC"/>
    <w:rsid w:val="00EE6FC7"/>
    <w:rsid w:val="00EF2088"/>
    <w:rsid w:val="00EF2BB0"/>
    <w:rsid w:val="00EF31B4"/>
    <w:rsid w:val="00EF33AB"/>
    <w:rsid w:val="00EF4366"/>
    <w:rsid w:val="00EF4C20"/>
    <w:rsid w:val="00EF4F7B"/>
    <w:rsid w:val="00EF5119"/>
    <w:rsid w:val="00EF79D4"/>
    <w:rsid w:val="00EF7BB6"/>
    <w:rsid w:val="00EF7FF0"/>
    <w:rsid w:val="00F02ACF"/>
    <w:rsid w:val="00F02F29"/>
    <w:rsid w:val="00F037A4"/>
    <w:rsid w:val="00F0477D"/>
    <w:rsid w:val="00F058CE"/>
    <w:rsid w:val="00F0680B"/>
    <w:rsid w:val="00F070D1"/>
    <w:rsid w:val="00F07BD4"/>
    <w:rsid w:val="00F10BC1"/>
    <w:rsid w:val="00F113F4"/>
    <w:rsid w:val="00F1337C"/>
    <w:rsid w:val="00F1461D"/>
    <w:rsid w:val="00F1566D"/>
    <w:rsid w:val="00F16281"/>
    <w:rsid w:val="00F17AA9"/>
    <w:rsid w:val="00F218A4"/>
    <w:rsid w:val="00F2308B"/>
    <w:rsid w:val="00F26227"/>
    <w:rsid w:val="00F27C8F"/>
    <w:rsid w:val="00F27FDA"/>
    <w:rsid w:val="00F326C3"/>
    <w:rsid w:val="00F32749"/>
    <w:rsid w:val="00F32A47"/>
    <w:rsid w:val="00F37172"/>
    <w:rsid w:val="00F40986"/>
    <w:rsid w:val="00F40E52"/>
    <w:rsid w:val="00F42CE5"/>
    <w:rsid w:val="00F436E5"/>
    <w:rsid w:val="00F43E82"/>
    <w:rsid w:val="00F4477E"/>
    <w:rsid w:val="00F450AA"/>
    <w:rsid w:val="00F4565A"/>
    <w:rsid w:val="00F45930"/>
    <w:rsid w:val="00F45A06"/>
    <w:rsid w:val="00F46301"/>
    <w:rsid w:val="00F4642B"/>
    <w:rsid w:val="00F46507"/>
    <w:rsid w:val="00F479B0"/>
    <w:rsid w:val="00F5024A"/>
    <w:rsid w:val="00F51B19"/>
    <w:rsid w:val="00F5436A"/>
    <w:rsid w:val="00F5618B"/>
    <w:rsid w:val="00F57A52"/>
    <w:rsid w:val="00F6035B"/>
    <w:rsid w:val="00F60A3D"/>
    <w:rsid w:val="00F62D66"/>
    <w:rsid w:val="00F64C2B"/>
    <w:rsid w:val="00F6547A"/>
    <w:rsid w:val="00F65B40"/>
    <w:rsid w:val="00F667B9"/>
    <w:rsid w:val="00F67D3C"/>
    <w:rsid w:val="00F67D8F"/>
    <w:rsid w:val="00F70056"/>
    <w:rsid w:val="00F706AD"/>
    <w:rsid w:val="00F7257C"/>
    <w:rsid w:val="00F733BB"/>
    <w:rsid w:val="00F73407"/>
    <w:rsid w:val="00F75336"/>
    <w:rsid w:val="00F7598D"/>
    <w:rsid w:val="00F75BD7"/>
    <w:rsid w:val="00F75E5C"/>
    <w:rsid w:val="00F767DD"/>
    <w:rsid w:val="00F77ACF"/>
    <w:rsid w:val="00F802BE"/>
    <w:rsid w:val="00F80A3A"/>
    <w:rsid w:val="00F818ED"/>
    <w:rsid w:val="00F81DE8"/>
    <w:rsid w:val="00F81FF3"/>
    <w:rsid w:val="00F8365F"/>
    <w:rsid w:val="00F837EB"/>
    <w:rsid w:val="00F83924"/>
    <w:rsid w:val="00F84C96"/>
    <w:rsid w:val="00F8562E"/>
    <w:rsid w:val="00F86024"/>
    <w:rsid w:val="00F8611A"/>
    <w:rsid w:val="00F86902"/>
    <w:rsid w:val="00F86FD7"/>
    <w:rsid w:val="00F90704"/>
    <w:rsid w:val="00F918C7"/>
    <w:rsid w:val="00F96429"/>
    <w:rsid w:val="00F96DEF"/>
    <w:rsid w:val="00F973A2"/>
    <w:rsid w:val="00FA2100"/>
    <w:rsid w:val="00FA290C"/>
    <w:rsid w:val="00FA3BAA"/>
    <w:rsid w:val="00FA4EAE"/>
    <w:rsid w:val="00FA4F9E"/>
    <w:rsid w:val="00FA5128"/>
    <w:rsid w:val="00FA5533"/>
    <w:rsid w:val="00FA572A"/>
    <w:rsid w:val="00FA59D7"/>
    <w:rsid w:val="00FB19F1"/>
    <w:rsid w:val="00FB42D4"/>
    <w:rsid w:val="00FB4EEC"/>
    <w:rsid w:val="00FB5906"/>
    <w:rsid w:val="00FB5F70"/>
    <w:rsid w:val="00FB762F"/>
    <w:rsid w:val="00FC12EB"/>
    <w:rsid w:val="00FC23C1"/>
    <w:rsid w:val="00FC2640"/>
    <w:rsid w:val="00FC2AED"/>
    <w:rsid w:val="00FC4746"/>
    <w:rsid w:val="00FC4AF5"/>
    <w:rsid w:val="00FC5F2F"/>
    <w:rsid w:val="00FC749D"/>
    <w:rsid w:val="00FC7A2A"/>
    <w:rsid w:val="00FC7BF0"/>
    <w:rsid w:val="00FC7F89"/>
    <w:rsid w:val="00FD0923"/>
    <w:rsid w:val="00FD4CD2"/>
    <w:rsid w:val="00FD4D37"/>
    <w:rsid w:val="00FD51BB"/>
    <w:rsid w:val="00FD560F"/>
    <w:rsid w:val="00FD5C13"/>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yperlink" Target="mailto:obslugaprasowa@stat.gov.pl"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723,term.html" TargetMode="External"/><Relationship Id="rId35"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stat.gov.pl/en/topics/culture-tourism-sport/tourism/tourism-in-2023,1,21.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1E9983FF-DC4B-4F4E-A072-0441E2B88E6D">RUCH ORAZ WYDATKI _3_ 2024_EN.docx.docx</NazwaPliku>
    <Odbiorcy2 xmlns="1E9983FF-DC4B-4F4E-A072-0441E2B88E6D" xsi:nil="true"/>
    <_SourceUrl xmlns="http://schemas.microsoft.com/sharepoint/v3" xsi:nil="true"/>
    <xd_ProgID xmlns="http://schemas.microsoft.com/sharepoint/v3" xsi:nil="true"/>
    <Osoba xmlns="1E9983FF-DC4B-4F4E-A072-0441E2B88E6D">STAT\CZARNECKAK</Osoba>
    <Order xmlns="http://schemas.microsoft.com/sharepoint/v3" xsi:nil="true"/>
    <_SharedFileIndex xmlns="http://schemas.microsoft.com/sharepoint/v3" xsi:nil="true"/>
    <MetaInfo xmlns="http://schemas.microsoft.com/sharepoint/v3" xsi:nil="true"/>
    <ContentTypeId xmlns="http://schemas.microsoft.com/sharepoint/v3">0x00FF83991E4BDC4E4FA0720441E2B88E6D</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9A191-7966-46EA-8FA9-C6884995B6AB}"/>
</file>

<file path=customXml/itemProps2.xml><?xml version="1.0" encoding="utf-8"?>
<ds:datastoreItem xmlns:ds="http://schemas.openxmlformats.org/officeDocument/2006/customXml" ds:itemID="{57AF1B29-A77B-42E1-8A35-FD5087ED875E}"/>
</file>

<file path=customXml/itemProps3.xml><?xml version="1.0" encoding="utf-8"?>
<ds:datastoreItem xmlns:ds="http://schemas.openxmlformats.org/officeDocument/2006/customXml" ds:itemID="{441150F9-42FE-4E0A-83C4-93BD4F8EEA54}"/>
</file>

<file path=customXml/itemProps4.xml><?xml version="1.0" encoding="utf-8"?>
<ds:datastoreItem xmlns:ds="http://schemas.openxmlformats.org/officeDocument/2006/customXml" ds:itemID="{57AF1B29-A77B-42E1-8A35-FD5087ED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7</Pages>
  <Words>1888</Words>
  <Characters>11328</Characters>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2024-12-06T08:15:00Z</cp:lastPrinted>
  <dcterms:created xsi:type="dcterms:W3CDTF">2023-03-20T09:57:00Z</dcterms:created>
  <dcterms:modified xsi:type="dcterms:W3CDTF">2024-12-13T07:37:00Z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