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29B9" w:rsidR="0098135C" w:rsidP="00074DD8" w:rsidRDefault="0044258C" w14:paraId="2FCE2C76" w14:textId="533CAA99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2D2C64">
        <w:rPr>
          <w:szCs w:val="32"/>
          <w:lang w:val="en-GB"/>
        </w:rPr>
        <w:t>May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20F0858A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027884E6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4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DA6BE2" w:rsidP="00A4625F" w:rsidRDefault="00DA6BE2" w14:paraId="0C77FD05" w14:textId="1EE1FBA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84.1</w:t>
                            </w:r>
                          </w:p>
                          <w:p w:rsidRPr="00A4625F" w:rsidR="00DA6BE2" w:rsidP="00941380" w:rsidRDefault="00DA6BE2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4.1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">
                <v:stroke joinstyle="miter"/>
                <v:textbox>
                  <w:txbxContent>
                    <w:p w:rsidRPr="00A4625F" w:rsidR="00DA6BE2" w:rsidP="00A4625F" w:rsidRDefault="00DA6BE2" w14:paraId="0C77FD05" w14:textId="1EE1FBA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84.1</w:t>
                      </w:r>
                    </w:p>
                    <w:p w:rsidRPr="00A4625F" w:rsidR="00DA6BE2" w:rsidP="00941380" w:rsidRDefault="00DA6BE2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9C3E99">
        <w:rPr>
          <w:color w:val="000000" w:themeColor="text1"/>
          <w:lang w:val="en-GB"/>
        </w:rPr>
        <w:t xml:space="preserve">the </w:t>
      </w:r>
      <w:r w:rsidRPr="003036C0" w:rsidR="00BA2F78">
        <w:rPr>
          <w:color w:val="000000" w:themeColor="text1"/>
          <w:lang w:val="en-GB"/>
        </w:rPr>
        <w:t>period o</w:t>
      </w:r>
      <w:r w:rsidR="00830FF5">
        <w:rPr>
          <w:color w:val="000000" w:themeColor="text1"/>
          <w:lang w:val="en-GB"/>
        </w:rPr>
        <w:t>f</w:t>
      </w:r>
      <w:r w:rsidRPr="003036C0" w:rsidR="00BA2F78">
        <w:rPr>
          <w:color w:val="000000" w:themeColor="text1"/>
          <w:lang w:val="en-GB"/>
        </w:rPr>
        <w:t xml:space="preserve"> January-</w:t>
      </w:r>
      <w:r w:rsidR="003910A5">
        <w:rPr>
          <w:color w:val="000000" w:themeColor="text1"/>
          <w:lang w:val="en-GB"/>
        </w:rPr>
        <w:t>May</w:t>
      </w:r>
      <w:r w:rsidRPr="003036C0" w:rsidR="00BA2F78">
        <w:rPr>
          <w:color w:val="000000" w:themeColor="text1"/>
          <w:lang w:val="en-GB"/>
        </w:rPr>
        <w:t xml:space="preserve"> 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2E2ECE17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6% and 37.0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DA6BE2" w:rsidP="00B93B71" w:rsidRDefault="00DA6BE2" w14:paraId="55217834" w14:textId="2A5E6576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6% and 37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0%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0.6% and 37.0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DXQ+rS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DA6BE2" w:rsidP="00B93B71" w:rsidRDefault="00DA6BE2" w14:paraId="55217834" w14:textId="2A5E6576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6% and 37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0%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4C26BB52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C63CD4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C63CD4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C63CD4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C63CD4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C63CD4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C63CD4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period of </w:t>
      </w:r>
      <w:r w:rsidRPr="00C63CD4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January</w:t>
      </w:r>
      <w:r w:rsidRPr="00C63CD4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-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May</w:t>
      </w:r>
      <w:r w:rsidRPr="00C63CD4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C63CD4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C63CD4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Pr="00C63CD4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Pr="00C63CD4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C63CD4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47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C63CD4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C63CD4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C63CD4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C63CD4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C63CD4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 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CC181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13EEE4D2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3910A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EF2C0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5C419F" w:rsidRDefault="00F6493A" w14:paraId="42912E84" w14:textId="774783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Pr="00C63CD4" w:rsidR="00307633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3C5C9CB9" w14:textId="42D7CE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Pr="00C63CD4" w:rsidR="002D2C64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5C419F" w:rsidRDefault="00F6493A" w14:paraId="0C716BDB" w14:textId="11F0B1D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Pr="00C63CD4" w:rsidR="00307633">
              <w:rPr>
                <w:color w:val="000000" w:themeColor="text1"/>
                <w:sz w:val="16"/>
                <w:szCs w:val="16"/>
              </w:rPr>
              <w:t>5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5C419F" w:rsidRDefault="00F6493A" w14:paraId="76436707" w14:textId="16A0F68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Pr="00C63CD4" w:rsidR="00307633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27525798" w14:textId="382A9FD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01-0</w:t>
            </w:r>
            <w:r w:rsidRPr="00C63CD4" w:rsidR="002D2C64">
              <w:rPr>
                <w:color w:val="000000" w:themeColor="text1"/>
                <w:sz w:val="16"/>
                <w:szCs w:val="16"/>
              </w:rPr>
              <w:t>5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F6493A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F6493A" w:rsidP="00A5081D" w:rsidRDefault="00F6493A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F6493A" w14:paraId="74ED01BD" w14:textId="0FA9E92F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307633">
              <w:rPr>
                <w:b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63CD4" w:rsidR="00307633">
              <w:rPr>
                <w:b/>
                <w:color w:val="000000" w:themeColor="text1"/>
                <w:sz w:val="16"/>
                <w:szCs w:val="16"/>
                <w:lang w:val="en-GB"/>
              </w:rPr>
              <w:t>513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7411F1" w:rsidRDefault="00307633" w14:paraId="4368A5D2" w14:textId="6454EC1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81</w:t>
            </w:r>
            <w:r w:rsidRPr="00C63CD4" w:rsidR="00F6493A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20AE545D" w14:textId="41CC861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91</w:t>
            </w:r>
            <w:r w:rsidRPr="00C63CD4" w:rsidR="00F6493A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2D2C64" w14:paraId="0C593AC3" w14:textId="4DCE2777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78 691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F6493A" w14:paraId="4EDFB5A3" w14:textId="06C9A8FA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CD4" w:rsidR="002D2C64">
              <w:rPr>
                <w:b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2D2C64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9A4851" w:rsidR="00F6493A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F6493A" w:rsidP="00A5081D" w:rsidRDefault="00F6493A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7C6222" w14:paraId="255032DB" w14:textId="68712F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63CD4" w:rsidR="0030763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273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307633" w14:paraId="10BBBDB9" w14:textId="04E1539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7C6222" w14:paraId="0D6A2499" w14:textId="34890C3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30763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7C6222" w14:paraId="0AA69651" w14:textId="4303D90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C63CD4" w:rsidR="002D2C6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63CD4" w:rsidR="002D2C6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EF2C06" w14:paraId="21053749" w14:textId="4CCDF9D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2D2C6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9A4851" w:rsidR="00F6493A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307633" w14:paraId="23EE99E7" w14:textId="5D04E6E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CD4" w:rsidR="00EF2C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813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307633" w14:paraId="1392F143" w14:textId="0CE3CEF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85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073E4F9D" w14:textId="4EAFAA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90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96784B" w14:paraId="669712AF" w14:textId="75F918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  <w:r w:rsidRPr="00C63CD4" w:rsidR="00EF2C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690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EF2C06" w14:paraId="48FE3CA6" w14:textId="39F2B3A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Pr="00C63CD4" w:rsidR="0096784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9A4851" w:rsidR="00F6493A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A5081D" w:rsidRDefault="00307633" w14:paraId="43E0B857" w14:textId="59FA9C2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307633" w14:paraId="1F0CCA82" w14:textId="5E1FD29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16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48C19C17" w14:textId="0E5734D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314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EF2C06" w14:paraId="49638D88" w14:textId="024A28D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55CADC71" w14:textId="022DBF1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44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Pr="001B2406" w:rsidR="00F6493A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F6493A" w:rsidP="00A5081D" w:rsidRDefault="00F6493A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A5081D" w:rsidRDefault="007C6222" w14:paraId="69E2D56C" w14:textId="6AFD1EE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Pr="00C63CD4" w:rsidR="0030763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174D3B" w:rsidRDefault="00307633" w14:paraId="3E22814D" w14:textId="2AEB6E3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59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4CC7447C" w14:textId="2C16423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F6493A" w14:paraId="361F0735" w14:textId="6B2ACE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2796C727" w14:textId="47D5E31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EF2C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EF2C06" w:rsidR="00EF2C06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F6493A" w:rsidP="00A5081D" w:rsidRDefault="00F6493A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5C419F" w:rsidRDefault="00307633" w14:paraId="7E5E83FB" w14:textId="0B6BB10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2C0FD8" w:rsidRDefault="00307633" w14:paraId="0AFA2421" w14:textId="2679101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825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3948C7DA" w14:textId="376268F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266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248D27D2" w14:textId="14E7816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778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162F4BCC" w14:textId="0A288A1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253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</w:tr>
      <w:tr w:rsidRPr="00EF2C06" w:rsidR="00EF2C06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F6493A" w:rsidP="00A5081D" w:rsidRDefault="00F6493A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A5081D" w:rsidRDefault="00307633" w14:paraId="60773A35" w14:textId="4AAC1B8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6493A" w:rsidP="002C0FD8" w:rsidRDefault="00307633" w14:paraId="5900F285" w14:textId="13488C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74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6493A" w:rsidP="00F6493A" w:rsidRDefault="00307633" w14:paraId="1464CE68" w14:textId="2B948D5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47</w:t>
            </w:r>
            <w:r w:rsidRPr="00C63CD4" w:rsidR="00F6493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0ABD88CD" w14:textId="2160960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915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F6493A" w14:paraId="344915BF" w14:textId="4C1664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Pr="009A4851" w:rsidR="00F6493A" w:rsidTr="00DA6BE2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F6493A" w:rsidP="00A5081D" w:rsidRDefault="00F6493A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C63CD4" w:rsidR="00F6493A" w:rsidP="00A5081D" w:rsidRDefault="007C6222" w14:paraId="6BBF9FB1" w14:textId="7CFF8A9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30763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C63CD4" w:rsidR="00F6493A" w:rsidP="00497E84" w:rsidRDefault="00F6493A" w14:paraId="315E4888" w14:textId="30B225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307633" w:rsidRDefault="00307633" w14:paraId="09114D5F" w14:textId="05ABC82E">
            <w:pPr>
              <w:spacing w:before="0" w:after="0" w:line="180" w:lineRule="exact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12-</w:t>
            </w: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fold more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7C6222" w14:paraId="3FB7C6F5" w14:textId="120DCB8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6493A" w:rsidP="00F6493A" w:rsidRDefault="003F05B4" w14:paraId="4C94C509" w14:textId="3645777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C63CD4" w:rsidR="007C6222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33.3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51822F4F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C63CD4" w:rsidR="005240A3">
        <w:rPr>
          <w:noProof/>
          <w:color w:val="000000" w:themeColor="text1"/>
          <w:lang w:val="en-GB"/>
        </w:rPr>
        <w:t xml:space="preserve">the </w:t>
      </w:r>
      <w:r w:rsidRPr="00C63CD4" w:rsidR="007931ED">
        <w:rPr>
          <w:noProof/>
          <w:color w:val="000000" w:themeColor="text1"/>
          <w:lang w:val="en-GB"/>
        </w:rPr>
        <w:t xml:space="preserve">period of </w:t>
      </w:r>
      <w:r w:rsidRPr="00C63CD4" w:rsidR="00C82930">
        <w:rPr>
          <w:noProof/>
          <w:color w:val="000000" w:themeColor="text1"/>
          <w:lang w:val="en-GB"/>
        </w:rPr>
        <w:t>January</w:t>
      </w:r>
      <w:r w:rsidRPr="00C63CD4" w:rsidR="007931ED">
        <w:rPr>
          <w:noProof/>
          <w:color w:val="000000" w:themeColor="text1"/>
          <w:lang w:val="en-GB"/>
        </w:rPr>
        <w:t>-</w:t>
      </w:r>
      <w:r w:rsidRPr="00C63CD4" w:rsidR="00CC181D">
        <w:rPr>
          <w:noProof/>
          <w:color w:val="000000" w:themeColor="text1"/>
          <w:lang w:val="en-GB"/>
        </w:rPr>
        <w:t>May</w:t>
      </w:r>
      <w:r w:rsidRPr="00C63CD4" w:rsidR="00F15BB3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Pr="00C63CD4" w:rsidR="00CC181D">
        <w:rPr>
          <w:noProof/>
          <w:color w:val="000000" w:themeColor="text1"/>
          <w:lang w:val="en-GB"/>
        </w:rPr>
        <w:t>119</w:t>
      </w:r>
      <w:r w:rsidRPr="00C63CD4" w:rsidR="00DE7DD4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3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Pr="00C63CD4" w:rsidR="00CC181D">
        <w:rPr>
          <w:noProof/>
          <w:color w:val="000000" w:themeColor="text1"/>
          <w:lang w:val="en-GB"/>
        </w:rPr>
        <w:t>31</w:t>
      </w:r>
      <w:r w:rsidRPr="00C63CD4" w:rsidR="00E245E1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0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Pr="00C63CD4" w:rsidR="00CC181D">
        <w:rPr>
          <w:noProof/>
          <w:color w:val="000000" w:themeColor="text1"/>
          <w:lang w:val="en-GB"/>
        </w:rPr>
        <w:t>85</w:t>
      </w:r>
      <w:r w:rsidRPr="00C63CD4" w:rsidR="00FB5B75">
        <w:rPr>
          <w:noProof/>
          <w:color w:val="000000" w:themeColor="text1"/>
          <w:lang w:val="en-GB"/>
        </w:rPr>
        <w:t>.</w:t>
      </w:r>
      <w:r w:rsidRPr="00C63CD4" w:rsidR="00875768">
        <w:rPr>
          <w:noProof/>
          <w:color w:val="000000" w:themeColor="text1"/>
          <w:lang w:val="en-GB"/>
        </w:rPr>
        <w:t>0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Pr="00C63CD4" w:rsidR="00CC181D">
        <w:rPr>
          <w:noProof/>
          <w:color w:val="000000" w:themeColor="text1"/>
          <w:lang w:val="en-GB"/>
        </w:rPr>
        <w:t>41</w:t>
      </w:r>
      <w:r w:rsidRPr="00C63CD4" w:rsidR="00FB5B75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4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Pr="00C63CD4" w:rsidR="00CC181D">
        <w:rPr>
          <w:noProof/>
          <w:color w:val="000000" w:themeColor="text1"/>
          <w:lang w:val="en-GB"/>
        </w:rPr>
        <w:t>31</w:t>
      </w:r>
      <w:r w:rsidRPr="00C63CD4" w:rsidR="00DE7DD4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8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Pr="00C63CD4" w:rsidR="00540710">
        <w:rPr>
          <w:noProof/>
          <w:color w:val="000000" w:themeColor="text1"/>
          <w:lang w:val="en-GB"/>
        </w:rPr>
        <w:t>1</w:t>
      </w:r>
      <w:r w:rsidRPr="00C63CD4" w:rsidR="00CC181D">
        <w:rPr>
          <w:noProof/>
          <w:color w:val="000000" w:themeColor="text1"/>
          <w:lang w:val="en-GB"/>
        </w:rPr>
        <w:t>3</w:t>
      </w:r>
      <w:r w:rsidRPr="00C63CD4" w:rsidR="00FB5B75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1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9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Pr="00C63CD4" w:rsidR="00CC181D">
        <w:rPr>
          <w:noProof/>
          <w:color w:val="000000" w:themeColor="text1"/>
          <w:lang w:val="en-GB"/>
        </w:rPr>
        <w:t>2</w:t>
      </w:r>
      <w:r w:rsidRPr="00C63CD4" w:rsidR="00164E82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5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Pr="00C63CD4" w:rsidR="000764B0">
        <w:rPr>
          <w:noProof/>
          <w:color w:val="000000" w:themeColor="text1"/>
          <w:lang w:val="en-GB"/>
        </w:rPr>
        <w:t>2</w:t>
      </w:r>
      <w:r w:rsidRPr="00C63CD4" w:rsidR="00FC088C">
        <w:rPr>
          <w:noProof/>
          <w:color w:val="000000" w:themeColor="text1"/>
          <w:lang w:val="en-GB"/>
        </w:rPr>
        <w:t>.</w:t>
      </w:r>
      <w:r w:rsidRPr="00C63CD4" w:rsidR="00CC181D">
        <w:rPr>
          <w:noProof/>
          <w:color w:val="000000" w:themeColor="text1"/>
          <w:lang w:val="en-GB"/>
        </w:rPr>
        <w:t>8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5A76A5" w:rsidRDefault="000B3EDC" w14:paraId="429A8244" w14:textId="24CA575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7238F4">
              <w:rPr>
                <w:color w:val="000000" w:themeColor="text1"/>
                <w:sz w:val="15"/>
                <w:szCs w:val="15"/>
              </w:rPr>
              <w:t>5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5A76A5" w:rsidRDefault="000B3EDC" w14:paraId="149AD6B7" w14:textId="7FC6A05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Pr="00C63CD4" w:rsidR="003F05B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F97C1E" w:rsidR="00F0150C" w:rsidTr="005A76A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9F5DBEE" w14:textId="15A506C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Pr="00C63CD4" w:rsidR="007238F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1D6AE2" w14:paraId="5802FAB9" w14:textId="39A23EE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Pr="00C63CD4" w:rsidR="007238F4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0B3EDC" w14:paraId="17E2CFAA" w14:textId="51A79CA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Pr="00C63CD4" w:rsidR="003F05B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F0150C" w:rsidTr="005A76A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0150C" w:rsidP="005A76A5" w:rsidRDefault="00F0150C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02B1A5FB" w14:textId="4B872617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Pr="00C63CD4"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 w:rsidR="007238F4">
              <w:rPr>
                <w:b/>
                <w:color w:val="000000" w:themeColor="text1"/>
                <w:sz w:val="15"/>
                <w:szCs w:val="15"/>
                <w:lang w:val="en-GB"/>
              </w:rPr>
              <w:t>460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7439481A" w14:textId="7371B57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7238F4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  <w:r w:rsidRPr="00C63CD4"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7238F4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7238F4" w14:paraId="54900271" w14:textId="7828482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98</w:t>
            </w:r>
            <w:r w:rsidRPr="00C63CD4" w:rsidR="00F0150C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40693A92" w14:textId="435951DF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119</w:t>
            </w:r>
            <w:r w:rsidRPr="00C63CD4" w:rsidR="00F351A4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265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0B3EDC" w14:paraId="4BC55EB6" w14:textId="63329669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3F05B4">
              <w:rPr>
                <w:b/>
                <w:color w:val="000000" w:themeColor="text1"/>
                <w:sz w:val="15"/>
                <w:szCs w:val="15"/>
                <w:lang w:val="en-GB"/>
              </w:rPr>
              <w:t>31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9A4851" w:rsidR="00F0150C" w:rsidTr="005A76A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0150C" w:rsidP="005A76A5" w:rsidRDefault="00F0150C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7238F4" w14:paraId="2CE969F2" w14:textId="2777E8B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C63CD4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867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11922E73" w14:textId="6D5946B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7238F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7238F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7238F4" w14:paraId="300CBAD5" w14:textId="04F7DF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  <w:r w:rsidRPr="00C63CD4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2870D30C" w14:textId="3DC743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</w:t>
            </w:r>
            <w:r w:rsidRPr="00C63CD4"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775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0B3EDC" w14:paraId="468FF916" w14:textId="00DA421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A4851" w:rsidR="00F0150C" w:rsidTr="005A76A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56EC5D20" w14:textId="1F04AAD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 w:rsid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C63CD4" w:rsidR="007238F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44BD7848" w14:textId="414EDDD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7238F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52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7238F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7238F4" w14:paraId="33BC2BF6" w14:textId="16CB04D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</w:t>
            </w:r>
            <w:r w:rsidRPr="00C63CD4" w:rsidR="0095649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13E080CA" w14:textId="356A2C9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85</w:t>
            </w:r>
            <w:r w:rsidRPr="00C63CD4"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0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09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0B3EDC" w14:paraId="4DF4B439" w14:textId="56E23C3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41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A4851" w:rsidR="00F0150C" w:rsidTr="005A76A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6D853C93" w14:textId="2C4DA4C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F0150C" w14:paraId="2B71D6D4" w14:textId="0E66CF2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F0150C" w14:paraId="494B4D92" w14:textId="012AB0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0B3EDC" w14:paraId="37CDFA05" w14:textId="5237DF5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0B3EDC" w14:paraId="4A6821A6" w14:textId="5F6E317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  <w:tr w:rsidRPr="00F25CF6" w:rsidR="00F0150C" w:rsidTr="005A76A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7238F4" w14:paraId="16AE6ED7" w14:textId="63488D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7238F4" w14:paraId="3CDEEA20" w14:textId="470BBF5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197</w:t>
            </w:r>
            <w:r w:rsidRPr="00C63CD4" w:rsidR="0095649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7238F4" w14:paraId="4EC8940F" w14:textId="31FDF54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404</w:t>
            </w:r>
            <w:r w:rsidRPr="00C63CD4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5CC455F1" w14:textId="6A944E0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58</w:t>
            </w:r>
            <w:r w:rsidRPr="00C63CD4" w:rsidR="00F351A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7E4243EF" w14:textId="61594DF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106</w:t>
            </w:r>
            <w:r w:rsidRPr="00C63CD4"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87576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F25CF6" w:rsidR="00F0150C" w:rsidTr="005A76A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C63CD4" w14:paraId="4F13852F" w14:textId="655BC8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C63CD4" w14:paraId="3AE94B45" w14:textId="22D6554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103</w:t>
            </w:r>
            <w:r w:rsidRPr="00C63CD4" w:rsidR="00F0150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C63CD4" w14:paraId="22F95ED3" w14:textId="43B1A52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121.8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95649A" w14:paraId="779C21C9" w14:textId="7BC9125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F351A4" w14:paraId="46A09707" w14:textId="7BA8D7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Pr="00C63CD4"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F25CF6" w:rsidR="00F0150C" w:rsidTr="005A76A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C63CD4" w14:paraId="6913581D" w14:textId="097374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0150C" w:rsidP="005A76A5" w:rsidRDefault="00C63CD4" w14:paraId="262852B0" w14:textId="47B81B6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0150C" w:rsidP="005A76A5" w:rsidRDefault="00F0150C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2CCE0E25" w14:textId="6E858D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0150C" w:rsidP="005A76A5" w:rsidRDefault="003F05B4" w14:paraId="2EB4DD8E" w14:textId="15025BF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  <w:r w:rsidRPr="00C63CD4" w:rsidR="000B3ED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182D59CF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the first </w:t>
      </w:r>
      <w:r w:rsidRPr="00C63CD4" w:rsidR="004478D8">
        <w:rPr>
          <w:noProof/>
          <w:color w:val="000000" w:themeColor="text1"/>
          <w:spacing w:val="-2"/>
          <w:lang w:val="en-GB"/>
        </w:rPr>
        <w:t>five</w:t>
      </w:r>
      <w:r w:rsidRPr="00C63CD4" w:rsidR="00F351A4">
        <w:rPr>
          <w:noProof/>
          <w:color w:val="000000" w:themeColor="text1"/>
          <w:spacing w:val="-2"/>
          <w:lang w:val="en-GB"/>
        </w:rPr>
        <w:t xml:space="preserve"> months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Pr="00C63CD4" w:rsidR="004478D8">
        <w:rPr>
          <w:noProof/>
          <w:color w:val="000000" w:themeColor="text1"/>
          <w:spacing w:val="-2"/>
          <w:lang w:val="en-GB"/>
        </w:rPr>
        <w:t>10</w:t>
      </w:r>
      <w:r w:rsidRPr="00C63CD4" w:rsidR="005C74E7">
        <w:rPr>
          <w:noProof/>
          <w:color w:val="000000" w:themeColor="text1"/>
          <w:spacing w:val="-2"/>
          <w:lang w:val="en-GB"/>
        </w:rPr>
        <w:t>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4478D8">
        <w:rPr>
          <w:noProof/>
          <w:color w:val="000000" w:themeColor="text1"/>
          <w:spacing w:val="-2"/>
          <w:lang w:val="en-GB"/>
        </w:rPr>
        <w:t>1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Pr="00C63CD4" w:rsidR="004478D8">
        <w:rPr>
          <w:noProof/>
          <w:color w:val="000000" w:themeColor="text1"/>
          <w:spacing w:val="-2"/>
          <w:lang w:val="en-GB"/>
        </w:rPr>
        <w:t>45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4478D8">
        <w:rPr>
          <w:noProof/>
          <w:color w:val="000000" w:themeColor="text1"/>
          <w:spacing w:val="-2"/>
          <w:lang w:val="en-GB"/>
        </w:rPr>
        <w:t>6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</w:t>
      </w:r>
      <w:r w:rsidRPr="00C63CD4" w:rsidR="003036C0">
        <w:rPr>
          <w:noProof/>
          <w:color w:val="000000" w:themeColor="text1"/>
          <w:spacing w:val="-2"/>
          <w:lang w:val="en-GB"/>
        </w:rPr>
        <w:br/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of </w:t>
      </w:r>
      <w:r w:rsidRPr="00C63CD4" w:rsidR="00CC181D">
        <w:rPr>
          <w:noProof/>
          <w:color w:val="000000" w:themeColor="text1"/>
          <w:spacing w:val="-2"/>
          <w:lang w:val="en-GB"/>
        </w:rPr>
        <w:t>66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5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Pr="00C63CD4" w:rsidR="00C86EEB">
        <w:rPr>
          <w:noProof/>
          <w:color w:val="000000" w:themeColor="text1"/>
          <w:spacing w:val="-2"/>
          <w:lang w:val="en-GB"/>
        </w:rPr>
        <w:t>7</w:t>
      </w:r>
      <w:r w:rsidRPr="00C63CD4" w:rsidR="00CC181D">
        <w:rPr>
          <w:noProof/>
          <w:color w:val="000000" w:themeColor="text1"/>
          <w:spacing w:val="-2"/>
          <w:lang w:val="en-GB"/>
        </w:rPr>
        <w:t>0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1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Pr="00C63CD4" w:rsidR="00CC181D">
        <w:rPr>
          <w:noProof/>
          <w:color w:val="000000" w:themeColor="text1"/>
          <w:spacing w:val="-2"/>
          <w:lang w:val="en-GB"/>
        </w:rPr>
        <w:t>33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1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(by </w:t>
      </w:r>
      <w:r w:rsidRPr="00C63CD4" w:rsidR="00C86EEB">
        <w:rPr>
          <w:noProof/>
          <w:color w:val="000000" w:themeColor="text1"/>
          <w:spacing w:val="-2"/>
          <w:lang w:val="en-GB"/>
        </w:rPr>
        <w:t>1</w:t>
      </w:r>
      <w:r w:rsidRPr="00C63CD4" w:rsidR="00CC181D">
        <w:rPr>
          <w:noProof/>
          <w:color w:val="000000" w:themeColor="text1"/>
          <w:spacing w:val="-2"/>
          <w:lang w:val="en-GB"/>
        </w:rPr>
        <w:t>4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8</w:t>
      </w:r>
      <w:r w:rsidRPr="00C63CD4" w:rsidR="00854717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4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Pr="00C63CD4" w:rsidR="00C86EEB">
        <w:rPr>
          <w:noProof/>
          <w:color w:val="000000" w:themeColor="text1"/>
          <w:spacing w:val="-2"/>
          <w:lang w:val="en-GB"/>
        </w:rPr>
        <w:t>1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Pr="00C63CD4" w:rsidR="00CC181D">
        <w:rPr>
          <w:noProof/>
          <w:color w:val="000000" w:themeColor="text1"/>
          <w:spacing w:val="-2"/>
          <w:lang w:val="en-GB"/>
        </w:rPr>
        <w:t>6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Pr="00C63CD4" w:rsidR="00CC181D">
        <w:rPr>
          <w:noProof/>
          <w:color w:val="000000" w:themeColor="text1"/>
          <w:spacing w:val="-2"/>
          <w:lang w:val="en-GB"/>
        </w:rPr>
        <w:t>similar amount in the previous year</w:t>
      </w:r>
      <w:r w:rsidRPr="00C63CD4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4226270B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276"/>
        <w:gridCol w:w="1134"/>
        <w:gridCol w:w="992"/>
      </w:tblGrid>
      <w:tr w:rsidRPr="00944940" w:rsidR="00F70B4D" w:rsidTr="003036C0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832B40" w:rsidRDefault="00F70B4D" w14:paraId="1C6A1AC1" w14:textId="343F58A7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C63CD4">
              <w:rPr>
                <w:color w:val="000000" w:themeColor="text1"/>
                <w:sz w:val="15"/>
                <w:szCs w:val="15"/>
              </w:rPr>
              <w:t>5</w:t>
            </w:r>
            <w:r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832B40" w:rsidRDefault="00F70B4D" w14:paraId="1A2E8847" w14:textId="53DC7B09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Pr="00C63CD4" w:rsidR="003F05B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</w:t>
            </w:r>
          </w:p>
        </w:tc>
      </w:tr>
      <w:tr w:rsidRPr="00944940" w:rsidR="00F70B4D" w:rsidTr="003036C0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2144A20E" w14:textId="0602657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Pr="00C63CD4" w:rsidR="00C63CD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6109C3DB" w14:textId="7D7BD2C8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Pr="00C63CD4" w:rsidR="00C63CD4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832B40" w:rsidRDefault="00F70B4D" w14:paraId="4DB3E5F9" w14:textId="6D2D4F8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01-0</w:t>
            </w:r>
            <w:r w:rsidRPr="00C63CD4" w:rsidR="003F05B4">
              <w:rPr>
                <w:color w:val="000000" w:themeColor="text1"/>
                <w:sz w:val="15"/>
                <w:szCs w:val="15"/>
              </w:rPr>
              <w:t>5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</w:tr>
      <w:tr w:rsidRPr="00944940" w:rsidR="005A76A5" w:rsidTr="003036C0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C63CD4" w14:paraId="23AD18BD" w14:textId="73D450C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19</w:t>
            </w:r>
            <w:r w:rsidRPr="00642A6D" w:rsidR="00F70B4D">
              <w:rPr>
                <w:b/>
                <w:color w:val="000000" w:themeColor="text1"/>
                <w:sz w:val="15"/>
                <w:szCs w:val="15"/>
                <w:lang w:val="en-GB"/>
              </w:rPr>
              <w:t> </w:t>
            </w: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826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F70B4D" w14:paraId="429AC8C7" w14:textId="0A99883F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 w:rsidR="00C63CD4">
              <w:rPr>
                <w:b/>
                <w:color w:val="000000" w:themeColor="text1"/>
                <w:sz w:val="15"/>
                <w:szCs w:val="15"/>
                <w:lang w:val="en-GB"/>
              </w:rPr>
              <w:t>21</w:t>
            </w:r>
            <w:r w:rsidRPr="00642A6D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642A6D" w:rsid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47154406" w14:textId="1A0D419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93</w:t>
            </w:r>
            <w:r w:rsidRPr="00C63CD4" w:rsidR="00F70B4D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5D3D0CC0" w14:textId="0D73480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101</w:t>
            </w:r>
            <w:r w:rsidRPr="00C63CD4" w:rsidR="006D714F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143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FA0F2A" w14:paraId="1F6F5B28" w14:textId="29AE88F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3F05B4">
              <w:rPr>
                <w:b/>
                <w:color w:val="000000" w:themeColor="text1"/>
                <w:sz w:val="15"/>
                <w:szCs w:val="15"/>
                <w:lang w:val="en-GB"/>
              </w:rPr>
              <w:t>45</w:t>
            </w:r>
            <w:r w:rsidRPr="00C63CD4" w:rsidR="006D714F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  <w:tr w:rsidRPr="00944940" w:rsidR="00F70B4D" w:rsidTr="003036C0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C63CD4" w14:paraId="591D9F98" w14:textId="693943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642A6D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F70B4D" w14:paraId="60807E6E" w14:textId="4CD29B7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02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642A6D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3C7F3799" w14:textId="12277F7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89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6402465E" w14:textId="37EBA5A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073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FA0F2A" w14:paraId="05A40491" w14:textId="69256BF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3F05B4" w:rsidR="003F05B4" w:rsidTr="003036C0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F70B4D" w14:paraId="15FC3415" w14:textId="36B920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 </w:t>
            </w:r>
            <w:r w:rsidRPr="00642A6D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C86EEB" w14:paraId="0766C893" w14:textId="7F443B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642A6D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</w:t>
            </w:r>
            <w:r w:rsidRPr="00642A6D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0D2952B2" w14:textId="064D36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94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376739" w:rsidRDefault="003F05B4" w14:paraId="6364E821" w14:textId="1701AA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499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DB4A36" w14:paraId="162D669D" w14:textId="0A58CFB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44940" w:rsidR="00F70B4D" w:rsidTr="003036C0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42A6D" w:rsidR="00F70B4D" w:rsidP="00832B40" w:rsidRDefault="00C63CD4" w14:paraId="30EF4784" w14:textId="467F908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</w:tcPr>
          <w:p w:rsidRPr="00642A6D" w:rsidR="00F70B4D" w:rsidP="00376739" w:rsidRDefault="00C63CD4" w14:paraId="66975EDA" w14:textId="1645FD6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35</w:t>
            </w:r>
            <w:r w:rsidRPr="00642A6D" w:rsidR="00C86EEB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642A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581ED179" w14:textId="7A1236C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63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70B4D" w:rsidP="00832B40" w:rsidRDefault="006D714F" w14:paraId="3852A627" w14:textId="02599D1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88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F70B4D" w:rsidP="00832B40" w:rsidRDefault="003F05B4" w14:paraId="63EEFA8D" w14:textId="42924B8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145</w:t>
            </w:r>
            <w:r w:rsidRPr="00C63CD4" w:rsidR="00DB4A3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376739" w:rsidR="00F70B4D" w:rsidTr="003036C0" w14:paraId="22E5F8B5" w14:textId="620EF226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1567DB37" w14:textId="31954461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B90250" w14:paraId="4C518540" w14:textId="005E8D85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6E71D1E5" w14:textId="3E6C6CFD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487.5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4B7A43A5" w14:textId="5A9119AB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292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466120" w:rsidRDefault="001F29F6" w14:paraId="726C9077" w14:textId="3E4FD391">
            <w:pPr>
              <w:keepNext/>
              <w:keepLines/>
              <w:spacing w:before="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over</w:t>
            </w:r>
            <w:r w:rsidRPr="00C63CD4" w:rsidR="0046612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  <w:r w:rsidRPr="00C63CD4" w:rsidR="0046612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-f</w:t>
            </w:r>
            <w:r w:rsidRPr="00C63CD4" w:rsidR="00DB4A36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old more</w:t>
            </w:r>
          </w:p>
        </w:tc>
      </w:tr>
      <w:tr w:rsidRPr="00944940" w:rsidR="00F70B4D" w:rsidTr="003036C0" w14:paraId="4820AC1A" w14:textId="49EF1E50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196CFDC3" w14:textId="747C7303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054FE49B" w14:textId="3EFCAAB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202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63CD4" w14:paraId="6501BBB7" w14:textId="5D656C0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124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0EAB913F" w14:textId="06A2C3E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259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756AD147" w14:textId="2C37CBF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113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3F05B4" w:rsidR="003F05B4" w:rsidTr="003036C0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F70B4D" w:rsidP="00832B40" w:rsidRDefault="00F70B4D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018ECCAB" w14:textId="6F138F14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5E4E785D" w14:textId="553DC36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114</w:t>
            </w:r>
            <w:r w:rsidRPr="00C63CD4" w:rsidR="00FA0F2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C86EEB" w14:paraId="036C6321" w14:textId="771F309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C63CD4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92</w:t>
            </w:r>
            <w:r w:rsidRPr="00C63CD4" w:rsidR="00F70B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19A729CE" w14:textId="6ADD635A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1 003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FA0F2A" w14:paraId="7242EBA7" w14:textId="036DF6A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C63CD4" w:rsidR="006D714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Pr="00C63CD4" w:rsidR="003F05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</w:tr>
      <w:tr w:rsidRPr="00944940" w:rsidR="00F70B4D" w:rsidTr="003036C0" w14:paraId="104777EA" w14:textId="0C575B02">
        <w:trPr>
          <w:trHeight w:val="2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F70B4D" w:rsidP="00832B40" w:rsidRDefault="00F70B4D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C63CD4" w14:paraId="15CE9B80" w14:textId="39D32B42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F70B4D" w:rsidP="00832B40" w:rsidRDefault="00B90250" w14:paraId="3230310D" w14:textId="43EA6066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F70B4D" w:rsidP="00832B40" w:rsidRDefault="00B90250" w14:paraId="7DD6985C" w14:textId="0F891DF0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FA0F2A" w14:paraId="16CF41B8" w14:textId="7EAAACFA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</w:tcPr>
          <w:p w:rsidRPr="00C63CD4" w:rsidR="00F70B4D" w:rsidP="00832B40" w:rsidRDefault="003F05B4" w14:paraId="0E4B2097" w14:textId="0D45836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63CD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</w:t>
            </w:r>
            <w:r w:rsidRPr="00C63CD4" w:rsidR="00DC6DA3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.0</w:t>
            </w:r>
          </w:p>
        </w:tc>
      </w:tr>
    </w:tbl>
    <w:p w:rsidRPr="00C63CD4" w:rsidR="00154AC9" w:rsidP="0059068B" w:rsidRDefault="005D23AA" w14:paraId="34D75009" w14:textId="1C6C8AE0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Pr="00C63CD4" w:rsidR="003910A5">
        <w:rPr>
          <w:color w:val="000000" w:themeColor="text1"/>
          <w:szCs w:val="19"/>
          <w:shd w:val="clear" w:color="auto" w:fill="FFFFFF"/>
          <w:lang w:val="en-GB"/>
        </w:rPr>
        <w:t>May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C63CD4" w:rsidR="003910A5">
        <w:rPr>
          <w:color w:val="000000" w:themeColor="text1"/>
          <w:szCs w:val="19"/>
          <w:shd w:val="clear" w:color="auto" w:fill="FFFFFF"/>
          <w:lang w:val="en-GB"/>
        </w:rPr>
        <w:t>23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Pr="00C63CD4" w:rsidR="003910A5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Pr="00C63CD4" w:rsidR="00307633">
        <w:rPr>
          <w:color w:val="000000" w:themeColor="text1"/>
          <w:szCs w:val="19"/>
          <w:shd w:val="clear" w:color="auto" w:fill="FFFFFF"/>
          <w:lang w:val="en-GB"/>
        </w:rPr>
        <w:t>1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Pr="00C63CD4" w:rsidR="00307633">
        <w:rPr>
          <w:color w:val="000000" w:themeColor="text1"/>
          <w:szCs w:val="19"/>
          <w:shd w:val="clear" w:color="auto" w:fill="FFFFFF"/>
          <w:lang w:val="en-GB"/>
        </w:rPr>
        <w:t>8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3D0D4492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4B3232A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May 2024, compared to April 2024, the number of dwellings for which permits have been granted or which have been registered with a construction project, the number of dwellings in which construction has begun and the number of dwellings completed decreased (respectively by 1.5%, 6.7% and 8.7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DA6BE2" w:rsidP="00903A58" w:rsidRDefault="00DA6BE2" w14:paraId="58FBF1C9" w14:textId="7E28611B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May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the number of dwellings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(respectively by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May 2024, compared to April 2024, the number of dwellings for which permits have been granted or which have been registered with a construction project, the number of dwellings in which construction has begun and the number of dwellings completed decreased (respectively by 1.5%, 6.7% and 8.7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" w14:anchorId="50036E1A">
                <v:textbox>
                  <w:txbxContent>
                    <w:p w:rsidRPr="000F0D3F" w:rsidR="00DA6BE2" w:rsidP="00903A58" w:rsidRDefault="00DA6BE2" w14:paraId="58FBF1C9" w14:textId="7E28611B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May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the number of dwellings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(respectively by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DA6BE2" w14:paraId="1324031D" w14:textId="1F5E669E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DA6BE2">
        <w:rPr>
          <w:noProof/>
        </w:rPr>
        <w:drawing>
          <wp:anchor distT="0" distB="0" distL="114300" distR="114300" simplePos="0" relativeHeight="251822080" behindDoc="1" locked="0" layoutInCell="1" allowOverlap="1" wp14:editId="4AF46ED4" wp14:anchorId="1BB7E988">
            <wp:simplePos x="0" y="0"/>
            <wp:positionH relativeFrom="column">
              <wp:posOffset>-55880</wp:posOffset>
            </wp:positionH>
            <wp:positionV relativeFrom="paragraph">
              <wp:posOffset>155575</wp:posOffset>
            </wp:positionV>
            <wp:extent cx="5122545" cy="2172335"/>
            <wp:effectExtent l="0" t="0" r="1905" b="0"/>
            <wp:wrapNone/>
            <wp:docPr id="5" name="Obraz 5" descr="Chart 1. 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120" w:rsidP="009300BA" w:rsidRDefault="00466120" w14:paraId="5DA240AD" w14:textId="651BE810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209DEAC" w14:textId="6A9FB892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6FB02A4C" w14:textId="638FBA7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57B94DE9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04A84ED1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38B81BA6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09101D33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33EBB14E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12BBECB6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4BFE311D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914F5">
        <w:rPr>
          <w:noProof/>
          <w:color w:val="000000" w:themeColor="text1"/>
          <w:spacing w:val="-2"/>
          <w:lang w:val="en-GB"/>
        </w:rPr>
        <w:t>January</w:t>
      </w:r>
      <w:r w:rsidRPr="00C63CD4" w:rsidR="000075DE">
        <w:rPr>
          <w:noProof/>
          <w:color w:val="000000" w:themeColor="text1"/>
          <w:spacing w:val="-2"/>
          <w:lang w:val="en-GB"/>
        </w:rPr>
        <w:t>-</w:t>
      </w:r>
      <w:r w:rsidRPr="00C63CD4" w:rsidR="003910A5">
        <w:rPr>
          <w:noProof/>
          <w:color w:val="000000" w:themeColor="text1"/>
          <w:spacing w:val="-2"/>
          <w:lang w:val="en-GB"/>
        </w:rPr>
        <w:t>May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Pr="00C63CD4" w:rsidR="00DD2696">
        <w:rPr>
          <w:noProof/>
          <w:color w:val="000000" w:themeColor="text1"/>
          <w:spacing w:val="-2"/>
          <w:lang w:val="en-GB"/>
        </w:rPr>
        <w:t>respectively</w:t>
      </w:r>
      <w:r w:rsidRPr="00C63CD4" w:rsidR="00FF392D">
        <w:rPr>
          <w:noProof/>
          <w:color w:val="000000" w:themeColor="text1"/>
          <w:spacing w:val="-2"/>
          <w:lang w:val="en-GB"/>
        </w:rPr>
        <w:t>:</w:t>
      </w:r>
      <w:r w:rsidRPr="00C63CD4" w:rsidR="00DA23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1</w:t>
      </w:r>
      <w:r w:rsidRPr="00C63CD4" w:rsidR="003910A5">
        <w:rPr>
          <w:noProof/>
          <w:color w:val="000000" w:themeColor="text1"/>
          <w:spacing w:val="-2"/>
          <w:lang w:val="en-GB"/>
        </w:rPr>
        <w:t>4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3</w:t>
      </w:r>
      <w:r w:rsidRPr="00C63CD4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B90250">
        <w:rPr>
          <w:noProof/>
          <w:color w:val="000000" w:themeColor="text1"/>
          <w:spacing w:val="-2"/>
          <w:lang w:val="en-GB"/>
        </w:rPr>
        <w:t>1</w:t>
      </w:r>
      <w:r w:rsidRPr="00C63CD4" w:rsidR="003910A5">
        <w:rPr>
          <w:noProof/>
          <w:color w:val="000000" w:themeColor="text1"/>
          <w:spacing w:val="-2"/>
          <w:lang w:val="en-GB"/>
        </w:rPr>
        <w:t>9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3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Pr="00C63CD4" w:rsidR="00B90250">
        <w:rPr>
          <w:noProof/>
          <w:color w:val="000000" w:themeColor="text1"/>
          <w:spacing w:val="-2"/>
          <w:lang w:val="en-GB"/>
        </w:rPr>
        <w:t>2</w:t>
      </w:r>
      <w:r w:rsidRPr="00C63CD4" w:rsidR="003910A5">
        <w:rPr>
          <w:noProof/>
          <w:color w:val="000000" w:themeColor="text1"/>
          <w:spacing w:val="-2"/>
          <w:lang w:val="en-GB"/>
        </w:rPr>
        <w:t>5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7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Pr="00C63CD4" w:rsidR="00574E89">
        <w:rPr>
          <w:noProof/>
          <w:color w:val="000000" w:themeColor="text1"/>
          <w:spacing w:val="-2"/>
          <w:lang w:val="en-GB"/>
        </w:rPr>
        <w:t>). High values were also noted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Małopolskie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</w:t>
      </w:r>
      <w:r w:rsidRPr="00C63CD4" w:rsidR="003910A5">
        <w:rPr>
          <w:noProof/>
          <w:color w:val="000000" w:themeColor="text1"/>
          <w:spacing w:val="-2"/>
          <w:lang w:val="en-GB"/>
        </w:rPr>
        <w:t>8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7</w:t>
      </w:r>
      <w:r w:rsidRPr="00C63CD4" w:rsidR="00AA0D59">
        <w:rPr>
          <w:noProof/>
          <w:color w:val="000000" w:themeColor="text1"/>
          <w:spacing w:val="-2"/>
          <w:lang w:val="en-GB"/>
        </w:rPr>
        <w:t xml:space="preserve"> thousand, </w:t>
      </w:r>
      <w:r w:rsidRPr="00C63CD4" w:rsidR="003910A5">
        <w:rPr>
          <w:noProof/>
          <w:color w:val="000000" w:themeColor="text1"/>
          <w:spacing w:val="-2"/>
          <w:lang w:val="en-GB"/>
        </w:rPr>
        <w:t>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0</w:t>
      </w:r>
      <w:r w:rsidRPr="00C63CD4" w:rsidR="00AA0D59">
        <w:rPr>
          <w:noProof/>
          <w:color w:val="000000" w:themeColor="text1"/>
          <w:spacing w:val="-2"/>
          <w:lang w:val="en-GB"/>
        </w:rPr>
        <w:t> thousand 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910A5">
        <w:rPr>
          <w:noProof/>
          <w:color w:val="000000" w:themeColor="text1"/>
          <w:spacing w:val="-2"/>
          <w:lang w:val="en-GB"/>
        </w:rPr>
        <w:t>11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3</w:t>
      </w:r>
      <w:r w:rsidRPr="00C63CD4" w:rsidR="00AA0D59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F829A9">
        <w:rPr>
          <w:noProof/>
          <w:color w:val="000000" w:themeColor="text1"/>
          <w:spacing w:val="-2"/>
          <w:lang w:val="en-GB"/>
        </w:rPr>
        <w:t xml:space="preserve">), </w:t>
      </w:r>
      <w:r w:rsidRPr="00C63CD4" w:rsidR="00B90250">
        <w:rPr>
          <w:noProof/>
          <w:color w:val="000000" w:themeColor="text1"/>
          <w:spacing w:val="-2"/>
          <w:lang w:val="en-GB"/>
        </w:rPr>
        <w:t>Dolnośląskie</w:t>
      </w:r>
      <w:r w:rsidRPr="00C63CD4" w:rsidR="00D6223C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</w:t>
      </w:r>
      <w:r w:rsidRPr="00C63CD4" w:rsidR="003910A5">
        <w:rPr>
          <w:noProof/>
          <w:color w:val="000000" w:themeColor="text1"/>
          <w:spacing w:val="-2"/>
          <w:lang w:val="en-GB"/>
        </w:rPr>
        <w:t>6</w:t>
      </w:r>
      <w:r w:rsidRPr="00C63CD4" w:rsidR="00AA0D59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2</w:t>
      </w:r>
      <w:r w:rsidRPr="00C63CD4" w:rsidR="009F4CF9">
        <w:rPr>
          <w:noProof/>
          <w:color w:val="000000" w:themeColor="text1"/>
          <w:spacing w:val="-2"/>
          <w:lang w:val="en-GB"/>
        </w:rPr>
        <w:t> 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3910A5">
        <w:rPr>
          <w:noProof/>
          <w:color w:val="000000" w:themeColor="text1"/>
          <w:spacing w:val="-2"/>
          <w:lang w:val="en-GB"/>
        </w:rPr>
        <w:t>10</w:t>
      </w:r>
      <w:r w:rsidRPr="00C63CD4" w:rsidR="00AA0D59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0</w:t>
      </w:r>
      <w:r w:rsidRPr="00C63CD4" w:rsidR="00AA0D59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9F4CF9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Pr="00C63CD4" w:rsidR="003910A5">
        <w:rPr>
          <w:noProof/>
          <w:color w:val="000000" w:themeColor="text1"/>
          <w:spacing w:val="-2"/>
          <w:lang w:val="en-GB"/>
        </w:rPr>
        <w:t>11</w:t>
      </w:r>
      <w:r w:rsidRPr="00C63CD4" w:rsidR="00BB44BD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5</w:t>
      </w:r>
      <w:r w:rsidRPr="00C63CD4" w:rsidR="00D941DB">
        <w:rPr>
          <w:noProof/>
          <w:color w:val="000000" w:themeColor="text1"/>
          <w:spacing w:val="-2"/>
          <w:lang w:val="en-GB"/>
        </w:rPr>
        <w:t> thousand)</w:t>
      </w:r>
      <w:r w:rsidRPr="00C63CD4" w:rsidR="00F829A9">
        <w:rPr>
          <w:noProof/>
          <w:color w:val="000000" w:themeColor="text1"/>
          <w:spacing w:val="-2"/>
          <w:lang w:val="en-GB"/>
        </w:rPr>
        <w:t xml:space="preserve"> and </w:t>
      </w:r>
      <w:r w:rsidRPr="00C63CD4" w:rsidR="003D03D0">
        <w:rPr>
          <w:noProof/>
          <w:color w:val="000000" w:themeColor="text1"/>
          <w:spacing w:val="-2"/>
          <w:lang w:val="en-GB"/>
        </w:rPr>
        <w:t>Wielkopolskie</w:t>
      </w:r>
      <w:r w:rsidRPr="00C63CD4" w:rsidR="00F829A9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D1331">
        <w:rPr>
          <w:noProof/>
          <w:color w:val="000000" w:themeColor="text1"/>
          <w:spacing w:val="-2"/>
          <w:lang w:val="en-GB"/>
        </w:rPr>
        <w:t>(</w:t>
      </w:r>
      <w:r w:rsidRPr="00C63CD4" w:rsidR="003910A5">
        <w:rPr>
          <w:noProof/>
          <w:color w:val="000000" w:themeColor="text1"/>
          <w:spacing w:val="-2"/>
          <w:lang w:val="en-GB"/>
        </w:rPr>
        <w:t>7</w:t>
      </w:r>
      <w:r w:rsidRPr="00C63CD4" w:rsidR="003D1331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2</w:t>
      </w:r>
      <w:r w:rsidRPr="00C63CD4" w:rsidR="003D1331">
        <w:rPr>
          <w:noProof/>
          <w:color w:val="000000" w:themeColor="text1"/>
          <w:spacing w:val="-2"/>
          <w:lang w:val="en-GB"/>
        </w:rPr>
        <w:t xml:space="preserve"> thousand, </w:t>
      </w:r>
      <w:r w:rsidRPr="00C63CD4" w:rsidR="003910A5">
        <w:rPr>
          <w:noProof/>
          <w:color w:val="000000" w:themeColor="text1"/>
          <w:spacing w:val="-2"/>
          <w:lang w:val="en-GB"/>
        </w:rPr>
        <w:t>9</w:t>
      </w:r>
      <w:r w:rsidRPr="00C63CD4" w:rsidR="00DB4A36">
        <w:rPr>
          <w:noProof/>
          <w:color w:val="000000" w:themeColor="text1"/>
          <w:spacing w:val="-2"/>
          <w:lang w:val="en-GB"/>
        </w:rPr>
        <w:t>.</w:t>
      </w:r>
      <w:r w:rsidRPr="00C63CD4" w:rsidR="003910A5">
        <w:rPr>
          <w:noProof/>
          <w:color w:val="000000" w:themeColor="text1"/>
          <w:spacing w:val="-2"/>
          <w:lang w:val="en-GB"/>
        </w:rPr>
        <w:t>3</w:t>
      </w:r>
      <w:r w:rsidRPr="00C63CD4" w:rsidR="003D1331">
        <w:rPr>
          <w:noProof/>
          <w:color w:val="000000" w:themeColor="text1"/>
          <w:spacing w:val="-2"/>
          <w:lang w:val="en-GB"/>
        </w:rPr>
        <w:t xml:space="preserve"> </w:t>
      </w:r>
      <w:r w:rsidRPr="00642A6D" w:rsidR="003D1331">
        <w:rPr>
          <w:noProof/>
          <w:color w:val="000000" w:themeColor="text1"/>
          <w:spacing w:val="-2"/>
          <w:lang w:val="en-GB"/>
        </w:rPr>
        <w:t xml:space="preserve">thousand and </w:t>
      </w:r>
      <w:r w:rsidRPr="00642A6D" w:rsidR="003910A5">
        <w:rPr>
          <w:noProof/>
          <w:color w:val="000000" w:themeColor="text1"/>
          <w:spacing w:val="-2"/>
          <w:lang w:val="en-GB"/>
        </w:rPr>
        <w:t>10</w:t>
      </w:r>
      <w:r w:rsidRPr="00642A6D" w:rsidR="003D1331">
        <w:rPr>
          <w:noProof/>
          <w:color w:val="000000" w:themeColor="text1"/>
          <w:spacing w:val="-2"/>
          <w:lang w:val="en-GB"/>
        </w:rPr>
        <w:t>.</w:t>
      </w:r>
      <w:r w:rsidRPr="00642A6D" w:rsidR="003910A5">
        <w:rPr>
          <w:noProof/>
          <w:color w:val="000000" w:themeColor="text1"/>
          <w:spacing w:val="-2"/>
          <w:lang w:val="en-GB"/>
        </w:rPr>
        <w:t>7</w:t>
      </w:r>
      <w:r w:rsidRPr="00642A6D" w:rsidR="003D1331">
        <w:rPr>
          <w:noProof/>
          <w:color w:val="000000" w:themeColor="text1"/>
          <w:spacing w:val="-2"/>
          <w:lang w:val="en-GB"/>
        </w:rPr>
        <w:t> thousand)</w:t>
      </w:r>
      <w:r w:rsidRPr="00642A6D" w:rsidR="00EF4080">
        <w:rPr>
          <w:noProof/>
          <w:color w:val="000000" w:themeColor="text1"/>
          <w:spacing w:val="-2"/>
          <w:lang w:val="en-GB"/>
        </w:rPr>
        <w:t>.</w:t>
      </w:r>
    </w:p>
    <w:p w:rsidR="00903A58" w:rsidP="006D194B" w:rsidRDefault="00DA6BE2" w14:paraId="73CBA65A" w14:textId="73FDC424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DA6BE2">
        <w:rPr>
          <w:noProof/>
        </w:rPr>
        <w:drawing>
          <wp:anchor distT="0" distB="0" distL="114300" distR="114300" simplePos="0" relativeHeight="251823104" behindDoc="1" locked="0" layoutInCell="1" allowOverlap="1" wp14:editId="2D00800D" wp14:anchorId="5AE45863">
            <wp:simplePos x="0" y="0"/>
            <wp:positionH relativeFrom="column">
              <wp:posOffset>-320040</wp:posOffset>
            </wp:positionH>
            <wp:positionV relativeFrom="paragraph">
              <wp:posOffset>377825</wp:posOffset>
            </wp:positionV>
            <wp:extent cx="5122545" cy="2272030"/>
            <wp:effectExtent l="0" t="0" r="1905" b="0"/>
            <wp:wrapNone/>
            <wp:docPr id="6" name="Obraz 6" descr="Chart 2. Number of dwellings completed, number of dwellings for which permits have been granted or which have been registered with a construction project and number of dwellings in which construction has begun in January-May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 w:rsidR="001C1808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>
        <w:rPr>
          <w:rFonts w:ascii="Fira Sans" w:hAnsi="Fira Sans"/>
          <w:b/>
          <w:color w:val="auto"/>
          <w:sz w:val="18"/>
          <w:szCs w:val="18"/>
          <w:lang w:val="en-GB"/>
        </w:rPr>
        <w:t>May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3036C0" w14:paraId="49452228" w14:textId="21239508">
      <w:pPr>
        <w:rPr>
          <w:lang w:val="en-GB" w:eastAsia="pl-PL"/>
        </w:rPr>
      </w:pPr>
    </w:p>
    <w:p w:rsidRPr="00B61A3E" w:rsidR="00F97C1E" w:rsidP="00FE1642" w:rsidRDefault="00F97C1E" w14:paraId="4C3CD6AB" w14:textId="54F7A7B2">
      <w:pPr>
        <w:rPr>
          <w:lang w:val="en-GB"/>
        </w:rPr>
      </w:pPr>
    </w:p>
    <w:p w:rsidRPr="00FE1642" w:rsidR="00FE1642" w:rsidP="00FE1642" w:rsidRDefault="00FE1642" w14:paraId="6E5E8C6F" w14:textId="045B568C">
      <w:pPr>
        <w:rPr>
          <w:lang w:val="en-GB" w:eastAsia="pl-PL"/>
        </w:rPr>
      </w:pPr>
    </w:p>
    <w:p w:rsidR="007A22DD" w:rsidP="00A76D03" w:rsidRDefault="007A22DD" w14:paraId="7C86092F" w14:textId="3BC20B49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6ED16687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689C14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5E7B0D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4A1D19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="00764A7B" w:rsidP="006D17B1" w:rsidRDefault="00764A7B" w14:paraId="205CFE14" w14:textId="636513B9">
            <w:pPr>
              <w:rPr>
                <w:sz w:val="18"/>
              </w:rPr>
            </w:pPr>
          </w:p>
        </w:tc>
        <w:bookmarkStart w:name="_GoBack" w:id="1"/>
        <w:bookmarkEnd w:id="1"/>
      </w:tr>
      <w:tr w:rsidRPr="00D269C1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5E7B0D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5E7B0D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5E7B0D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5E7B0D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5E7B0D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5E7B0D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5E7B0D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48AD3F44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6450" w14:textId="77777777" w:rsidR="005E7B0D" w:rsidRDefault="005E7B0D" w:rsidP="000662E2">
      <w:pPr>
        <w:spacing w:after="0" w:line="240" w:lineRule="auto"/>
      </w:pPr>
      <w:r>
        <w:separator/>
      </w:r>
    </w:p>
  </w:endnote>
  <w:endnote w:type="continuationSeparator" w:id="0">
    <w:p w14:paraId="746EA72F" w14:textId="77777777" w:rsidR="005E7B0D" w:rsidRDefault="005E7B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E4E8CE" w14:textId="77777777" w:rsidR="00DA6BE2" w:rsidRPr="007B4F73" w:rsidRDefault="00DA6BE2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DA6BE2" w:rsidRDefault="00DA6BE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7FCF8" w14:textId="77777777" w:rsidR="005E7B0D" w:rsidRDefault="005E7B0D" w:rsidP="000662E2">
      <w:pPr>
        <w:spacing w:after="0" w:line="240" w:lineRule="auto"/>
      </w:pPr>
      <w:r>
        <w:separator/>
      </w:r>
    </w:p>
  </w:footnote>
  <w:footnote w:type="continuationSeparator" w:id="0">
    <w:p w14:paraId="2FCC7265" w14:textId="77777777" w:rsidR="005E7B0D" w:rsidRDefault="005E7B0D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DA6BE2" w:rsidRPr="008C48C6" w:rsidRDefault="00DA6BE2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DA6BE2" w:rsidRPr="000D79F7" w:rsidRDefault="00DA6BE2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EBF61" w14:textId="41E293A4" w:rsidR="00DA6BE2" w:rsidRDefault="00DA6B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01F1" w14:textId="3431A0ED" w:rsidR="00DA6BE2" w:rsidRDefault="00DA6BE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5F9BF61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4.06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A414E04" w:rsidR="00DA6BE2" w:rsidRPr="00C97596" w:rsidRDefault="00DA6BE2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24.06.2024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4.06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AHK+LW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2A414E04" w:rsidR="00DA6BE2" w:rsidRPr="00C97596" w:rsidRDefault="00DA6BE2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24.06.2024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DA6BE2" w:rsidRPr="003C6C8D" w:rsidRDefault="00DA6BE2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DA6BE2" w:rsidRPr="003C6C8D" w:rsidRDefault="00DA6BE2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62A5" w14:textId="12DA00D1" w:rsidR="00DA6BE2" w:rsidRDefault="00DA6BE2">
    <w:pPr>
      <w:pStyle w:val="Nagwek"/>
    </w:pPr>
  </w:p>
  <w:p w14:paraId="77A82982" w14:textId="77777777" w:rsidR="00DA6BE2" w:rsidRDefault="00DA6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pt;height:124.65pt;visibility:visible;mso-wrap-style:square" o:bullet="t">
        <v:imagedata r:id="rId1" o:title=""/>
      </v:shape>
    </w:pict>
  </w:numPicBullet>
  <w:numPicBullet w:numPicBulletId="1">
    <w:pict>
      <v:shape id="_x0000_i1031" type="#_x0000_t75" style="width:124.1pt;height:124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3EDC"/>
    <w:rsid w:val="000B470B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424E"/>
    <w:rsid w:val="002D52E5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C75"/>
    <w:rsid w:val="005C6AA4"/>
    <w:rsid w:val="005C74E7"/>
    <w:rsid w:val="005C7839"/>
    <w:rsid w:val="005D01B4"/>
    <w:rsid w:val="005D1C2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42327"/>
    <w:rsid w:val="00642778"/>
    <w:rsid w:val="00642A2B"/>
    <w:rsid w:val="00642A6D"/>
    <w:rsid w:val="00645CCC"/>
    <w:rsid w:val="00646D6F"/>
    <w:rsid w:val="00647DE3"/>
    <w:rsid w:val="00651D40"/>
    <w:rsid w:val="00652E3E"/>
    <w:rsid w:val="00654FAC"/>
    <w:rsid w:val="0065707D"/>
    <w:rsid w:val="0066307D"/>
    <w:rsid w:val="00664589"/>
    <w:rsid w:val="006649EC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872E7"/>
    <w:rsid w:val="0079134B"/>
    <w:rsid w:val="007927C9"/>
    <w:rsid w:val="00792CF1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07B71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1FCF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25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6EEB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7F38"/>
    <w:rsid w:val="00CF0172"/>
    <w:rsid w:val="00CF140B"/>
    <w:rsid w:val="00CF2564"/>
    <w:rsid w:val="00CF36C5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C6DA3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5CB7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4D3B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7983"/>
    <w:rsid w:val="00ED7CC8"/>
    <w:rsid w:val="00EE373E"/>
    <w:rsid w:val="00EE41D5"/>
    <w:rsid w:val="00EE4C06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E9"/>
    <w:rsid w:val="00F43705"/>
    <w:rsid w:val="00F43757"/>
    <w:rsid w:val="00F4397D"/>
    <w:rsid w:val="00F4468C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residential_construction_in_the_period_of_january-may_2024.docx.docx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6778C0A2-F90D-457E-A054-7D6667BEE818}"/>
</file>

<file path=customXml/itemProps3.xml><?xml version="1.0" encoding="utf-8"?>
<ds:datastoreItem xmlns:ds="http://schemas.openxmlformats.org/officeDocument/2006/customXml" ds:itemID="{CD4E0507-F25B-4508-A780-A52EA15A4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1086</Words>
  <Characters>6521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2024-04-18T10:32:00Z</cp:lastPrinted>
  <dcterms:created xsi:type="dcterms:W3CDTF">2024-02-19T12:24:00Z</dcterms:created>
  <dcterms:modified xsi:type="dcterms:W3CDTF">2024-06-18T05:58:00Z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LUB-OSB.6360.5.2024.12</vt:lpwstr>
  </property>
  <property fmtid="{D5CDD505-2E9C-101B-9397-08002B2CF9AE}" pid="4" name="UNPPisma">
    <vt:lpwstr>2024-141136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Budownictwo mieszkaniowe w okresie styczeń - maj 2024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2024-06-19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