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34D110DF" w:rsidR="00393761" w:rsidRPr="004D004E" w:rsidRDefault="00F16692" w:rsidP="005B5788">
      <w:pPr>
        <w:pStyle w:val="Tytuinfomacjisygnalnej"/>
        <w:rPr>
          <w:rFonts w:cs="Fira Sans Extra Condensed SemiB"/>
          <w:bCs/>
          <w:spacing w:val="-2"/>
          <w:szCs w:val="40"/>
          <w:lang w:val="en-GB"/>
        </w:rPr>
      </w:pPr>
      <w:r w:rsidRPr="004D004E">
        <w:rPr>
          <w:rFonts w:cs="Fira Sans Extra Condensed SemiB"/>
          <w:bCs/>
          <w:spacing w:val="-2"/>
          <w:szCs w:val="40"/>
          <w:lang w:val="en-GB"/>
        </w:rPr>
        <w:t>Cultural and creative industries in</w:t>
      </w:r>
      <w:r w:rsidR="0004126F">
        <w:rPr>
          <w:rFonts w:cs="Fira Sans Extra Condensed SemiB"/>
          <w:bCs/>
          <w:spacing w:val="-2"/>
          <w:szCs w:val="40"/>
          <w:lang w:val="en-GB"/>
        </w:rPr>
        <w:t xml:space="preserve"> 2022</w:t>
      </w:r>
    </w:p>
    <w:p w14:paraId="57FB7B71" w14:textId="1DD10E67" w:rsidR="003521FF" w:rsidRPr="004D004E" w:rsidRDefault="00241FA7" w:rsidP="00E8524C">
      <w:pPr>
        <w:pStyle w:val="LID"/>
        <w:spacing w:before="360" w:after="240"/>
        <w:rPr>
          <w:lang w:val="en-GB"/>
        </w:rPr>
      </w:pPr>
      <w:r w:rsidRPr="004D004E">
        <w:rPr>
          <w:color w:val="001D77"/>
        </w:rPr>
        <mc:AlternateContent>
          <mc:Choice Requires="wps">
            <w:drawing>
              <wp:anchor distT="45720" distB="45720" distL="114300" distR="114300" simplePos="0" relativeHeight="251784192" behindDoc="0" locked="0" layoutInCell="1" allowOverlap="1" wp14:anchorId="309455C4" wp14:editId="66880BBD">
                <wp:simplePos x="0" y="0"/>
                <wp:positionH relativeFrom="margin">
                  <wp:align>left</wp:align>
                </wp:positionH>
                <wp:positionV relativeFrom="paragraph">
                  <wp:posOffset>6985</wp:posOffset>
                </wp:positionV>
                <wp:extent cx="2095500" cy="1645920"/>
                <wp:effectExtent l="0" t="0" r="0" b="0"/>
                <wp:wrapSquare wrapText="bothSides"/>
                <wp:docPr id="3" name="Pole tekstowe 2" descr="Arrow icon pointing down, representing 3.6% decrease in the number of enterprises belonging to the cultural and creative industries in comparison to 2021&#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45920"/>
                        </a:xfrm>
                        <a:prstGeom prst="roundRect">
                          <a:avLst/>
                        </a:prstGeom>
                        <a:solidFill>
                          <a:srgbClr val="001D77"/>
                        </a:solidFill>
                        <a:ln w="9525">
                          <a:noFill/>
                          <a:miter lim="800000"/>
                          <a:headEnd/>
                          <a:tailEnd/>
                        </a:ln>
                      </wps:spPr>
                      <wps:txbx>
                        <w:txbxContent>
                          <w:p w14:paraId="4F5165EB" w14:textId="03E1B701" w:rsidR="00241FA7" w:rsidRPr="003521FF" w:rsidRDefault="0004126F"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Pr>
                                <w:rStyle w:val="IkonawskanikaZnak"/>
                                <w:sz w:val="76"/>
                                <w:szCs w:val="76"/>
                              </w:rPr>
                              <w:sym w:font="Wingdings" w:char="F0F2"/>
                            </w:r>
                            <w:r w:rsidR="00241FA7" w:rsidRPr="003521FF">
                              <w:rPr>
                                <w:rStyle w:val="WartowskanikaZnak"/>
                                <w:lang w:val="en-GB"/>
                              </w:rPr>
                              <w:t xml:space="preserve"> </w:t>
                            </w:r>
                            <w:r>
                              <w:rPr>
                                <w:rStyle w:val="WartowskanikaZnak"/>
                                <w:sz w:val="72"/>
                                <w:szCs w:val="72"/>
                                <w:lang w:val="en-GB"/>
                              </w:rPr>
                              <w:t>3.6</w:t>
                            </w:r>
                            <w:r w:rsidR="00241FA7" w:rsidRPr="003521FF">
                              <w:rPr>
                                <w:rStyle w:val="WartowskanikaZnak"/>
                                <w:sz w:val="72"/>
                                <w:szCs w:val="72"/>
                                <w:lang w:val="en-GB"/>
                              </w:rPr>
                              <w:t>%</w:t>
                            </w:r>
                          </w:p>
                          <w:p w14:paraId="569EB95B" w14:textId="13E4CCDD" w:rsidR="00241FA7" w:rsidRPr="00F16692" w:rsidRDefault="00844717" w:rsidP="00241FA7">
                            <w:pPr>
                              <w:pStyle w:val="Opiswskanika"/>
                              <w:spacing w:before="120"/>
                              <w:rPr>
                                <w:sz w:val="18"/>
                                <w:szCs w:val="20"/>
                                <w:lang w:val="en-US"/>
                              </w:rPr>
                            </w:pPr>
                            <w:r>
                              <w:rPr>
                                <w:lang w:val="en-GB"/>
                              </w:rPr>
                              <w:t>A</w:t>
                            </w:r>
                            <w:r w:rsidR="0004126F">
                              <w:rPr>
                                <w:lang w:val="en-GB"/>
                              </w:rPr>
                              <w:t xml:space="preserve"> de</w:t>
                            </w:r>
                            <w:r w:rsidR="00F16692">
                              <w:rPr>
                                <w:lang w:val="en-GB"/>
                              </w:rPr>
                              <w:t>crease in the number of enterprises belonging</w:t>
                            </w:r>
                            <w:r w:rsidR="0004126F">
                              <w:rPr>
                                <w:lang w:val="en-GB"/>
                              </w:rPr>
                              <w:t xml:space="preserve"> to the cultural and creative in</w:t>
                            </w:r>
                            <w:r w:rsidR="00F16692">
                              <w:rPr>
                                <w:lang w:val="en-GB"/>
                              </w:rPr>
                              <w:t xml:space="preserve">dustries </w:t>
                            </w:r>
                            <w:r w:rsidR="0004126F">
                              <w:rPr>
                                <w:lang w:val="en-GB"/>
                              </w:rPr>
                              <w:t>in comparison to</w:t>
                            </w:r>
                            <w:r w:rsidR="00F16692">
                              <w:rPr>
                                <w:lang w:val="en-GB"/>
                              </w:rPr>
                              <w:t xml:space="preserve"> </w:t>
                            </w:r>
                            <w:r w:rsidR="0004126F">
                              <w:rPr>
                                <w:color w:val="FFFFFF"/>
                                <w:szCs w:val="20"/>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down, representing 3.6% decrease in the number of enterprises belonging to the cultural and creative industries in comparison to 2021&#10;&#10;&#10;" style="position:absolute;margin-left:0;margin-top:.55pt;width:165pt;height:129.6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WUmAIAANcEAAAOAAAAZHJzL2Uyb0RvYy54bWysVFFv0zAQfkfiP1hG8ARNmrXbWpZOY2MI&#10;acDE4Ac4zqWx5viM7TQpv56z223VeEPkwbJ9d5/vvvsuZ+djp9kGnFdoSj6d5JyBkVgrsy75zx/X&#10;704580GYWmg0UPIteH6+evnibLBLKLBFXYNjBGL8crAlb0OwyyzzsoVO+AlaMGRs0HUi0NGts9qJ&#10;gdA7nRV5fpwN6GrrUIL3dHu1M/JVwm8akOFb03gITJeccgtpdWmt4pqtzsRy7YRtldynIf4hi04o&#10;Q48+Ql2JIFjv1F9QnZIOPTZhIrHLsGmUhFQDVTPNn1Vz1woLqRYix9tHmvz/g5VfN7eOqbrkR5wZ&#10;0VGLblEDC3DvAw7ACs5q8JIou3AOB6YkGmZRmUB0sxoH85Y5sA487K6OJsevKUQ6EB6YMiy0wEzf&#10;VdRnbEgdAZx1yoNnFZAo1hEnYHKTvQ69E5qRYFhECGoTMereB6coguCINysontKgqCIvpm9ejRfv&#10;n5bY08H6JZV2Z6m4MH7AkbSZ+uPtDcp7zwxetsKsIRXVgqiJ02mMzA5Cdzg+glTDF6yJHNEHTEBj&#10;47rYcGohI3TS1vZRTzAGJumyyBfzeU4mSbbp8Wy+KJLiMrF8CLfOh0+AHYubkjvsTf2dVJveEJsb&#10;H2JOYvngF5/0qFV9rbROB7euLrVjGxEVnk+vTk5SGc/ctGFDyRfzYp6QDcb4JP5OUUOYVl3JT/P4&#10;7WYicvLR1MklCKV3e8pEmz1JkZcdQ2GsRnKMzFVYb4kuh7tJoz8DbVp0vzkbaMpK7n/1wgFn+rMh&#10;yhfT2SyOZTrM5ifED3OHlurQIowkqJIHTgKJ28uQRjnyYPCCWtOoxNdTJvtcaXoSjftJj+N5eE5e&#10;T/+j1R8AAAD//wMAUEsDBBQABgAIAAAAIQAem/gt2wAAAAYBAAAPAAAAZHJzL2Rvd25yZXYueG1s&#10;TI/BTsMwEETvSPyDtUhcImq3kSoU4lQUKRzoiRTubryNI+J1FLtN+HuWExxnZzXzptwtfhBXnGIf&#10;SMN6pUAgtcH21Gn4ONYPjyBiMmTNEAg1fGOEXXV7U5rChpne8dqkTnAIxcJocCmNhZSxdehNXIUR&#10;ib1zmLxJLKdO2snMHO4HuVFqK73piRucGfHFYfvVXLyG/XQ+NCpfotsf3w5ZXWefr3Om9f3d8vwE&#10;IuGS/p7hF5/RoWKmU7iQjWLQwEMSX9cg2MxzxfqkYbNVOciqlP/xqx8AAAD//wMAUEsBAi0AFAAG&#10;AAgAAAAhALaDOJL+AAAA4QEAABMAAAAAAAAAAAAAAAAAAAAAAFtDb250ZW50X1R5cGVzXS54bWxQ&#10;SwECLQAUAAYACAAAACEAOP0h/9YAAACUAQAACwAAAAAAAAAAAAAAAAAvAQAAX3JlbHMvLnJlbHNQ&#10;SwECLQAUAAYACAAAACEAPeyVlJgCAADXBAAADgAAAAAAAAAAAAAAAAAuAgAAZHJzL2Uyb0RvYy54&#10;bWxQSwECLQAUAAYACAAAACEAHpv4LdsAAAAGAQAADwAAAAAAAAAAAAAAAADyBAAAZHJzL2Rvd25y&#10;ZXYueG1sUEsFBgAAAAAEAAQA8wAAAPoFAAAAAA==&#10;" fillcolor="#001d77" stroked="f">
                <v:stroke joinstyle="miter"/>
                <v:textbox>
                  <w:txbxContent>
                    <w:p w14:paraId="4F5165EB" w14:textId="03E1B701" w:rsidR="00241FA7" w:rsidRPr="003521FF" w:rsidRDefault="0004126F" w:rsidP="00241FA7">
                      <w:pPr>
                        <w:autoSpaceDE w:val="0"/>
                        <w:autoSpaceDN w:val="0"/>
                        <w:adjustRightInd w:val="0"/>
                        <w:spacing w:before="0" w:after="0" w:line="240" w:lineRule="auto"/>
                        <w:rPr>
                          <w:rFonts w:ascii="Fira Sans SemiBold" w:hAnsi="Fira Sans SemiBold"/>
                          <w:color w:val="FFFFFF" w:themeColor="background1"/>
                          <w:sz w:val="72"/>
                          <w:szCs w:val="72"/>
                          <w:lang w:val="en-GB"/>
                        </w:rPr>
                      </w:pPr>
                      <w:r>
                        <w:rPr>
                          <w:rStyle w:val="IkonawskanikaZnak"/>
                          <w:sz w:val="76"/>
                          <w:szCs w:val="76"/>
                        </w:rPr>
                        <w:sym w:font="Wingdings" w:char="F0F2"/>
                      </w:r>
                      <w:r w:rsidR="00241FA7" w:rsidRPr="003521FF">
                        <w:rPr>
                          <w:rStyle w:val="WartowskanikaZnak"/>
                          <w:lang w:val="en-GB"/>
                        </w:rPr>
                        <w:t xml:space="preserve"> </w:t>
                      </w:r>
                      <w:r>
                        <w:rPr>
                          <w:rStyle w:val="WartowskanikaZnak"/>
                          <w:sz w:val="72"/>
                          <w:szCs w:val="72"/>
                          <w:lang w:val="en-GB"/>
                        </w:rPr>
                        <w:t>3.6</w:t>
                      </w:r>
                      <w:r w:rsidR="00241FA7" w:rsidRPr="003521FF">
                        <w:rPr>
                          <w:rStyle w:val="WartowskanikaZnak"/>
                          <w:sz w:val="72"/>
                          <w:szCs w:val="72"/>
                          <w:lang w:val="en-GB"/>
                        </w:rPr>
                        <w:t>%</w:t>
                      </w:r>
                    </w:p>
                    <w:p w14:paraId="569EB95B" w14:textId="13E4CCDD" w:rsidR="00241FA7" w:rsidRPr="00F16692" w:rsidRDefault="00844717" w:rsidP="00241FA7">
                      <w:pPr>
                        <w:pStyle w:val="Opiswskanika"/>
                        <w:spacing w:before="120"/>
                        <w:rPr>
                          <w:sz w:val="18"/>
                          <w:szCs w:val="20"/>
                          <w:lang w:val="en-US"/>
                        </w:rPr>
                      </w:pPr>
                      <w:r>
                        <w:rPr>
                          <w:lang w:val="en-GB"/>
                        </w:rPr>
                        <w:t>A</w:t>
                      </w:r>
                      <w:r w:rsidR="0004126F">
                        <w:rPr>
                          <w:lang w:val="en-GB"/>
                        </w:rPr>
                        <w:t xml:space="preserve"> de</w:t>
                      </w:r>
                      <w:r w:rsidR="00F16692">
                        <w:rPr>
                          <w:lang w:val="en-GB"/>
                        </w:rPr>
                        <w:t>crease in the number of enterprises belonging</w:t>
                      </w:r>
                      <w:r w:rsidR="0004126F">
                        <w:rPr>
                          <w:lang w:val="en-GB"/>
                        </w:rPr>
                        <w:t xml:space="preserve"> to the cultural and creative in</w:t>
                      </w:r>
                      <w:r w:rsidR="00F16692">
                        <w:rPr>
                          <w:lang w:val="en-GB"/>
                        </w:rPr>
                        <w:t xml:space="preserve">dustries </w:t>
                      </w:r>
                      <w:r w:rsidR="0004126F">
                        <w:rPr>
                          <w:lang w:val="en-GB"/>
                        </w:rPr>
                        <w:t>in comparison to</w:t>
                      </w:r>
                      <w:r w:rsidR="00F16692">
                        <w:rPr>
                          <w:lang w:val="en-GB"/>
                        </w:rPr>
                        <w:t xml:space="preserve"> </w:t>
                      </w:r>
                      <w:r w:rsidR="0004126F">
                        <w:rPr>
                          <w:color w:val="FFFFFF"/>
                          <w:szCs w:val="20"/>
                          <w:lang w:val="en-US"/>
                        </w:rPr>
                        <w:t>2021</w:t>
                      </w:r>
                    </w:p>
                  </w:txbxContent>
                </v:textbox>
                <w10:wrap type="square" anchorx="margin"/>
              </v:roundrect>
            </w:pict>
          </mc:Fallback>
        </mc:AlternateContent>
      </w:r>
      <w:r w:rsidR="00FA5211">
        <w:rPr>
          <w:lang w:val="en-GB"/>
        </w:rPr>
        <w:t>130.1</w:t>
      </w:r>
      <w:r w:rsidR="004267AC" w:rsidRPr="004D004E">
        <w:rPr>
          <w:lang w:val="en-GB"/>
        </w:rPr>
        <w:t xml:space="preserve"> thousand enterprises belonging to the cultural and crea</w:t>
      </w:r>
      <w:r w:rsidR="00FA5211">
        <w:rPr>
          <w:lang w:val="en-GB"/>
        </w:rPr>
        <w:t xml:space="preserve">tive industries </w:t>
      </w:r>
      <w:r w:rsidR="003265B2">
        <w:rPr>
          <w:lang w:val="en-GB"/>
        </w:rPr>
        <w:t>operated in 2022, of which 99.1</w:t>
      </w:r>
      <w:r w:rsidR="00FA5211">
        <w:rPr>
          <w:lang w:val="en-GB"/>
        </w:rPr>
        <w:t>%</w:t>
      </w:r>
      <w:r w:rsidR="004267AC" w:rsidRPr="004D004E">
        <w:rPr>
          <w:lang w:val="en-GB"/>
        </w:rPr>
        <w:t xml:space="preserve"> were micro</w:t>
      </w:r>
      <w:r w:rsidR="00F56F3E">
        <w:rPr>
          <w:lang w:val="en-GB"/>
        </w:rPr>
        <w:t>-</w:t>
      </w:r>
      <w:r w:rsidR="00BB02B7">
        <w:rPr>
          <w:lang w:val="en-GB"/>
        </w:rPr>
        <w:t>enterprises</w:t>
      </w:r>
      <w:r w:rsidR="004267AC" w:rsidRPr="004D004E">
        <w:rPr>
          <w:lang w:val="en-GB"/>
        </w:rPr>
        <w:t>.</w:t>
      </w:r>
      <w:r w:rsidR="009A68CA">
        <w:rPr>
          <w:lang w:val="en-GB"/>
        </w:rPr>
        <w:t xml:space="preserve"> </w:t>
      </w:r>
      <w:r w:rsidR="00302E96">
        <w:rPr>
          <w:lang w:val="en-GB"/>
        </w:rPr>
        <w:t>N</w:t>
      </w:r>
      <w:r w:rsidR="009A68CA">
        <w:rPr>
          <w:lang w:val="en-GB"/>
        </w:rPr>
        <w:t>umber of employe</w:t>
      </w:r>
      <w:r w:rsidR="00D10688">
        <w:rPr>
          <w:lang w:val="en-GB"/>
        </w:rPr>
        <w:t>d persons</w:t>
      </w:r>
      <w:r w:rsidR="00406856">
        <w:rPr>
          <w:lang w:val="en-GB"/>
        </w:rPr>
        <w:t xml:space="preserve"> amounted to</w:t>
      </w:r>
      <w:r w:rsidR="009A68CA">
        <w:rPr>
          <w:lang w:val="en-GB"/>
        </w:rPr>
        <w:t xml:space="preserve"> 256.0 thousand and average paid employment </w:t>
      </w:r>
      <w:r w:rsidR="00406856">
        <w:rPr>
          <w:lang w:val="en-GB"/>
        </w:rPr>
        <w:t>amounted to</w:t>
      </w:r>
      <w:r w:rsidR="004267AC" w:rsidRPr="004D004E">
        <w:rPr>
          <w:lang w:val="en-GB"/>
        </w:rPr>
        <w:t xml:space="preserve"> </w:t>
      </w:r>
      <w:r w:rsidR="00406856">
        <w:rPr>
          <w:lang w:val="en-GB"/>
        </w:rPr>
        <w:t>101.6 thousand</w:t>
      </w:r>
      <w:r w:rsidR="00D10688">
        <w:rPr>
          <w:lang w:val="en-GB"/>
        </w:rPr>
        <w:t xml:space="preserve"> </w:t>
      </w:r>
      <w:r w:rsidR="0063617A">
        <w:rPr>
          <w:lang w:val="en-GB"/>
        </w:rPr>
        <w:t>full-time jobs</w:t>
      </w:r>
      <w:r w:rsidR="00406856">
        <w:rPr>
          <w:lang w:val="en-GB"/>
        </w:rPr>
        <w:t xml:space="preserve">. </w:t>
      </w:r>
      <w:r w:rsidR="004267AC" w:rsidRPr="004D004E">
        <w:rPr>
          <w:lang w:val="en-GB"/>
        </w:rPr>
        <w:t xml:space="preserve">Gross monthly salary per </w:t>
      </w:r>
      <w:r w:rsidR="00406856">
        <w:rPr>
          <w:lang w:val="en-GB"/>
        </w:rPr>
        <w:t>one employee amounted to PLN 7,979.</w:t>
      </w:r>
      <w:r w:rsidR="00BF2F72">
        <w:rPr>
          <w:lang w:val="en-GB"/>
        </w:rPr>
        <w:t xml:space="preserve"> </w:t>
      </w:r>
      <w:r w:rsidR="0069276C">
        <w:rPr>
          <w:lang w:val="en-GB"/>
        </w:rPr>
        <w:t>I</w:t>
      </w:r>
      <w:r w:rsidR="00BF2F72">
        <w:rPr>
          <w:lang w:val="en-GB"/>
        </w:rPr>
        <w:t>nternational trade in cultural</w:t>
      </w:r>
      <w:r w:rsidR="0069276C">
        <w:rPr>
          <w:lang w:val="en-GB"/>
        </w:rPr>
        <w:t xml:space="preserve"> and creative goods</w:t>
      </w:r>
      <w:r w:rsidR="00BF2F72">
        <w:rPr>
          <w:lang w:val="en-GB"/>
        </w:rPr>
        <w:t xml:space="preserve"> was characteri</w:t>
      </w:r>
      <w:r w:rsidR="00302E96">
        <w:rPr>
          <w:lang w:val="en-GB"/>
        </w:rPr>
        <w:t>s</w:t>
      </w:r>
      <w:r w:rsidR="00BF2F72">
        <w:rPr>
          <w:lang w:val="en-GB"/>
        </w:rPr>
        <w:t>ed by a</w:t>
      </w:r>
      <w:r w:rsidR="00B45F13">
        <w:rPr>
          <w:lang w:val="en-GB"/>
        </w:rPr>
        <w:t> </w:t>
      </w:r>
      <w:r w:rsidR="00BF2F72">
        <w:rPr>
          <w:lang w:val="en-GB"/>
        </w:rPr>
        <w:t xml:space="preserve">positive balance of turnover, </w:t>
      </w:r>
      <w:r w:rsidR="00D10688">
        <w:rPr>
          <w:lang w:val="en-GB"/>
        </w:rPr>
        <w:t>while</w:t>
      </w:r>
      <w:r w:rsidR="00BF2F72">
        <w:rPr>
          <w:lang w:val="en-GB"/>
        </w:rPr>
        <w:t xml:space="preserve"> </w:t>
      </w:r>
      <w:r w:rsidR="00D10688">
        <w:rPr>
          <w:lang w:val="en-GB"/>
        </w:rPr>
        <w:t xml:space="preserve">international trade in </w:t>
      </w:r>
      <w:r w:rsidR="00BF2F72">
        <w:rPr>
          <w:lang w:val="en-GB"/>
        </w:rPr>
        <w:t xml:space="preserve">cultural and creative services </w:t>
      </w:r>
      <w:r w:rsidR="00D10688">
        <w:rPr>
          <w:lang w:val="en-GB"/>
        </w:rPr>
        <w:t xml:space="preserve">was characterised by </w:t>
      </w:r>
      <w:r w:rsidR="00EC512C">
        <w:rPr>
          <w:lang w:val="en-GB"/>
        </w:rPr>
        <w:t>negative balance.</w:t>
      </w:r>
    </w:p>
    <w:p w14:paraId="3884FF75" w14:textId="5A2DFF06" w:rsidR="006D4224" w:rsidRPr="004D004E" w:rsidRDefault="00DD62BE" w:rsidP="006D4224">
      <w:pPr>
        <w:pStyle w:val="Nagwek1"/>
        <w:rPr>
          <w:lang w:val="en-GB"/>
        </w:rPr>
      </w:pPr>
      <w:r w:rsidRPr="004D004E">
        <w:rPr>
          <w:lang w:val="en-GB"/>
        </w:rPr>
        <w:t>The number and types of enterprises belonging to the cultural and creative industries</w:t>
      </w:r>
    </w:p>
    <w:p w14:paraId="61B83984" w14:textId="4CF49F88" w:rsidR="004267AC" w:rsidRPr="004D004E" w:rsidRDefault="00E8524C" w:rsidP="008911E2">
      <w:pPr>
        <w:spacing w:line="288" w:lineRule="auto"/>
        <w:rPr>
          <w:lang w:val="en-GB"/>
        </w:rPr>
      </w:pPr>
      <w:r>
        <w:rPr>
          <w:lang w:val="en-GB"/>
        </w:rPr>
        <w:t xml:space="preserve">In 2022, for the first time </w:t>
      </w:r>
      <w:r w:rsidR="00D10688">
        <w:rPr>
          <w:lang w:val="en-GB"/>
        </w:rPr>
        <w:t>since</w:t>
      </w:r>
      <w:r>
        <w:rPr>
          <w:lang w:val="en-GB"/>
        </w:rPr>
        <w:t xml:space="preserve"> 2015, </w:t>
      </w:r>
      <w:r w:rsidR="00302E96">
        <w:rPr>
          <w:lang w:val="en-GB"/>
        </w:rPr>
        <w:t xml:space="preserve">there </w:t>
      </w:r>
      <w:r>
        <w:rPr>
          <w:lang w:val="en-GB"/>
        </w:rPr>
        <w:t>was a decrease in the number of entities belonging to the cultural and creative industries. The number of entities amounted to 130.1</w:t>
      </w:r>
      <w:r w:rsidR="00B45F13">
        <w:rPr>
          <w:lang w:val="en-GB"/>
        </w:rPr>
        <w:t> </w:t>
      </w:r>
      <w:r>
        <w:rPr>
          <w:lang w:val="en-GB"/>
        </w:rPr>
        <w:t xml:space="preserve">thousand (in comparison to 2021 decreased by 3.6%, i.e. 4.9 thousand of entities), </w:t>
      </w:r>
      <w:r w:rsidR="00A41DCB">
        <w:rPr>
          <w:lang w:val="en-GB"/>
        </w:rPr>
        <w:t>and</w:t>
      </w:r>
      <w:r w:rsidR="002064CD">
        <w:rPr>
          <w:lang w:val="en-GB"/>
        </w:rPr>
        <w:t> </w:t>
      </w:r>
      <w:r>
        <w:rPr>
          <w:lang w:val="en-GB"/>
        </w:rPr>
        <w:t>accounted for 5.5% of all non-financial enterprises in Poland.</w:t>
      </w:r>
    </w:p>
    <w:p w14:paraId="3EC51CB7" w14:textId="2F3AF2F3" w:rsidR="00905935" w:rsidRDefault="008911E2" w:rsidP="00F15EA6">
      <w:pPr>
        <w:pStyle w:val="Tytuwykresu0"/>
        <w:ind w:left="709" w:hanging="709"/>
        <w:rPr>
          <w:rFonts w:ascii="Fira Sans" w:hAnsi="Fira Sans"/>
          <w:lang w:val="en-GB"/>
        </w:rPr>
      </w:pPr>
      <w:r w:rsidRPr="004D004E">
        <mc:AlternateContent>
          <mc:Choice Requires="wps">
            <w:drawing>
              <wp:anchor distT="45720" distB="45720" distL="114300" distR="114300" simplePos="0" relativeHeight="251798528" behindDoc="1" locked="0" layoutInCell="1" allowOverlap="1" wp14:anchorId="24A9C92F" wp14:editId="508DFEA4">
                <wp:simplePos x="0" y="0"/>
                <wp:positionH relativeFrom="column">
                  <wp:posOffset>5276311</wp:posOffset>
                </wp:positionH>
                <wp:positionV relativeFrom="paragraph">
                  <wp:posOffset>3007576</wp:posOffset>
                </wp:positionV>
                <wp:extent cx="1725295" cy="1200647"/>
                <wp:effectExtent l="0" t="0" r="0" b="0"/>
                <wp:wrapTight wrapText="bothSides">
                  <wp:wrapPolygon edited="0">
                    <wp:start x="715" y="0"/>
                    <wp:lineTo x="715" y="21257"/>
                    <wp:lineTo x="20749" y="21257"/>
                    <wp:lineTo x="20749" y="0"/>
                    <wp:lineTo x="715" y="0"/>
                  </wp:wrapPolygon>
                </wp:wrapTight>
                <wp:docPr id="24" name="Prostokąt 24" descr="The largest number of enterprises belonging to the cultural and creative industries operated in the field of Visual arts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295" cy="1200647"/>
                        </a:xfrm>
                        <a:prstGeom prst="rect">
                          <a:avLst/>
                        </a:prstGeom>
                        <a:noFill/>
                        <a:ln w="9360">
                          <a:noFill/>
                        </a:ln>
                      </wps:spPr>
                      <wps:style>
                        <a:lnRef idx="0">
                          <a:scrgbClr r="0" g="0" b="0"/>
                        </a:lnRef>
                        <a:fillRef idx="0">
                          <a:scrgbClr r="0" g="0" b="0"/>
                        </a:fillRef>
                        <a:effectRef idx="0">
                          <a:scrgbClr r="0" g="0" b="0"/>
                        </a:effectRef>
                        <a:fontRef idx="minor"/>
                      </wps:style>
                      <wps:txbx>
                        <w:txbxContent>
                          <w:p w14:paraId="369CA229" w14:textId="0A77DD95" w:rsidR="00FB78C8" w:rsidRPr="00DD62BE" w:rsidRDefault="00DD62BE" w:rsidP="00FB78C8">
                            <w:pPr>
                              <w:pStyle w:val="tekstzboku"/>
                              <w:rPr>
                                <w:lang w:val="en-US"/>
                              </w:rPr>
                            </w:pPr>
                            <w:r>
                              <w:rPr>
                                <w:lang w:val="en-US"/>
                              </w:rPr>
                              <w:t>The largest number of enterprises belonging to the cultural and creat</w:t>
                            </w:r>
                            <w:r w:rsidR="006243F5">
                              <w:rPr>
                                <w:lang w:val="en-US"/>
                              </w:rPr>
                              <w:t>ive industries operated in the field</w:t>
                            </w:r>
                            <w:r>
                              <w:rPr>
                                <w:lang w:val="en-US"/>
                              </w:rPr>
                              <w:t xml:space="preserve"> of </w:t>
                            </w:r>
                            <w:r w:rsidRPr="00D02342">
                              <w:rPr>
                                <w:i/>
                                <w:lang w:val="en-US"/>
                              </w:rPr>
                              <w:t>Visual arts</w:t>
                            </w:r>
                            <w:r>
                              <w:rPr>
                                <w:lang w:val="en-US"/>
                              </w:rPr>
                              <w:t xml:space="preserve"> </w:t>
                            </w:r>
                            <w:r w:rsidR="00E02F90" w:rsidRPr="00DD62BE">
                              <w:rPr>
                                <w:lang w:val="en-US"/>
                              </w:rPr>
                              <w:t>(2</w:t>
                            </w:r>
                            <w:r>
                              <w:rPr>
                                <w:lang w:val="en-US"/>
                              </w:rPr>
                              <w:t>6</w:t>
                            </w:r>
                            <w:r w:rsidR="00E8524C">
                              <w:rPr>
                                <w:lang w:val="en-US"/>
                              </w:rPr>
                              <w:t>.9</w:t>
                            </w:r>
                            <w:r w:rsidR="00DB3817">
                              <w:rPr>
                                <w:lang w:val="en-US"/>
                              </w:rPr>
                              <w:t>%)</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4A9C92F" id="Prostokąt 24" o:spid="_x0000_s1027" alt="The largest number of enterprises belonging to the cultural and creative industries operated in the field of Visual arts (26.9%)" style="position:absolute;left:0;text-align:left;margin-left:415.45pt;margin-top:236.8pt;width:135.85pt;height:94.55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IGSAIAALEEAAAOAAAAZHJzL2Uyb0RvYy54bWysVM1uEzEQviPxDpYlJDiQTUJ/6KqbClGV&#10;SwURLdwd7zix6rXNeDabPABvxoMxdn4ocCriYq1n5vtmPN/MXl5tOifWgMkG38jJaCwFeB1a65eN&#10;/HJ/8/qtFImUb5ULHhq5hSSvZs+fXQ6xhmlYBdcCCibxqR5iI1dEsa6qpFfQqTQKETw7TcBOEV9x&#10;WbWoBmbvXDUdj8+qIWAbMWhIia3XO6ecFX5jQNMnYxKQcI3k2qicWM5FPqvZpaqXqOLK6n0Z6h+q&#10;6JT1nPRIda1IiR7tX1Sd1RhSMDTSoauCMVZDeQO/ZjL+4zV3KxWhvIWbk+KxTen/0eqP6zkK2zZy&#10;eiKFVx1rNOcKKTz8+E4iG1tImjt2vwLhFC4hkfB9t2DZgmGxCTCiTZDEAljjJasgKAjicN076lE5&#10;wfoLjaDIrkFY3/aJ0DKC5UVF0LKtAIwF12barzb1GYeUxMvp2ejixass1RBTzRXfxTnmZqd4G/RD&#10;Ykf1mydf0j5mY7DLsdxqsSm6b4+6w4aEZuPkfHo6vTiVQrNvksfq5Dynq1R9gEdM9AFCJ/JHI5EH&#10;q+it1reJdqGHkJzNhxvrHNtV7bwYGnnx5mxcAEcPkzu/r3xXbCmbtg52sM9gWJhSczawCMvFe4di&#10;N728XjzPhxkuZAzIgYYzPxG7h2Q0lKV5Iv4IKvmDpyO+sz5g6eWj1+VP2iw2Ze4mB2EXod3yLA68&#10;jI1M33qFefZzL9/1FIwtbc7QXeC+dbwXRaj9DufFe3wvUb/+NLOfAAAA//8DAFBLAwQUAAYACAAA&#10;ACEA+RbYHuAAAAAMAQAADwAAAGRycy9kb3ducmV2LnhtbEyPsW7CMBCG90q8g3VI3YpNqAxNc0FV&#10;pXRhamDoaOJrEhHbUWwg4ekxU7vd6T799/3ZdjQdu9DgW2cRlgsBjGzldGtrhMO+eNkA80FZrTpn&#10;CWEiD9t89pSpVLur/aZLGWoWQ6xPFUITQp9y7quGjPIL15ONt183GBXiOtRcD+oaw03HEyEkN6q1&#10;8UOjevpsqDqVZ4NQiNOhvJX78CWK206Gn0loOSE+z8ePd2CBxvAHw0M/qkMenY7ubLVnHcJmJd4i&#10;ivC6XklgD2IpkjgdEaRM1sDzjP8vkd8BAAD//wMAUEsBAi0AFAAGAAgAAAAhALaDOJL+AAAA4QEA&#10;ABMAAAAAAAAAAAAAAAAAAAAAAFtDb250ZW50X1R5cGVzXS54bWxQSwECLQAUAAYACAAAACEAOP0h&#10;/9YAAACUAQAACwAAAAAAAAAAAAAAAAAvAQAAX3JlbHMvLnJlbHNQSwECLQAUAAYACAAAACEAUByi&#10;BkgCAACxBAAADgAAAAAAAAAAAAAAAAAuAgAAZHJzL2Uyb0RvYy54bWxQSwECLQAUAAYACAAAACEA&#10;+RbYHuAAAAAMAQAADwAAAAAAAAAAAAAAAACiBAAAZHJzL2Rvd25yZXYueG1sUEsFBgAAAAAEAAQA&#10;8wAAAK8FAAAAAA==&#10;" filled="f" stroked="f" strokeweight=".26mm">
                <v:textbox>
                  <w:txbxContent>
                    <w:p w14:paraId="369CA229" w14:textId="0A77DD95" w:rsidR="00FB78C8" w:rsidRPr="00DD62BE" w:rsidRDefault="00DD62BE" w:rsidP="00FB78C8">
                      <w:pPr>
                        <w:pStyle w:val="tekstzboku"/>
                        <w:rPr>
                          <w:lang w:val="en-US"/>
                        </w:rPr>
                      </w:pPr>
                      <w:r>
                        <w:rPr>
                          <w:lang w:val="en-US"/>
                        </w:rPr>
                        <w:t>The largest number of enterprises belonging to the cultural and creat</w:t>
                      </w:r>
                      <w:r w:rsidR="006243F5">
                        <w:rPr>
                          <w:lang w:val="en-US"/>
                        </w:rPr>
                        <w:t>ive industries operated in the field</w:t>
                      </w:r>
                      <w:r>
                        <w:rPr>
                          <w:lang w:val="en-US"/>
                        </w:rPr>
                        <w:t xml:space="preserve"> of </w:t>
                      </w:r>
                      <w:r w:rsidRPr="00D02342">
                        <w:rPr>
                          <w:i/>
                          <w:lang w:val="en-US"/>
                        </w:rPr>
                        <w:t>Visual arts</w:t>
                      </w:r>
                      <w:r>
                        <w:rPr>
                          <w:lang w:val="en-US"/>
                        </w:rPr>
                        <w:t xml:space="preserve"> </w:t>
                      </w:r>
                      <w:r w:rsidR="00E02F90" w:rsidRPr="00DD62BE">
                        <w:rPr>
                          <w:lang w:val="en-US"/>
                        </w:rPr>
                        <w:t>(2</w:t>
                      </w:r>
                      <w:r>
                        <w:rPr>
                          <w:lang w:val="en-US"/>
                        </w:rPr>
                        <w:t>6</w:t>
                      </w:r>
                      <w:r w:rsidR="00E8524C">
                        <w:rPr>
                          <w:lang w:val="en-US"/>
                        </w:rPr>
                        <w:t>.9</w:t>
                      </w:r>
                      <w:r w:rsidR="00DB3817">
                        <w:rPr>
                          <w:lang w:val="en-US"/>
                        </w:rPr>
                        <w:t>%)</w:t>
                      </w:r>
                    </w:p>
                  </w:txbxContent>
                </v:textbox>
                <w10:wrap type="tight"/>
              </v:rect>
            </w:pict>
          </mc:Fallback>
        </mc:AlternateContent>
      </w:r>
      <w:r w:rsidR="00DD62BE" w:rsidRPr="004D004E">
        <w:rPr>
          <w:shd w:val="clear" w:color="auto" w:fill="FFFFFF"/>
          <w:lang w:val="en-GB"/>
        </w:rPr>
        <w:t xml:space="preserve"> </w:t>
      </w:r>
      <w:r w:rsidR="00DD62BE" w:rsidRPr="00F15EA6">
        <w:rPr>
          <w:rFonts w:ascii="Fira Sans" w:hAnsi="Fira Sans"/>
          <w:lang w:val="en-GB"/>
        </w:rPr>
        <w:t>Chart 1. Number of enterprises belonging to the cultural and creative industries</w:t>
      </w:r>
    </w:p>
    <w:p w14:paraId="6FF35541" w14:textId="18783A33" w:rsidR="00DB5F7D" w:rsidRDefault="00DB5F7D" w:rsidP="00DB5F7D">
      <w:pPr>
        <w:pStyle w:val="Tytuwykresu0"/>
        <w:spacing w:before="0"/>
        <w:ind w:left="709" w:hanging="709"/>
        <w:rPr>
          <w:shd w:val="clear" w:color="auto" w:fill="FFFFFF"/>
          <w:lang w:val="en-GB"/>
        </w:rPr>
      </w:pPr>
      <w:r>
        <w:rPr>
          <w:shd w:val="clear" w:color="auto" w:fill="FFFFFF"/>
        </w:rPr>
        <w:drawing>
          <wp:inline distT="0" distB="0" distL="0" distR="0" wp14:anchorId="458F558E" wp14:editId="6E3A67FB">
            <wp:extent cx="5011420" cy="2956560"/>
            <wp:effectExtent l="0" t="0" r="0" b="0"/>
            <wp:docPr id="4" name="Obraz 4" descr="Chart 1. The bar chart presenting number of enterprises belonging to the cultural and creative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1420" cy="2956560"/>
                    </a:xfrm>
                    <a:prstGeom prst="rect">
                      <a:avLst/>
                    </a:prstGeom>
                    <a:noFill/>
                  </pic:spPr>
                </pic:pic>
              </a:graphicData>
            </a:graphic>
          </wp:inline>
        </w:drawing>
      </w:r>
    </w:p>
    <w:p w14:paraId="4D63B78A" w14:textId="0DDEE250" w:rsidR="00345E06" w:rsidRPr="003F1D96" w:rsidRDefault="00782147" w:rsidP="006F0F11">
      <w:pPr>
        <w:spacing w:before="240" w:line="288" w:lineRule="auto"/>
        <w:rPr>
          <w:lang w:val="en-GB"/>
        </w:rPr>
      </w:pPr>
      <w:r>
        <w:rPr>
          <w:lang w:val="en-GB"/>
        </w:rPr>
        <w:t xml:space="preserve">The largest number, i.e. 35.5 thousand (26.9% </w:t>
      </w:r>
      <w:r w:rsidR="002C157F" w:rsidRPr="004D004E">
        <w:rPr>
          <w:lang w:val="en-GB"/>
        </w:rPr>
        <w:t xml:space="preserve">of </w:t>
      </w:r>
      <w:r w:rsidR="0008656F" w:rsidRPr="004D004E">
        <w:rPr>
          <w:lang w:val="en-GB"/>
        </w:rPr>
        <w:t xml:space="preserve">the </w:t>
      </w:r>
      <w:r w:rsidR="00345E06">
        <w:rPr>
          <w:lang w:val="en-GB"/>
        </w:rPr>
        <w:t xml:space="preserve">total </w:t>
      </w:r>
      <w:r>
        <w:rPr>
          <w:lang w:val="en-GB"/>
        </w:rPr>
        <w:t xml:space="preserve">number of </w:t>
      </w:r>
      <w:r w:rsidR="002C157F" w:rsidRPr="004D004E">
        <w:rPr>
          <w:lang w:val="en-GB"/>
        </w:rPr>
        <w:t xml:space="preserve">entities </w:t>
      </w:r>
      <w:r>
        <w:rPr>
          <w:lang w:val="en-GB"/>
        </w:rPr>
        <w:t xml:space="preserve">included in the cultural and creative industries), </w:t>
      </w:r>
      <w:r w:rsidR="002C157F" w:rsidRPr="004D004E">
        <w:rPr>
          <w:lang w:val="en-GB"/>
        </w:rPr>
        <w:t xml:space="preserve">conducted activities related to the field of </w:t>
      </w:r>
      <w:r w:rsidR="002C157F" w:rsidRPr="004D004E">
        <w:rPr>
          <w:i/>
          <w:iCs/>
          <w:lang w:val="en-GB"/>
        </w:rPr>
        <w:t>Visual Arts</w:t>
      </w:r>
      <w:r w:rsidR="002C157F" w:rsidRPr="004D004E">
        <w:rPr>
          <w:lang w:val="en-GB"/>
        </w:rPr>
        <w:t>.</w:t>
      </w:r>
      <w:r>
        <w:rPr>
          <w:lang w:val="en-GB"/>
        </w:rPr>
        <w:t xml:space="preserve"> </w:t>
      </w:r>
      <w:r w:rsidR="009A0EB0">
        <w:rPr>
          <w:lang w:val="en-GB"/>
        </w:rPr>
        <w:t>T</w:t>
      </w:r>
      <w:r>
        <w:rPr>
          <w:lang w:val="en-GB"/>
        </w:rPr>
        <w:t>he n</w:t>
      </w:r>
      <w:r w:rsidR="00927009">
        <w:rPr>
          <w:lang w:val="en-GB"/>
        </w:rPr>
        <w:t xml:space="preserve">umber of entities in that field </w:t>
      </w:r>
      <w:r>
        <w:rPr>
          <w:lang w:val="en-GB"/>
        </w:rPr>
        <w:t>decreased by 0.5 thousand</w:t>
      </w:r>
      <w:r w:rsidR="00927009">
        <w:rPr>
          <w:lang w:val="en-GB"/>
        </w:rPr>
        <w:t xml:space="preserve"> in comparison to 2021</w:t>
      </w:r>
      <w:r>
        <w:rPr>
          <w:lang w:val="en-GB"/>
        </w:rPr>
        <w:t xml:space="preserve">, but their share in total number of enterprises belonging to </w:t>
      </w:r>
      <w:r w:rsidR="006243F5">
        <w:rPr>
          <w:lang w:val="en-GB"/>
        </w:rPr>
        <w:t xml:space="preserve">the </w:t>
      </w:r>
      <w:r>
        <w:rPr>
          <w:lang w:val="en-GB"/>
        </w:rPr>
        <w:t>cultural and creative industries increased by 0.6 percentage points.</w:t>
      </w:r>
      <w:r w:rsidR="006243F5">
        <w:rPr>
          <w:lang w:val="en-GB"/>
        </w:rPr>
        <w:t xml:space="preserve"> A slight</w:t>
      </w:r>
      <w:r w:rsidR="00093004">
        <w:rPr>
          <w:lang w:val="en-GB"/>
        </w:rPr>
        <w:t xml:space="preserve"> increase of share in the structure of entities </w:t>
      </w:r>
      <w:r w:rsidR="008B71F1">
        <w:rPr>
          <w:lang w:val="en-GB"/>
        </w:rPr>
        <w:t xml:space="preserve">included in </w:t>
      </w:r>
      <w:r w:rsidR="00093004">
        <w:rPr>
          <w:lang w:val="en-GB"/>
        </w:rPr>
        <w:t xml:space="preserve">the cultural and creative industries was observed also in </w:t>
      </w:r>
      <w:r w:rsidR="007825A5">
        <w:rPr>
          <w:lang w:val="en-GB"/>
        </w:rPr>
        <w:t xml:space="preserve">case of </w:t>
      </w:r>
      <w:r w:rsidR="00093004">
        <w:rPr>
          <w:lang w:val="en-GB"/>
        </w:rPr>
        <w:t xml:space="preserve">entities belonging to the field of </w:t>
      </w:r>
      <w:r w:rsidR="00093004" w:rsidRPr="004D004E">
        <w:rPr>
          <w:i/>
          <w:iCs/>
          <w:lang w:val="en-GB"/>
        </w:rPr>
        <w:t>Audiovisual Arts and Multimedia</w:t>
      </w:r>
      <w:r w:rsidR="00093004">
        <w:rPr>
          <w:lang w:val="en-GB"/>
        </w:rPr>
        <w:t xml:space="preserve"> (by 0.7 percentage points) and </w:t>
      </w:r>
      <w:r w:rsidR="002C4774" w:rsidRPr="002C4774">
        <w:rPr>
          <w:i/>
          <w:lang w:val="en-GB"/>
        </w:rPr>
        <w:t xml:space="preserve">Cultural </w:t>
      </w:r>
      <w:r w:rsidR="00B77D57" w:rsidRPr="002C4774">
        <w:rPr>
          <w:i/>
          <w:iCs/>
          <w:lang w:val="en-GB"/>
        </w:rPr>
        <w:t>E</w:t>
      </w:r>
      <w:r w:rsidR="00B77D57">
        <w:rPr>
          <w:i/>
          <w:iCs/>
          <w:lang w:val="en-GB"/>
        </w:rPr>
        <w:t>ducation</w:t>
      </w:r>
      <w:r w:rsidR="00B77D57" w:rsidRPr="00B77D57">
        <w:rPr>
          <w:lang w:val="en-GB"/>
        </w:rPr>
        <w:t xml:space="preserve"> </w:t>
      </w:r>
      <w:r w:rsidR="00B77D57">
        <w:rPr>
          <w:lang w:val="en-GB"/>
        </w:rPr>
        <w:t xml:space="preserve">(by 0.2 percentage points) </w:t>
      </w:r>
      <w:r w:rsidR="00B77D57" w:rsidRPr="004D004E">
        <w:rPr>
          <w:lang w:val="en-GB"/>
        </w:rPr>
        <w:t>–</w:t>
      </w:r>
      <w:r w:rsidR="00B77D57">
        <w:rPr>
          <w:lang w:val="en-GB"/>
        </w:rPr>
        <w:t xml:space="preserve"> only in</w:t>
      </w:r>
      <w:r w:rsidR="003F1D96">
        <w:rPr>
          <w:lang w:val="en-GB"/>
        </w:rPr>
        <w:t xml:space="preserve"> these </w:t>
      </w:r>
      <w:r w:rsidR="00B77D57">
        <w:rPr>
          <w:lang w:val="en-GB"/>
        </w:rPr>
        <w:t xml:space="preserve">two fields </w:t>
      </w:r>
      <w:r w:rsidR="007825A5">
        <w:rPr>
          <w:lang w:val="en-GB"/>
        </w:rPr>
        <w:t xml:space="preserve">there was </w:t>
      </w:r>
      <w:r w:rsidR="003F1D96">
        <w:rPr>
          <w:lang w:val="en-GB"/>
        </w:rPr>
        <w:t xml:space="preserve">an increase in the number of entities (by 0.4 thousand and 0.1 thousand, respectively). In other fields of culture </w:t>
      </w:r>
      <w:r w:rsidR="007825A5">
        <w:rPr>
          <w:lang w:val="en-GB"/>
        </w:rPr>
        <w:t xml:space="preserve">there was </w:t>
      </w:r>
      <w:r w:rsidR="003F1D96">
        <w:rPr>
          <w:lang w:val="en-GB"/>
        </w:rPr>
        <w:t xml:space="preserve">a decrease </w:t>
      </w:r>
      <w:r w:rsidR="00067FF1">
        <w:rPr>
          <w:lang w:val="en-GB"/>
        </w:rPr>
        <w:t>in the</w:t>
      </w:r>
      <w:r w:rsidR="003F1D96">
        <w:rPr>
          <w:lang w:val="en-GB"/>
        </w:rPr>
        <w:t xml:space="preserve"> number of entities </w:t>
      </w:r>
      <w:r w:rsidR="003F1D96" w:rsidRPr="004D004E">
        <w:rPr>
          <w:lang w:val="en-GB"/>
        </w:rPr>
        <w:t>–</w:t>
      </w:r>
      <w:r w:rsidR="003F1D96">
        <w:rPr>
          <w:lang w:val="en-GB"/>
        </w:rPr>
        <w:t xml:space="preserve"> the </w:t>
      </w:r>
      <w:r w:rsidR="007825A5">
        <w:rPr>
          <w:lang w:val="en-GB"/>
        </w:rPr>
        <w:t>highest i</w:t>
      </w:r>
      <w:r w:rsidR="003F1D96">
        <w:rPr>
          <w:lang w:val="en-GB"/>
        </w:rPr>
        <w:t xml:space="preserve">n the field </w:t>
      </w:r>
      <w:r w:rsidR="003F1D96" w:rsidRPr="004D004E">
        <w:rPr>
          <w:i/>
          <w:iCs/>
          <w:lang w:val="en-GB"/>
        </w:rPr>
        <w:t>Books and Press</w:t>
      </w:r>
      <w:r w:rsidR="003F1D96">
        <w:rPr>
          <w:lang w:val="en-GB"/>
        </w:rPr>
        <w:t xml:space="preserve"> (by 1.7 thousand of entities).</w:t>
      </w:r>
    </w:p>
    <w:p w14:paraId="29D838F2" w14:textId="78F8809C" w:rsidR="00FB78C8" w:rsidRDefault="00DD62BE" w:rsidP="00F15EA6">
      <w:pPr>
        <w:pStyle w:val="Tytuwykresu0"/>
        <w:ind w:left="709" w:hanging="709"/>
        <w:rPr>
          <w:rFonts w:ascii="Fira Sans" w:hAnsi="Fira Sans"/>
          <w:lang w:val="en-GB"/>
        </w:rPr>
      </w:pPr>
      <w:r w:rsidRPr="00F15EA6">
        <w:rPr>
          <w:rFonts w:ascii="Fira Sans" w:hAnsi="Fira Sans"/>
          <w:lang w:val="en-GB"/>
        </w:rPr>
        <w:lastRenderedPageBreak/>
        <w:t>Chart 2. The structure of entities belonging to the cultural and creative industries by domain of culture in</w:t>
      </w:r>
      <w:r w:rsidRPr="00F15EA6">
        <w:rPr>
          <w:rFonts w:ascii="Fira Sans" w:hAnsi="Fira Sans"/>
        </w:rPr>
        <mc:AlternateContent>
          <mc:Choice Requires="wps">
            <w:drawing>
              <wp:anchor distT="45720" distB="45720" distL="114300" distR="114300" simplePos="0" relativeHeight="251806720" behindDoc="1" locked="0" layoutInCell="1" allowOverlap="1" wp14:anchorId="65E14A63" wp14:editId="4AB5433E">
                <wp:simplePos x="0" y="0"/>
                <wp:positionH relativeFrom="page">
                  <wp:posOffset>5746966</wp:posOffset>
                </wp:positionH>
                <wp:positionV relativeFrom="paragraph">
                  <wp:posOffset>2800074</wp:posOffset>
                </wp:positionV>
                <wp:extent cx="1726565" cy="1259205"/>
                <wp:effectExtent l="0" t="0" r="0" b="0"/>
                <wp:wrapTight wrapText="bothSides">
                  <wp:wrapPolygon edited="0">
                    <wp:start x="715" y="0"/>
                    <wp:lineTo x="715" y="21241"/>
                    <wp:lineTo x="20734" y="21241"/>
                    <wp:lineTo x="20734" y="0"/>
                    <wp:lineTo x="715" y="0"/>
                  </wp:wrapPolygon>
                </wp:wrapTight>
                <wp:docPr id="7" name="Pole tekstowe 16" descr="The majority of the entities classified as cultural and creative industries were micro-enterprises. They accounted for 5.7% of all non-financial micro-enterpri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259205"/>
                        </a:xfrm>
                        <a:prstGeom prst="rect">
                          <a:avLst/>
                        </a:prstGeom>
                        <a:noFill/>
                        <a:ln w="9360">
                          <a:noFill/>
                        </a:ln>
                      </wps:spPr>
                      <wps:style>
                        <a:lnRef idx="0">
                          <a:scrgbClr r="0" g="0" b="0"/>
                        </a:lnRef>
                        <a:fillRef idx="0">
                          <a:scrgbClr r="0" g="0" b="0"/>
                        </a:fillRef>
                        <a:effectRef idx="0">
                          <a:scrgbClr r="0" g="0" b="0"/>
                        </a:effectRef>
                        <a:fontRef idx="minor"/>
                      </wps:style>
                      <wps:txbx>
                        <w:txbxContent>
                          <w:p w14:paraId="61075B9F" w14:textId="4C45B429" w:rsidR="00DD62BE" w:rsidRDefault="00927009" w:rsidP="00DD62BE">
                            <w:pPr>
                              <w:pStyle w:val="Zawartoramki"/>
                              <w:suppressAutoHyphens/>
                              <w:spacing w:before="0" w:after="0"/>
                              <w:rPr>
                                <w:lang w:val="en-US"/>
                              </w:rPr>
                            </w:pPr>
                            <w:r w:rsidRPr="00927009">
                              <w:rPr>
                                <w:rFonts w:eastAsia="Times New Roman" w:cs="Times New Roman"/>
                                <w:bCs/>
                                <w:color w:val="001D77"/>
                                <w:sz w:val="18"/>
                                <w:szCs w:val="18"/>
                                <w:lang w:val="en-GB" w:eastAsia="pl-PL"/>
                              </w:rPr>
                              <w:t>T</w:t>
                            </w:r>
                            <w:r>
                              <w:rPr>
                                <w:rFonts w:eastAsia="Times New Roman" w:cs="Times New Roman"/>
                                <w:bCs/>
                                <w:color w:val="001D77"/>
                                <w:sz w:val="18"/>
                                <w:szCs w:val="18"/>
                                <w:lang w:val="en-GB" w:eastAsia="pl-PL"/>
                              </w:rPr>
                              <w:t>he majority</w:t>
                            </w:r>
                            <w:r w:rsidR="00B151CA">
                              <w:rPr>
                                <w:rFonts w:eastAsia="Times New Roman" w:cs="Times New Roman"/>
                                <w:bCs/>
                                <w:color w:val="001D77"/>
                                <w:sz w:val="18"/>
                                <w:szCs w:val="18"/>
                                <w:lang w:val="en-US" w:eastAsia="pl-PL"/>
                              </w:rPr>
                              <w:t xml:space="preserve"> of the entities classified </w:t>
                            </w:r>
                            <w:r w:rsidR="00650CA3">
                              <w:rPr>
                                <w:rFonts w:eastAsia="Times New Roman" w:cs="Times New Roman"/>
                                <w:bCs/>
                                <w:color w:val="001D77"/>
                                <w:sz w:val="18"/>
                                <w:szCs w:val="18"/>
                                <w:lang w:val="en-US" w:eastAsia="pl-PL"/>
                              </w:rPr>
                              <w:t>as</w:t>
                            </w:r>
                            <w:r w:rsidR="00DD62BE">
                              <w:rPr>
                                <w:rFonts w:eastAsia="Times New Roman" w:cs="Times New Roman"/>
                                <w:bCs/>
                                <w:color w:val="001D77"/>
                                <w:sz w:val="18"/>
                                <w:szCs w:val="18"/>
                                <w:lang w:val="en-US" w:eastAsia="pl-PL"/>
                              </w:rPr>
                              <w:t xml:space="preserve"> cultural and creative industries were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 They accounted for 5.</w:t>
                            </w:r>
                            <w:r w:rsidR="00647B5C">
                              <w:rPr>
                                <w:rFonts w:eastAsia="Times New Roman" w:cs="Times New Roman"/>
                                <w:bCs/>
                                <w:color w:val="001D77"/>
                                <w:sz w:val="18"/>
                                <w:szCs w:val="18"/>
                                <w:lang w:val="en-US" w:eastAsia="pl-PL"/>
                              </w:rPr>
                              <w:t>7</w:t>
                            </w:r>
                            <w:r w:rsidR="00DD62BE">
                              <w:rPr>
                                <w:rFonts w:eastAsia="Times New Roman" w:cs="Times New Roman"/>
                                <w:bCs/>
                                <w:color w:val="001D77"/>
                                <w:sz w:val="18"/>
                                <w:szCs w:val="18"/>
                                <w:lang w:val="en-US" w:eastAsia="pl-PL"/>
                              </w:rPr>
                              <w:t>% of all non-financial micro</w:t>
                            </w:r>
                            <w:r w:rsidR="00F56F3E">
                              <w:rPr>
                                <w:rFonts w:eastAsia="Times New Roman" w:cs="Times New Roman"/>
                                <w:bCs/>
                                <w:color w:val="001D77"/>
                                <w:sz w:val="18"/>
                                <w:szCs w:val="18"/>
                                <w:lang w:val="en-US" w:eastAsia="pl-PL"/>
                              </w:rPr>
                              <w:t>-</w:t>
                            </w:r>
                            <w:r w:rsidR="00647B5C">
                              <w:rPr>
                                <w:rFonts w:eastAsia="Times New Roman" w:cs="Times New Roman"/>
                                <w:bCs/>
                                <w:color w:val="001D77"/>
                                <w:sz w:val="18"/>
                                <w:szCs w:val="18"/>
                                <w:lang w:val="en-US" w:eastAsia="pl-PL"/>
                              </w:rPr>
                              <w:t>enterprises</w:t>
                            </w:r>
                          </w:p>
                          <w:p w14:paraId="7252C85D" w14:textId="77777777" w:rsidR="00DD62BE" w:rsidRPr="00700917" w:rsidRDefault="00DD62BE" w:rsidP="00DD62BE">
                            <w:pPr>
                              <w:pStyle w:val="Zawartoramki"/>
                              <w:spacing w:after="0"/>
                              <w:rPr>
                                <w:lang w:val="en-GB"/>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5E14A63" id="Pole tekstowe 16" o:spid="_x0000_s1028" alt="The majority of the entities classified as cultural and creative industries were micro-enterprises. They accounted for 5.7% of all non-financial micro-enterprises" style="position:absolute;left:0;text-align:left;margin-left:452.5pt;margin-top:220.5pt;width:135.95pt;height:99.15pt;z-index:-251509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LSRgIAAMcEAAAOAAAAZHJzL2Uyb0RvYy54bWysVNtuGjEQfa/UfxhZ6iMsUAHNiiWqGqUv&#10;URsl6QcY7xjceD2WbVj4+47NpWnzlKov1npmzpnLGe/iet9Z2GGIhlwjxsORAHSKWuPWjfjxdDv4&#10;JCAm6VppyWEjDhjF9fL9u0Xva5zQhmyLAZjExbr3jdik5OuqimqDnYxD8ujYqSl0MvE1rKs2yJ7Z&#10;O1tNRqNZ1VNofSCFMbL15ugUy8KvNar0XeuICWwjuLZUzlDOVT6r5ULW6yD9xqhTGfIfquikcZz0&#10;QnUjk4RtMK+oOqMCRdJpqKirSGujsPTA3YxHf3XzuJEeSy88nOgvY4r/j1Z9290HMG0j5gKc7Fii&#10;e7IICZ9joh5hPBPQYlQ8s6cNQid/UjDpAKQh8R1dMslgBGUlK6ANtiD5trVpG6QFVh5UQJnMDsG4&#10;dhtTyOE9BibLwxgwBQYfTMQ4BM5xAKkUbdnaAgsP0+H8Q04nrQVHbqCNk04ZJn+Fz3L2Ptbc1aO/&#10;D1mQ6O9IPUd2VH948iWeYvY6dDmW5YB92Y3DZTdwn0CxcTyfzKazqQDFvvFkejUZTXO6StZnuA8x&#10;fUXqIH80IvDylZ2Qu7uYjqHnkJzN0a2xlu2ytg76Rlx9nI0K4OJhcutOlR+LLWWng8Uj7AE1i1dq&#10;zgaWab36YgMcN5yfIO/8ec8LGQNyoObMb8SeIBmN5WG9EX8Blfzk0gXfGUehzPJFd/kz7Vf7spuT&#10;s7Arag9HXR193ibSpgw2B59dRWZ+LUWa08vOz/HlvYz09/9n+QsAAP//AwBQSwMEFAAGAAgAAAAh&#10;AOYd+B7hAAAADAEAAA8AAABkcnMvZG93bnJldi54bWxMj8FOwzAQRO9I/IO1SNyoHVoMSbOpEFK4&#10;cCLtgaMbu0nUeB3Fbpv063FPcJvVjGbf5JvJ9uxsRt85QkgWApih2umOGoTdtnx6A+aDIq16RwZh&#10;Nh42xf1drjLtLvRtzlVoWCwhnymENoQh49zXrbHKL9xgKHoHN1oV4jk2XI/qEsttz5+FkNyqjuKH&#10;Vg3mozX1sTpZhFIcd9W12oZPUV6/ZPiZhZYz4uPD9L4GFswU/sJww4/oUESmvTuR9qxHSMVL3BIQ&#10;VqskilsieZUpsD2CXKZL4EXO/48ofgEAAP//AwBQSwECLQAUAAYACAAAACEAtoM4kv4AAADhAQAA&#10;EwAAAAAAAAAAAAAAAAAAAAAAW0NvbnRlbnRfVHlwZXNdLnhtbFBLAQItABQABgAIAAAAIQA4/SH/&#10;1gAAAJQBAAALAAAAAAAAAAAAAAAAAC8BAABfcmVscy8ucmVsc1BLAQItABQABgAIAAAAIQALGpLS&#10;RgIAAMcEAAAOAAAAAAAAAAAAAAAAAC4CAABkcnMvZTJvRG9jLnhtbFBLAQItABQABgAIAAAAIQDm&#10;Hfge4QAAAAwBAAAPAAAAAAAAAAAAAAAAAKAEAABkcnMvZG93bnJldi54bWxQSwUGAAAAAAQABADz&#10;AAAArgUAAAAA&#10;" filled="f" stroked="f" strokeweight=".26mm">
                <v:textbox>
                  <w:txbxContent>
                    <w:p w14:paraId="61075B9F" w14:textId="4C45B429" w:rsidR="00DD62BE" w:rsidRDefault="00927009" w:rsidP="00DD62BE">
                      <w:pPr>
                        <w:pStyle w:val="Zawartoramki"/>
                        <w:suppressAutoHyphens/>
                        <w:spacing w:before="0" w:after="0"/>
                        <w:rPr>
                          <w:lang w:val="en-US"/>
                        </w:rPr>
                      </w:pPr>
                      <w:r w:rsidRPr="00927009">
                        <w:rPr>
                          <w:rFonts w:eastAsia="Times New Roman" w:cs="Times New Roman"/>
                          <w:bCs/>
                          <w:color w:val="001D77"/>
                          <w:sz w:val="18"/>
                          <w:szCs w:val="18"/>
                          <w:lang w:val="en-GB" w:eastAsia="pl-PL"/>
                        </w:rPr>
                        <w:t>T</w:t>
                      </w:r>
                      <w:r>
                        <w:rPr>
                          <w:rFonts w:eastAsia="Times New Roman" w:cs="Times New Roman"/>
                          <w:bCs/>
                          <w:color w:val="001D77"/>
                          <w:sz w:val="18"/>
                          <w:szCs w:val="18"/>
                          <w:lang w:val="en-GB" w:eastAsia="pl-PL"/>
                        </w:rPr>
                        <w:t>he majority</w:t>
                      </w:r>
                      <w:r w:rsidR="00B151CA">
                        <w:rPr>
                          <w:rFonts w:eastAsia="Times New Roman" w:cs="Times New Roman"/>
                          <w:bCs/>
                          <w:color w:val="001D77"/>
                          <w:sz w:val="18"/>
                          <w:szCs w:val="18"/>
                          <w:lang w:val="en-US" w:eastAsia="pl-PL"/>
                        </w:rPr>
                        <w:t xml:space="preserve"> of the entities classified </w:t>
                      </w:r>
                      <w:r w:rsidR="00650CA3">
                        <w:rPr>
                          <w:rFonts w:eastAsia="Times New Roman" w:cs="Times New Roman"/>
                          <w:bCs/>
                          <w:color w:val="001D77"/>
                          <w:sz w:val="18"/>
                          <w:szCs w:val="18"/>
                          <w:lang w:val="en-US" w:eastAsia="pl-PL"/>
                        </w:rPr>
                        <w:t>as</w:t>
                      </w:r>
                      <w:r w:rsidR="00DD62BE">
                        <w:rPr>
                          <w:rFonts w:eastAsia="Times New Roman" w:cs="Times New Roman"/>
                          <w:bCs/>
                          <w:color w:val="001D77"/>
                          <w:sz w:val="18"/>
                          <w:szCs w:val="18"/>
                          <w:lang w:val="en-US" w:eastAsia="pl-PL"/>
                        </w:rPr>
                        <w:t xml:space="preserve"> cultural and creative industries were micro</w:t>
                      </w:r>
                      <w:r w:rsidR="00F56F3E">
                        <w:rPr>
                          <w:rFonts w:eastAsia="Times New Roman" w:cs="Times New Roman"/>
                          <w:bCs/>
                          <w:color w:val="001D77"/>
                          <w:sz w:val="18"/>
                          <w:szCs w:val="18"/>
                          <w:lang w:val="en-US" w:eastAsia="pl-PL"/>
                        </w:rPr>
                        <w:t>-</w:t>
                      </w:r>
                      <w:r w:rsidR="00DD62BE">
                        <w:rPr>
                          <w:rFonts w:eastAsia="Times New Roman" w:cs="Times New Roman"/>
                          <w:bCs/>
                          <w:color w:val="001D77"/>
                          <w:sz w:val="18"/>
                          <w:szCs w:val="18"/>
                          <w:lang w:val="en-US" w:eastAsia="pl-PL"/>
                        </w:rPr>
                        <w:t>enterprises. They accounted for 5.</w:t>
                      </w:r>
                      <w:r w:rsidR="00647B5C">
                        <w:rPr>
                          <w:rFonts w:eastAsia="Times New Roman" w:cs="Times New Roman"/>
                          <w:bCs/>
                          <w:color w:val="001D77"/>
                          <w:sz w:val="18"/>
                          <w:szCs w:val="18"/>
                          <w:lang w:val="en-US" w:eastAsia="pl-PL"/>
                        </w:rPr>
                        <w:t>7</w:t>
                      </w:r>
                      <w:r w:rsidR="00DD62BE">
                        <w:rPr>
                          <w:rFonts w:eastAsia="Times New Roman" w:cs="Times New Roman"/>
                          <w:bCs/>
                          <w:color w:val="001D77"/>
                          <w:sz w:val="18"/>
                          <w:szCs w:val="18"/>
                          <w:lang w:val="en-US" w:eastAsia="pl-PL"/>
                        </w:rPr>
                        <w:t>% of all non-financial micro</w:t>
                      </w:r>
                      <w:r w:rsidR="00F56F3E">
                        <w:rPr>
                          <w:rFonts w:eastAsia="Times New Roman" w:cs="Times New Roman"/>
                          <w:bCs/>
                          <w:color w:val="001D77"/>
                          <w:sz w:val="18"/>
                          <w:szCs w:val="18"/>
                          <w:lang w:val="en-US" w:eastAsia="pl-PL"/>
                        </w:rPr>
                        <w:t>-</w:t>
                      </w:r>
                      <w:r w:rsidR="00647B5C">
                        <w:rPr>
                          <w:rFonts w:eastAsia="Times New Roman" w:cs="Times New Roman"/>
                          <w:bCs/>
                          <w:color w:val="001D77"/>
                          <w:sz w:val="18"/>
                          <w:szCs w:val="18"/>
                          <w:lang w:val="en-US" w:eastAsia="pl-PL"/>
                        </w:rPr>
                        <w:t>enterprises</w:t>
                      </w:r>
                    </w:p>
                    <w:p w14:paraId="7252C85D" w14:textId="77777777" w:rsidR="00DD62BE" w:rsidRPr="00700917" w:rsidRDefault="00DD62BE" w:rsidP="00DD62BE">
                      <w:pPr>
                        <w:pStyle w:val="Zawartoramki"/>
                        <w:spacing w:after="0"/>
                        <w:rPr>
                          <w:lang w:val="en-GB"/>
                        </w:rPr>
                      </w:pPr>
                    </w:p>
                  </w:txbxContent>
                </v:textbox>
                <w10:wrap type="tight" anchorx="page"/>
              </v:rect>
            </w:pict>
          </mc:Fallback>
        </mc:AlternateContent>
      </w:r>
      <w:r w:rsidRPr="00F15EA6">
        <w:rPr>
          <w:rFonts w:ascii="Fira Sans" w:hAnsi="Fira Sans"/>
          <w:lang w:val="en-GB"/>
        </w:rPr>
        <w:t xml:space="preserve"> </w:t>
      </w:r>
      <w:r w:rsidR="00647B5C">
        <w:rPr>
          <w:rFonts w:ascii="Fira Sans" w:hAnsi="Fira Sans"/>
          <w:lang w:val="en-GB"/>
        </w:rPr>
        <w:t>2022</w:t>
      </w:r>
    </w:p>
    <w:p w14:paraId="616EF507" w14:textId="26C9D380" w:rsidR="002C157F" w:rsidRPr="004D004E" w:rsidRDefault="00DB5F7D" w:rsidP="00DB5F7D">
      <w:pPr>
        <w:spacing w:line="288" w:lineRule="auto"/>
        <w:rPr>
          <w:lang w:val="en-GB"/>
        </w:rPr>
      </w:pPr>
      <w:r>
        <w:rPr>
          <w:noProof/>
          <w:lang w:eastAsia="pl-PL"/>
        </w:rPr>
        <w:drawing>
          <wp:inline distT="0" distB="0" distL="0" distR="0" wp14:anchorId="4F1984EF" wp14:editId="22879D8F">
            <wp:extent cx="5041900" cy="3042285"/>
            <wp:effectExtent l="0" t="0" r="0" b="0"/>
            <wp:docPr id="9" name="Obraz 9" descr="Chart 2. The pie chart presenting the structure of entities belonging to the cultural and creative industries by domain of culture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3042285"/>
                    </a:xfrm>
                    <a:prstGeom prst="rect">
                      <a:avLst/>
                    </a:prstGeom>
                    <a:noFill/>
                  </pic:spPr>
                </pic:pic>
              </a:graphicData>
            </a:graphic>
          </wp:inline>
        </w:drawing>
      </w:r>
      <w:r w:rsidR="00A41DCB">
        <w:rPr>
          <w:lang w:val="en-GB"/>
        </w:rPr>
        <w:t>T</w:t>
      </w:r>
      <w:r w:rsidR="00067FF1">
        <w:rPr>
          <w:lang w:val="en-GB"/>
        </w:rPr>
        <w:t xml:space="preserve">he majority of </w:t>
      </w:r>
      <w:r w:rsidR="00B151CA">
        <w:rPr>
          <w:lang w:val="en-GB"/>
        </w:rPr>
        <w:t xml:space="preserve">entities </w:t>
      </w:r>
      <w:bookmarkStart w:id="0" w:name="_GoBack"/>
      <w:r w:rsidR="00B151CA">
        <w:rPr>
          <w:lang w:val="en-GB"/>
        </w:rPr>
        <w:t xml:space="preserve">were classified </w:t>
      </w:r>
      <w:r w:rsidR="00067FF1">
        <w:rPr>
          <w:lang w:val="en-GB"/>
        </w:rPr>
        <w:t>as</w:t>
      </w:r>
      <w:r w:rsidR="002C157F" w:rsidRPr="004D004E">
        <w:rPr>
          <w:lang w:val="en-GB"/>
        </w:rPr>
        <w:t xml:space="preserve"> micro-enterprises (</w:t>
      </w:r>
      <w:r w:rsidR="00927009">
        <w:rPr>
          <w:lang w:val="en-GB"/>
        </w:rPr>
        <w:t>129.0 thousand, i.e. 99.1</w:t>
      </w:r>
      <w:r w:rsidR="002C157F" w:rsidRPr="004D004E">
        <w:rPr>
          <w:lang w:val="en-GB"/>
        </w:rPr>
        <w:t>% of all entities belonging to the cultural and creative industries)</w:t>
      </w:r>
      <w:r w:rsidR="00927009">
        <w:rPr>
          <w:lang w:val="en-GB"/>
        </w:rPr>
        <w:t>, which accounted for 5.7</w:t>
      </w:r>
      <w:r w:rsidR="002C157F" w:rsidRPr="004D004E">
        <w:rPr>
          <w:lang w:val="en-GB"/>
        </w:rPr>
        <w:t xml:space="preserve">% of all non-financial micro-enterprises. In other size classes of enterprises, the share of cultural and creative industries in the group of non-financial </w:t>
      </w:r>
      <w:bookmarkEnd w:id="0"/>
      <w:r w:rsidR="002C157F" w:rsidRPr="004D004E">
        <w:rPr>
          <w:lang w:val="en-GB"/>
        </w:rPr>
        <w:t xml:space="preserve">enterprises was as follows: small </w:t>
      </w:r>
      <w:r w:rsidR="00550234" w:rsidRPr="004D004E">
        <w:rPr>
          <w:lang w:val="en-GB"/>
        </w:rPr>
        <w:t>enterprises –</w:t>
      </w:r>
      <w:r w:rsidR="002C157F" w:rsidRPr="004D004E">
        <w:rPr>
          <w:lang w:val="en-GB"/>
        </w:rPr>
        <w:t xml:space="preserve"> 1.8%, medium </w:t>
      </w:r>
      <w:r w:rsidR="00927009" w:rsidRPr="004D004E">
        <w:rPr>
          <w:lang w:val="en-GB"/>
        </w:rPr>
        <w:t xml:space="preserve">– 1.2% </w:t>
      </w:r>
      <w:r w:rsidR="002C157F" w:rsidRPr="004D004E">
        <w:rPr>
          <w:lang w:val="en-GB"/>
        </w:rPr>
        <w:t xml:space="preserve">and large </w:t>
      </w:r>
      <w:r w:rsidR="00550234" w:rsidRPr="004D004E">
        <w:rPr>
          <w:lang w:val="en-GB"/>
        </w:rPr>
        <w:t>–</w:t>
      </w:r>
      <w:r w:rsidR="00927009">
        <w:rPr>
          <w:lang w:val="en-GB"/>
        </w:rPr>
        <w:t xml:space="preserve"> 1.3%</w:t>
      </w:r>
      <w:r w:rsidR="002C157F" w:rsidRPr="004D004E">
        <w:rPr>
          <w:lang w:val="en-GB"/>
        </w:rPr>
        <w:t>.</w:t>
      </w:r>
    </w:p>
    <w:p w14:paraId="674D298A" w14:textId="6A0E1EF8" w:rsidR="006D4224" w:rsidRPr="004D004E" w:rsidRDefault="00DD62BE" w:rsidP="00550234">
      <w:pPr>
        <w:pStyle w:val="Nagwek1"/>
        <w:suppressAutoHyphens/>
        <w:rPr>
          <w:rFonts w:ascii="Fira Sans" w:hAnsi="Fira Sans"/>
          <w:b/>
          <w:szCs w:val="19"/>
          <w:lang w:val="en-GB"/>
        </w:rPr>
      </w:pPr>
      <w:r w:rsidRPr="004D004E">
        <w:rPr>
          <w:lang w:val="en-GB"/>
        </w:rPr>
        <w:t>Employed persons, average employment and salaries</w:t>
      </w:r>
      <w:r w:rsidR="006D4224" w:rsidRPr="004D004E">
        <w:rPr>
          <w:lang w:val="en-GB"/>
        </w:rPr>
        <w:t xml:space="preserve"> </w:t>
      </w:r>
    </w:p>
    <w:p w14:paraId="2E95EBC7" w14:textId="76AA6600" w:rsidR="00904347" w:rsidRDefault="00067FF1" w:rsidP="00CA09BB">
      <w:pPr>
        <w:spacing w:line="288" w:lineRule="auto"/>
        <w:rPr>
          <w:lang w:val="en-GB"/>
        </w:rPr>
      </w:pPr>
      <w:r>
        <w:rPr>
          <w:lang w:val="en-GB"/>
        </w:rPr>
        <w:t xml:space="preserve">As the </w:t>
      </w:r>
      <w:r w:rsidR="00904347">
        <w:rPr>
          <w:lang w:val="en-GB"/>
        </w:rPr>
        <w:t>number of entities</w:t>
      </w:r>
      <w:r>
        <w:rPr>
          <w:lang w:val="en-GB"/>
        </w:rPr>
        <w:t xml:space="preserve"> decreased</w:t>
      </w:r>
      <w:r w:rsidR="00904347">
        <w:rPr>
          <w:lang w:val="en-GB"/>
        </w:rPr>
        <w:t xml:space="preserve">, </w:t>
      </w:r>
      <w:r>
        <w:rPr>
          <w:lang w:val="en-GB"/>
        </w:rPr>
        <w:t>the</w:t>
      </w:r>
      <w:r w:rsidR="005A4E00">
        <w:rPr>
          <w:lang w:val="en-GB"/>
        </w:rPr>
        <w:t xml:space="preserve"> </w:t>
      </w:r>
      <w:r w:rsidR="00904347">
        <w:rPr>
          <w:lang w:val="en-GB"/>
        </w:rPr>
        <w:t xml:space="preserve">number of employees in enterprises belonging to the cultural and creative industries </w:t>
      </w:r>
      <w:r>
        <w:rPr>
          <w:lang w:val="en-GB"/>
        </w:rPr>
        <w:t xml:space="preserve">also </w:t>
      </w:r>
      <w:r w:rsidR="00904347">
        <w:rPr>
          <w:lang w:val="en-GB"/>
        </w:rPr>
        <w:t xml:space="preserve">decreased </w:t>
      </w:r>
      <w:r w:rsidR="00904347" w:rsidRPr="004D004E">
        <w:rPr>
          <w:lang w:val="en-GB"/>
        </w:rPr>
        <w:t>–</w:t>
      </w:r>
      <w:r w:rsidR="00904347">
        <w:rPr>
          <w:lang w:val="en-GB"/>
        </w:rPr>
        <w:t xml:space="preserve"> </w:t>
      </w:r>
      <w:r>
        <w:rPr>
          <w:lang w:val="en-GB"/>
        </w:rPr>
        <w:t>at</w:t>
      </w:r>
      <w:r w:rsidR="00904347">
        <w:rPr>
          <w:lang w:val="en-GB"/>
        </w:rPr>
        <w:t xml:space="preserve"> the end of 2022 amounted to 256.0</w:t>
      </w:r>
      <w:r w:rsidR="002064CD">
        <w:rPr>
          <w:lang w:val="en-GB"/>
        </w:rPr>
        <w:t> </w:t>
      </w:r>
      <w:r w:rsidR="00904347">
        <w:rPr>
          <w:lang w:val="en-GB"/>
        </w:rPr>
        <w:t xml:space="preserve">thousand people, i.e. 1.3 thousand people less than in 2021. </w:t>
      </w:r>
      <w:r>
        <w:rPr>
          <w:lang w:val="en-GB"/>
        </w:rPr>
        <w:t>At the same time the</w:t>
      </w:r>
      <w:r w:rsidR="00A1700A">
        <w:rPr>
          <w:lang w:val="en-GB"/>
        </w:rPr>
        <w:t xml:space="preserve"> average</w:t>
      </w:r>
      <w:r w:rsidR="00405DFE">
        <w:rPr>
          <w:lang w:val="en-GB"/>
        </w:rPr>
        <w:t xml:space="preserve"> employment increased by 1.5 thousand full-time jobs and amounted to 101.6</w:t>
      </w:r>
      <w:r w:rsidR="002064CD">
        <w:rPr>
          <w:lang w:val="en-GB"/>
        </w:rPr>
        <w:t> </w:t>
      </w:r>
      <w:r w:rsidR="00405DFE">
        <w:rPr>
          <w:lang w:val="en-GB"/>
        </w:rPr>
        <w:t>thousand</w:t>
      </w:r>
      <w:r w:rsidR="00904347">
        <w:rPr>
          <w:lang w:val="en-GB"/>
        </w:rPr>
        <w:t>.</w:t>
      </w:r>
      <w:r w:rsidR="00405DFE">
        <w:rPr>
          <w:lang w:val="en-GB"/>
        </w:rPr>
        <w:t xml:space="preserve"> </w:t>
      </w:r>
      <w:r w:rsidR="00405DFE" w:rsidRPr="00405DFE">
        <w:rPr>
          <w:lang w:val="en-GB"/>
        </w:rPr>
        <w:t>In case of micro-enterprises declines we</w:t>
      </w:r>
      <w:r w:rsidR="00845C50">
        <w:rPr>
          <w:lang w:val="en-GB"/>
        </w:rPr>
        <w:t xml:space="preserve">re recorded in both the </w:t>
      </w:r>
      <w:r>
        <w:rPr>
          <w:lang w:val="en-GB"/>
        </w:rPr>
        <w:t xml:space="preserve">number of </w:t>
      </w:r>
      <w:r w:rsidR="00845C50">
        <w:rPr>
          <w:lang w:val="en-GB"/>
        </w:rPr>
        <w:t>employees</w:t>
      </w:r>
      <w:r w:rsidR="00405DFE" w:rsidRPr="00405DFE">
        <w:rPr>
          <w:lang w:val="en-GB"/>
        </w:rPr>
        <w:t xml:space="preserve"> and the average employment – by 2.3% and 7.6%, respectively.</w:t>
      </w:r>
      <w:r w:rsidR="00405DFE">
        <w:rPr>
          <w:lang w:val="en-GB"/>
        </w:rPr>
        <w:t xml:space="preserve"> </w:t>
      </w:r>
      <w:r w:rsidR="000B3FC6">
        <w:rPr>
          <w:lang w:val="en-GB"/>
        </w:rPr>
        <w:t>Small enterprises employed 0.7</w:t>
      </w:r>
      <w:r w:rsidR="00845C50">
        <w:rPr>
          <w:lang w:val="en-GB"/>
        </w:rPr>
        <w:t xml:space="preserve">% less people, </w:t>
      </w:r>
      <w:r>
        <w:rPr>
          <w:lang w:val="en-GB"/>
        </w:rPr>
        <w:t xml:space="preserve">but the </w:t>
      </w:r>
      <w:r w:rsidR="00845C50">
        <w:rPr>
          <w:lang w:val="en-GB"/>
        </w:rPr>
        <w:t xml:space="preserve">average </w:t>
      </w:r>
      <w:r w:rsidR="000B3FC6">
        <w:rPr>
          <w:lang w:val="en-GB"/>
        </w:rPr>
        <w:t xml:space="preserve">employment increased by 2.1%. </w:t>
      </w:r>
      <w:r w:rsidR="00A1700A">
        <w:rPr>
          <w:lang w:val="en-GB"/>
        </w:rPr>
        <w:t>In other</w:t>
      </w:r>
      <w:r w:rsidR="00A1700A" w:rsidRPr="00A1700A">
        <w:rPr>
          <w:lang w:val="en-GB"/>
        </w:rPr>
        <w:t xml:space="preserve"> size classes</w:t>
      </w:r>
      <w:r w:rsidR="00A1700A">
        <w:rPr>
          <w:lang w:val="en-GB"/>
        </w:rPr>
        <w:t xml:space="preserve"> of enterprises</w:t>
      </w:r>
      <w:r w:rsidR="00A1700A" w:rsidRPr="00A1700A">
        <w:rPr>
          <w:lang w:val="en-GB"/>
        </w:rPr>
        <w:t xml:space="preserve">, both the number of employed persons and average employment increased – </w:t>
      </w:r>
      <w:r w:rsidR="00A41DCB" w:rsidRPr="00A1700A">
        <w:rPr>
          <w:lang w:val="en-GB"/>
        </w:rPr>
        <w:t xml:space="preserve">in medium-sized enterprises </w:t>
      </w:r>
      <w:r w:rsidR="00A1700A" w:rsidRPr="00A1700A">
        <w:rPr>
          <w:lang w:val="en-GB"/>
        </w:rPr>
        <w:t>by 0.5% and 2.4%</w:t>
      </w:r>
      <w:r w:rsidR="00A41DCB">
        <w:rPr>
          <w:lang w:val="en-GB"/>
        </w:rPr>
        <w:t>,</w:t>
      </w:r>
      <w:r w:rsidR="00A1700A" w:rsidRPr="00A1700A">
        <w:rPr>
          <w:lang w:val="en-GB"/>
        </w:rPr>
        <w:t xml:space="preserve"> respectively, and </w:t>
      </w:r>
      <w:r w:rsidR="00A41DCB" w:rsidRPr="00A1700A">
        <w:rPr>
          <w:lang w:val="en-GB"/>
        </w:rPr>
        <w:t xml:space="preserve">in </w:t>
      </w:r>
      <w:r w:rsidR="00A41DCB">
        <w:rPr>
          <w:lang w:val="en-GB"/>
        </w:rPr>
        <w:t xml:space="preserve">case of </w:t>
      </w:r>
      <w:r w:rsidR="00A41DCB" w:rsidRPr="00A1700A">
        <w:rPr>
          <w:lang w:val="en-GB"/>
        </w:rPr>
        <w:t xml:space="preserve">large enterprises </w:t>
      </w:r>
      <w:r w:rsidR="00A1700A" w:rsidRPr="00A1700A">
        <w:rPr>
          <w:lang w:val="en-GB"/>
        </w:rPr>
        <w:t>by 11.6% and 16.0%</w:t>
      </w:r>
      <w:r w:rsidR="00A41DCB">
        <w:rPr>
          <w:lang w:val="en-GB"/>
        </w:rPr>
        <w:t>, respectively</w:t>
      </w:r>
      <w:r w:rsidR="00A1700A" w:rsidRPr="00A1700A">
        <w:rPr>
          <w:lang w:val="en-GB"/>
        </w:rPr>
        <w:t>.</w:t>
      </w:r>
      <w:r w:rsidR="00A1700A">
        <w:rPr>
          <w:lang w:val="en-GB"/>
        </w:rPr>
        <w:t xml:space="preserve"> The structure of people employed in enterprises belonging to cultural and creative industries </w:t>
      </w:r>
      <w:r w:rsidR="00A1700A" w:rsidRPr="00A1700A">
        <w:rPr>
          <w:lang w:val="en-GB"/>
        </w:rPr>
        <w:t>was different from the structure of average e</w:t>
      </w:r>
      <w:r w:rsidR="00B35453">
        <w:rPr>
          <w:lang w:val="en-GB"/>
        </w:rPr>
        <w:t xml:space="preserve">mployment - </w:t>
      </w:r>
      <w:r w:rsidR="00984157" w:rsidRPr="00A1700A">
        <w:rPr>
          <w:lang w:val="en-GB"/>
        </w:rPr>
        <w:t>in micro-enterprises</w:t>
      </w:r>
      <w:r w:rsidR="00984157">
        <w:rPr>
          <w:lang w:val="en-GB"/>
        </w:rPr>
        <w:t xml:space="preserve"> worked </w:t>
      </w:r>
      <w:r w:rsidR="00B35453">
        <w:rPr>
          <w:lang w:val="en-GB"/>
        </w:rPr>
        <w:t>74.4% of people</w:t>
      </w:r>
      <w:r w:rsidR="00A1700A" w:rsidRPr="00A1700A">
        <w:rPr>
          <w:lang w:val="en-GB"/>
        </w:rPr>
        <w:t>, while the share of average employment was 39.4%.</w:t>
      </w:r>
    </w:p>
    <w:p w14:paraId="44B28CCE" w14:textId="2E71D2EC" w:rsidR="00102446" w:rsidRDefault="00F243A7" w:rsidP="00CA09BB">
      <w:pPr>
        <w:spacing w:line="288" w:lineRule="auto"/>
        <w:rPr>
          <w:shd w:val="clear" w:color="auto" w:fill="FFFFFF"/>
          <w:lang w:val="en-GB"/>
        </w:rPr>
      </w:pPr>
      <w:r w:rsidRPr="004D004E">
        <w:rPr>
          <w:noProof/>
          <w:lang w:eastAsia="pl-PL"/>
        </w:rPr>
        <mc:AlternateContent>
          <mc:Choice Requires="wps">
            <w:drawing>
              <wp:anchor distT="45720" distB="45720" distL="114300" distR="114300" simplePos="0" relativeHeight="251789312" behindDoc="1" locked="0" layoutInCell="1" allowOverlap="1" wp14:anchorId="1C5DC3C7" wp14:editId="32971859">
                <wp:simplePos x="0" y="0"/>
                <wp:positionH relativeFrom="page">
                  <wp:posOffset>5743575</wp:posOffset>
                </wp:positionH>
                <wp:positionV relativeFrom="paragraph">
                  <wp:posOffset>837565</wp:posOffset>
                </wp:positionV>
                <wp:extent cx="1742440" cy="1200150"/>
                <wp:effectExtent l="0" t="0" r="0" b="0"/>
                <wp:wrapTight wrapText="bothSides">
                  <wp:wrapPolygon edited="0">
                    <wp:start x="708" y="0"/>
                    <wp:lineTo x="708" y="21257"/>
                    <wp:lineTo x="20781" y="21257"/>
                    <wp:lineTo x="20781" y="0"/>
                    <wp:lineTo x="708" y="0"/>
                  </wp:wrapPolygon>
                </wp:wrapTight>
                <wp:docPr id="11" name="Prostokąt 11" descr="Gross monthly salary per one employee in the cultural and creative industries was higher by PLN 1,248 compared to the total non-financial enterpris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40" cy="1200150"/>
                        </a:xfrm>
                        <a:prstGeom prst="rect">
                          <a:avLst/>
                        </a:prstGeom>
                        <a:noFill/>
                        <a:ln w="9360">
                          <a:noFill/>
                        </a:ln>
                      </wps:spPr>
                      <wps:style>
                        <a:lnRef idx="0">
                          <a:scrgbClr r="0" g="0" b="0"/>
                        </a:lnRef>
                        <a:fillRef idx="0">
                          <a:scrgbClr r="0" g="0" b="0"/>
                        </a:fillRef>
                        <a:effectRef idx="0">
                          <a:scrgbClr r="0" g="0" b="0"/>
                        </a:effectRef>
                        <a:fontRef idx="minor"/>
                      </wps:style>
                      <wps:txbx>
                        <w:txbxContent>
                          <w:p w14:paraId="58E8E69B" w14:textId="354CE99F" w:rsidR="002C157F" w:rsidRPr="002C157F" w:rsidRDefault="002C157F" w:rsidP="00543DA2">
                            <w:pPr>
                              <w:pStyle w:val="tekstzboku"/>
                              <w:rPr>
                                <w:lang w:val="en-US"/>
                              </w:rPr>
                            </w:pPr>
                            <w:r w:rsidRPr="002C157F">
                              <w:rPr>
                                <w:lang w:val="en-US"/>
                              </w:rPr>
                              <w:t>Gross m</w:t>
                            </w:r>
                            <w:r w:rsidR="00647B5C">
                              <w:rPr>
                                <w:lang w:val="en-US"/>
                              </w:rPr>
                              <w:t xml:space="preserve">onthly </w:t>
                            </w:r>
                            <w:r w:rsidR="007F5B1E">
                              <w:rPr>
                                <w:lang w:val="en-US"/>
                              </w:rPr>
                              <w:t>salary</w:t>
                            </w:r>
                            <w:r w:rsidR="00647B5C">
                              <w:rPr>
                                <w:lang w:val="en-US"/>
                              </w:rPr>
                              <w:t xml:space="preserve"> per one</w:t>
                            </w:r>
                            <w:r w:rsidRPr="002C157F">
                              <w:rPr>
                                <w:lang w:val="en-US"/>
                              </w:rPr>
                              <w:t xml:space="preserve"> employee in the cultural and creative </w:t>
                            </w:r>
                            <w:r w:rsidR="00647B5C">
                              <w:rPr>
                                <w:lang w:val="en-US"/>
                              </w:rPr>
                              <w:t>industries was higher by PLN 1,248</w:t>
                            </w:r>
                            <w:r w:rsidRPr="002C157F">
                              <w:rPr>
                                <w:lang w:val="en-US"/>
                              </w:rPr>
                              <w:t xml:space="preserve"> compared to </w:t>
                            </w:r>
                            <w:r>
                              <w:rPr>
                                <w:lang w:val="en-US"/>
                              </w:rPr>
                              <w:t xml:space="preserve">the </w:t>
                            </w:r>
                            <w:r w:rsidRPr="002C157F">
                              <w:rPr>
                                <w:lang w:val="en-US"/>
                              </w:rPr>
                              <w:t>total non-financial enterprises</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1C5DC3C7" id="Prostokąt 11" o:spid="_x0000_s1029" alt="Gross monthly salary per one employee in the cultural and creative industries was higher by PLN 1,248 compared to the total non-financial enterprises" style="position:absolute;margin-left:452.25pt;margin-top:65.95pt;width:137.2pt;height:94.5pt;z-index:-251527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TlVgIAAMYEAAAOAAAAZHJzL2Uyb0RvYy54bWysVEtu2zAQ3RfoHQZcN5HluG0qRA6KBskm&#10;SI2mPQBNjSwiFMlyaMs6QG/Wg3VIy+5vlaIbweTMe5yZ98ZX1/vewA4DaWdrUZ7PBKBVrtF2U4sv&#10;n2/PLgVQlLaRxlmsxYgkrpcvX1wNvsK565xpMACTWKoGX4suRl8VBakOe0nnzqPlYOtCLyMfw6Zo&#10;ghyYvTfFfDZ7UwwuND44hUR8e3MIimXmb1tU8WPbEkYwteDaYv6G/F2nb7G8ktUmSN9pNZUh/6GK&#10;XmrLj56obmSUsA36L6peq+DItfFcub5wbasV5h64m3L2RzePnfSYe+HhkD+Nif4frXrYrQLohrUr&#10;BVjZs0YrrjC6p+/fIqTLBknxxO74lqB3NnZmBJJGhhE8i8e6AvbeuBERtIXYIaitidsgDbDyoALK&#10;qHcp2GwpBo0EgyTo9KZj/HqE1f0DlK/mi0vgqXgZsIHoMlF0kVmss2etttIqzSe0EYMPmthLrN/g&#10;qeI2Hv0qJAXI3zv1RBwofoukA005+zb0KZfnD/tshvFkBtxHUHxZvl3MFwv2jOJYyV4rX2e7FLI6&#10;wn2geIeuh/SjFoHdlk0gd/cUUwGyOqak16y71cZkxxkLQy3eXbyZZcApwghjp8oPxeay42gwMRj7&#10;CVtWK9ecm1Vhs/5gAhwszTvHBR+NnckYkBJbfvmZ2AmS0Jg36Zn4Eyi/z7454XttXUjSZYXo0F1q&#10;NO7X+2zGi6Owa9eMbNCBN7QW9HXL3pgm9n4bXavzmBP0kDhR8rLk6U+Lnbbx13PO+vn3s/wBAAD/&#10;/wMAUEsDBBQABgAIAAAAIQDrbJ1k4AAAAAwBAAAPAAAAZHJzL2Rvd25yZXYueG1sTI+xbsIwEIb3&#10;SryDdUjdih1oA0njoKpSunRqYGA08TWJiO0oNpDw9D2mst3p//Tfd9l2NB274OBbZyVECwEMbeV0&#10;a2sJ+13xsgHmg7Jadc6ihAk9bPPZU6ZS7a72By9lqBmVWJ8qCU0Ifcq5rxo0yi9cj5ayXzcYFWgd&#10;aq4HdaVy0/GlEDE3qrV0oVE9fjZYncqzkVCI0768lbvwJYrbdxwOk9DxJOXzfPx4BxZwDP8w3PVJ&#10;HXJyOrqz1Z51EhLx+kYoBasoAXYnovWGpqOE1VIkwPOMPz6R/wEAAP//AwBQSwECLQAUAAYACAAA&#10;ACEAtoM4kv4AAADhAQAAEwAAAAAAAAAAAAAAAAAAAAAAW0NvbnRlbnRfVHlwZXNdLnhtbFBLAQIt&#10;ABQABgAIAAAAIQA4/SH/1gAAAJQBAAALAAAAAAAAAAAAAAAAAC8BAABfcmVscy8ucmVsc1BLAQIt&#10;ABQABgAIAAAAIQAsNJTlVgIAAMYEAAAOAAAAAAAAAAAAAAAAAC4CAABkcnMvZTJvRG9jLnhtbFBL&#10;AQItABQABgAIAAAAIQDrbJ1k4AAAAAwBAAAPAAAAAAAAAAAAAAAAALAEAABkcnMvZG93bnJldi54&#10;bWxQSwUGAAAAAAQABADzAAAAvQUAAAAA&#10;" filled="f" stroked="f" strokeweight=".26mm">
                <v:textbox>
                  <w:txbxContent>
                    <w:p w14:paraId="58E8E69B" w14:textId="354CE99F" w:rsidR="002C157F" w:rsidRPr="002C157F" w:rsidRDefault="002C157F" w:rsidP="00543DA2">
                      <w:pPr>
                        <w:pStyle w:val="tekstzboku"/>
                        <w:rPr>
                          <w:lang w:val="en-US"/>
                        </w:rPr>
                      </w:pPr>
                      <w:r w:rsidRPr="002C157F">
                        <w:rPr>
                          <w:lang w:val="en-US"/>
                        </w:rPr>
                        <w:t>Gross m</w:t>
                      </w:r>
                      <w:r w:rsidR="00647B5C">
                        <w:rPr>
                          <w:lang w:val="en-US"/>
                        </w:rPr>
                        <w:t xml:space="preserve">onthly </w:t>
                      </w:r>
                      <w:r w:rsidR="007F5B1E">
                        <w:rPr>
                          <w:lang w:val="en-US"/>
                        </w:rPr>
                        <w:t>salary</w:t>
                      </w:r>
                      <w:r w:rsidR="00647B5C">
                        <w:rPr>
                          <w:lang w:val="en-US"/>
                        </w:rPr>
                        <w:t xml:space="preserve"> per one</w:t>
                      </w:r>
                      <w:r w:rsidRPr="002C157F">
                        <w:rPr>
                          <w:lang w:val="en-US"/>
                        </w:rPr>
                        <w:t xml:space="preserve"> employee in the cultural and creative </w:t>
                      </w:r>
                      <w:r w:rsidR="00647B5C">
                        <w:rPr>
                          <w:lang w:val="en-US"/>
                        </w:rPr>
                        <w:t>industries was higher by PLN 1,248</w:t>
                      </w:r>
                      <w:r w:rsidRPr="002C157F">
                        <w:rPr>
                          <w:lang w:val="en-US"/>
                        </w:rPr>
                        <w:t xml:space="preserve"> compared to </w:t>
                      </w:r>
                      <w:r>
                        <w:rPr>
                          <w:lang w:val="en-US"/>
                        </w:rPr>
                        <w:t xml:space="preserve">the </w:t>
                      </w:r>
                      <w:r w:rsidRPr="002C157F">
                        <w:rPr>
                          <w:lang w:val="en-US"/>
                        </w:rPr>
                        <w:t>total non-financial enterprises</w:t>
                      </w:r>
                    </w:p>
                  </w:txbxContent>
                </v:textbox>
                <w10:wrap type="tight" anchorx="page"/>
              </v:rect>
            </w:pict>
          </mc:Fallback>
        </mc:AlternateContent>
      </w:r>
      <w:r w:rsidR="006A5DC0" w:rsidRPr="004D004E">
        <w:rPr>
          <w:shd w:val="clear" w:color="auto" w:fill="FFFFFF"/>
          <w:lang w:val="en-GB"/>
        </w:rPr>
        <w:t xml:space="preserve">Both in non-financial enterprises and in the cultural and creative industries, the gross </w:t>
      </w:r>
      <w:r w:rsidR="00102446">
        <w:rPr>
          <w:shd w:val="clear" w:color="auto" w:fill="FFFFFF"/>
          <w:lang w:val="en-GB"/>
        </w:rPr>
        <w:t xml:space="preserve">monthly salary per one </w:t>
      </w:r>
      <w:r w:rsidR="006A5DC0" w:rsidRPr="004D004E">
        <w:rPr>
          <w:shd w:val="clear" w:color="auto" w:fill="FFFFFF"/>
          <w:lang w:val="en-GB"/>
        </w:rPr>
        <w:t>employee increas</w:t>
      </w:r>
      <w:r w:rsidR="00102446">
        <w:rPr>
          <w:shd w:val="clear" w:color="auto" w:fill="FFFFFF"/>
          <w:lang w:val="en-GB"/>
        </w:rPr>
        <w:t>ed compared to 2021 (by 13.5% and 15.2</w:t>
      </w:r>
      <w:r w:rsidR="006A5DC0" w:rsidRPr="004D004E">
        <w:rPr>
          <w:shd w:val="clear" w:color="auto" w:fill="FFFFFF"/>
          <w:lang w:val="en-GB"/>
        </w:rPr>
        <w:t xml:space="preserve">%, respectively). </w:t>
      </w:r>
      <w:r w:rsidR="00E96E0C">
        <w:rPr>
          <w:shd w:val="clear" w:color="auto" w:fill="FFFFFF"/>
          <w:lang w:val="en-GB"/>
        </w:rPr>
        <w:t xml:space="preserve">In the cultural and creative industries gross monthly salary per one employee amounted to PLN 7,979 and was higher by PLN 1,052 in comparison to the previous year. </w:t>
      </w:r>
      <w:r w:rsidR="00984157">
        <w:rPr>
          <w:shd w:val="clear" w:color="auto" w:fill="FFFFFF"/>
          <w:lang w:val="en-GB"/>
        </w:rPr>
        <w:t>A</w:t>
      </w:r>
      <w:r w:rsidR="00D15D1B">
        <w:rPr>
          <w:shd w:val="clear" w:color="auto" w:fill="FFFFFF"/>
          <w:lang w:val="en-GB"/>
        </w:rPr>
        <w:t>verage salaries increased</w:t>
      </w:r>
      <w:r w:rsidR="00D15D1B" w:rsidRPr="004D004E">
        <w:rPr>
          <w:shd w:val="clear" w:color="auto" w:fill="FFFFFF"/>
          <w:lang w:val="en-GB"/>
        </w:rPr>
        <w:t xml:space="preserve"> </w:t>
      </w:r>
      <w:r w:rsidR="00984157">
        <w:rPr>
          <w:shd w:val="clear" w:color="auto" w:fill="FFFFFF"/>
          <w:lang w:val="en-GB"/>
        </w:rPr>
        <w:t>regardless of the</w:t>
      </w:r>
      <w:r w:rsidR="00D15D1B" w:rsidRPr="004D004E">
        <w:rPr>
          <w:shd w:val="clear" w:color="auto" w:fill="FFFFFF"/>
          <w:lang w:val="en-GB"/>
        </w:rPr>
        <w:t xml:space="preserve"> size c</w:t>
      </w:r>
      <w:r w:rsidR="007F5B1E">
        <w:rPr>
          <w:shd w:val="clear" w:color="auto" w:fill="FFFFFF"/>
          <w:lang w:val="en-GB"/>
        </w:rPr>
        <w:t xml:space="preserve">lass of entities classified </w:t>
      </w:r>
      <w:r w:rsidR="0063617A">
        <w:rPr>
          <w:shd w:val="clear" w:color="auto" w:fill="FFFFFF"/>
          <w:lang w:val="en-GB"/>
        </w:rPr>
        <w:t>as</w:t>
      </w:r>
      <w:r w:rsidR="00D15D1B" w:rsidRPr="004D004E">
        <w:rPr>
          <w:shd w:val="clear" w:color="auto" w:fill="FFFFFF"/>
          <w:lang w:val="en-GB"/>
        </w:rPr>
        <w:t xml:space="preserve"> cultural and creative industries, wit</w:t>
      </w:r>
      <w:r w:rsidR="00D15D1B">
        <w:rPr>
          <w:shd w:val="clear" w:color="auto" w:fill="FFFFFF"/>
          <w:lang w:val="en-GB"/>
        </w:rPr>
        <w:t>h the highest increase</w:t>
      </w:r>
      <w:r w:rsidR="00984157">
        <w:rPr>
          <w:shd w:val="clear" w:color="auto" w:fill="FFFFFF"/>
          <w:lang w:val="en-GB"/>
        </w:rPr>
        <w:t xml:space="preserve"> recorded</w:t>
      </w:r>
      <w:r w:rsidR="00D15D1B">
        <w:rPr>
          <w:shd w:val="clear" w:color="auto" w:fill="FFFFFF"/>
          <w:lang w:val="en-GB"/>
        </w:rPr>
        <w:t xml:space="preserve"> in </w:t>
      </w:r>
      <w:r w:rsidR="00984157">
        <w:rPr>
          <w:shd w:val="clear" w:color="auto" w:fill="FFFFFF"/>
          <w:lang w:val="en-GB"/>
        </w:rPr>
        <w:t xml:space="preserve">case of </w:t>
      </w:r>
      <w:r w:rsidR="00D15D1B">
        <w:rPr>
          <w:shd w:val="clear" w:color="auto" w:fill="FFFFFF"/>
          <w:lang w:val="en-GB"/>
        </w:rPr>
        <w:t>micro-</w:t>
      </w:r>
      <w:r w:rsidR="00D15D1B" w:rsidRPr="004D004E">
        <w:rPr>
          <w:shd w:val="clear" w:color="auto" w:fill="FFFFFF"/>
          <w:lang w:val="en-GB"/>
        </w:rPr>
        <w:t xml:space="preserve">enterprises </w:t>
      </w:r>
      <w:r w:rsidR="00D15D1B">
        <w:rPr>
          <w:lang w:val="en-GB"/>
        </w:rPr>
        <w:t>–</w:t>
      </w:r>
      <w:r w:rsidR="00D15D1B" w:rsidRPr="00A1700A">
        <w:rPr>
          <w:lang w:val="en-GB"/>
        </w:rPr>
        <w:t xml:space="preserve"> </w:t>
      </w:r>
      <w:r w:rsidR="00D15D1B">
        <w:rPr>
          <w:lang w:val="en-GB"/>
        </w:rPr>
        <w:t xml:space="preserve">by 23.8% </w:t>
      </w:r>
      <w:r w:rsidR="00D15D1B">
        <w:rPr>
          <w:shd w:val="clear" w:color="auto" w:fill="FFFFFF"/>
          <w:lang w:val="en-GB"/>
        </w:rPr>
        <w:t>(</w:t>
      </w:r>
      <w:r w:rsidR="002B4995">
        <w:rPr>
          <w:shd w:val="clear" w:color="auto" w:fill="FFFFFF"/>
          <w:lang w:val="en-GB"/>
        </w:rPr>
        <w:t xml:space="preserve">up </w:t>
      </w:r>
      <w:r w:rsidR="00D15D1B">
        <w:rPr>
          <w:shd w:val="clear" w:color="auto" w:fill="FFFFFF"/>
          <w:lang w:val="en-GB"/>
        </w:rPr>
        <w:t>to PLN 5,183</w:t>
      </w:r>
      <w:r w:rsidR="00D15D1B" w:rsidRPr="004D004E">
        <w:rPr>
          <w:shd w:val="clear" w:color="auto" w:fill="FFFFFF"/>
          <w:lang w:val="en-GB"/>
        </w:rPr>
        <w:t>).</w:t>
      </w:r>
      <w:r w:rsidR="002F5768">
        <w:rPr>
          <w:shd w:val="clear" w:color="auto" w:fill="FFFFFF"/>
          <w:lang w:val="en-GB"/>
        </w:rPr>
        <w:t xml:space="preserve"> In small enterprises average salary increased by 11.7%, </w:t>
      </w:r>
      <w:r w:rsidR="00993E20">
        <w:rPr>
          <w:shd w:val="clear" w:color="auto" w:fill="FFFFFF"/>
          <w:lang w:val="en-GB"/>
        </w:rPr>
        <w:t xml:space="preserve">in </w:t>
      </w:r>
      <w:r w:rsidR="002F5768" w:rsidRPr="004D004E">
        <w:rPr>
          <w:lang w:val="en-GB"/>
        </w:rPr>
        <w:t>medium</w:t>
      </w:r>
      <w:r w:rsidR="00993E20">
        <w:rPr>
          <w:lang w:val="en-GB"/>
        </w:rPr>
        <w:t xml:space="preserve"> enterprises</w:t>
      </w:r>
      <w:r w:rsidR="002F5768" w:rsidRPr="004D004E">
        <w:rPr>
          <w:lang w:val="en-GB"/>
        </w:rPr>
        <w:t xml:space="preserve"> –</w:t>
      </w:r>
      <w:r w:rsidR="002F5768">
        <w:rPr>
          <w:lang w:val="en-GB"/>
        </w:rPr>
        <w:t xml:space="preserve"> by 8.0</w:t>
      </w:r>
      <w:r w:rsidR="002F5768" w:rsidRPr="004D004E">
        <w:rPr>
          <w:lang w:val="en-GB"/>
        </w:rPr>
        <w:t xml:space="preserve">% and </w:t>
      </w:r>
      <w:r w:rsidR="00993E20">
        <w:rPr>
          <w:lang w:val="en-GB"/>
        </w:rPr>
        <w:t xml:space="preserve">in </w:t>
      </w:r>
      <w:r w:rsidR="002F5768" w:rsidRPr="004D004E">
        <w:rPr>
          <w:lang w:val="en-GB"/>
        </w:rPr>
        <w:t>large –</w:t>
      </w:r>
      <w:r w:rsidR="002F5768">
        <w:rPr>
          <w:lang w:val="en-GB"/>
        </w:rPr>
        <w:t xml:space="preserve"> by 6.5%</w:t>
      </w:r>
      <w:r w:rsidR="002F5768" w:rsidRPr="004D004E">
        <w:rPr>
          <w:lang w:val="en-GB"/>
        </w:rPr>
        <w:t>.</w:t>
      </w:r>
      <w:r w:rsidR="001A0F2D">
        <w:rPr>
          <w:lang w:val="en-GB"/>
        </w:rPr>
        <w:t xml:space="preserve"> The highest gross monthly salary per one employee was </w:t>
      </w:r>
      <w:r w:rsidR="002B4995">
        <w:rPr>
          <w:lang w:val="en-GB"/>
        </w:rPr>
        <w:t>recorded</w:t>
      </w:r>
      <w:r w:rsidR="001A0F2D">
        <w:rPr>
          <w:lang w:val="en-GB"/>
        </w:rPr>
        <w:t xml:space="preserve"> in large enterprises</w:t>
      </w:r>
      <w:r w:rsidR="001A0F2D" w:rsidRPr="004D004E">
        <w:rPr>
          <w:lang w:val="en-GB"/>
        </w:rPr>
        <w:t xml:space="preserve"> </w:t>
      </w:r>
      <w:r w:rsidR="001A0F2D">
        <w:rPr>
          <w:lang w:val="en-GB"/>
        </w:rPr>
        <w:t xml:space="preserve">(PLN 10,589), </w:t>
      </w:r>
      <w:r w:rsidR="0063617A">
        <w:rPr>
          <w:lang w:val="en-GB"/>
        </w:rPr>
        <w:t>and</w:t>
      </w:r>
      <w:r w:rsidR="001A0F2D" w:rsidRPr="001A0F2D">
        <w:rPr>
          <w:lang w:val="en-GB"/>
        </w:rPr>
        <w:t xml:space="preserve"> was twice as high as in the case of micro-enterprises</w:t>
      </w:r>
      <w:r w:rsidR="001A0F2D">
        <w:rPr>
          <w:lang w:val="en-GB"/>
        </w:rPr>
        <w:t>.</w:t>
      </w:r>
    </w:p>
    <w:p w14:paraId="11DDF7CF" w14:textId="7E632BAC" w:rsidR="005E68A5" w:rsidRPr="005E68A5" w:rsidRDefault="005E68A5" w:rsidP="005E68A5">
      <w:pPr>
        <w:spacing w:line="288" w:lineRule="auto"/>
        <w:rPr>
          <w:shd w:val="clear" w:color="auto" w:fill="FFFFFF"/>
          <w:lang w:val="en-GB"/>
        </w:rPr>
      </w:pPr>
      <w:r w:rsidRPr="005E68A5">
        <w:rPr>
          <w:shd w:val="clear" w:color="auto" w:fill="FFFFFF"/>
          <w:lang w:val="en-GB"/>
        </w:rPr>
        <w:t xml:space="preserve">Regardless of the size class of enterprises, the gross monthly salary per employee in the cultural and creative industries was higher than in </w:t>
      </w:r>
      <w:r>
        <w:rPr>
          <w:shd w:val="clear" w:color="auto" w:fill="FFFFFF"/>
          <w:lang w:val="en-GB"/>
        </w:rPr>
        <w:t xml:space="preserve">the total </w:t>
      </w:r>
      <w:r w:rsidRPr="005E68A5">
        <w:rPr>
          <w:shd w:val="clear" w:color="auto" w:fill="FFFFFF"/>
          <w:lang w:val="en-GB"/>
        </w:rPr>
        <w:t>non-</w:t>
      </w:r>
      <w:r>
        <w:rPr>
          <w:shd w:val="clear" w:color="auto" w:fill="FFFFFF"/>
          <w:lang w:val="en-GB"/>
        </w:rPr>
        <w:t>financial enterprises</w:t>
      </w:r>
      <w:r w:rsidRPr="005E68A5">
        <w:rPr>
          <w:shd w:val="clear" w:color="auto" w:fill="FFFFFF"/>
          <w:lang w:val="en-GB"/>
        </w:rPr>
        <w:t xml:space="preserve"> – by PLN 1,248. In the largest group of entities, i.e. micro-enterprises, the difference amounted to PLN 799, in small enterprises – PLN 1,986, in medium-sized enterprises – PLN 2,666, and in large enterprises – PLN 2,822. </w:t>
      </w:r>
    </w:p>
    <w:p w14:paraId="434496CF" w14:textId="523C4992" w:rsidR="001A0F2D" w:rsidRDefault="005E68A5" w:rsidP="005E68A5">
      <w:pPr>
        <w:spacing w:line="288" w:lineRule="auto"/>
        <w:rPr>
          <w:shd w:val="clear" w:color="auto" w:fill="FFFFFF"/>
          <w:lang w:val="en-GB"/>
        </w:rPr>
      </w:pPr>
      <w:r w:rsidRPr="005E68A5">
        <w:rPr>
          <w:shd w:val="clear" w:color="auto" w:fill="FFFFFF"/>
          <w:lang w:val="en-GB"/>
        </w:rPr>
        <w:lastRenderedPageBreak/>
        <w:t xml:space="preserve">Share of gross wages and salaries in total costs for enterprises classified as cultural </w:t>
      </w:r>
      <w:r>
        <w:rPr>
          <w:shd w:val="clear" w:color="auto" w:fill="FFFFFF"/>
          <w:lang w:val="en-GB"/>
        </w:rPr>
        <w:t>and creative industries amounted to 11.</w:t>
      </w:r>
      <w:r w:rsidR="00693D2B">
        <w:rPr>
          <w:shd w:val="clear" w:color="auto" w:fill="FFFFFF"/>
          <w:lang w:val="en-GB"/>
        </w:rPr>
        <w:t>6</w:t>
      </w:r>
      <w:r>
        <w:rPr>
          <w:shd w:val="clear" w:color="auto" w:fill="FFFFFF"/>
          <w:lang w:val="en-GB"/>
        </w:rPr>
        <w:t>% (0.9 percentage points more than in 2021).</w:t>
      </w:r>
    </w:p>
    <w:p w14:paraId="5C613671" w14:textId="4E42C5EE" w:rsidR="006D4224" w:rsidRPr="004D004E" w:rsidRDefault="00DD62BE" w:rsidP="00F15EA6">
      <w:pPr>
        <w:pStyle w:val="Tytutablicy"/>
        <w:suppressAutoHyphens/>
        <w:ind w:left="709" w:hanging="709"/>
        <w:rPr>
          <w:lang w:val="en-GB"/>
        </w:rPr>
      </w:pPr>
      <w:r w:rsidRPr="004D004E">
        <w:rPr>
          <w:lang w:val="en-GB"/>
        </w:rPr>
        <w:t xml:space="preserve">Table 1. Employed persons, average paid employment, gross wages and salaries in the cultural and creative industries in </w:t>
      </w:r>
      <w:r w:rsidR="006D4224" w:rsidRPr="004D004E">
        <w:rPr>
          <w:lang w:val="en-GB"/>
        </w:rPr>
        <w:t>202</w:t>
      </w:r>
      <w:r w:rsidR="005415D3">
        <w:rPr>
          <w:lang w:val="en-GB"/>
        </w:rPr>
        <w:t>2</w:t>
      </w:r>
    </w:p>
    <w:tbl>
      <w:tblPr>
        <w:tblStyle w:val="Siatkatabelijasna1"/>
        <w:tblW w:w="7768"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Layout w:type="fixed"/>
        <w:tblCellMar>
          <w:top w:w="57" w:type="dxa"/>
          <w:bottom w:w="57" w:type="dxa"/>
        </w:tblCellMar>
        <w:tblLook w:val="04A0" w:firstRow="1" w:lastRow="0" w:firstColumn="1" w:lastColumn="0" w:noHBand="0" w:noVBand="1"/>
        <w:tblCaption w:val="Table 1 presenting employed persons, average paid employment, gross wages and salaries in the cultural and creative industries in 2022"/>
      </w:tblPr>
      <w:tblGrid>
        <w:gridCol w:w="2401"/>
        <w:gridCol w:w="1341"/>
        <w:gridCol w:w="1342"/>
        <w:gridCol w:w="1342"/>
        <w:gridCol w:w="1342"/>
      </w:tblGrid>
      <w:tr w:rsidR="00DD62BE" w:rsidRPr="000461F1" w14:paraId="13B1404D" w14:textId="77777777" w:rsidTr="00C24B22">
        <w:trPr>
          <w:trHeight w:val="227"/>
          <w:tblHeader/>
        </w:trPr>
        <w:tc>
          <w:tcPr>
            <w:tcW w:w="2401" w:type="dxa"/>
            <w:vAlign w:val="center"/>
            <w:hideMark/>
          </w:tcPr>
          <w:p w14:paraId="28D459F1" w14:textId="207318B8" w:rsidR="00DD62BE" w:rsidRPr="004D004E" w:rsidRDefault="00DD62BE" w:rsidP="00DD62BE">
            <w:pPr>
              <w:pStyle w:val="Tablicagwkarodek"/>
              <w:rPr>
                <w:rFonts w:cs="Arial"/>
                <w:color w:val="00000A"/>
                <w:sz w:val="16"/>
                <w:szCs w:val="16"/>
                <w:lang w:val="en-GB" w:eastAsia="en-US"/>
              </w:rPr>
            </w:pPr>
            <w:r w:rsidRPr="004D004E">
              <w:rPr>
                <w:rFonts w:cs="Arial"/>
                <w:bCs/>
                <w:color w:val="000000" w:themeColor="text1"/>
                <w:lang w:val="en-GB"/>
              </w:rPr>
              <w:t>Specification</w:t>
            </w:r>
          </w:p>
        </w:tc>
        <w:tc>
          <w:tcPr>
            <w:tcW w:w="1341" w:type="dxa"/>
            <w:tcMar>
              <w:top w:w="57" w:type="dxa"/>
              <w:left w:w="102" w:type="dxa"/>
              <w:bottom w:w="57" w:type="dxa"/>
              <w:right w:w="108" w:type="dxa"/>
            </w:tcMar>
            <w:vAlign w:val="center"/>
            <w:hideMark/>
          </w:tcPr>
          <w:p w14:paraId="6E4F7B8C" w14:textId="77777777" w:rsidR="00DD62BE" w:rsidRPr="004D004E" w:rsidRDefault="00DD62BE" w:rsidP="00DD62BE">
            <w:pPr>
              <w:pStyle w:val="Tablicagwkarodek"/>
              <w:spacing w:before="0" w:after="0" w:line="240" w:lineRule="auto"/>
              <w:rPr>
                <w:rFonts w:cs="Arial"/>
                <w:bCs/>
                <w:color w:val="000000" w:themeColor="text1"/>
                <w:lang w:val="en-GB"/>
              </w:rPr>
            </w:pPr>
            <w:r w:rsidRPr="004D004E">
              <w:rPr>
                <w:rFonts w:cs="Arial"/>
                <w:bCs/>
                <w:color w:val="000000" w:themeColor="text1"/>
                <w:lang w:val="en-GB"/>
              </w:rPr>
              <w:t xml:space="preserve">Number of persons </w:t>
            </w:r>
          </w:p>
          <w:p w14:paraId="7724A1DE" w14:textId="0E4B0019" w:rsidR="00DD62BE" w:rsidRPr="004D004E" w:rsidRDefault="00DD62BE" w:rsidP="00DD62BE">
            <w:pPr>
              <w:pStyle w:val="Tablicagwkarodek"/>
              <w:spacing w:before="0" w:after="0" w:line="240" w:lineRule="auto"/>
              <w:rPr>
                <w:vertAlign w:val="superscript"/>
                <w:lang w:val="en-GB"/>
              </w:rPr>
            </w:pPr>
            <w:proofErr w:type="spellStart"/>
            <w:r w:rsidRPr="004D004E">
              <w:rPr>
                <w:rFonts w:cs="Arial"/>
                <w:bCs/>
                <w:color w:val="000000" w:themeColor="text1"/>
                <w:lang w:val="en-GB"/>
              </w:rPr>
              <w:t>employed</w:t>
            </w:r>
            <w:r w:rsidRPr="004D004E">
              <w:rPr>
                <w:bCs/>
                <w:vertAlign w:val="superscript"/>
                <w:lang w:val="en-GB"/>
              </w:rPr>
              <w:t>a</w:t>
            </w:r>
            <w:proofErr w:type="spellEnd"/>
          </w:p>
        </w:tc>
        <w:tc>
          <w:tcPr>
            <w:tcW w:w="1342" w:type="dxa"/>
            <w:tcMar>
              <w:top w:w="57" w:type="dxa"/>
              <w:left w:w="102" w:type="dxa"/>
              <w:bottom w:w="57" w:type="dxa"/>
              <w:right w:w="108" w:type="dxa"/>
            </w:tcMar>
            <w:vAlign w:val="center"/>
            <w:hideMark/>
          </w:tcPr>
          <w:p w14:paraId="5362AAC6" w14:textId="4CF50ECD" w:rsidR="00DD62BE" w:rsidRPr="004D004E" w:rsidRDefault="00DD62BE" w:rsidP="00DD62BE">
            <w:pPr>
              <w:pStyle w:val="Tablicagwkarodek"/>
              <w:rPr>
                <w:lang w:val="en-GB"/>
              </w:rPr>
            </w:pPr>
            <w:r w:rsidRPr="004D004E">
              <w:rPr>
                <w:rFonts w:cs="Arial"/>
                <w:bCs/>
                <w:color w:val="000000" w:themeColor="text1"/>
                <w:lang w:val="en-GB"/>
              </w:rPr>
              <w:t>Average paid employment</w:t>
            </w:r>
          </w:p>
        </w:tc>
        <w:tc>
          <w:tcPr>
            <w:tcW w:w="1342" w:type="dxa"/>
            <w:tcMar>
              <w:top w:w="57" w:type="dxa"/>
              <w:left w:w="102" w:type="dxa"/>
              <w:bottom w:w="57" w:type="dxa"/>
              <w:right w:w="108" w:type="dxa"/>
            </w:tcMar>
            <w:vAlign w:val="center"/>
            <w:hideMark/>
          </w:tcPr>
          <w:p w14:paraId="0B3E41C7" w14:textId="3A0F257A" w:rsidR="00DD62BE" w:rsidRPr="004D004E" w:rsidRDefault="00DD62BE" w:rsidP="00DD62BE">
            <w:pPr>
              <w:pStyle w:val="Tablicagwkarodek"/>
              <w:rPr>
                <w:lang w:val="en-GB"/>
              </w:rPr>
            </w:pPr>
            <w:r w:rsidRPr="004D004E">
              <w:rPr>
                <w:rFonts w:cs="Arial"/>
                <w:bCs/>
                <w:color w:val="000000" w:themeColor="text1"/>
                <w:lang w:val="en-GB"/>
              </w:rPr>
              <w:t>Gross wages and salaries in thousands PLN</w:t>
            </w:r>
          </w:p>
        </w:tc>
        <w:tc>
          <w:tcPr>
            <w:tcW w:w="1342" w:type="dxa"/>
            <w:tcMar>
              <w:top w:w="57" w:type="dxa"/>
              <w:left w:w="102" w:type="dxa"/>
              <w:bottom w:w="57" w:type="dxa"/>
              <w:right w:w="108" w:type="dxa"/>
            </w:tcMar>
            <w:vAlign w:val="center"/>
            <w:hideMark/>
          </w:tcPr>
          <w:p w14:paraId="6E6E2C95" w14:textId="74FC4E0B" w:rsidR="00DD62BE" w:rsidRPr="004D004E" w:rsidRDefault="00DD62BE" w:rsidP="00DD62BE">
            <w:pPr>
              <w:pStyle w:val="Tablicagwkarodek"/>
              <w:spacing w:before="0"/>
              <w:rPr>
                <w:lang w:val="en-GB"/>
              </w:rPr>
            </w:pPr>
            <w:r w:rsidRPr="004D004E">
              <w:rPr>
                <w:rFonts w:cs="Arial"/>
                <w:bCs/>
                <w:color w:val="000000" w:themeColor="text1"/>
                <w:lang w:val="en-GB"/>
              </w:rPr>
              <w:t>Monthly gross wages and salary per 1 paid employee in PLN</w:t>
            </w:r>
          </w:p>
        </w:tc>
      </w:tr>
      <w:tr w:rsidR="00CA4BEC" w:rsidRPr="004D004E" w14:paraId="069F9267" w14:textId="77777777" w:rsidTr="00920134">
        <w:trPr>
          <w:trHeight w:val="227"/>
          <w:tblHeader/>
        </w:trPr>
        <w:tc>
          <w:tcPr>
            <w:tcW w:w="2401" w:type="dxa"/>
            <w:vAlign w:val="center"/>
            <w:hideMark/>
          </w:tcPr>
          <w:p w14:paraId="11FC7A4E" w14:textId="42B30A67" w:rsidR="00CA4BEC" w:rsidRPr="004D004E" w:rsidRDefault="00CA4BEC" w:rsidP="00CA4BEC">
            <w:pPr>
              <w:pStyle w:val="Tablicaboczek"/>
              <w:rPr>
                <w:rFonts w:cs="Fira Sans"/>
                <w:b/>
                <w:bCs/>
                <w:spacing w:val="-1"/>
                <w:lang w:val="en-GB"/>
              </w:rPr>
            </w:pPr>
            <w:r w:rsidRPr="004D004E">
              <w:rPr>
                <w:rFonts w:eastAsiaTheme="majorEastAsia" w:cstheme="majorBidi"/>
                <w:b/>
                <w:bCs/>
                <w:color w:val="000000" w:themeColor="text1"/>
                <w:lang w:val="en-GB"/>
              </w:rPr>
              <w:t>Total</w:t>
            </w:r>
          </w:p>
        </w:tc>
        <w:tc>
          <w:tcPr>
            <w:tcW w:w="1341" w:type="dxa"/>
            <w:tcMar>
              <w:top w:w="57" w:type="dxa"/>
              <w:left w:w="102" w:type="dxa"/>
              <w:bottom w:w="57" w:type="dxa"/>
              <w:right w:w="108" w:type="dxa"/>
            </w:tcMar>
            <w:vAlign w:val="center"/>
            <w:hideMark/>
          </w:tcPr>
          <w:p w14:paraId="1DECBBE2" w14:textId="7829022E" w:rsidR="00CA4BEC" w:rsidRPr="004D004E" w:rsidRDefault="00CA4BEC" w:rsidP="00CA4BEC">
            <w:pPr>
              <w:pStyle w:val="Tablicadanerodek"/>
              <w:rPr>
                <w:b/>
                <w:lang w:val="en-GB"/>
              </w:rPr>
            </w:pPr>
            <w:r>
              <w:rPr>
                <w:rFonts w:cs="Arial"/>
                <w:b/>
                <w:bCs/>
                <w:color w:val="000000"/>
              </w:rPr>
              <w:t>256,</w:t>
            </w:r>
            <w:r w:rsidRPr="005878E9">
              <w:rPr>
                <w:rFonts w:cs="Arial"/>
                <w:b/>
                <w:bCs/>
                <w:color w:val="000000"/>
              </w:rPr>
              <w:t>021</w:t>
            </w:r>
          </w:p>
        </w:tc>
        <w:tc>
          <w:tcPr>
            <w:tcW w:w="1342" w:type="dxa"/>
            <w:tcMar>
              <w:top w:w="57" w:type="dxa"/>
              <w:left w:w="102" w:type="dxa"/>
              <w:bottom w:w="57" w:type="dxa"/>
              <w:right w:w="108" w:type="dxa"/>
            </w:tcMar>
            <w:vAlign w:val="center"/>
            <w:hideMark/>
          </w:tcPr>
          <w:p w14:paraId="1DF093C3" w14:textId="6FE1417D" w:rsidR="00CA4BEC" w:rsidRPr="004D004E" w:rsidRDefault="00CA4BEC" w:rsidP="00CA4BEC">
            <w:pPr>
              <w:pStyle w:val="Tablicadanerodek"/>
              <w:rPr>
                <w:b/>
                <w:lang w:val="en-GB"/>
              </w:rPr>
            </w:pPr>
            <w:r>
              <w:rPr>
                <w:rFonts w:cs="Arial"/>
                <w:b/>
                <w:bCs/>
                <w:color w:val="000000"/>
              </w:rPr>
              <w:t>101,</w:t>
            </w:r>
            <w:r w:rsidRPr="005878E9">
              <w:rPr>
                <w:rFonts w:cs="Arial"/>
                <w:b/>
                <w:bCs/>
                <w:color w:val="000000"/>
              </w:rPr>
              <w:t>572</w:t>
            </w:r>
          </w:p>
        </w:tc>
        <w:tc>
          <w:tcPr>
            <w:tcW w:w="1342" w:type="dxa"/>
            <w:tcMar>
              <w:top w:w="57" w:type="dxa"/>
              <w:left w:w="102" w:type="dxa"/>
              <w:bottom w:w="57" w:type="dxa"/>
              <w:right w:w="108" w:type="dxa"/>
            </w:tcMar>
            <w:vAlign w:val="center"/>
            <w:hideMark/>
          </w:tcPr>
          <w:p w14:paraId="31615E55" w14:textId="5F2FFF7D" w:rsidR="00CA4BEC" w:rsidRPr="004D004E" w:rsidRDefault="00CA4BEC" w:rsidP="00CA4BEC">
            <w:pPr>
              <w:pStyle w:val="Tablicadanerodek"/>
              <w:rPr>
                <w:b/>
                <w:lang w:val="en-GB"/>
              </w:rPr>
            </w:pPr>
            <w:r>
              <w:rPr>
                <w:rFonts w:cs="Arial"/>
                <w:b/>
                <w:bCs/>
                <w:color w:val="000000"/>
              </w:rPr>
              <w:t>9,725,</w:t>
            </w:r>
            <w:r w:rsidRPr="005878E9">
              <w:rPr>
                <w:rFonts w:cs="Arial"/>
                <w:b/>
                <w:bCs/>
                <w:color w:val="000000"/>
              </w:rPr>
              <w:t>514</w:t>
            </w:r>
          </w:p>
        </w:tc>
        <w:tc>
          <w:tcPr>
            <w:tcW w:w="1342" w:type="dxa"/>
            <w:tcMar>
              <w:top w:w="57" w:type="dxa"/>
              <w:left w:w="102" w:type="dxa"/>
              <w:bottom w:w="57" w:type="dxa"/>
              <w:right w:w="108" w:type="dxa"/>
            </w:tcMar>
            <w:vAlign w:val="center"/>
            <w:hideMark/>
          </w:tcPr>
          <w:p w14:paraId="7F6CA915" w14:textId="35FD460C" w:rsidR="00CA4BEC" w:rsidRPr="004D004E" w:rsidRDefault="00CA4BEC" w:rsidP="00CA4BEC">
            <w:pPr>
              <w:pStyle w:val="Tablicadanerodek"/>
              <w:rPr>
                <w:b/>
                <w:lang w:val="en-GB"/>
              </w:rPr>
            </w:pPr>
            <w:r>
              <w:rPr>
                <w:rFonts w:cs="Arial"/>
                <w:b/>
                <w:bCs/>
                <w:color w:val="000000"/>
              </w:rPr>
              <w:t>7,</w:t>
            </w:r>
            <w:r w:rsidRPr="005878E9">
              <w:rPr>
                <w:rFonts w:cs="Arial"/>
                <w:b/>
                <w:bCs/>
                <w:color w:val="000000"/>
              </w:rPr>
              <w:t>979</w:t>
            </w:r>
          </w:p>
        </w:tc>
      </w:tr>
      <w:tr w:rsidR="00CA4BEC" w:rsidRPr="004D004E" w14:paraId="5E0D76A5" w14:textId="77777777" w:rsidTr="00C24B22">
        <w:trPr>
          <w:trHeight w:val="227"/>
          <w:tblHeader/>
        </w:trPr>
        <w:tc>
          <w:tcPr>
            <w:tcW w:w="2401" w:type="dxa"/>
            <w:vAlign w:val="center"/>
            <w:hideMark/>
          </w:tcPr>
          <w:p w14:paraId="32C031FD" w14:textId="2DFAD0D2" w:rsidR="00CA4BEC" w:rsidRPr="004D004E" w:rsidRDefault="00CA4BEC" w:rsidP="00CA4BEC">
            <w:pPr>
              <w:pStyle w:val="Tablicaboczek"/>
              <w:rPr>
                <w:rFonts w:cs="Fira Sans"/>
                <w:spacing w:val="-1"/>
                <w:lang w:val="en-GB"/>
              </w:rPr>
            </w:pPr>
            <w:r w:rsidRPr="004D004E">
              <w:rPr>
                <w:rFonts w:eastAsiaTheme="majorEastAsia" w:cstheme="majorBidi"/>
                <w:color w:val="00000A"/>
                <w:lang w:val="en-GB"/>
              </w:rPr>
              <w:t>Micro</w:t>
            </w:r>
            <w:r>
              <w:rPr>
                <w:rFonts w:eastAsiaTheme="majorEastAsia" w:cstheme="majorBidi"/>
                <w:color w:val="00000A"/>
                <w:lang w:val="en-GB"/>
              </w:rPr>
              <w:t>-</w:t>
            </w:r>
            <w:r w:rsidRPr="004D004E">
              <w:rPr>
                <w:rFonts w:eastAsiaTheme="majorEastAsia" w:cstheme="majorBidi"/>
                <w:color w:val="00000A"/>
                <w:lang w:val="en-GB"/>
              </w:rPr>
              <w:t>enterprises</w:t>
            </w:r>
          </w:p>
        </w:tc>
        <w:tc>
          <w:tcPr>
            <w:tcW w:w="1341" w:type="dxa"/>
            <w:tcMar>
              <w:top w:w="57" w:type="dxa"/>
              <w:left w:w="102" w:type="dxa"/>
              <w:bottom w:w="57" w:type="dxa"/>
              <w:right w:w="108" w:type="dxa"/>
            </w:tcMar>
            <w:vAlign w:val="center"/>
            <w:hideMark/>
          </w:tcPr>
          <w:p w14:paraId="124A9612" w14:textId="11D7C681" w:rsidR="00CA4BEC" w:rsidRPr="004D004E" w:rsidRDefault="00CA4BEC" w:rsidP="00CA4BEC">
            <w:pPr>
              <w:pStyle w:val="Tablicadanerodek"/>
              <w:rPr>
                <w:lang w:val="en-GB"/>
              </w:rPr>
            </w:pPr>
            <w:r>
              <w:rPr>
                <w:rFonts w:cs="Arial"/>
                <w:color w:val="000000"/>
              </w:rPr>
              <w:t>190,</w:t>
            </w:r>
            <w:r w:rsidRPr="005878E9">
              <w:rPr>
                <w:rFonts w:cs="Arial"/>
                <w:color w:val="000000"/>
              </w:rPr>
              <w:t>547</w:t>
            </w:r>
          </w:p>
        </w:tc>
        <w:tc>
          <w:tcPr>
            <w:tcW w:w="1342" w:type="dxa"/>
            <w:tcMar>
              <w:top w:w="57" w:type="dxa"/>
              <w:left w:w="102" w:type="dxa"/>
              <w:bottom w:w="57" w:type="dxa"/>
              <w:right w:w="108" w:type="dxa"/>
            </w:tcMar>
            <w:vAlign w:val="center"/>
            <w:hideMark/>
          </w:tcPr>
          <w:p w14:paraId="526BFE3D" w14:textId="599DB2D6" w:rsidR="00CA4BEC" w:rsidRPr="004D004E" w:rsidRDefault="00CA4BEC" w:rsidP="00CA4BEC">
            <w:pPr>
              <w:pStyle w:val="Tablicadanerodek"/>
              <w:rPr>
                <w:lang w:val="en-GB"/>
              </w:rPr>
            </w:pPr>
            <w:r>
              <w:rPr>
                <w:rFonts w:cs="Arial"/>
                <w:color w:val="000000"/>
              </w:rPr>
              <w:t>39,</w:t>
            </w:r>
            <w:r w:rsidRPr="005878E9">
              <w:rPr>
                <w:rFonts w:cs="Arial"/>
                <w:color w:val="000000"/>
              </w:rPr>
              <w:t>997</w:t>
            </w:r>
          </w:p>
        </w:tc>
        <w:tc>
          <w:tcPr>
            <w:tcW w:w="1342" w:type="dxa"/>
            <w:tcMar>
              <w:top w:w="57" w:type="dxa"/>
              <w:left w:w="102" w:type="dxa"/>
              <w:bottom w:w="57" w:type="dxa"/>
              <w:right w:w="108" w:type="dxa"/>
            </w:tcMar>
            <w:vAlign w:val="center"/>
            <w:hideMark/>
          </w:tcPr>
          <w:p w14:paraId="140551DD" w14:textId="44F38259" w:rsidR="00CA4BEC" w:rsidRPr="004D004E" w:rsidRDefault="00CA4BEC" w:rsidP="00CA4BEC">
            <w:pPr>
              <w:pStyle w:val="Tablicadanerodek"/>
              <w:rPr>
                <w:lang w:val="en-GB"/>
              </w:rPr>
            </w:pPr>
            <w:r>
              <w:rPr>
                <w:rFonts w:cs="Arial"/>
                <w:color w:val="000000"/>
              </w:rPr>
              <w:t>2,487,</w:t>
            </w:r>
            <w:r w:rsidRPr="005878E9">
              <w:rPr>
                <w:rFonts w:cs="Arial"/>
                <w:color w:val="000000"/>
              </w:rPr>
              <w:t>773</w:t>
            </w:r>
          </w:p>
        </w:tc>
        <w:tc>
          <w:tcPr>
            <w:tcW w:w="1342" w:type="dxa"/>
            <w:tcMar>
              <w:top w:w="57" w:type="dxa"/>
              <w:left w:w="102" w:type="dxa"/>
              <w:bottom w:w="57" w:type="dxa"/>
              <w:right w:w="108" w:type="dxa"/>
            </w:tcMar>
            <w:vAlign w:val="center"/>
            <w:hideMark/>
          </w:tcPr>
          <w:p w14:paraId="2B224DC0" w14:textId="48BE7D0C" w:rsidR="00CA4BEC" w:rsidRPr="004D004E" w:rsidRDefault="00CA4BEC" w:rsidP="00CA4BEC">
            <w:pPr>
              <w:pStyle w:val="Tablicadanerodek"/>
              <w:rPr>
                <w:lang w:val="en-GB"/>
              </w:rPr>
            </w:pPr>
            <w:r>
              <w:rPr>
                <w:rFonts w:cs="Arial"/>
                <w:color w:val="000000"/>
              </w:rPr>
              <w:t>5,</w:t>
            </w:r>
            <w:r w:rsidRPr="005878E9">
              <w:rPr>
                <w:rFonts w:cs="Arial"/>
                <w:color w:val="000000"/>
              </w:rPr>
              <w:t>183</w:t>
            </w:r>
          </w:p>
        </w:tc>
      </w:tr>
      <w:tr w:rsidR="00CA4BEC" w:rsidRPr="004D004E" w14:paraId="35DC9906" w14:textId="77777777" w:rsidTr="00C24B22">
        <w:trPr>
          <w:trHeight w:val="227"/>
          <w:tblHeader/>
        </w:trPr>
        <w:tc>
          <w:tcPr>
            <w:tcW w:w="2401" w:type="dxa"/>
            <w:vAlign w:val="center"/>
            <w:hideMark/>
          </w:tcPr>
          <w:p w14:paraId="458D851D" w14:textId="31A524AA" w:rsidR="00CA4BEC" w:rsidRPr="004D004E" w:rsidRDefault="00CA4BEC" w:rsidP="00CA4BEC">
            <w:pPr>
              <w:pStyle w:val="Tablicaboczek"/>
              <w:rPr>
                <w:rFonts w:cs="Fira Sans"/>
                <w:spacing w:val="-1"/>
                <w:lang w:val="en-GB"/>
              </w:rPr>
            </w:pPr>
            <w:r w:rsidRPr="004D004E">
              <w:rPr>
                <w:rFonts w:eastAsiaTheme="majorEastAsia" w:cstheme="majorBidi"/>
                <w:color w:val="00000A"/>
                <w:lang w:val="en-GB"/>
              </w:rPr>
              <w:t xml:space="preserve">Small enterprises </w:t>
            </w:r>
          </w:p>
        </w:tc>
        <w:tc>
          <w:tcPr>
            <w:tcW w:w="1341" w:type="dxa"/>
            <w:tcMar>
              <w:top w:w="57" w:type="dxa"/>
              <w:left w:w="102" w:type="dxa"/>
              <w:bottom w:w="57" w:type="dxa"/>
              <w:right w:w="108" w:type="dxa"/>
            </w:tcMar>
            <w:vAlign w:val="center"/>
            <w:hideMark/>
          </w:tcPr>
          <w:p w14:paraId="613875F6" w14:textId="31DFAF92" w:rsidR="00CA4BEC" w:rsidRPr="004D004E" w:rsidRDefault="00CA4BEC" w:rsidP="00CA4BEC">
            <w:pPr>
              <w:pStyle w:val="Tablicadanerodek"/>
              <w:rPr>
                <w:lang w:val="en-GB"/>
              </w:rPr>
            </w:pPr>
            <w:r>
              <w:rPr>
                <w:rFonts w:cs="Arial"/>
                <w:color w:val="000000"/>
              </w:rPr>
              <w:t>17,</w:t>
            </w:r>
            <w:r w:rsidRPr="005878E9">
              <w:rPr>
                <w:rFonts w:cs="Arial"/>
                <w:color w:val="000000"/>
              </w:rPr>
              <w:t>763</w:t>
            </w:r>
          </w:p>
        </w:tc>
        <w:tc>
          <w:tcPr>
            <w:tcW w:w="1342" w:type="dxa"/>
            <w:tcMar>
              <w:top w:w="57" w:type="dxa"/>
              <w:left w:w="102" w:type="dxa"/>
              <w:bottom w:w="57" w:type="dxa"/>
              <w:right w:w="108" w:type="dxa"/>
            </w:tcMar>
            <w:vAlign w:val="center"/>
            <w:hideMark/>
          </w:tcPr>
          <w:p w14:paraId="4E1242B2" w14:textId="6BA43818" w:rsidR="00CA4BEC" w:rsidRPr="004D004E" w:rsidRDefault="00CA4BEC" w:rsidP="00CA4BEC">
            <w:pPr>
              <w:pStyle w:val="Tablicadanerodek"/>
              <w:rPr>
                <w:lang w:val="en-GB"/>
              </w:rPr>
            </w:pPr>
            <w:r>
              <w:rPr>
                <w:rFonts w:cs="Arial"/>
                <w:color w:val="000000"/>
              </w:rPr>
              <w:t>16,</w:t>
            </w:r>
            <w:r w:rsidRPr="005878E9">
              <w:rPr>
                <w:rFonts w:cs="Arial"/>
                <w:color w:val="000000"/>
              </w:rPr>
              <w:t>442</w:t>
            </w:r>
          </w:p>
        </w:tc>
        <w:tc>
          <w:tcPr>
            <w:tcW w:w="1342" w:type="dxa"/>
            <w:tcMar>
              <w:top w:w="57" w:type="dxa"/>
              <w:left w:w="102" w:type="dxa"/>
              <w:bottom w:w="57" w:type="dxa"/>
              <w:right w:w="108" w:type="dxa"/>
            </w:tcMar>
            <w:vAlign w:val="center"/>
            <w:hideMark/>
          </w:tcPr>
          <w:p w14:paraId="2D9588D2" w14:textId="3F93DF00" w:rsidR="00CA4BEC" w:rsidRPr="004D004E" w:rsidRDefault="00CA4BEC" w:rsidP="00CA4BEC">
            <w:pPr>
              <w:pStyle w:val="Tablicadanerodek"/>
              <w:rPr>
                <w:lang w:val="en-GB"/>
              </w:rPr>
            </w:pPr>
            <w:r>
              <w:rPr>
                <w:rFonts w:cs="Arial"/>
                <w:color w:val="000000"/>
              </w:rPr>
              <w:t>1,637,</w:t>
            </w:r>
            <w:r w:rsidRPr="005878E9">
              <w:rPr>
                <w:rFonts w:cs="Arial"/>
                <w:color w:val="000000"/>
              </w:rPr>
              <w:t>741</w:t>
            </w:r>
          </w:p>
        </w:tc>
        <w:tc>
          <w:tcPr>
            <w:tcW w:w="1342" w:type="dxa"/>
            <w:tcMar>
              <w:top w:w="57" w:type="dxa"/>
              <w:left w:w="102" w:type="dxa"/>
              <w:bottom w:w="57" w:type="dxa"/>
              <w:right w:w="108" w:type="dxa"/>
            </w:tcMar>
            <w:vAlign w:val="center"/>
            <w:hideMark/>
          </w:tcPr>
          <w:p w14:paraId="5CAEB82E" w14:textId="3A57F806" w:rsidR="00CA4BEC" w:rsidRPr="004D004E" w:rsidRDefault="00CA4BEC" w:rsidP="00CA4BEC">
            <w:pPr>
              <w:pStyle w:val="Tablicadanerodek"/>
              <w:rPr>
                <w:lang w:val="en-GB"/>
              </w:rPr>
            </w:pPr>
            <w:r>
              <w:rPr>
                <w:rFonts w:cs="Arial"/>
                <w:color w:val="000000"/>
              </w:rPr>
              <w:t>8,</w:t>
            </w:r>
            <w:r w:rsidRPr="005878E9">
              <w:rPr>
                <w:rFonts w:cs="Arial"/>
                <w:color w:val="000000"/>
              </w:rPr>
              <w:t>301</w:t>
            </w:r>
          </w:p>
        </w:tc>
      </w:tr>
      <w:tr w:rsidR="00CA4BEC" w:rsidRPr="004D004E" w14:paraId="2036B185" w14:textId="77777777" w:rsidTr="00C24B22">
        <w:trPr>
          <w:trHeight w:val="227"/>
          <w:tblHeader/>
        </w:trPr>
        <w:tc>
          <w:tcPr>
            <w:tcW w:w="2401" w:type="dxa"/>
            <w:vAlign w:val="center"/>
            <w:hideMark/>
          </w:tcPr>
          <w:p w14:paraId="6AE74CA0" w14:textId="694BF983" w:rsidR="00CA4BEC" w:rsidRPr="004D004E" w:rsidRDefault="00CA4BEC" w:rsidP="00CA4BEC">
            <w:pPr>
              <w:pStyle w:val="Tablicaboczek"/>
              <w:rPr>
                <w:rFonts w:cs="Fira Sans"/>
                <w:spacing w:val="-1"/>
                <w:lang w:val="en-GB"/>
              </w:rPr>
            </w:pPr>
            <w:r w:rsidRPr="004D004E">
              <w:rPr>
                <w:rFonts w:eastAsiaTheme="majorEastAsia" w:cstheme="majorBidi"/>
                <w:color w:val="00000A"/>
                <w:lang w:val="en-GB"/>
              </w:rPr>
              <w:t>Medium enterprises</w:t>
            </w:r>
          </w:p>
        </w:tc>
        <w:tc>
          <w:tcPr>
            <w:tcW w:w="1341" w:type="dxa"/>
            <w:tcMar>
              <w:top w:w="57" w:type="dxa"/>
              <w:left w:w="102" w:type="dxa"/>
              <w:bottom w:w="57" w:type="dxa"/>
              <w:right w:w="108" w:type="dxa"/>
            </w:tcMar>
            <w:vAlign w:val="center"/>
            <w:hideMark/>
          </w:tcPr>
          <w:p w14:paraId="467380F9" w14:textId="09AFD85F" w:rsidR="00CA4BEC" w:rsidRPr="004D004E" w:rsidRDefault="00CA4BEC" w:rsidP="00CA4BEC">
            <w:pPr>
              <w:pStyle w:val="Tablicadanerodek"/>
              <w:rPr>
                <w:lang w:val="en-GB"/>
              </w:rPr>
            </w:pPr>
            <w:r>
              <w:rPr>
                <w:rFonts w:cs="Arial"/>
                <w:color w:val="000000"/>
              </w:rPr>
              <w:t>17,</w:t>
            </w:r>
            <w:r w:rsidRPr="005878E9">
              <w:rPr>
                <w:rFonts w:cs="Arial"/>
                <w:color w:val="000000"/>
              </w:rPr>
              <w:t>261</w:t>
            </w:r>
          </w:p>
        </w:tc>
        <w:tc>
          <w:tcPr>
            <w:tcW w:w="1342" w:type="dxa"/>
            <w:tcMar>
              <w:top w:w="57" w:type="dxa"/>
              <w:left w:w="102" w:type="dxa"/>
              <w:bottom w:w="57" w:type="dxa"/>
              <w:right w:w="108" w:type="dxa"/>
            </w:tcMar>
            <w:vAlign w:val="center"/>
            <w:hideMark/>
          </w:tcPr>
          <w:p w14:paraId="5827AB32" w14:textId="69993849" w:rsidR="00CA4BEC" w:rsidRPr="004D004E" w:rsidRDefault="00CA4BEC" w:rsidP="00CA4BEC">
            <w:pPr>
              <w:pStyle w:val="Tablicadanerodek"/>
              <w:rPr>
                <w:lang w:val="en-GB"/>
              </w:rPr>
            </w:pPr>
            <w:r>
              <w:rPr>
                <w:rFonts w:cs="Arial"/>
                <w:color w:val="000000"/>
              </w:rPr>
              <w:t>16,</w:t>
            </w:r>
            <w:r w:rsidRPr="005878E9">
              <w:rPr>
                <w:rFonts w:cs="Arial"/>
                <w:color w:val="000000"/>
              </w:rPr>
              <w:t>186</w:t>
            </w:r>
          </w:p>
        </w:tc>
        <w:tc>
          <w:tcPr>
            <w:tcW w:w="1342" w:type="dxa"/>
            <w:tcMar>
              <w:top w:w="57" w:type="dxa"/>
              <w:left w:w="102" w:type="dxa"/>
              <w:bottom w:w="57" w:type="dxa"/>
              <w:right w:w="108" w:type="dxa"/>
            </w:tcMar>
            <w:vAlign w:val="center"/>
            <w:hideMark/>
          </w:tcPr>
          <w:p w14:paraId="04DF75BC" w14:textId="1038CF5C" w:rsidR="00CA4BEC" w:rsidRPr="004D004E" w:rsidRDefault="00CA4BEC" w:rsidP="00CA4BEC">
            <w:pPr>
              <w:pStyle w:val="Tablicadanerodek"/>
              <w:rPr>
                <w:lang w:val="en-GB"/>
              </w:rPr>
            </w:pPr>
            <w:r>
              <w:rPr>
                <w:rFonts w:cs="Arial"/>
                <w:color w:val="000000"/>
              </w:rPr>
              <w:t>1,921,</w:t>
            </w:r>
            <w:r w:rsidRPr="005878E9">
              <w:rPr>
                <w:rFonts w:cs="Arial"/>
                <w:color w:val="000000"/>
              </w:rPr>
              <w:t>706</w:t>
            </w:r>
          </w:p>
        </w:tc>
        <w:tc>
          <w:tcPr>
            <w:tcW w:w="1342" w:type="dxa"/>
            <w:tcMar>
              <w:top w:w="57" w:type="dxa"/>
              <w:left w:w="102" w:type="dxa"/>
              <w:bottom w:w="57" w:type="dxa"/>
              <w:right w:w="108" w:type="dxa"/>
            </w:tcMar>
            <w:vAlign w:val="center"/>
            <w:hideMark/>
          </w:tcPr>
          <w:p w14:paraId="0BB4553D" w14:textId="5FC31865" w:rsidR="00CA4BEC" w:rsidRPr="004D004E" w:rsidRDefault="00CA4BEC" w:rsidP="00CA4BEC">
            <w:pPr>
              <w:pStyle w:val="Tablicadanerodek"/>
              <w:rPr>
                <w:lang w:val="en-GB"/>
              </w:rPr>
            </w:pPr>
            <w:r>
              <w:rPr>
                <w:rFonts w:cs="Arial"/>
                <w:color w:val="000000"/>
              </w:rPr>
              <w:t>9,</w:t>
            </w:r>
            <w:r w:rsidRPr="005878E9">
              <w:rPr>
                <w:rFonts w:cs="Arial"/>
                <w:color w:val="000000"/>
              </w:rPr>
              <w:t>894</w:t>
            </w:r>
          </w:p>
        </w:tc>
      </w:tr>
      <w:tr w:rsidR="00CA4BEC" w:rsidRPr="004D004E" w14:paraId="71C3D1E5" w14:textId="77777777" w:rsidTr="00C24B22">
        <w:trPr>
          <w:trHeight w:val="227"/>
          <w:tblHeader/>
        </w:trPr>
        <w:tc>
          <w:tcPr>
            <w:tcW w:w="2401" w:type="dxa"/>
            <w:vAlign w:val="center"/>
            <w:hideMark/>
          </w:tcPr>
          <w:p w14:paraId="6D45032C" w14:textId="5678D1A9" w:rsidR="00CA4BEC" w:rsidRPr="004D004E" w:rsidRDefault="00CA4BEC" w:rsidP="00CA4BEC">
            <w:pPr>
              <w:pStyle w:val="Tablicaboczek"/>
              <w:rPr>
                <w:rFonts w:cs="Fira Sans"/>
                <w:spacing w:val="-1"/>
                <w:lang w:val="en-GB"/>
              </w:rPr>
            </w:pPr>
            <w:r w:rsidRPr="004D004E">
              <w:rPr>
                <w:rFonts w:eastAsiaTheme="majorEastAsia" w:cstheme="majorBidi"/>
                <w:color w:val="00000A"/>
                <w:lang w:val="en-GB"/>
              </w:rPr>
              <w:t>Large enterprises</w:t>
            </w:r>
          </w:p>
        </w:tc>
        <w:tc>
          <w:tcPr>
            <w:tcW w:w="1341" w:type="dxa"/>
            <w:tcMar>
              <w:top w:w="57" w:type="dxa"/>
              <w:left w:w="102" w:type="dxa"/>
              <w:bottom w:w="57" w:type="dxa"/>
              <w:right w:w="108" w:type="dxa"/>
            </w:tcMar>
            <w:vAlign w:val="center"/>
            <w:hideMark/>
          </w:tcPr>
          <w:p w14:paraId="0B97903F" w14:textId="0B00AF70" w:rsidR="00CA4BEC" w:rsidRPr="004D004E" w:rsidRDefault="00CA4BEC" w:rsidP="00CA4BEC">
            <w:pPr>
              <w:pStyle w:val="Tablicadanerodek"/>
              <w:rPr>
                <w:lang w:val="en-GB"/>
              </w:rPr>
            </w:pPr>
            <w:r>
              <w:rPr>
                <w:rFonts w:cs="Arial"/>
                <w:color w:val="000000"/>
              </w:rPr>
              <w:t>30,</w:t>
            </w:r>
            <w:r w:rsidRPr="005878E9">
              <w:rPr>
                <w:rFonts w:cs="Arial"/>
                <w:color w:val="000000"/>
              </w:rPr>
              <w:t>450</w:t>
            </w:r>
          </w:p>
        </w:tc>
        <w:tc>
          <w:tcPr>
            <w:tcW w:w="1342" w:type="dxa"/>
            <w:tcMar>
              <w:top w:w="57" w:type="dxa"/>
              <w:left w:w="102" w:type="dxa"/>
              <w:bottom w:w="57" w:type="dxa"/>
              <w:right w:w="108" w:type="dxa"/>
            </w:tcMar>
            <w:vAlign w:val="center"/>
            <w:hideMark/>
          </w:tcPr>
          <w:p w14:paraId="50856BAC" w14:textId="4DD54D43" w:rsidR="00CA4BEC" w:rsidRPr="004D004E" w:rsidRDefault="00CA4BEC" w:rsidP="00CA4BEC">
            <w:pPr>
              <w:pStyle w:val="Tablicadanerodek"/>
              <w:rPr>
                <w:lang w:val="en-GB"/>
              </w:rPr>
            </w:pPr>
            <w:r>
              <w:rPr>
                <w:rFonts w:cs="Arial"/>
                <w:color w:val="000000"/>
              </w:rPr>
              <w:t>28,</w:t>
            </w:r>
            <w:r w:rsidRPr="005878E9">
              <w:rPr>
                <w:rFonts w:cs="Arial"/>
                <w:color w:val="000000"/>
              </w:rPr>
              <w:t>947</w:t>
            </w:r>
          </w:p>
        </w:tc>
        <w:tc>
          <w:tcPr>
            <w:tcW w:w="1342" w:type="dxa"/>
            <w:tcMar>
              <w:top w:w="57" w:type="dxa"/>
              <w:left w:w="102" w:type="dxa"/>
              <w:bottom w:w="57" w:type="dxa"/>
              <w:right w:w="108" w:type="dxa"/>
            </w:tcMar>
            <w:vAlign w:val="center"/>
            <w:hideMark/>
          </w:tcPr>
          <w:p w14:paraId="29807476" w14:textId="51260D86" w:rsidR="00CA4BEC" w:rsidRPr="004D004E" w:rsidRDefault="00CA4BEC" w:rsidP="00CA4BEC">
            <w:pPr>
              <w:pStyle w:val="Tablicadanerodek"/>
              <w:rPr>
                <w:lang w:val="en-GB"/>
              </w:rPr>
            </w:pPr>
            <w:r>
              <w:rPr>
                <w:rFonts w:cs="Arial"/>
                <w:color w:val="000000"/>
              </w:rPr>
              <w:t>3,678,</w:t>
            </w:r>
            <w:r w:rsidRPr="005878E9">
              <w:rPr>
                <w:rFonts w:cs="Arial"/>
                <w:color w:val="000000"/>
              </w:rPr>
              <w:t>294</w:t>
            </w:r>
          </w:p>
        </w:tc>
        <w:tc>
          <w:tcPr>
            <w:tcW w:w="1342" w:type="dxa"/>
            <w:tcMar>
              <w:top w:w="57" w:type="dxa"/>
              <w:left w:w="102" w:type="dxa"/>
              <w:bottom w:w="57" w:type="dxa"/>
              <w:right w:w="108" w:type="dxa"/>
            </w:tcMar>
            <w:vAlign w:val="center"/>
            <w:hideMark/>
          </w:tcPr>
          <w:p w14:paraId="40009794" w14:textId="41877E4E" w:rsidR="00CA4BEC" w:rsidRPr="004D004E" w:rsidRDefault="00CA4BEC" w:rsidP="00CA4BEC">
            <w:pPr>
              <w:pStyle w:val="Tablicadanerodek"/>
              <w:rPr>
                <w:lang w:val="en-GB"/>
              </w:rPr>
            </w:pPr>
            <w:r>
              <w:rPr>
                <w:rFonts w:cs="Arial"/>
                <w:color w:val="000000"/>
              </w:rPr>
              <w:t>10,</w:t>
            </w:r>
            <w:r w:rsidRPr="005878E9">
              <w:rPr>
                <w:rFonts w:cs="Arial"/>
                <w:color w:val="000000"/>
              </w:rPr>
              <w:t>589</w:t>
            </w:r>
          </w:p>
        </w:tc>
      </w:tr>
    </w:tbl>
    <w:p w14:paraId="2B7762B1" w14:textId="77777777" w:rsidR="00DD62BE" w:rsidRPr="004D004E" w:rsidRDefault="00DD62BE" w:rsidP="00DD62BE">
      <w:pPr>
        <w:suppressAutoHyphens/>
        <w:rPr>
          <w:rFonts w:eastAsia="Times New Roman" w:cs="Times New Roman"/>
          <w:sz w:val="16"/>
          <w:szCs w:val="16"/>
          <w:lang w:val="en-GB" w:eastAsia="pl-PL"/>
        </w:rPr>
      </w:pPr>
      <w:r w:rsidRPr="004D004E">
        <w:rPr>
          <w:rFonts w:eastAsia="Times New Roman" w:cs="Times New Roman"/>
          <w:sz w:val="16"/>
          <w:szCs w:val="16"/>
          <w:lang w:val="en-GB" w:eastAsia="pl-PL"/>
        </w:rPr>
        <w:t>a As of December 31.</w:t>
      </w:r>
    </w:p>
    <w:p w14:paraId="4253C348" w14:textId="38CA757D" w:rsidR="006D4224" w:rsidRPr="004D004E" w:rsidRDefault="00DD62BE" w:rsidP="00DD62BE">
      <w:pPr>
        <w:pStyle w:val="Nagwek1"/>
        <w:suppressAutoHyphens/>
        <w:rPr>
          <w:rFonts w:ascii="Fira Sans" w:hAnsi="Fira Sans"/>
          <w:b/>
          <w:szCs w:val="19"/>
          <w:lang w:val="en-GB"/>
        </w:rPr>
      </w:pPr>
      <w:r w:rsidRPr="004D004E">
        <w:rPr>
          <w:rFonts w:ascii="Fira Sans" w:hAnsi="Fira Sans"/>
          <w:b/>
          <w:szCs w:val="19"/>
          <w:lang w:val="en-GB"/>
        </w:rPr>
        <w:t>Financial results</w:t>
      </w:r>
    </w:p>
    <w:p w14:paraId="0B309FBD" w14:textId="5D861EA4" w:rsidR="00A56D33" w:rsidRPr="004D004E" w:rsidRDefault="006D4224" w:rsidP="00CA09BB">
      <w:pPr>
        <w:spacing w:line="288" w:lineRule="auto"/>
        <w:rPr>
          <w:shd w:val="clear" w:color="auto" w:fill="FFFFFF"/>
          <w:lang w:val="en-GB"/>
        </w:rPr>
      </w:pPr>
      <w:r w:rsidRPr="004D004E">
        <w:rPr>
          <w:noProof/>
          <w:lang w:eastAsia="pl-PL"/>
        </w:rPr>
        <mc:AlternateContent>
          <mc:Choice Requires="wps">
            <w:drawing>
              <wp:anchor distT="45720" distB="45720" distL="114300" distR="114300" simplePos="0" relativeHeight="251790336" behindDoc="1" locked="0" layoutInCell="1" allowOverlap="1" wp14:anchorId="542C74E5" wp14:editId="016D300D">
                <wp:simplePos x="0" y="0"/>
                <wp:positionH relativeFrom="column">
                  <wp:posOffset>5248275</wp:posOffset>
                </wp:positionH>
                <wp:positionV relativeFrom="paragraph">
                  <wp:posOffset>59690</wp:posOffset>
                </wp:positionV>
                <wp:extent cx="1726565" cy="1009650"/>
                <wp:effectExtent l="0" t="0" r="0" b="0"/>
                <wp:wrapTight wrapText="bothSides">
                  <wp:wrapPolygon edited="0">
                    <wp:start x="715" y="0"/>
                    <wp:lineTo x="715" y="21192"/>
                    <wp:lineTo x="20734" y="21192"/>
                    <wp:lineTo x="20734" y="0"/>
                    <wp:lineTo x="715" y="0"/>
                  </wp:wrapPolygon>
                </wp:wrapTight>
                <wp:docPr id="16" name="Prostokąt 16" descr="The surplus of total revenues over total costs for cultural and creative industries amounted to PLN 15.7 bill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009650"/>
                        </a:xfrm>
                        <a:prstGeom prst="rect">
                          <a:avLst/>
                        </a:prstGeom>
                        <a:noFill/>
                        <a:ln w="9360">
                          <a:noFill/>
                        </a:ln>
                      </wps:spPr>
                      <wps:style>
                        <a:lnRef idx="0">
                          <a:scrgbClr r="0" g="0" b="0"/>
                        </a:lnRef>
                        <a:fillRef idx="0">
                          <a:scrgbClr r="0" g="0" b="0"/>
                        </a:fillRef>
                        <a:effectRef idx="0">
                          <a:scrgbClr r="0" g="0" b="0"/>
                        </a:effectRef>
                        <a:fontRef idx="minor"/>
                      </wps:style>
                      <wps:txbx>
                        <w:txbxContent>
                          <w:p w14:paraId="15FEC531" w14:textId="6DA15591" w:rsidR="006D4224" w:rsidRPr="001F770C" w:rsidRDefault="001F770C" w:rsidP="006D4224">
                            <w:pPr>
                              <w:pStyle w:val="tekstzboku"/>
                              <w:spacing w:before="0" w:after="120"/>
                              <w:rPr>
                                <w:lang w:val="en-US"/>
                              </w:rPr>
                            </w:pPr>
                            <w:r w:rsidRPr="00120529">
                              <w:rPr>
                                <w:lang w:val="en-US"/>
                              </w:rPr>
                              <w:t xml:space="preserve">The surplus of total revenues over total costs for cultural and creative industries amounted to PLN </w:t>
                            </w:r>
                            <w:r w:rsidR="001A32E4">
                              <w:rPr>
                                <w:lang w:val="en-US"/>
                              </w:rPr>
                              <w:t>15.7</w:t>
                            </w:r>
                            <w:r w:rsidR="00491E76" w:rsidRPr="001F770C">
                              <w:rPr>
                                <w:lang w:val="en-US"/>
                              </w:rPr>
                              <w:t> </w:t>
                            </w:r>
                            <w:r w:rsidR="001A32E4">
                              <w:rPr>
                                <w:lang w:val="en-US"/>
                              </w:rPr>
                              <w:t>billion</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542C74E5" id="Prostokąt 16" o:spid="_x0000_s1030" alt="The surplus of total revenues over total costs for cultural and creative industries amounted to PLN 15.7 billion" style="position:absolute;margin-left:413.25pt;margin-top:4.7pt;width:135.95pt;height:79.5pt;z-index:-25152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iuMwIAAJMEAAAOAAAAZHJzL2Uyb0RvYy54bWysVEtuGzEM3RfoHQjt6xm7tdMMPA6KBukm&#10;SI0mPYCsoWwhGlGQNP4coDfrwUrJn/5WKboRRiQf+chHzfxm31vYYoiGXCvGo1oAOkWdcetWfH26&#10;e/NeQEzSddKSw1YcMIqbxetX851vcEIbsh0G4CQuNjvfik1KvqmqqDbYyzgij46dmkIvE1/DuuqC&#10;3HH23laTup5VOwqdD6QwRrbeHp1iUfJrjSp91jpiAtsK5pbKGcq5yme1mMtmHaTfGHWiIf+BRS+N&#10;46KXVLcySRiC+StVb1SgSDqNFPUVaW0Ulh64m3H9RzePG+mx9MLDif4ypvj/0qqH7TKA6Vi7mQAn&#10;e9ZoyQwTPX//liAbO4yKJ/a0QYhD8HaIQBoSJWkh4BbdgGzhHTjZFKMjsGSgBpuGwGGsP6iAMpkt&#10;gnHdEFMwjJI9DS5hx0hY3j/AeDq6gpWxlrcpS7PzsWGGj34Z8nCjvyf1HNlR/ebJl3iK2evQ51ge&#10;LeyLzoeLzrhPoNg4vprMprOpAMW+cV1fz6ZlEyrZnOE+xPQJqYf80YrAi1T0ldv7mDIB2ZxDcjVH&#10;d8y6LJN1sGvF9dtZXQAXDyOsOzE/ki2008FizmDdF9QsROFcmlVhvfpoAxy3lZ8T7+95Z0syBuRA&#10;zZVfiD1BMhrLI3kh/gIq9cmlC743jkKWrigUj93lRtN+tS979u4s7Iq6w1FXRx+GRNqUwebgs6sk&#10;4c0v8z690vy0fr2XUj//JYsfAAAA//8DAFBLAwQUAAYACAAAACEAO+CuMt0AAAAKAQAADwAAAGRy&#10;cy9kb3ducmV2LnhtbEyPwU7DMBBE70j8g7WVuFG7FURpiFMhpHDhRNpDj268JFHjdRS7bdKvZ3uC&#10;21vNaHYm306uFxccQ+dJw2qpQCDV3nbUaNjvyucURIiGrOk9oYYZA2yLx4fcZNZf6RsvVWwEh1DI&#10;jIY2xiGTMtQtOhOWfkBi7cePzkQ+x0ba0Vw53PVyrVQinemIP7RmwI8W61N1dhpKddpXt2oXP1V5&#10;+0riYVY2mbV+WkzvbyAiTvHPDPf6XB0K7nT0Z7JB9BrSdfLKVg2bFxB3XW1SpiNTwiCLXP6fUPwC&#10;AAD//wMAUEsBAi0AFAAGAAgAAAAhALaDOJL+AAAA4QEAABMAAAAAAAAAAAAAAAAAAAAAAFtDb250&#10;ZW50X1R5cGVzXS54bWxQSwECLQAUAAYACAAAACEAOP0h/9YAAACUAQAACwAAAAAAAAAAAAAAAAAv&#10;AQAAX3JlbHMvLnJlbHNQSwECLQAUAAYACAAAACEA7G44rjMCAACTBAAADgAAAAAAAAAAAAAAAAAu&#10;AgAAZHJzL2Uyb0RvYy54bWxQSwECLQAUAAYACAAAACEAO+CuMt0AAAAKAQAADwAAAAAAAAAAAAAA&#10;AACNBAAAZHJzL2Rvd25yZXYueG1sUEsFBgAAAAAEAAQA8wAAAJcFAAAAAA==&#10;" filled="f" stroked="f" strokeweight=".26mm">
                <v:textbox>
                  <w:txbxContent>
                    <w:p w14:paraId="15FEC531" w14:textId="6DA15591" w:rsidR="006D4224" w:rsidRPr="001F770C" w:rsidRDefault="001F770C" w:rsidP="006D4224">
                      <w:pPr>
                        <w:pStyle w:val="tekstzboku"/>
                        <w:spacing w:before="0" w:after="120"/>
                        <w:rPr>
                          <w:lang w:val="en-US"/>
                        </w:rPr>
                      </w:pPr>
                      <w:r w:rsidRPr="00120529">
                        <w:rPr>
                          <w:lang w:val="en-US"/>
                        </w:rPr>
                        <w:t xml:space="preserve">The surplus of total revenues over total costs for cultural and creative industries amounted to PLN </w:t>
                      </w:r>
                      <w:r w:rsidR="001A32E4">
                        <w:rPr>
                          <w:lang w:val="en-US"/>
                        </w:rPr>
                        <w:t>15.7</w:t>
                      </w:r>
                      <w:r w:rsidR="00491E76" w:rsidRPr="001F770C">
                        <w:rPr>
                          <w:lang w:val="en-US"/>
                        </w:rPr>
                        <w:t> </w:t>
                      </w:r>
                      <w:r w:rsidR="001A32E4">
                        <w:rPr>
                          <w:lang w:val="en-US"/>
                        </w:rPr>
                        <w:t>billion</w:t>
                      </w:r>
                    </w:p>
                  </w:txbxContent>
                </v:textbox>
                <w10:wrap type="tight"/>
              </v:rect>
            </w:pict>
          </mc:Fallback>
        </mc:AlternateContent>
      </w:r>
      <w:r w:rsidR="007F5B1E">
        <w:rPr>
          <w:lang w:val="en-GB"/>
        </w:rPr>
        <w:t xml:space="preserve">Entities classified </w:t>
      </w:r>
      <w:r w:rsidR="002B4995">
        <w:rPr>
          <w:lang w:val="en-GB"/>
        </w:rPr>
        <w:t>as</w:t>
      </w:r>
      <w:r w:rsidR="001F770C" w:rsidRPr="004D004E">
        <w:rPr>
          <w:lang w:val="en-GB"/>
        </w:rPr>
        <w:t xml:space="preserve"> cultural and creative industries gene</w:t>
      </w:r>
      <w:r w:rsidR="003B15C6">
        <w:rPr>
          <w:lang w:val="en-GB"/>
        </w:rPr>
        <w:t>rated total revenues of PLN</w:t>
      </w:r>
      <w:r w:rsidR="002064CD">
        <w:rPr>
          <w:lang w:val="en-GB"/>
        </w:rPr>
        <w:t> </w:t>
      </w:r>
      <w:r w:rsidR="003B15C6">
        <w:rPr>
          <w:lang w:val="en-GB"/>
        </w:rPr>
        <w:t>99.7</w:t>
      </w:r>
      <w:r w:rsidR="002064CD">
        <w:rPr>
          <w:lang w:val="en-GB"/>
        </w:rPr>
        <w:t> </w:t>
      </w:r>
      <w:r w:rsidR="00140ADB">
        <w:rPr>
          <w:lang w:val="en-GB"/>
        </w:rPr>
        <w:t xml:space="preserve">billion, </w:t>
      </w:r>
      <w:r w:rsidR="001F770C" w:rsidRPr="004D004E">
        <w:rPr>
          <w:lang w:val="en-GB"/>
        </w:rPr>
        <w:t>with</w:t>
      </w:r>
      <w:r w:rsidR="00140ADB">
        <w:rPr>
          <w:lang w:val="en-GB"/>
        </w:rPr>
        <w:t xml:space="preserve"> total costs of PLN 84.0 billion. </w:t>
      </w:r>
      <w:r w:rsidR="001F770C" w:rsidRPr="004D004E">
        <w:rPr>
          <w:lang w:val="en-GB"/>
        </w:rPr>
        <w:t xml:space="preserve">Thus, as in </w:t>
      </w:r>
      <w:r w:rsidR="00A2736A">
        <w:rPr>
          <w:lang w:val="en-GB"/>
        </w:rPr>
        <w:t xml:space="preserve">the </w:t>
      </w:r>
      <w:r w:rsidR="001F770C" w:rsidRPr="004D004E">
        <w:rPr>
          <w:lang w:val="en-GB"/>
        </w:rPr>
        <w:t>previous years, a surplus of total revenues over to</w:t>
      </w:r>
      <w:r w:rsidR="007F5B1E">
        <w:rPr>
          <w:lang w:val="en-GB"/>
        </w:rPr>
        <w:t xml:space="preserve">tal costs </w:t>
      </w:r>
      <w:r w:rsidR="00E96919">
        <w:rPr>
          <w:lang w:val="en-GB"/>
        </w:rPr>
        <w:t>was recorded</w:t>
      </w:r>
      <w:r w:rsidR="007F5B1E">
        <w:rPr>
          <w:lang w:val="en-GB"/>
        </w:rPr>
        <w:t>,</w:t>
      </w:r>
      <w:r w:rsidR="007F5B1E" w:rsidRPr="007F5B1E">
        <w:rPr>
          <w:lang w:val="en-GB"/>
        </w:rPr>
        <w:t xml:space="preserve"> </w:t>
      </w:r>
      <w:r w:rsidR="007F5B1E">
        <w:rPr>
          <w:lang w:val="en-GB"/>
        </w:rPr>
        <w:t>amounting to PLN 15.7 billion</w:t>
      </w:r>
      <w:r w:rsidR="00E96919">
        <w:rPr>
          <w:lang w:val="en-GB"/>
        </w:rPr>
        <w:t xml:space="preserve"> (PLN 2.4 billion more than in 2021)</w:t>
      </w:r>
      <w:r w:rsidR="001F770C" w:rsidRPr="004D004E">
        <w:rPr>
          <w:lang w:val="en-GB"/>
        </w:rPr>
        <w:t xml:space="preserve">. The cost level indicator (a </w:t>
      </w:r>
      <w:r w:rsidR="001F770C" w:rsidRPr="004D004E">
        <w:rPr>
          <w:shd w:val="clear" w:color="auto" w:fill="FFFFFF"/>
          <w:lang w:val="en-GB"/>
        </w:rPr>
        <w:t>ratio of total costs to total revenues</w:t>
      </w:r>
      <w:r w:rsidR="00391259">
        <w:rPr>
          <w:lang w:val="en-GB"/>
        </w:rPr>
        <w:t xml:space="preserve">) for </w:t>
      </w:r>
      <w:r w:rsidR="001F770C" w:rsidRPr="004D004E">
        <w:rPr>
          <w:lang w:val="en-GB"/>
        </w:rPr>
        <w:t xml:space="preserve">enterprises </w:t>
      </w:r>
      <w:r w:rsidR="002B4995">
        <w:rPr>
          <w:lang w:val="en-GB"/>
        </w:rPr>
        <w:t>belonging to</w:t>
      </w:r>
      <w:r w:rsidR="001F770C" w:rsidRPr="004D004E">
        <w:rPr>
          <w:lang w:val="en-GB"/>
        </w:rPr>
        <w:t xml:space="preserve"> the cultural and crea</w:t>
      </w:r>
      <w:r w:rsidR="00391259">
        <w:rPr>
          <w:lang w:val="en-GB"/>
        </w:rPr>
        <w:t xml:space="preserve">tive industries </w:t>
      </w:r>
      <w:r w:rsidR="0072379F">
        <w:rPr>
          <w:lang w:val="en-GB"/>
        </w:rPr>
        <w:t>amounted to 84.2% (a decrease by</w:t>
      </w:r>
      <w:r w:rsidR="00391259">
        <w:rPr>
          <w:lang w:val="en-GB"/>
        </w:rPr>
        <w:t xml:space="preserve"> 1.1 percentage points in comparison to 2021</w:t>
      </w:r>
      <w:r w:rsidR="001F770C" w:rsidRPr="004D004E">
        <w:rPr>
          <w:lang w:val="en-GB"/>
        </w:rPr>
        <w:t>) and compared to the indicator for all non-financial enterprises</w:t>
      </w:r>
      <w:r w:rsidR="00391259">
        <w:rPr>
          <w:lang w:val="en-GB"/>
        </w:rPr>
        <w:t xml:space="preserve"> was lower by 7.5</w:t>
      </w:r>
      <w:r w:rsidR="001F770C" w:rsidRPr="004D004E">
        <w:rPr>
          <w:lang w:val="en-GB"/>
        </w:rPr>
        <w:t xml:space="preserve"> percentage points – </w:t>
      </w:r>
      <w:r w:rsidR="00391259">
        <w:rPr>
          <w:lang w:val="en-GB"/>
        </w:rPr>
        <w:t xml:space="preserve">so </w:t>
      </w:r>
      <w:r w:rsidR="001F770C" w:rsidRPr="004D004E">
        <w:rPr>
          <w:shd w:val="clear" w:color="auto" w:fill="FFFFFF"/>
          <w:lang w:val="en-GB"/>
        </w:rPr>
        <w:t>cultural and creat</w:t>
      </w:r>
      <w:r w:rsidR="0072379F">
        <w:rPr>
          <w:shd w:val="clear" w:color="auto" w:fill="FFFFFF"/>
          <w:lang w:val="en-GB"/>
        </w:rPr>
        <w:t>ive activity was</w:t>
      </w:r>
      <w:r w:rsidR="00391259">
        <w:rPr>
          <w:shd w:val="clear" w:color="auto" w:fill="FFFFFF"/>
          <w:lang w:val="en-GB"/>
        </w:rPr>
        <w:t xml:space="preserve"> </w:t>
      </w:r>
      <w:r w:rsidR="001F770C" w:rsidRPr="004D004E">
        <w:rPr>
          <w:shd w:val="clear" w:color="auto" w:fill="FFFFFF"/>
          <w:lang w:val="en-GB"/>
        </w:rPr>
        <w:t>less cost-intensive.</w:t>
      </w:r>
    </w:p>
    <w:p w14:paraId="4DF3C0CE" w14:textId="07D0A245" w:rsidR="00DD62BE" w:rsidRPr="00F15EA6" w:rsidRDefault="00DD62BE" w:rsidP="005415D3">
      <w:pPr>
        <w:pStyle w:val="Tytuwykresu0"/>
        <w:spacing w:after="0"/>
        <w:ind w:left="709" w:hanging="709"/>
        <w:rPr>
          <w:rFonts w:ascii="Fira Sans" w:hAnsi="Fira Sans"/>
          <w:lang w:val="en-GB"/>
        </w:rPr>
      </w:pPr>
      <w:r w:rsidRPr="004D004E">
        <w:rPr>
          <w:lang w:val="en-GB"/>
        </w:rPr>
        <w:t xml:space="preserve"> </w:t>
      </w:r>
      <w:r w:rsidRPr="00F15EA6">
        <w:rPr>
          <w:rFonts w:ascii="Fira Sans" w:hAnsi="Fira Sans"/>
          <w:lang w:val="en-GB"/>
        </w:rPr>
        <w:t>Chart 3. The surplus of total revenues over total costs in enterprises belonging to the cultural and creative industries by enterprise size class</w:t>
      </w:r>
    </w:p>
    <w:p w14:paraId="69EDE690" w14:textId="17632E7E" w:rsidR="005415D3" w:rsidRDefault="005415D3" w:rsidP="005415D3">
      <w:pPr>
        <w:spacing w:before="0" w:line="288" w:lineRule="auto"/>
        <w:rPr>
          <w:lang w:val="en-GB"/>
        </w:rPr>
      </w:pPr>
      <w:r>
        <w:rPr>
          <w:noProof/>
          <w:lang w:eastAsia="pl-PL"/>
        </w:rPr>
        <w:drawing>
          <wp:inline distT="0" distB="0" distL="0" distR="0" wp14:anchorId="7F79C80E" wp14:editId="47B4367D">
            <wp:extent cx="4924425" cy="2977422"/>
            <wp:effectExtent l="0" t="0" r="0" b="0"/>
            <wp:docPr id="10" name="Obraz 10" descr="Chart 3. The bar chart presenting the surplus of total revenues over total costs in enterprises belonging to the cultural and creative industries by enterprise siz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9598" cy="2980550"/>
                    </a:xfrm>
                    <a:prstGeom prst="rect">
                      <a:avLst/>
                    </a:prstGeom>
                    <a:noFill/>
                  </pic:spPr>
                </pic:pic>
              </a:graphicData>
            </a:graphic>
          </wp:inline>
        </w:drawing>
      </w:r>
    </w:p>
    <w:p w14:paraId="75A883CB" w14:textId="5EEEACA6" w:rsidR="00A2736A" w:rsidRPr="004D004E" w:rsidRDefault="0066751D" w:rsidP="00A2736A">
      <w:pPr>
        <w:spacing w:before="240" w:line="288" w:lineRule="auto"/>
        <w:rPr>
          <w:highlight w:val="yellow"/>
          <w:lang w:val="en-GB"/>
        </w:rPr>
      </w:pPr>
      <w:r>
        <w:rPr>
          <w:lang w:val="en-GB"/>
        </w:rPr>
        <w:lastRenderedPageBreak/>
        <w:t xml:space="preserve">Total costs per one </w:t>
      </w:r>
      <w:r w:rsidR="005E793B">
        <w:rPr>
          <w:lang w:val="en-GB"/>
        </w:rPr>
        <w:t xml:space="preserve">entity classified </w:t>
      </w:r>
      <w:r w:rsidR="002B4995">
        <w:rPr>
          <w:lang w:val="en-GB"/>
        </w:rPr>
        <w:t>as</w:t>
      </w:r>
      <w:r w:rsidR="005E793B">
        <w:rPr>
          <w:lang w:val="en-GB"/>
        </w:rPr>
        <w:t xml:space="preserve"> </w:t>
      </w:r>
      <w:r w:rsidR="00A2736A" w:rsidRPr="004D004E">
        <w:rPr>
          <w:lang w:val="en-GB"/>
        </w:rPr>
        <w:t xml:space="preserve">the cultural and creative </w:t>
      </w:r>
      <w:r>
        <w:rPr>
          <w:lang w:val="en-GB"/>
        </w:rPr>
        <w:t>industries amounted to PLN</w:t>
      </w:r>
      <w:r w:rsidR="002064CD">
        <w:rPr>
          <w:lang w:val="en-GB"/>
        </w:rPr>
        <w:t> </w:t>
      </w:r>
      <w:r>
        <w:rPr>
          <w:lang w:val="en-GB"/>
        </w:rPr>
        <w:t>645.3</w:t>
      </w:r>
      <w:r w:rsidR="00A2736A" w:rsidRPr="004D004E">
        <w:rPr>
          <w:lang w:val="en-GB"/>
        </w:rPr>
        <w:t xml:space="preserve"> thousand,</w:t>
      </w:r>
      <w:r w:rsidR="005E793B">
        <w:rPr>
          <w:lang w:val="en-GB"/>
        </w:rPr>
        <w:t xml:space="preserve"> while their total revenues amounted to</w:t>
      </w:r>
      <w:r>
        <w:rPr>
          <w:lang w:val="en-GB"/>
        </w:rPr>
        <w:t xml:space="preserve"> PLN 766.0</w:t>
      </w:r>
      <w:r w:rsidR="00A2736A" w:rsidRPr="004D004E">
        <w:rPr>
          <w:lang w:val="en-GB"/>
        </w:rPr>
        <w:t xml:space="preserve"> thousand. The share of both total revenues and total costs genera</w:t>
      </w:r>
      <w:r w:rsidR="005E793B">
        <w:rPr>
          <w:lang w:val="en-GB"/>
        </w:rPr>
        <w:t xml:space="preserve">ted by enterprises classified </w:t>
      </w:r>
      <w:r w:rsidR="002B4995">
        <w:rPr>
          <w:lang w:val="en-GB"/>
        </w:rPr>
        <w:t>as</w:t>
      </w:r>
      <w:r w:rsidR="00A2736A" w:rsidRPr="004D004E">
        <w:rPr>
          <w:lang w:val="en-GB"/>
        </w:rPr>
        <w:t xml:space="preserve"> cultural and creative industries in total revenues and total costs achieved by all non-finan</w:t>
      </w:r>
      <w:r>
        <w:rPr>
          <w:lang w:val="en-GB"/>
        </w:rPr>
        <w:t>cial enterprises amounted to 1.3</w:t>
      </w:r>
      <w:r w:rsidR="00A2736A" w:rsidRPr="004D004E">
        <w:rPr>
          <w:lang w:val="en-GB"/>
        </w:rPr>
        <w:t xml:space="preserve">% </w:t>
      </w:r>
      <w:r>
        <w:rPr>
          <w:lang w:val="en-GB"/>
        </w:rPr>
        <w:t>and 1.2%</w:t>
      </w:r>
      <w:r w:rsidR="002B4995">
        <w:rPr>
          <w:lang w:val="en-GB"/>
        </w:rPr>
        <w:t>,</w:t>
      </w:r>
      <w:r>
        <w:rPr>
          <w:lang w:val="en-GB"/>
        </w:rPr>
        <w:t xml:space="preserve"> respectively</w:t>
      </w:r>
      <w:r w:rsidR="00A2736A" w:rsidRPr="004D004E">
        <w:rPr>
          <w:lang w:val="en-GB"/>
        </w:rPr>
        <w:t>.</w:t>
      </w:r>
    </w:p>
    <w:p w14:paraId="5CD50558" w14:textId="166092A4" w:rsidR="00A2736A" w:rsidRPr="004D004E" w:rsidRDefault="00D762A5" w:rsidP="00A2736A">
      <w:pPr>
        <w:spacing w:line="288" w:lineRule="auto"/>
        <w:rPr>
          <w:rFonts w:cstheme="minorHAnsi"/>
          <w:szCs w:val="19"/>
          <w:lang w:val="en-GB"/>
        </w:rPr>
      </w:pPr>
      <w:r>
        <w:rPr>
          <w:rFonts w:cstheme="minorHAnsi"/>
          <w:szCs w:val="19"/>
          <w:lang w:val="en-GB"/>
        </w:rPr>
        <w:t xml:space="preserve">Enterprises classified </w:t>
      </w:r>
      <w:r w:rsidR="00DF708F">
        <w:rPr>
          <w:rFonts w:cstheme="minorHAnsi"/>
          <w:szCs w:val="19"/>
          <w:lang w:val="en-GB"/>
        </w:rPr>
        <w:t>as</w:t>
      </w:r>
      <w:r w:rsidR="00A2736A" w:rsidRPr="004D004E">
        <w:rPr>
          <w:rFonts w:cstheme="minorHAnsi"/>
          <w:szCs w:val="19"/>
          <w:lang w:val="en-GB"/>
        </w:rPr>
        <w:t xml:space="preserve"> the cultural and creative industries gener</w:t>
      </w:r>
      <w:r w:rsidR="000D3262">
        <w:rPr>
          <w:rFonts w:cstheme="minorHAnsi"/>
          <w:szCs w:val="19"/>
          <w:lang w:val="en-GB"/>
        </w:rPr>
        <w:t>ated the value added of PLN 31.1</w:t>
      </w:r>
      <w:r w:rsidR="00A2736A" w:rsidRPr="004D004E">
        <w:rPr>
          <w:rFonts w:cstheme="minorHAnsi"/>
          <w:szCs w:val="19"/>
          <w:lang w:val="en-GB"/>
        </w:rPr>
        <w:t xml:space="preserve"> billion (PLN</w:t>
      </w:r>
      <w:r w:rsidR="000D3262">
        <w:rPr>
          <w:rFonts w:cstheme="minorHAnsi"/>
          <w:szCs w:val="19"/>
          <w:lang w:val="en-GB"/>
        </w:rPr>
        <w:t xml:space="preserve"> 5.7 billion more than in 2021), which accounted for 1.6</w:t>
      </w:r>
      <w:r w:rsidR="00A2736A" w:rsidRPr="004D004E">
        <w:rPr>
          <w:rFonts w:cstheme="minorHAnsi"/>
          <w:szCs w:val="19"/>
          <w:lang w:val="en-GB"/>
        </w:rPr>
        <w:t>% of the value added generated by all n</w:t>
      </w:r>
      <w:r w:rsidR="000D3262">
        <w:rPr>
          <w:rFonts w:cstheme="minorHAnsi"/>
          <w:szCs w:val="19"/>
          <w:lang w:val="en-GB"/>
        </w:rPr>
        <w:t>on-financial enterprises</w:t>
      </w:r>
      <w:r w:rsidR="00A2736A" w:rsidRPr="004D004E">
        <w:rPr>
          <w:rFonts w:cstheme="minorHAnsi"/>
          <w:szCs w:val="19"/>
          <w:lang w:val="en-GB"/>
        </w:rPr>
        <w:t>. Almost half of the value added was provided by micro</w:t>
      </w:r>
      <w:r w:rsidR="00A2736A">
        <w:rPr>
          <w:rFonts w:cstheme="minorHAnsi"/>
          <w:szCs w:val="19"/>
          <w:lang w:val="en-GB"/>
        </w:rPr>
        <w:t>-</w:t>
      </w:r>
      <w:r w:rsidR="00266C29">
        <w:rPr>
          <w:rFonts w:cstheme="minorHAnsi"/>
          <w:szCs w:val="19"/>
          <w:lang w:val="en-GB"/>
        </w:rPr>
        <w:t>enterprises – PLN 14.0</w:t>
      </w:r>
      <w:r w:rsidR="00A2736A" w:rsidRPr="004D004E">
        <w:rPr>
          <w:rFonts w:cstheme="minorHAnsi"/>
          <w:szCs w:val="19"/>
          <w:lang w:val="en-GB"/>
        </w:rPr>
        <w:t xml:space="preserve"> billion. In case of</w:t>
      </w:r>
      <w:r w:rsidR="00266C29">
        <w:rPr>
          <w:rFonts w:cstheme="minorHAnsi"/>
          <w:szCs w:val="19"/>
          <w:lang w:val="en-GB"/>
        </w:rPr>
        <w:t xml:space="preserve"> large enterprises, it was PLN</w:t>
      </w:r>
      <w:r w:rsidR="002064CD">
        <w:rPr>
          <w:rFonts w:cstheme="minorHAnsi"/>
          <w:szCs w:val="19"/>
          <w:lang w:val="en-GB"/>
        </w:rPr>
        <w:t> </w:t>
      </w:r>
      <w:r w:rsidR="00266C29">
        <w:rPr>
          <w:rFonts w:cstheme="minorHAnsi"/>
          <w:szCs w:val="19"/>
          <w:lang w:val="en-GB"/>
        </w:rPr>
        <w:t>10</w:t>
      </w:r>
      <w:r w:rsidR="00A2736A" w:rsidRPr="004D004E">
        <w:rPr>
          <w:rFonts w:cstheme="minorHAnsi"/>
          <w:szCs w:val="19"/>
          <w:lang w:val="en-GB"/>
        </w:rPr>
        <w:t>.0</w:t>
      </w:r>
      <w:r w:rsidR="002064CD">
        <w:rPr>
          <w:rFonts w:cstheme="minorHAnsi"/>
          <w:szCs w:val="19"/>
          <w:lang w:val="en-GB"/>
        </w:rPr>
        <w:t> </w:t>
      </w:r>
      <w:r w:rsidR="00A2736A" w:rsidRPr="004D004E">
        <w:rPr>
          <w:rFonts w:cstheme="minorHAnsi"/>
          <w:szCs w:val="19"/>
          <w:lang w:val="en-GB"/>
        </w:rPr>
        <w:t>billion, and small and medium-siz</w:t>
      </w:r>
      <w:r w:rsidR="00266C29">
        <w:rPr>
          <w:rFonts w:cstheme="minorHAnsi"/>
          <w:szCs w:val="19"/>
          <w:lang w:val="en-GB"/>
        </w:rPr>
        <w:t>ed enterprises generated PLN 3.2</w:t>
      </w:r>
      <w:r w:rsidR="00A2736A" w:rsidRPr="004D004E">
        <w:rPr>
          <w:rFonts w:cstheme="minorHAnsi"/>
          <w:szCs w:val="19"/>
          <w:lang w:val="en-GB"/>
        </w:rPr>
        <w:t xml:space="preserve"> </w:t>
      </w:r>
      <w:r w:rsidR="00266C29">
        <w:rPr>
          <w:rFonts w:cstheme="minorHAnsi"/>
          <w:szCs w:val="19"/>
          <w:lang w:val="en-GB"/>
        </w:rPr>
        <w:t>billion and PLN</w:t>
      </w:r>
      <w:r w:rsidR="002064CD">
        <w:rPr>
          <w:rFonts w:cstheme="minorHAnsi"/>
          <w:szCs w:val="19"/>
          <w:lang w:val="en-GB"/>
        </w:rPr>
        <w:t> </w:t>
      </w:r>
      <w:r w:rsidR="00266C29">
        <w:rPr>
          <w:rFonts w:cstheme="minorHAnsi"/>
          <w:szCs w:val="19"/>
          <w:lang w:val="en-GB"/>
        </w:rPr>
        <w:t>4.0</w:t>
      </w:r>
      <w:r w:rsidR="00A2736A" w:rsidRPr="004D004E">
        <w:rPr>
          <w:rFonts w:cstheme="minorHAnsi"/>
          <w:szCs w:val="19"/>
          <w:lang w:val="en-GB"/>
        </w:rPr>
        <w:t xml:space="preserve"> billion of the value adde</w:t>
      </w:r>
      <w:r w:rsidR="00266C29">
        <w:rPr>
          <w:rFonts w:cstheme="minorHAnsi"/>
          <w:szCs w:val="19"/>
          <w:lang w:val="en-GB"/>
        </w:rPr>
        <w:t>d</w:t>
      </w:r>
      <w:r w:rsidR="00DF708F">
        <w:rPr>
          <w:rFonts w:cstheme="minorHAnsi"/>
          <w:szCs w:val="19"/>
          <w:lang w:val="en-GB"/>
        </w:rPr>
        <w:t>,</w:t>
      </w:r>
      <w:r w:rsidR="00266C29">
        <w:rPr>
          <w:rFonts w:cstheme="minorHAnsi"/>
          <w:szCs w:val="19"/>
          <w:lang w:val="en-GB"/>
        </w:rPr>
        <w:t xml:space="preserve"> respectively. Calculated per one</w:t>
      </w:r>
      <w:r w:rsidR="00A2736A" w:rsidRPr="004D004E">
        <w:rPr>
          <w:rFonts w:cstheme="minorHAnsi"/>
          <w:szCs w:val="19"/>
          <w:lang w:val="en-GB"/>
        </w:rPr>
        <w:t xml:space="preserve"> enterprise, the value added of the cultural</w:t>
      </w:r>
      <w:r w:rsidR="00266C29">
        <w:rPr>
          <w:rFonts w:cstheme="minorHAnsi"/>
          <w:szCs w:val="19"/>
          <w:lang w:val="en-GB"/>
        </w:rPr>
        <w:t xml:space="preserve"> and creative industries </w:t>
      </w:r>
      <w:r w:rsidR="00DF708F">
        <w:rPr>
          <w:rFonts w:cstheme="minorHAnsi"/>
          <w:szCs w:val="19"/>
          <w:lang w:val="en-GB"/>
        </w:rPr>
        <w:t xml:space="preserve">in general </w:t>
      </w:r>
      <w:r w:rsidR="00266C29">
        <w:rPr>
          <w:rFonts w:cstheme="minorHAnsi"/>
          <w:szCs w:val="19"/>
          <w:lang w:val="en-GB"/>
        </w:rPr>
        <w:t>was 3.4</w:t>
      </w:r>
      <w:r w:rsidR="00A2736A" w:rsidRPr="004D004E">
        <w:rPr>
          <w:rFonts w:cstheme="minorHAnsi"/>
          <w:szCs w:val="19"/>
          <w:lang w:val="en-GB"/>
        </w:rPr>
        <w:t xml:space="preserve"> times </w:t>
      </w:r>
      <w:r w:rsidR="00266C29">
        <w:rPr>
          <w:rFonts w:cstheme="minorHAnsi"/>
          <w:szCs w:val="19"/>
          <w:lang w:val="en-GB"/>
        </w:rPr>
        <w:t>lower than the value added per one</w:t>
      </w:r>
      <w:r w:rsidR="00A2736A" w:rsidRPr="004D004E">
        <w:rPr>
          <w:rFonts w:cstheme="minorHAnsi"/>
          <w:szCs w:val="19"/>
          <w:lang w:val="en-GB"/>
        </w:rPr>
        <w:t xml:space="preserve"> non-financial enterprise.</w:t>
      </w:r>
    </w:p>
    <w:p w14:paraId="75BBE996" w14:textId="006C811E" w:rsidR="00DD62BE" w:rsidRPr="004D004E" w:rsidRDefault="00743792" w:rsidP="00DD62BE">
      <w:pPr>
        <w:pStyle w:val="Nagwek1"/>
        <w:suppressAutoHyphens/>
        <w:rPr>
          <w:rFonts w:ascii="Fira Sans" w:hAnsi="Fira Sans"/>
          <w:b/>
          <w:szCs w:val="19"/>
          <w:lang w:val="en-GB"/>
        </w:rPr>
      </w:pPr>
      <w:r>
        <w:rPr>
          <w:lang w:val="en-GB"/>
        </w:rPr>
        <w:t>International trade of</w:t>
      </w:r>
      <w:r w:rsidR="00DD62BE" w:rsidRPr="004D004E">
        <w:rPr>
          <w:lang w:val="en-GB"/>
        </w:rPr>
        <w:t xml:space="preserve"> cultural and creative goods and services </w:t>
      </w:r>
    </w:p>
    <w:p w14:paraId="09DFD7DE" w14:textId="4EEAF34A" w:rsidR="00095966" w:rsidRDefault="00897115" w:rsidP="00936CE3">
      <w:pPr>
        <w:spacing w:line="288" w:lineRule="auto"/>
        <w:rPr>
          <w:rFonts w:cstheme="minorHAnsi"/>
          <w:szCs w:val="19"/>
          <w:lang w:val="en-GB"/>
        </w:rPr>
      </w:pPr>
      <w:r w:rsidRPr="004D004E">
        <w:rPr>
          <w:rFonts w:eastAsia="Times New Roman" w:cs="Times New Roman"/>
          <w:noProof/>
          <w:szCs w:val="19"/>
          <w:lang w:eastAsia="pl-PL"/>
        </w:rPr>
        <mc:AlternateContent>
          <mc:Choice Requires="wps">
            <w:drawing>
              <wp:anchor distT="45720" distB="45720" distL="114300" distR="114300" simplePos="0" relativeHeight="251808768" behindDoc="1" locked="0" layoutInCell="1" allowOverlap="1" wp14:anchorId="5B211CFB" wp14:editId="288B84D0">
                <wp:simplePos x="0" y="0"/>
                <wp:positionH relativeFrom="page">
                  <wp:posOffset>5753100</wp:posOffset>
                </wp:positionH>
                <wp:positionV relativeFrom="paragraph">
                  <wp:posOffset>645795</wp:posOffset>
                </wp:positionV>
                <wp:extent cx="1805305" cy="1571625"/>
                <wp:effectExtent l="0" t="0" r="0" b="0"/>
                <wp:wrapTight wrapText="bothSides">
                  <wp:wrapPolygon edited="0">
                    <wp:start x="684" y="0"/>
                    <wp:lineTo x="684" y="21207"/>
                    <wp:lineTo x="20741" y="21207"/>
                    <wp:lineTo x="20741" y="0"/>
                    <wp:lineTo x="684" y="0"/>
                  </wp:wrapPolygon>
                </wp:wrapTight>
                <wp:docPr id="8" name="Pole tekstowe 11" descr="In 2022, a positive balance of international trade of cultural and creative goods was recorded, amounting to PLN 6,022.4 million. The balance of trade of cultural and creative services was negative and amounted to minus PLN 2,295.4 mill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305" cy="1571625"/>
                        </a:xfrm>
                        <a:prstGeom prst="rect">
                          <a:avLst/>
                        </a:prstGeom>
                        <a:noFill/>
                        <a:ln w="9360">
                          <a:noFill/>
                        </a:ln>
                      </wps:spPr>
                      <wps:style>
                        <a:lnRef idx="0">
                          <a:scrgbClr r="0" g="0" b="0"/>
                        </a:lnRef>
                        <a:fillRef idx="0">
                          <a:scrgbClr r="0" g="0" b="0"/>
                        </a:fillRef>
                        <a:effectRef idx="0">
                          <a:scrgbClr r="0" g="0" b="0"/>
                        </a:effectRef>
                        <a:fontRef idx="minor"/>
                      </wps:style>
                      <wps:txbx>
                        <w:txbxContent>
                          <w:p w14:paraId="7CB892D9" w14:textId="71649B59" w:rsidR="00DD62BE" w:rsidRPr="00ED2AA0" w:rsidRDefault="00DD62BE" w:rsidP="00DD62BE">
                            <w:pPr>
                              <w:pStyle w:val="tekstzboku"/>
                              <w:rPr>
                                <w:lang w:val="en-US"/>
                              </w:rPr>
                            </w:pPr>
                            <w:r w:rsidRPr="00ED2AA0">
                              <w:rPr>
                                <w:lang w:val="en-US"/>
                              </w:rPr>
                              <w:t>In 202</w:t>
                            </w:r>
                            <w:r w:rsidR="00C307AB">
                              <w:rPr>
                                <w:lang w:val="en-US"/>
                              </w:rPr>
                              <w:t>2</w:t>
                            </w:r>
                            <w:r w:rsidRPr="00ED2AA0">
                              <w:rPr>
                                <w:lang w:val="en-US"/>
                              </w:rPr>
                              <w:t xml:space="preserve">, a positive balance of international trade </w:t>
                            </w:r>
                            <w:r w:rsidR="00D11050">
                              <w:rPr>
                                <w:lang w:val="en-US"/>
                              </w:rPr>
                              <w:t>of</w:t>
                            </w:r>
                            <w:r w:rsidRPr="00ED2AA0">
                              <w:rPr>
                                <w:lang w:val="en-US"/>
                              </w:rPr>
                              <w:t xml:space="preserve"> cultural and creative goods was recorded, amounting to PLN </w:t>
                            </w:r>
                            <w:r w:rsidR="00C307AB">
                              <w:rPr>
                                <w:lang w:val="en-US"/>
                              </w:rPr>
                              <w:t>6,022.4</w:t>
                            </w:r>
                            <w:r w:rsidRPr="00ED2AA0">
                              <w:rPr>
                                <w:lang w:val="en-US"/>
                              </w:rPr>
                              <w:t xml:space="preserve"> million. The balance of trade </w:t>
                            </w:r>
                            <w:r w:rsidR="00D11050">
                              <w:rPr>
                                <w:lang w:val="en-US"/>
                              </w:rPr>
                              <w:t>of</w:t>
                            </w:r>
                            <w:r w:rsidRPr="00ED2AA0">
                              <w:rPr>
                                <w:lang w:val="en-US"/>
                              </w:rPr>
                              <w:t xml:space="preserve"> cultural and creative services was negative</w:t>
                            </w:r>
                            <w:r w:rsidR="00650CA3">
                              <w:rPr>
                                <w:lang w:val="en-US"/>
                              </w:rPr>
                              <w:t xml:space="preserve"> and amounted to </w:t>
                            </w:r>
                            <w:r w:rsidR="00C307AB">
                              <w:rPr>
                                <w:lang w:val="en-US"/>
                              </w:rPr>
                              <w:t xml:space="preserve">minus </w:t>
                            </w:r>
                            <w:r w:rsidRPr="00ED2AA0">
                              <w:rPr>
                                <w:lang w:val="en-US"/>
                              </w:rPr>
                              <w:t xml:space="preserve">PLN </w:t>
                            </w:r>
                            <w:r w:rsidR="00C307AB">
                              <w:rPr>
                                <w:lang w:val="en-US"/>
                              </w:rPr>
                              <w:t>2,295.4 million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B211CFB" id="Pole tekstowe 11" o:spid="_x0000_s1031" alt="In 2022, a positive balance of international trade of cultural and creative goods was recorded, amounting to PLN 6,022.4 million. The balance of trade of cultural and creative services was negative and amounted to minus PLN 2,295.4 million" style="position:absolute;margin-left:453pt;margin-top:50.85pt;width:142.15pt;height:123.75pt;z-index:-251507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WobAIAACIFAAAOAAAAZHJzL2Uyb0RvYy54bWysVNtu2zAMfR+wfyD03MWXLllr1CmGFR0G&#10;FG2wdh+gyHQiVBY9SYmTvx8lp2m7PQwd9iJYJA8PdUj64nLXGdii85psLYpJLgCtokbbVS1+PFx/&#10;OBPgg7SNNGSxFnv04nL+/t3F0FdY0ppMgw44ifXV0NdiHUJfZZlXa+ykn1CPlp0tuU4GvrpV1jg5&#10;cPbOZGWez7KBXNM7Uug9W69Gp5in/G2LKty1rccAphZcW0inS+cyntn8QlYrJ/u1Vocy5D9U0Ult&#10;mfSY6koGCRun/0jVaeXIUxsmirqM2lYrTG/g1xT5b6+5X8se01tYHN8fZfL/L6263S4c6KYW3Cgr&#10;O27RggxCwEcfaEAoCgENesWafbNQ5mV5AhJ68jroLcJSGmkVArWgbUBnZeBJkAaCk00yq40JG8cW&#10;HgJQDjmAcSuixsMgPThU3EJsOG1HGxu4ixAIFje3MDthuslH6LQxnHUCD+tXjH/h8Oi2LO9IY3E1&#10;MscyRiZsIlGn7cYnuvKkPJ8+08XZGHpfsUT3/cLF7vr+htSjZ0f2yhMv/hCza10XY7m3sEuDtj8O&#10;Gu4CKDYWZ/n0NJ8KUOwrpp+KWTmNdJmsnuC98+ErUgfxoxasUkgDJrc3PoyhTyGRzdI1i8R2WRkL&#10;Qy3OT2d5Ahw9nNzYQ+VjsanssDc4wr4jN7FJNUcD93y1/GIcjOvC+8wL9LQ0KRkDYmDLzG/EHiAR&#10;jWlL34g/ghI/2XDEczvJJS1fvC5+ht1ylwY9KR0tS2r2PPwDb38t/M+NdHHZopafN4FanWR+DjxI&#10;x4uYGnX4acRNf3lPUc+/tvkvAAAA//8DAFBLAwQUAAYACAAAACEAbC9Fu+AAAAAMAQAADwAAAGRy&#10;cy9kb3ducmV2LnhtbEyPMU/DMBSEdyT+g/WQ2KidFqUkxKkQUliYSDswuvEjiRo/R/Frm/bX404w&#10;nu50912xmd0gTjiF3pOGZKFAIDXe9tRq2G2rpxcQgQ1ZM3hCDRcMsCnv7wqTW3+mLzzV3IpYQiE3&#10;GjrmMZcyNB06ExZ+RIrej5+c4SinVtrJnGO5G+RSqVQ601Nc6MyI7x02h/roNFTqsKuv9ZY/VHX9&#10;TPn7omx60frxYX57BcE4818YbvgRHcrItPdHskEMGjKVxi8cDZWsQdwSSaZWIPYaVs/ZEmRZyP8n&#10;yl8AAAD//wMAUEsBAi0AFAAGAAgAAAAhALaDOJL+AAAA4QEAABMAAAAAAAAAAAAAAAAAAAAAAFtD&#10;b250ZW50X1R5cGVzXS54bWxQSwECLQAUAAYACAAAACEAOP0h/9YAAACUAQAACwAAAAAAAAAAAAAA&#10;AAAvAQAAX3JlbHMvLnJlbHNQSwECLQAUAAYACAAAACEABEF1qGwCAAAiBQAADgAAAAAAAAAAAAAA&#10;AAAuAgAAZHJzL2Uyb0RvYy54bWxQSwECLQAUAAYACAAAACEAbC9Fu+AAAAAMAQAADwAAAAAAAAAA&#10;AAAAAADGBAAAZHJzL2Rvd25yZXYueG1sUEsFBgAAAAAEAAQA8wAAANMFAAAAAA==&#10;" filled="f" stroked="f" strokeweight=".26mm">
                <v:textbox>
                  <w:txbxContent>
                    <w:p w14:paraId="7CB892D9" w14:textId="71649B59" w:rsidR="00DD62BE" w:rsidRPr="00ED2AA0" w:rsidRDefault="00DD62BE" w:rsidP="00DD62BE">
                      <w:pPr>
                        <w:pStyle w:val="tekstzboku"/>
                        <w:rPr>
                          <w:lang w:val="en-US"/>
                        </w:rPr>
                      </w:pPr>
                      <w:r w:rsidRPr="00ED2AA0">
                        <w:rPr>
                          <w:lang w:val="en-US"/>
                        </w:rPr>
                        <w:t>In 202</w:t>
                      </w:r>
                      <w:r w:rsidR="00C307AB">
                        <w:rPr>
                          <w:lang w:val="en-US"/>
                        </w:rPr>
                        <w:t>2</w:t>
                      </w:r>
                      <w:r w:rsidRPr="00ED2AA0">
                        <w:rPr>
                          <w:lang w:val="en-US"/>
                        </w:rPr>
                        <w:t xml:space="preserve">, a positive balance of international trade </w:t>
                      </w:r>
                      <w:r w:rsidR="00D11050">
                        <w:rPr>
                          <w:lang w:val="en-US"/>
                        </w:rPr>
                        <w:t>of</w:t>
                      </w:r>
                      <w:r w:rsidRPr="00ED2AA0">
                        <w:rPr>
                          <w:lang w:val="en-US"/>
                        </w:rPr>
                        <w:t xml:space="preserve"> cultural and creative goods was recorded, amounting to PLN </w:t>
                      </w:r>
                      <w:r w:rsidR="00C307AB">
                        <w:rPr>
                          <w:lang w:val="en-US"/>
                        </w:rPr>
                        <w:t>6,022.4</w:t>
                      </w:r>
                      <w:r w:rsidRPr="00ED2AA0">
                        <w:rPr>
                          <w:lang w:val="en-US"/>
                        </w:rPr>
                        <w:t xml:space="preserve"> million. The balance of trade </w:t>
                      </w:r>
                      <w:r w:rsidR="00D11050">
                        <w:rPr>
                          <w:lang w:val="en-US"/>
                        </w:rPr>
                        <w:t>of</w:t>
                      </w:r>
                      <w:r w:rsidRPr="00ED2AA0">
                        <w:rPr>
                          <w:lang w:val="en-US"/>
                        </w:rPr>
                        <w:t xml:space="preserve"> cultural and creative services was negative</w:t>
                      </w:r>
                      <w:r w:rsidR="00650CA3">
                        <w:rPr>
                          <w:lang w:val="en-US"/>
                        </w:rPr>
                        <w:t xml:space="preserve"> and amounted to </w:t>
                      </w:r>
                      <w:r w:rsidR="00C307AB">
                        <w:rPr>
                          <w:lang w:val="en-US"/>
                        </w:rPr>
                        <w:t xml:space="preserve">minus </w:t>
                      </w:r>
                      <w:r w:rsidRPr="00ED2AA0">
                        <w:rPr>
                          <w:lang w:val="en-US"/>
                        </w:rPr>
                        <w:t xml:space="preserve">PLN </w:t>
                      </w:r>
                      <w:r w:rsidR="00C307AB">
                        <w:rPr>
                          <w:lang w:val="en-US"/>
                        </w:rPr>
                        <w:t>2,295.4 million</w:t>
                      </w:r>
                    </w:p>
                  </w:txbxContent>
                </v:textbox>
                <w10:wrap type="tight" anchorx="page"/>
              </v:rect>
            </w:pict>
          </mc:Fallback>
        </mc:AlternateContent>
      </w:r>
      <w:r w:rsidR="00B13878">
        <w:rPr>
          <w:rFonts w:cstheme="minorHAnsi"/>
          <w:szCs w:val="19"/>
          <w:lang w:val="en-GB"/>
        </w:rPr>
        <w:t>In 2022</w:t>
      </w:r>
      <w:r w:rsidR="00D11050" w:rsidRPr="004D004E">
        <w:rPr>
          <w:rFonts w:cstheme="minorHAnsi"/>
          <w:szCs w:val="19"/>
          <w:lang w:val="en-GB"/>
        </w:rPr>
        <w:t>, cultural and c</w:t>
      </w:r>
      <w:r w:rsidR="00D71810">
        <w:rPr>
          <w:rFonts w:cstheme="minorHAnsi"/>
          <w:szCs w:val="19"/>
          <w:lang w:val="en-GB"/>
        </w:rPr>
        <w:t>reative goods worth PLN 16,515.5</w:t>
      </w:r>
      <w:r w:rsidR="00D11050" w:rsidRPr="004D004E">
        <w:rPr>
          <w:rFonts w:cstheme="minorHAnsi"/>
          <w:szCs w:val="19"/>
          <w:lang w:val="en-GB"/>
        </w:rPr>
        <w:t xml:space="preserve"> m</w:t>
      </w:r>
      <w:r w:rsidR="00D71810">
        <w:rPr>
          <w:rFonts w:cstheme="minorHAnsi"/>
          <w:szCs w:val="19"/>
          <w:lang w:val="en-GB"/>
        </w:rPr>
        <w:t>illion were sold abroad</w:t>
      </w:r>
      <w:r w:rsidR="00D11050" w:rsidRPr="004D004E">
        <w:rPr>
          <w:rFonts w:cstheme="minorHAnsi"/>
          <w:szCs w:val="19"/>
          <w:lang w:val="en-GB"/>
        </w:rPr>
        <w:t xml:space="preserve"> (</w:t>
      </w:r>
      <w:r w:rsidR="009859B9">
        <w:rPr>
          <w:rFonts w:cstheme="minorHAnsi"/>
          <w:szCs w:val="19"/>
          <w:lang w:val="en-GB"/>
        </w:rPr>
        <w:t xml:space="preserve">by </w:t>
      </w:r>
      <w:r w:rsidR="00B13878">
        <w:rPr>
          <w:rFonts w:cstheme="minorHAnsi"/>
          <w:szCs w:val="19"/>
          <w:lang w:val="en-GB"/>
        </w:rPr>
        <w:t>PLN</w:t>
      </w:r>
      <w:r w:rsidR="002064CD">
        <w:rPr>
          <w:rFonts w:cstheme="minorHAnsi"/>
          <w:szCs w:val="19"/>
          <w:lang w:val="en-GB"/>
        </w:rPr>
        <w:t> </w:t>
      </w:r>
      <w:r w:rsidR="00B13878">
        <w:rPr>
          <w:rFonts w:cstheme="minorHAnsi"/>
          <w:szCs w:val="19"/>
          <w:lang w:val="en-GB"/>
        </w:rPr>
        <w:t xml:space="preserve">1,540 million, i.e. </w:t>
      </w:r>
      <w:r w:rsidR="00D71810">
        <w:rPr>
          <w:rFonts w:cstheme="minorHAnsi"/>
          <w:szCs w:val="19"/>
          <w:lang w:val="en-GB"/>
        </w:rPr>
        <w:t>8.5</w:t>
      </w:r>
      <w:r w:rsidR="00D11050" w:rsidRPr="004D004E">
        <w:rPr>
          <w:rFonts w:cstheme="minorHAnsi"/>
          <w:szCs w:val="19"/>
          <w:lang w:val="en-GB"/>
        </w:rPr>
        <w:t>%</w:t>
      </w:r>
      <w:r w:rsidR="00B13878">
        <w:rPr>
          <w:rFonts w:cstheme="minorHAnsi"/>
          <w:szCs w:val="19"/>
          <w:lang w:val="en-GB"/>
        </w:rPr>
        <w:t xml:space="preserve"> less than in 2021</w:t>
      </w:r>
      <w:r w:rsidR="00D11050" w:rsidRPr="004D004E">
        <w:rPr>
          <w:rFonts w:cstheme="minorHAnsi"/>
          <w:szCs w:val="19"/>
          <w:lang w:val="en-GB"/>
        </w:rPr>
        <w:t>)</w:t>
      </w:r>
      <w:r w:rsidR="004A406A">
        <w:rPr>
          <w:rFonts w:cstheme="minorHAnsi"/>
          <w:szCs w:val="19"/>
          <w:lang w:val="en-GB"/>
        </w:rPr>
        <w:t>. The i</w:t>
      </w:r>
      <w:r w:rsidR="00B13878">
        <w:rPr>
          <w:rFonts w:cstheme="minorHAnsi"/>
          <w:szCs w:val="19"/>
          <w:lang w:val="en-GB"/>
        </w:rPr>
        <w:t>mport</w:t>
      </w:r>
      <w:r w:rsidR="00D11050" w:rsidRPr="004D004E">
        <w:rPr>
          <w:rFonts w:cstheme="minorHAnsi"/>
          <w:szCs w:val="19"/>
          <w:lang w:val="en-GB"/>
        </w:rPr>
        <w:t xml:space="preserve"> of cultural and creative goods also </w:t>
      </w:r>
      <w:r w:rsidR="00DF708F">
        <w:rPr>
          <w:rFonts w:cstheme="minorHAnsi"/>
          <w:szCs w:val="19"/>
          <w:lang w:val="en-GB"/>
        </w:rPr>
        <w:t>de</w:t>
      </w:r>
      <w:r w:rsidR="00D11050" w:rsidRPr="004D004E">
        <w:rPr>
          <w:rFonts w:cstheme="minorHAnsi"/>
          <w:szCs w:val="19"/>
          <w:lang w:val="en-GB"/>
        </w:rPr>
        <w:t>creased</w:t>
      </w:r>
      <w:r w:rsidR="00B13878">
        <w:rPr>
          <w:rFonts w:cstheme="minorHAnsi"/>
          <w:szCs w:val="19"/>
          <w:lang w:val="en-GB"/>
        </w:rPr>
        <w:t xml:space="preserve"> by 16.7%, reaching PLN 10,493.0</w:t>
      </w:r>
      <w:r w:rsidR="00457394">
        <w:rPr>
          <w:rFonts w:cstheme="minorHAnsi"/>
          <w:szCs w:val="19"/>
          <w:lang w:val="en-GB"/>
        </w:rPr>
        <w:t xml:space="preserve"> million. T</w:t>
      </w:r>
      <w:r w:rsidR="00D11050" w:rsidRPr="004D004E">
        <w:rPr>
          <w:rFonts w:cstheme="minorHAnsi"/>
          <w:szCs w:val="19"/>
          <w:lang w:val="en-GB"/>
        </w:rPr>
        <w:t xml:space="preserve">he foreign trade balance </w:t>
      </w:r>
      <w:r w:rsidR="00DF708F">
        <w:rPr>
          <w:rFonts w:cstheme="minorHAnsi"/>
          <w:szCs w:val="19"/>
          <w:lang w:val="en-GB"/>
        </w:rPr>
        <w:t>was</w:t>
      </w:r>
      <w:r w:rsidR="00095966">
        <w:rPr>
          <w:rFonts w:cstheme="minorHAnsi"/>
          <w:szCs w:val="19"/>
          <w:lang w:val="en-GB"/>
        </w:rPr>
        <w:t xml:space="preserve"> positive and amounted to PLN 6,022.4</w:t>
      </w:r>
      <w:r w:rsidR="00D11050" w:rsidRPr="004D004E">
        <w:rPr>
          <w:rFonts w:cstheme="minorHAnsi"/>
          <w:szCs w:val="19"/>
          <w:lang w:val="en-GB"/>
        </w:rPr>
        <w:t xml:space="preserve"> million. The largest amount </w:t>
      </w:r>
      <w:r w:rsidR="00DF708F">
        <w:rPr>
          <w:rFonts w:cstheme="minorHAnsi"/>
          <w:szCs w:val="19"/>
          <w:lang w:val="en-GB"/>
        </w:rPr>
        <w:t xml:space="preserve">from the sale </w:t>
      </w:r>
      <w:r w:rsidR="00DF708F" w:rsidRPr="004D004E">
        <w:rPr>
          <w:rFonts w:cstheme="minorHAnsi"/>
          <w:szCs w:val="19"/>
          <w:lang w:val="en-GB"/>
        </w:rPr>
        <w:t xml:space="preserve">of goods </w:t>
      </w:r>
      <w:r w:rsidR="00D11050" w:rsidRPr="004D004E">
        <w:rPr>
          <w:rFonts w:cstheme="minorHAnsi"/>
          <w:szCs w:val="19"/>
          <w:lang w:val="en-GB"/>
        </w:rPr>
        <w:t xml:space="preserve">was obtained in the </w:t>
      </w:r>
      <w:r w:rsidR="00D11050" w:rsidRPr="003F3FFD">
        <w:rPr>
          <w:rFonts w:cstheme="minorHAnsi"/>
          <w:szCs w:val="19"/>
          <w:lang w:val="en-GB"/>
        </w:rPr>
        <w:t>field o</w:t>
      </w:r>
      <w:r w:rsidR="00D11050" w:rsidRPr="004D004E">
        <w:rPr>
          <w:rFonts w:cstheme="minorHAnsi"/>
          <w:szCs w:val="19"/>
          <w:lang w:val="en-GB"/>
        </w:rPr>
        <w:t xml:space="preserve">f </w:t>
      </w:r>
      <w:r w:rsidR="00D11050" w:rsidRPr="004D004E">
        <w:rPr>
          <w:rFonts w:cstheme="minorHAnsi"/>
          <w:i/>
          <w:iCs/>
          <w:szCs w:val="19"/>
          <w:lang w:val="en-GB"/>
        </w:rPr>
        <w:t>Books and Press</w:t>
      </w:r>
      <w:r w:rsidR="00095966">
        <w:rPr>
          <w:rFonts w:cstheme="minorHAnsi"/>
          <w:szCs w:val="19"/>
          <w:lang w:val="en-GB"/>
        </w:rPr>
        <w:t xml:space="preserve"> (PLN 7,336.5</w:t>
      </w:r>
      <w:r w:rsidR="00D11050" w:rsidRPr="004D004E">
        <w:rPr>
          <w:rFonts w:cstheme="minorHAnsi"/>
          <w:szCs w:val="19"/>
          <w:lang w:val="en-GB"/>
        </w:rPr>
        <w:t xml:space="preserve"> million), </w:t>
      </w:r>
      <w:r w:rsidR="00095966">
        <w:rPr>
          <w:rFonts w:cstheme="minorHAnsi"/>
          <w:szCs w:val="19"/>
          <w:lang w:val="en-GB"/>
        </w:rPr>
        <w:t xml:space="preserve">and the lowest in the field of </w:t>
      </w:r>
      <w:r w:rsidR="00A660B4" w:rsidRPr="00A660B4">
        <w:rPr>
          <w:rFonts w:cstheme="minorHAnsi"/>
          <w:i/>
          <w:szCs w:val="19"/>
          <w:lang w:val="en-GB"/>
        </w:rPr>
        <w:t>A</w:t>
      </w:r>
      <w:r w:rsidR="00A660B4">
        <w:rPr>
          <w:rFonts w:cstheme="minorHAnsi"/>
          <w:i/>
          <w:szCs w:val="19"/>
          <w:lang w:val="en-GB"/>
        </w:rPr>
        <w:t>rts and C</w:t>
      </w:r>
      <w:r w:rsidR="00A660B4" w:rsidRPr="00A660B4">
        <w:rPr>
          <w:rFonts w:cstheme="minorHAnsi"/>
          <w:i/>
          <w:szCs w:val="19"/>
          <w:lang w:val="en-GB"/>
        </w:rPr>
        <w:t>rafts</w:t>
      </w:r>
      <w:r w:rsidR="00A660B4">
        <w:rPr>
          <w:rFonts w:cstheme="minorHAnsi"/>
          <w:szCs w:val="19"/>
          <w:lang w:val="en-GB"/>
        </w:rPr>
        <w:t xml:space="preserve"> (PLN 0.6 million). The highest value of import</w:t>
      </w:r>
      <w:r w:rsidR="00523B60">
        <w:rPr>
          <w:rFonts w:cstheme="minorHAnsi"/>
          <w:szCs w:val="19"/>
          <w:lang w:val="en-GB"/>
        </w:rPr>
        <w:t>s</w:t>
      </w:r>
      <w:r w:rsidR="00A660B4">
        <w:rPr>
          <w:rFonts w:cstheme="minorHAnsi"/>
          <w:szCs w:val="19"/>
          <w:lang w:val="en-GB"/>
        </w:rPr>
        <w:t xml:space="preserve"> was </w:t>
      </w:r>
      <w:r w:rsidR="00DF708F">
        <w:rPr>
          <w:rFonts w:cstheme="minorHAnsi"/>
          <w:szCs w:val="19"/>
          <w:lang w:val="en-GB"/>
        </w:rPr>
        <w:t>recorded</w:t>
      </w:r>
      <w:r w:rsidR="00A660B4">
        <w:rPr>
          <w:rFonts w:cstheme="minorHAnsi"/>
          <w:szCs w:val="19"/>
          <w:lang w:val="en-GB"/>
        </w:rPr>
        <w:t xml:space="preserve"> in the field of </w:t>
      </w:r>
      <w:r w:rsidR="00EF4291">
        <w:rPr>
          <w:rFonts w:cstheme="minorHAnsi"/>
          <w:i/>
          <w:iCs/>
          <w:szCs w:val="19"/>
          <w:lang w:val="en-GB"/>
        </w:rPr>
        <w:t>Audio</w:t>
      </w:r>
      <w:r w:rsidR="00A660B4" w:rsidRPr="004D004E">
        <w:rPr>
          <w:rFonts w:cstheme="minorHAnsi"/>
          <w:i/>
          <w:iCs/>
          <w:szCs w:val="19"/>
          <w:lang w:val="en-GB"/>
        </w:rPr>
        <w:t>visual Arts and Multimedia</w:t>
      </w:r>
      <w:r w:rsidR="00A660B4">
        <w:rPr>
          <w:rFonts w:cstheme="minorHAnsi"/>
          <w:i/>
          <w:iCs/>
          <w:szCs w:val="19"/>
          <w:lang w:val="en-GB"/>
        </w:rPr>
        <w:t xml:space="preserve"> </w:t>
      </w:r>
      <w:r w:rsidR="00A660B4">
        <w:rPr>
          <w:rFonts w:cstheme="minorHAnsi"/>
          <w:szCs w:val="19"/>
          <w:lang w:val="en-GB"/>
        </w:rPr>
        <w:t>(PLN 6,670.1 million), and the lowest, as in the case of export</w:t>
      </w:r>
      <w:r w:rsidR="00523B60">
        <w:rPr>
          <w:rFonts w:cstheme="minorHAnsi"/>
          <w:szCs w:val="19"/>
          <w:lang w:val="en-GB"/>
        </w:rPr>
        <w:t>s</w:t>
      </w:r>
      <w:r w:rsidR="00A660B4">
        <w:rPr>
          <w:rFonts w:cstheme="minorHAnsi"/>
          <w:szCs w:val="19"/>
          <w:lang w:val="en-GB"/>
        </w:rPr>
        <w:t xml:space="preserve">, in the field of </w:t>
      </w:r>
      <w:r w:rsidR="00A660B4" w:rsidRPr="00A660B4">
        <w:rPr>
          <w:rFonts w:cstheme="minorHAnsi"/>
          <w:i/>
          <w:szCs w:val="19"/>
          <w:lang w:val="en-GB"/>
        </w:rPr>
        <w:t>A</w:t>
      </w:r>
      <w:r w:rsidR="00A660B4">
        <w:rPr>
          <w:rFonts w:cstheme="minorHAnsi"/>
          <w:i/>
          <w:szCs w:val="19"/>
          <w:lang w:val="en-GB"/>
        </w:rPr>
        <w:t>rts and C</w:t>
      </w:r>
      <w:r w:rsidR="00A660B4" w:rsidRPr="00A660B4">
        <w:rPr>
          <w:rFonts w:cstheme="minorHAnsi"/>
          <w:i/>
          <w:szCs w:val="19"/>
          <w:lang w:val="en-GB"/>
        </w:rPr>
        <w:t>rafts</w:t>
      </w:r>
      <w:r w:rsidR="00A660B4">
        <w:rPr>
          <w:rFonts w:cstheme="minorHAnsi"/>
          <w:szCs w:val="19"/>
          <w:lang w:val="en-GB"/>
        </w:rPr>
        <w:t xml:space="preserve"> (PLN 1.5 million). I</w:t>
      </w:r>
      <w:r w:rsidR="0015465E">
        <w:rPr>
          <w:rFonts w:cstheme="minorHAnsi"/>
          <w:szCs w:val="19"/>
          <w:lang w:val="en-GB"/>
        </w:rPr>
        <w:t>n comparison to 2021, the large</w:t>
      </w:r>
      <w:r w:rsidR="00A660B4">
        <w:rPr>
          <w:rFonts w:cstheme="minorHAnsi"/>
          <w:szCs w:val="19"/>
          <w:lang w:val="en-GB"/>
        </w:rPr>
        <w:t xml:space="preserve">st increase </w:t>
      </w:r>
      <w:r w:rsidR="0015465E">
        <w:rPr>
          <w:rFonts w:cstheme="minorHAnsi"/>
          <w:szCs w:val="19"/>
          <w:lang w:val="en-GB"/>
        </w:rPr>
        <w:t xml:space="preserve">in the value of exported cultural and creative goods was observed in the case of </w:t>
      </w:r>
      <w:r w:rsidR="0015465E" w:rsidRPr="004D004E">
        <w:rPr>
          <w:rFonts w:cstheme="minorHAnsi"/>
          <w:i/>
          <w:iCs/>
          <w:szCs w:val="19"/>
          <w:lang w:val="en-GB"/>
        </w:rPr>
        <w:t>Cultural Heritage</w:t>
      </w:r>
      <w:r w:rsidR="00457394">
        <w:rPr>
          <w:rFonts w:cstheme="minorHAnsi"/>
          <w:szCs w:val="19"/>
          <w:lang w:val="en-GB"/>
        </w:rPr>
        <w:t xml:space="preserve"> (by 53.3%), while in </w:t>
      </w:r>
      <w:r w:rsidR="00DF708F">
        <w:rPr>
          <w:rFonts w:cstheme="minorHAnsi"/>
          <w:szCs w:val="19"/>
          <w:lang w:val="en-GB"/>
        </w:rPr>
        <w:t>case</w:t>
      </w:r>
      <w:r w:rsidR="0015465E">
        <w:rPr>
          <w:rFonts w:cstheme="minorHAnsi"/>
          <w:szCs w:val="19"/>
          <w:lang w:val="en-GB"/>
        </w:rPr>
        <w:t xml:space="preserve"> of import the value increased only in the field of </w:t>
      </w:r>
      <w:r w:rsidR="0015465E" w:rsidRPr="004D004E">
        <w:rPr>
          <w:rFonts w:cstheme="minorHAnsi"/>
          <w:i/>
          <w:iCs/>
          <w:szCs w:val="19"/>
          <w:lang w:val="en-GB"/>
        </w:rPr>
        <w:t>Visual Arts</w:t>
      </w:r>
      <w:r w:rsidR="0015465E">
        <w:rPr>
          <w:rFonts w:cstheme="minorHAnsi"/>
          <w:szCs w:val="19"/>
          <w:lang w:val="en-GB"/>
        </w:rPr>
        <w:t xml:space="preserve"> (by 19.0%).</w:t>
      </w:r>
    </w:p>
    <w:p w14:paraId="1F09CE45" w14:textId="0B269F37" w:rsidR="00523B60" w:rsidRDefault="002726D2" w:rsidP="00A56D33">
      <w:pPr>
        <w:spacing w:line="288" w:lineRule="auto"/>
        <w:rPr>
          <w:rFonts w:cstheme="minorHAnsi"/>
          <w:szCs w:val="19"/>
          <w:lang w:val="en-GB"/>
        </w:rPr>
      </w:pPr>
      <w:r w:rsidRPr="002726D2">
        <w:rPr>
          <w:rFonts w:cstheme="minorHAnsi"/>
          <w:szCs w:val="19"/>
          <w:lang w:val="en-GB"/>
        </w:rPr>
        <w:t xml:space="preserve">The value of cultural and creative services delivered abroad amounted to </w:t>
      </w:r>
      <w:r>
        <w:rPr>
          <w:rFonts w:cstheme="minorHAnsi"/>
          <w:szCs w:val="19"/>
          <w:lang w:val="en-GB"/>
        </w:rPr>
        <w:t>PLN</w:t>
      </w:r>
      <w:r w:rsidR="002064CD">
        <w:rPr>
          <w:rFonts w:cstheme="minorHAnsi"/>
          <w:szCs w:val="19"/>
          <w:lang w:val="en-GB"/>
        </w:rPr>
        <w:t> </w:t>
      </w:r>
      <w:r>
        <w:rPr>
          <w:rFonts w:cstheme="minorHAnsi"/>
          <w:szCs w:val="19"/>
          <w:lang w:val="en-GB"/>
        </w:rPr>
        <w:t>15,520.6</w:t>
      </w:r>
      <w:r w:rsidR="002064CD">
        <w:rPr>
          <w:rFonts w:cstheme="minorHAnsi"/>
          <w:szCs w:val="19"/>
          <w:lang w:val="en-GB"/>
        </w:rPr>
        <w:t> </w:t>
      </w:r>
      <w:r>
        <w:rPr>
          <w:rFonts w:cstheme="minorHAnsi"/>
          <w:szCs w:val="19"/>
          <w:lang w:val="en-GB"/>
        </w:rPr>
        <w:t xml:space="preserve">million (PLN 2,665.3 million more compared to 2021), while purchased cultural and creative services </w:t>
      </w:r>
      <w:r w:rsidR="002D4F2B">
        <w:rPr>
          <w:rFonts w:cstheme="minorHAnsi"/>
          <w:szCs w:val="19"/>
          <w:lang w:val="en-GB"/>
        </w:rPr>
        <w:t>amounted to PLN 17,816.0 million (PLN 3,531.7 million more than in 2021).</w:t>
      </w:r>
      <w:r w:rsidR="007108D3">
        <w:rPr>
          <w:rFonts w:cstheme="minorHAnsi"/>
          <w:szCs w:val="19"/>
          <w:lang w:val="en-GB"/>
        </w:rPr>
        <w:t xml:space="preserve"> T</w:t>
      </w:r>
      <w:r w:rsidR="00EF4291">
        <w:rPr>
          <w:rFonts w:cstheme="minorHAnsi"/>
          <w:szCs w:val="19"/>
          <w:lang w:val="en-GB"/>
        </w:rPr>
        <w:t>herefore, t</w:t>
      </w:r>
      <w:r w:rsidR="007108D3">
        <w:rPr>
          <w:rFonts w:cstheme="minorHAnsi"/>
          <w:szCs w:val="19"/>
          <w:lang w:val="en-GB"/>
        </w:rPr>
        <w:t>he balance of turnover was negative and amounted to minus PLN</w:t>
      </w:r>
      <w:r w:rsidR="002064CD">
        <w:rPr>
          <w:rFonts w:cstheme="minorHAnsi"/>
          <w:szCs w:val="19"/>
          <w:lang w:val="en-GB"/>
        </w:rPr>
        <w:t> </w:t>
      </w:r>
      <w:r w:rsidR="007108D3">
        <w:rPr>
          <w:rFonts w:cstheme="minorHAnsi"/>
          <w:szCs w:val="19"/>
          <w:lang w:val="en-GB"/>
        </w:rPr>
        <w:t>2,295.4</w:t>
      </w:r>
      <w:r w:rsidR="002064CD">
        <w:rPr>
          <w:rFonts w:cstheme="minorHAnsi"/>
          <w:szCs w:val="19"/>
          <w:lang w:val="en-GB"/>
        </w:rPr>
        <w:t> </w:t>
      </w:r>
      <w:r w:rsidR="007108D3">
        <w:rPr>
          <w:rFonts w:cstheme="minorHAnsi"/>
          <w:szCs w:val="19"/>
          <w:lang w:val="en-GB"/>
        </w:rPr>
        <w:t>million.</w:t>
      </w:r>
      <w:r w:rsidR="0024273B" w:rsidRPr="0024273B">
        <w:rPr>
          <w:lang w:val="en-GB"/>
        </w:rPr>
        <w:t xml:space="preserve"> </w:t>
      </w:r>
      <w:r w:rsidR="0024273B">
        <w:rPr>
          <w:rFonts w:cstheme="minorHAnsi"/>
          <w:szCs w:val="19"/>
          <w:lang w:val="en-GB"/>
        </w:rPr>
        <w:t>A positive balance of turnover</w:t>
      </w:r>
      <w:r w:rsidR="0024273B" w:rsidRPr="0024273B">
        <w:rPr>
          <w:rFonts w:cstheme="minorHAnsi"/>
          <w:szCs w:val="19"/>
          <w:lang w:val="en-GB"/>
        </w:rPr>
        <w:t xml:space="preserve"> in cultural and creative servi</w:t>
      </w:r>
      <w:r w:rsidR="0024273B">
        <w:rPr>
          <w:rFonts w:cstheme="minorHAnsi"/>
          <w:szCs w:val="19"/>
          <w:lang w:val="en-GB"/>
        </w:rPr>
        <w:t xml:space="preserve">ces was recorded in three fields: </w:t>
      </w:r>
      <w:r w:rsidR="0024273B" w:rsidRPr="004D004E">
        <w:rPr>
          <w:rFonts w:cstheme="minorHAnsi"/>
          <w:i/>
          <w:iCs/>
          <w:szCs w:val="19"/>
          <w:lang w:val="en-GB"/>
        </w:rPr>
        <w:t>Architecture</w:t>
      </w:r>
      <w:r w:rsidR="0024273B">
        <w:rPr>
          <w:rFonts w:cstheme="minorHAnsi"/>
          <w:szCs w:val="19"/>
          <w:lang w:val="en-GB"/>
        </w:rPr>
        <w:t xml:space="preserve"> (PLN 180.6</w:t>
      </w:r>
      <w:r w:rsidR="0024273B" w:rsidRPr="004D004E">
        <w:rPr>
          <w:rFonts w:cstheme="minorHAnsi"/>
          <w:szCs w:val="19"/>
          <w:lang w:val="en-GB"/>
        </w:rPr>
        <w:t xml:space="preserve"> million)</w:t>
      </w:r>
      <w:r w:rsidR="0024273B">
        <w:rPr>
          <w:rFonts w:cstheme="minorHAnsi"/>
          <w:szCs w:val="19"/>
          <w:lang w:val="en-GB"/>
        </w:rPr>
        <w:t>,</w:t>
      </w:r>
      <w:r w:rsidR="0024273B" w:rsidRPr="004D004E">
        <w:rPr>
          <w:rFonts w:cstheme="minorHAnsi"/>
          <w:szCs w:val="19"/>
          <w:lang w:val="en-GB"/>
        </w:rPr>
        <w:t xml:space="preserve"> </w:t>
      </w:r>
      <w:r w:rsidR="0024273B" w:rsidRPr="004D004E">
        <w:rPr>
          <w:rFonts w:cstheme="minorHAnsi"/>
          <w:i/>
          <w:iCs/>
          <w:szCs w:val="19"/>
          <w:lang w:val="en-GB"/>
        </w:rPr>
        <w:t>Cultural Heritage</w:t>
      </w:r>
      <w:r w:rsidR="0024273B" w:rsidRPr="004D004E">
        <w:rPr>
          <w:rFonts w:cstheme="minorHAnsi"/>
          <w:szCs w:val="19"/>
          <w:lang w:val="en-GB"/>
        </w:rPr>
        <w:t xml:space="preserve"> (PLN</w:t>
      </w:r>
      <w:r w:rsidR="0024273B">
        <w:rPr>
          <w:rFonts w:cstheme="minorHAnsi"/>
          <w:szCs w:val="19"/>
          <w:lang w:val="en-GB"/>
        </w:rPr>
        <w:t xml:space="preserve"> 143.3 million) and</w:t>
      </w:r>
      <w:r w:rsidR="0024273B" w:rsidRPr="0024273B">
        <w:rPr>
          <w:rFonts w:cstheme="minorHAnsi"/>
          <w:i/>
          <w:iCs/>
          <w:szCs w:val="19"/>
          <w:lang w:val="en-GB"/>
        </w:rPr>
        <w:t xml:space="preserve"> </w:t>
      </w:r>
      <w:r w:rsidR="0024273B" w:rsidRPr="004D004E">
        <w:rPr>
          <w:rFonts w:cstheme="minorHAnsi"/>
          <w:i/>
          <w:iCs/>
          <w:szCs w:val="19"/>
          <w:lang w:val="en-GB"/>
        </w:rPr>
        <w:t xml:space="preserve">Advertising </w:t>
      </w:r>
      <w:r w:rsidR="0024273B" w:rsidRPr="004D004E">
        <w:rPr>
          <w:rFonts w:cstheme="minorHAnsi"/>
          <w:szCs w:val="19"/>
          <w:lang w:val="en-GB"/>
        </w:rPr>
        <w:t>(PLN</w:t>
      </w:r>
      <w:r w:rsidR="0024273B">
        <w:rPr>
          <w:rFonts w:cstheme="minorHAnsi"/>
          <w:szCs w:val="19"/>
          <w:lang w:val="en-GB"/>
        </w:rPr>
        <w:t xml:space="preserve"> 139.9 million). </w:t>
      </w:r>
      <w:r w:rsidR="00DF708F">
        <w:rPr>
          <w:rFonts w:cstheme="minorHAnsi"/>
          <w:szCs w:val="19"/>
          <w:lang w:val="en-GB"/>
        </w:rPr>
        <w:t>The highest value of b</w:t>
      </w:r>
      <w:r w:rsidR="003120D1">
        <w:rPr>
          <w:rFonts w:cstheme="minorHAnsi"/>
          <w:szCs w:val="19"/>
          <w:lang w:val="en-GB"/>
        </w:rPr>
        <w:t>oth</w:t>
      </w:r>
      <w:r w:rsidR="0024273B">
        <w:rPr>
          <w:rFonts w:cstheme="minorHAnsi"/>
          <w:szCs w:val="19"/>
          <w:lang w:val="en-GB"/>
        </w:rPr>
        <w:t xml:space="preserve"> export</w:t>
      </w:r>
      <w:r w:rsidR="00523B60">
        <w:rPr>
          <w:rFonts w:cstheme="minorHAnsi"/>
          <w:szCs w:val="19"/>
          <w:lang w:val="en-GB"/>
        </w:rPr>
        <w:t>s</w:t>
      </w:r>
      <w:r w:rsidR="0024273B">
        <w:rPr>
          <w:rFonts w:cstheme="minorHAnsi"/>
          <w:szCs w:val="19"/>
          <w:lang w:val="en-GB"/>
        </w:rPr>
        <w:t xml:space="preserve"> and import</w:t>
      </w:r>
      <w:r w:rsidR="00523B60">
        <w:rPr>
          <w:rFonts w:cstheme="minorHAnsi"/>
          <w:szCs w:val="19"/>
          <w:lang w:val="en-GB"/>
        </w:rPr>
        <w:t>s</w:t>
      </w:r>
      <w:r w:rsidR="00DF708F">
        <w:rPr>
          <w:rFonts w:cstheme="minorHAnsi"/>
          <w:szCs w:val="19"/>
          <w:lang w:val="en-GB"/>
        </w:rPr>
        <w:t xml:space="preserve"> </w:t>
      </w:r>
      <w:r w:rsidR="0024273B">
        <w:rPr>
          <w:rFonts w:cstheme="minorHAnsi"/>
          <w:szCs w:val="19"/>
          <w:lang w:val="en-GB"/>
        </w:rPr>
        <w:t xml:space="preserve">was recorded in the field </w:t>
      </w:r>
      <w:r w:rsidR="0024273B" w:rsidRPr="004D004E">
        <w:rPr>
          <w:rFonts w:cstheme="minorHAnsi"/>
          <w:i/>
          <w:iCs/>
          <w:szCs w:val="19"/>
          <w:lang w:val="en-GB"/>
        </w:rPr>
        <w:t xml:space="preserve">Advertising </w:t>
      </w:r>
      <w:r w:rsidR="0024273B" w:rsidRPr="0024273B">
        <w:rPr>
          <w:rFonts w:cstheme="minorHAnsi"/>
          <w:szCs w:val="19"/>
          <w:lang w:val="en-GB"/>
        </w:rPr>
        <w:t xml:space="preserve">– </w:t>
      </w:r>
      <w:r w:rsidR="0024273B">
        <w:rPr>
          <w:rFonts w:cstheme="minorHAnsi"/>
          <w:szCs w:val="19"/>
          <w:lang w:val="en-GB"/>
        </w:rPr>
        <w:t>PLN 12,577.8</w:t>
      </w:r>
      <w:r w:rsidR="0024273B" w:rsidRPr="004D004E">
        <w:rPr>
          <w:rFonts w:cstheme="minorHAnsi"/>
          <w:szCs w:val="19"/>
          <w:lang w:val="en-GB"/>
        </w:rPr>
        <w:t xml:space="preserve"> million</w:t>
      </w:r>
      <w:r w:rsidR="0024273B">
        <w:rPr>
          <w:rFonts w:cstheme="minorHAnsi"/>
          <w:szCs w:val="19"/>
          <w:lang w:val="en-GB"/>
        </w:rPr>
        <w:t xml:space="preserve"> (16.1% more than in 2021) and PLN</w:t>
      </w:r>
      <w:r w:rsidR="002064CD">
        <w:rPr>
          <w:rFonts w:cstheme="minorHAnsi"/>
          <w:szCs w:val="19"/>
          <w:lang w:val="en-GB"/>
        </w:rPr>
        <w:t> </w:t>
      </w:r>
      <w:r w:rsidR="0024273B">
        <w:rPr>
          <w:rFonts w:cstheme="minorHAnsi"/>
          <w:szCs w:val="19"/>
          <w:lang w:val="en-GB"/>
        </w:rPr>
        <w:t>12,438,9 million (29.3% more than in 2021)</w:t>
      </w:r>
      <w:r w:rsidR="00DF708F">
        <w:rPr>
          <w:rFonts w:cstheme="minorHAnsi"/>
          <w:szCs w:val="19"/>
          <w:lang w:val="en-GB"/>
        </w:rPr>
        <w:t>, respectively</w:t>
      </w:r>
      <w:r w:rsidR="0024273B">
        <w:rPr>
          <w:rFonts w:cstheme="minorHAnsi"/>
          <w:szCs w:val="19"/>
          <w:lang w:val="en-GB"/>
        </w:rPr>
        <w:t>.</w:t>
      </w:r>
    </w:p>
    <w:p w14:paraId="1C1E3D6E" w14:textId="074E036F" w:rsidR="0058463C" w:rsidRPr="00390580" w:rsidRDefault="00A56D33" w:rsidP="00A56D33">
      <w:pPr>
        <w:spacing w:line="288" w:lineRule="auto"/>
        <w:rPr>
          <w:rFonts w:cstheme="minorHAnsi"/>
          <w:szCs w:val="19"/>
          <w:lang w:val="en-GB"/>
        </w:rPr>
      </w:pPr>
      <w:r w:rsidRPr="004D004E">
        <w:rPr>
          <w:rFonts w:cstheme="minorHAnsi"/>
          <w:szCs w:val="19"/>
          <w:lang w:val="en-GB"/>
        </w:rPr>
        <w:t xml:space="preserve">In the structure of Poland's foreign trade, </w:t>
      </w:r>
      <w:r w:rsidR="0058463C">
        <w:rPr>
          <w:rFonts w:cstheme="minorHAnsi"/>
          <w:szCs w:val="19"/>
          <w:lang w:val="en-GB"/>
        </w:rPr>
        <w:t>the share of both exports and imports of the cultural and creative goods and services</w:t>
      </w:r>
      <w:r w:rsidR="00500489">
        <w:rPr>
          <w:rFonts w:cstheme="minorHAnsi"/>
          <w:szCs w:val="19"/>
          <w:lang w:val="en-GB"/>
        </w:rPr>
        <w:t xml:space="preserve"> </w:t>
      </w:r>
      <w:r w:rsidR="003120D1">
        <w:rPr>
          <w:rFonts w:cstheme="minorHAnsi"/>
          <w:szCs w:val="19"/>
          <w:lang w:val="en-GB"/>
        </w:rPr>
        <w:t xml:space="preserve">was relatively </w:t>
      </w:r>
      <w:r w:rsidR="003A2A72">
        <w:rPr>
          <w:rFonts w:cstheme="minorHAnsi"/>
          <w:szCs w:val="19"/>
          <w:lang w:val="en-GB"/>
        </w:rPr>
        <w:t>small</w:t>
      </w:r>
      <w:r w:rsidR="003120D1">
        <w:rPr>
          <w:rFonts w:cstheme="minorHAnsi"/>
          <w:szCs w:val="19"/>
          <w:lang w:val="en-GB"/>
        </w:rPr>
        <w:t xml:space="preserve"> </w:t>
      </w:r>
      <w:proofErr w:type="gramStart"/>
      <w:r w:rsidR="00500489">
        <w:rPr>
          <w:rFonts w:cstheme="minorHAnsi"/>
          <w:szCs w:val="19"/>
          <w:lang w:val="en-GB"/>
        </w:rPr>
        <w:t xml:space="preserve">and in comparison </w:t>
      </w:r>
      <w:proofErr w:type="gramEnd"/>
      <w:r w:rsidR="00500489">
        <w:rPr>
          <w:rFonts w:cstheme="minorHAnsi"/>
          <w:szCs w:val="19"/>
          <w:lang w:val="en-GB"/>
        </w:rPr>
        <w:t>to the previ</w:t>
      </w:r>
      <w:r w:rsidR="00F430D1">
        <w:rPr>
          <w:rFonts w:cstheme="minorHAnsi"/>
          <w:szCs w:val="19"/>
          <w:lang w:val="en-GB"/>
        </w:rPr>
        <w:t>o</w:t>
      </w:r>
      <w:r w:rsidR="00500489">
        <w:rPr>
          <w:rFonts w:cstheme="minorHAnsi"/>
          <w:szCs w:val="19"/>
          <w:lang w:val="en-GB"/>
        </w:rPr>
        <w:t xml:space="preserve">us years </w:t>
      </w:r>
      <w:r w:rsidR="003A2A72">
        <w:rPr>
          <w:rFonts w:cstheme="minorHAnsi"/>
          <w:szCs w:val="19"/>
          <w:lang w:val="en-GB"/>
        </w:rPr>
        <w:t>remained</w:t>
      </w:r>
      <w:r w:rsidR="00253CEC">
        <w:rPr>
          <w:rFonts w:cstheme="minorHAnsi"/>
          <w:szCs w:val="19"/>
          <w:lang w:val="en-GB"/>
        </w:rPr>
        <w:t xml:space="preserve"> </w:t>
      </w:r>
      <w:r w:rsidR="003A2A72">
        <w:rPr>
          <w:rFonts w:cstheme="minorHAnsi"/>
          <w:szCs w:val="19"/>
          <w:lang w:val="en-GB"/>
        </w:rPr>
        <w:t>at</w:t>
      </w:r>
      <w:r w:rsidR="005D121F">
        <w:rPr>
          <w:rFonts w:cstheme="minorHAnsi"/>
          <w:szCs w:val="19"/>
          <w:lang w:val="en-GB"/>
        </w:rPr>
        <w:t xml:space="preserve"> </w:t>
      </w:r>
      <w:r w:rsidR="003A2A72">
        <w:rPr>
          <w:rFonts w:cstheme="minorHAnsi"/>
          <w:szCs w:val="19"/>
          <w:lang w:val="en-GB"/>
        </w:rPr>
        <w:t>a</w:t>
      </w:r>
      <w:r w:rsidR="005D121F">
        <w:rPr>
          <w:rFonts w:cstheme="minorHAnsi"/>
          <w:szCs w:val="19"/>
          <w:lang w:val="en-GB"/>
        </w:rPr>
        <w:t xml:space="preserve"> similar level.</w:t>
      </w:r>
      <w:r w:rsidR="00390580">
        <w:rPr>
          <w:rFonts w:cstheme="minorHAnsi"/>
          <w:szCs w:val="19"/>
          <w:lang w:val="en-GB"/>
        </w:rPr>
        <w:t xml:space="preserve"> The share of cultural and creative good</w:t>
      </w:r>
      <w:r w:rsidR="00E315B9">
        <w:rPr>
          <w:rFonts w:cstheme="minorHAnsi"/>
          <w:szCs w:val="19"/>
          <w:lang w:val="en-GB"/>
        </w:rPr>
        <w:t xml:space="preserve">s in exports of goods </w:t>
      </w:r>
      <w:r w:rsidR="00390580">
        <w:rPr>
          <w:rFonts w:cstheme="minorHAnsi"/>
          <w:szCs w:val="19"/>
          <w:lang w:val="en-GB"/>
        </w:rPr>
        <w:t>was 1.0%, whereas in imports</w:t>
      </w:r>
      <w:r w:rsidR="00390580" w:rsidRPr="00390580">
        <w:rPr>
          <w:rFonts w:cstheme="minorHAnsi"/>
          <w:szCs w:val="19"/>
          <w:lang w:val="en-GB"/>
        </w:rPr>
        <w:t xml:space="preserve"> –</w:t>
      </w:r>
      <w:r w:rsidR="00390580">
        <w:rPr>
          <w:rFonts w:cstheme="minorHAnsi"/>
          <w:szCs w:val="19"/>
          <w:lang w:val="en-GB"/>
        </w:rPr>
        <w:t xml:space="preserve"> 0.6%</w:t>
      </w:r>
      <w:r w:rsidR="00E315B9">
        <w:rPr>
          <w:rFonts w:cstheme="minorHAnsi"/>
          <w:szCs w:val="19"/>
          <w:lang w:val="en-GB"/>
        </w:rPr>
        <w:t xml:space="preserve"> in 2022</w:t>
      </w:r>
      <w:r w:rsidR="00390580">
        <w:rPr>
          <w:rFonts w:cstheme="minorHAnsi"/>
          <w:szCs w:val="19"/>
          <w:lang w:val="en-GB"/>
        </w:rPr>
        <w:t xml:space="preserve"> (</w:t>
      </w:r>
      <w:r w:rsidR="00E572D9">
        <w:rPr>
          <w:rFonts w:cstheme="minorHAnsi"/>
          <w:szCs w:val="19"/>
          <w:lang w:val="en-GB"/>
        </w:rPr>
        <w:t>a decrease of</w:t>
      </w:r>
      <w:r w:rsidR="00390580">
        <w:rPr>
          <w:rFonts w:cstheme="minorHAnsi"/>
          <w:szCs w:val="19"/>
          <w:lang w:val="en-GB"/>
        </w:rPr>
        <w:t xml:space="preserve"> 0.4 percentage points in comparison to 2021).</w:t>
      </w:r>
      <w:r w:rsidR="00F92D8A" w:rsidRPr="00F92D8A">
        <w:rPr>
          <w:lang w:val="en-GB"/>
        </w:rPr>
        <w:t xml:space="preserve"> </w:t>
      </w:r>
      <w:r w:rsidR="00F92D8A" w:rsidRPr="00F92D8A">
        <w:rPr>
          <w:rFonts w:cstheme="minorHAnsi"/>
          <w:szCs w:val="19"/>
          <w:lang w:val="en-GB"/>
        </w:rPr>
        <w:t>The share of cultural a</w:t>
      </w:r>
      <w:r w:rsidR="00F92D8A">
        <w:rPr>
          <w:rFonts w:cstheme="minorHAnsi"/>
          <w:szCs w:val="19"/>
          <w:lang w:val="en-GB"/>
        </w:rPr>
        <w:t>nd creative services in the foreign trade of</w:t>
      </w:r>
      <w:r w:rsidR="00F92D8A" w:rsidRPr="00F92D8A">
        <w:rPr>
          <w:rFonts w:cstheme="minorHAnsi"/>
          <w:szCs w:val="19"/>
          <w:lang w:val="en-GB"/>
        </w:rPr>
        <w:t xml:space="preserve"> services was slightly higher and amounted to 3.6% and 7.0%</w:t>
      </w:r>
      <w:r w:rsidR="003A2A72">
        <w:rPr>
          <w:rFonts w:cstheme="minorHAnsi"/>
          <w:szCs w:val="19"/>
          <w:lang w:val="en-GB"/>
        </w:rPr>
        <w:t>,</w:t>
      </w:r>
      <w:r w:rsidR="00F92D8A" w:rsidRPr="00F92D8A">
        <w:rPr>
          <w:rFonts w:cstheme="minorHAnsi"/>
          <w:szCs w:val="19"/>
          <w:lang w:val="en-GB"/>
        </w:rPr>
        <w:t xml:space="preserve"> respectively (a decrease of 0.5 percentage points compared to the previous year).</w:t>
      </w:r>
    </w:p>
    <w:p w14:paraId="614D0EC8" w14:textId="61EDF43B" w:rsidR="00F92D8A" w:rsidRDefault="00F92D8A" w:rsidP="00FA723C">
      <w:pPr>
        <w:spacing w:line="288" w:lineRule="auto"/>
        <w:rPr>
          <w:rFonts w:cstheme="minorHAnsi"/>
          <w:szCs w:val="19"/>
          <w:lang w:val="en-GB"/>
        </w:rPr>
      </w:pPr>
      <w:r>
        <w:rPr>
          <w:rFonts w:cstheme="minorHAnsi"/>
          <w:szCs w:val="19"/>
          <w:lang w:val="en-GB"/>
        </w:rPr>
        <w:t xml:space="preserve">The </w:t>
      </w:r>
      <w:r w:rsidRPr="004D004E">
        <w:rPr>
          <w:rFonts w:cstheme="minorHAnsi"/>
          <w:szCs w:val="19"/>
          <w:lang w:val="en-GB"/>
        </w:rPr>
        <w:t>recipients of Polish cultural and creative goods were primarily economically developed countries,</w:t>
      </w:r>
      <w:r w:rsidR="00FA723C">
        <w:rPr>
          <w:rFonts w:cstheme="minorHAnsi"/>
          <w:szCs w:val="19"/>
          <w:lang w:val="en-GB"/>
        </w:rPr>
        <w:t xml:space="preserve"> especially the EU countries (89</w:t>
      </w:r>
      <w:r w:rsidRPr="004D004E">
        <w:rPr>
          <w:rFonts w:cstheme="minorHAnsi"/>
          <w:szCs w:val="19"/>
          <w:lang w:val="en-GB"/>
        </w:rPr>
        <w:t>.9% of all turnover), inclu</w:t>
      </w:r>
      <w:r w:rsidR="00FA723C">
        <w:rPr>
          <w:rFonts w:cstheme="minorHAnsi"/>
          <w:szCs w:val="19"/>
          <w:lang w:val="en-GB"/>
        </w:rPr>
        <w:t>ding the Euro area members (75.3</w:t>
      </w:r>
      <w:r w:rsidRPr="004D004E">
        <w:rPr>
          <w:rFonts w:cstheme="minorHAnsi"/>
          <w:szCs w:val="19"/>
          <w:lang w:val="en-GB"/>
        </w:rPr>
        <w:t>% of all turnover). The situation was similar in the case of imports of goods, where the main turnover was with developed countries, although to a</w:t>
      </w:r>
      <w:r w:rsidR="00FA723C">
        <w:rPr>
          <w:rFonts w:cstheme="minorHAnsi"/>
          <w:szCs w:val="19"/>
          <w:lang w:val="en-GB"/>
        </w:rPr>
        <w:t xml:space="preserve"> lesser extent with the EU (51.1%) or the euro area itself (47.2</w:t>
      </w:r>
      <w:r w:rsidRPr="004D004E">
        <w:rPr>
          <w:rFonts w:cstheme="minorHAnsi"/>
          <w:szCs w:val="19"/>
          <w:lang w:val="en-GB"/>
        </w:rPr>
        <w:t xml:space="preserve">%). </w:t>
      </w:r>
      <w:r w:rsidR="00FA723C">
        <w:rPr>
          <w:rFonts w:cstheme="minorHAnsi"/>
          <w:szCs w:val="19"/>
          <w:lang w:val="en-GB"/>
        </w:rPr>
        <w:t>In the foreign trade, m</w:t>
      </w:r>
      <w:r w:rsidRPr="004D004E">
        <w:rPr>
          <w:rFonts w:cstheme="minorHAnsi"/>
          <w:szCs w:val="19"/>
          <w:lang w:val="en-GB"/>
        </w:rPr>
        <w:t xml:space="preserve">ost </w:t>
      </w:r>
      <w:r w:rsidR="00FA723C">
        <w:rPr>
          <w:rFonts w:cstheme="minorHAnsi"/>
          <w:szCs w:val="19"/>
          <w:lang w:val="en-GB"/>
        </w:rPr>
        <w:t xml:space="preserve">of cultural and creative </w:t>
      </w:r>
      <w:r w:rsidRPr="004D004E">
        <w:rPr>
          <w:rFonts w:cstheme="minorHAnsi"/>
          <w:szCs w:val="19"/>
          <w:lang w:val="en-GB"/>
        </w:rPr>
        <w:t xml:space="preserve">services were exported </w:t>
      </w:r>
      <w:r w:rsidR="003A2A72">
        <w:rPr>
          <w:rFonts w:cstheme="minorHAnsi"/>
          <w:szCs w:val="19"/>
          <w:lang w:val="en-GB"/>
        </w:rPr>
        <w:t xml:space="preserve">to </w:t>
      </w:r>
      <w:r w:rsidRPr="004D004E">
        <w:rPr>
          <w:rFonts w:cstheme="minorHAnsi"/>
          <w:szCs w:val="19"/>
          <w:lang w:val="en-GB"/>
        </w:rPr>
        <w:t>and imported from econom</w:t>
      </w:r>
      <w:r w:rsidR="00FA723C">
        <w:rPr>
          <w:rFonts w:cstheme="minorHAnsi"/>
          <w:szCs w:val="19"/>
          <w:lang w:val="en-GB"/>
        </w:rPr>
        <w:t xml:space="preserve">ically developed countries (95.2% and 96.6%, respectively), more than half </w:t>
      </w:r>
      <w:r w:rsidR="003A2A72">
        <w:rPr>
          <w:rFonts w:cstheme="minorHAnsi"/>
          <w:szCs w:val="19"/>
          <w:lang w:val="en-GB"/>
        </w:rPr>
        <w:t xml:space="preserve">of them </w:t>
      </w:r>
      <w:r w:rsidRPr="004D004E">
        <w:rPr>
          <w:rFonts w:cstheme="minorHAnsi"/>
          <w:szCs w:val="19"/>
          <w:lang w:val="en-GB"/>
        </w:rPr>
        <w:t>to and from euro area countries.</w:t>
      </w:r>
    </w:p>
    <w:p w14:paraId="6CAFF159" w14:textId="632AB365" w:rsidR="00897115" w:rsidRPr="004D004E" w:rsidRDefault="00897115" w:rsidP="00897115">
      <w:pPr>
        <w:pStyle w:val="Tytutablicy"/>
        <w:suppressAutoHyphens/>
        <w:ind w:left="709" w:hanging="709"/>
        <w:rPr>
          <w:lang w:val="en-GB"/>
        </w:rPr>
      </w:pPr>
      <w:r w:rsidRPr="004D004E">
        <w:rPr>
          <w:lang w:val="en-GB"/>
        </w:rPr>
        <w:lastRenderedPageBreak/>
        <w:t>Table 2. Foreign trade in cultural and creative goods and servi</w:t>
      </w:r>
      <w:r w:rsidR="00D61557">
        <w:rPr>
          <w:lang w:val="en-GB"/>
        </w:rPr>
        <w:t>ces by domain of culture in 2022</w:t>
      </w:r>
    </w:p>
    <w:tbl>
      <w:tblPr>
        <w:tblStyle w:val="Siatkatabelijasna1"/>
        <w:tblW w:w="7797" w:type="dxa"/>
        <w:tblInd w:w="0" w:type="dxa"/>
        <w:tblBorders>
          <w:top w:val="single" w:sz="4" w:space="0" w:color="001D77"/>
          <w:left w:val="none" w:sz="0" w:space="0" w:color="auto"/>
          <w:bottom w:val="single" w:sz="4" w:space="0" w:color="001D77"/>
          <w:right w:val="none" w:sz="0" w:space="0" w:color="auto"/>
          <w:insideH w:val="single" w:sz="4" w:space="0" w:color="001D77"/>
          <w:insideV w:val="single" w:sz="2" w:space="0" w:color="001D77"/>
        </w:tblBorders>
        <w:tblCellMar>
          <w:top w:w="57" w:type="dxa"/>
          <w:bottom w:w="57" w:type="dxa"/>
        </w:tblCellMar>
        <w:tblLook w:val="04A0" w:firstRow="1" w:lastRow="0" w:firstColumn="1" w:lastColumn="0" w:noHBand="0" w:noVBand="1"/>
        <w:tblCaption w:val="Table 2 presenting foreign trade in cultural and creative goods and services by domain of culture in 2022"/>
      </w:tblPr>
      <w:tblGrid>
        <w:gridCol w:w="2268"/>
        <w:gridCol w:w="1382"/>
        <w:gridCol w:w="1382"/>
        <w:gridCol w:w="1382"/>
        <w:gridCol w:w="1383"/>
      </w:tblGrid>
      <w:tr w:rsidR="00897115" w:rsidRPr="004D004E" w14:paraId="0C4C0566" w14:textId="77777777" w:rsidTr="00746814">
        <w:trPr>
          <w:trHeight w:val="57"/>
        </w:trPr>
        <w:tc>
          <w:tcPr>
            <w:tcW w:w="2268" w:type="dxa"/>
            <w:vMerge w:val="restart"/>
            <w:vAlign w:val="center"/>
            <w:hideMark/>
          </w:tcPr>
          <w:p w14:paraId="6CF0717C" w14:textId="6397E5D6" w:rsidR="00897115" w:rsidRPr="004D004E" w:rsidRDefault="00897115" w:rsidP="00897115">
            <w:pPr>
              <w:pStyle w:val="Tablicagwkarodek"/>
              <w:rPr>
                <w:lang w:val="en-GB"/>
              </w:rPr>
            </w:pPr>
            <w:r w:rsidRPr="004D004E">
              <w:rPr>
                <w:color w:val="000000" w:themeColor="text1"/>
                <w:lang w:val="en-GB"/>
              </w:rPr>
              <w:t>Specification</w:t>
            </w:r>
          </w:p>
        </w:tc>
        <w:tc>
          <w:tcPr>
            <w:tcW w:w="2764" w:type="dxa"/>
            <w:gridSpan w:val="2"/>
            <w:tcMar>
              <w:top w:w="57" w:type="dxa"/>
              <w:left w:w="102" w:type="dxa"/>
              <w:bottom w:w="57" w:type="dxa"/>
              <w:right w:w="108" w:type="dxa"/>
            </w:tcMar>
            <w:vAlign w:val="center"/>
            <w:hideMark/>
          </w:tcPr>
          <w:p w14:paraId="5F3E9702" w14:textId="0793185E" w:rsidR="00897115" w:rsidRPr="004D004E" w:rsidRDefault="00897115" w:rsidP="00897115">
            <w:pPr>
              <w:pStyle w:val="Tablicagwkarodek"/>
              <w:spacing w:before="0"/>
              <w:rPr>
                <w:lang w:val="en-GB"/>
              </w:rPr>
            </w:pPr>
            <w:r w:rsidRPr="004D004E">
              <w:rPr>
                <w:color w:val="000000" w:themeColor="text1"/>
                <w:lang w:val="en-GB"/>
              </w:rPr>
              <w:t>Cultural and creative goods</w:t>
            </w:r>
          </w:p>
        </w:tc>
        <w:tc>
          <w:tcPr>
            <w:tcW w:w="2765" w:type="dxa"/>
            <w:gridSpan w:val="2"/>
            <w:tcMar>
              <w:top w:w="57" w:type="dxa"/>
              <w:left w:w="102" w:type="dxa"/>
              <w:bottom w:w="57" w:type="dxa"/>
              <w:right w:w="108" w:type="dxa"/>
            </w:tcMar>
            <w:vAlign w:val="center"/>
            <w:hideMark/>
          </w:tcPr>
          <w:p w14:paraId="7F341664" w14:textId="5F3F5C11" w:rsidR="00897115" w:rsidRPr="004D004E" w:rsidRDefault="00897115" w:rsidP="00897115">
            <w:pPr>
              <w:pStyle w:val="Tablicagwkarodek"/>
              <w:spacing w:before="0"/>
              <w:rPr>
                <w:lang w:val="en-GB"/>
              </w:rPr>
            </w:pPr>
            <w:r w:rsidRPr="004D004E">
              <w:rPr>
                <w:color w:val="000000" w:themeColor="text1"/>
                <w:lang w:val="en-GB"/>
              </w:rPr>
              <w:t>Cultural and creative services</w:t>
            </w:r>
          </w:p>
        </w:tc>
      </w:tr>
      <w:tr w:rsidR="00897115" w:rsidRPr="004D004E" w14:paraId="5A35D5EC" w14:textId="77777777" w:rsidTr="00746814">
        <w:trPr>
          <w:trHeight w:val="57"/>
        </w:trPr>
        <w:tc>
          <w:tcPr>
            <w:tcW w:w="2268" w:type="dxa"/>
            <w:vMerge/>
            <w:vAlign w:val="center"/>
            <w:hideMark/>
          </w:tcPr>
          <w:p w14:paraId="5B77D253" w14:textId="77777777" w:rsidR="00897115" w:rsidRPr="004D004E" w:rsidRDefault="00897115" w:rsidP="00897115">
            <w:pPr>
              <w:spacing w:before="0" w:after="0" w:line="240" w:lineRule="auto"/>
              <w:rPr>
                <w:rFonts w:eastAsia="Times New Roman" w:cs="Arial"/>
                <w:bCs/>
                <w:color w:val="000000" w:themeColor="text1"/>
                <w:szCs w:val="19"/>
                <w:lang w:val="en-GB"/>
              </w:rPr>
            </w:pPr>
          </w:p>
        </w:tc>
        <w:tc>
          <w:tcPr>
            <w:tcW w:w="1382" w:type="dxa"/>
            <w:tcMar>
              <w:top w:w="57" w:type="dxa"/>
              <w:left w:w="102" w:type="dxa"/>
              <w:bottom w:w="57" w:type="dxa"/>
              <w:right w:w="108" w:type="dxa"/>
            </w:tcMar>
            <w:vAlign w:val="center"/>
            <w:hideMark/>
          </w:tcPr>
          <w:p w14:paraId="1ECCA3CE" w14:textId="6348990B" w:rsidR="00897115" w:rsidRPr="004D004E" w:rsidRDefault="00897115" w:rsidP="00897115">
            <w:pPr>
              <w:pStyle w:val="Tablicagwkarodek"/>
              <w:rPr>
                <w:lang w:val="en-GB"/>
              </w:rPr>
            </w:pPr>
            <w:r w:rsidRPr="004D004E">
              <w:rPr>
                <w:color w:val="000000" w:themeColor="text1"/>
                <w:lang w:val="en-GB"/>
              </w:rPr>
              <w:t>export</w:t>
            </w:r>
          </w:p>
        </w:tc>
        <w:tc>
          <w:tcPr>
            <w:tcW w:w="1382" w:type="dxa"/>
            <w:tcMar>
              <w:top w:w="57" w:type="dxa"/>
              <w:left w:w="102" w:type="dxa"/>
              <w:bottom w:w="57" w:type="dxa"/>
              <w:right w:w="108" w:type="dxa"/>
            </w:tcMar>
            <w:vAlign w:val="center"/>
            <w:hideMark/>
          </w:tcPr>
          <w:p w14:paraId="2BB4CDA9" w14:textId="4DCC7E8C" w:rsidR="00897115" w:rsidRPr="004D004E" w:rsidRDefault="00897115" w:rsidP="00897115">
            <w:pPr>
              <w:pStyle w:val="Tablicagwkarodek"/>
              <w:rPr>
                <w:lang w:val="en-GB"/>
              </w:rPr>
            </w:pPr>
            <w:r w:rsidRPr="004D004E">
              <w:rPr>
                <w:color w:val="000000" w:themeColor="text1"/>
                <w:lang w:val="en-GB"/>
              </w:rPr>
              <w:t>import</w:t>
            </w:r>
          </w:p>
        </w:tc>
        <w:tc>
          <w:tcPr>
            <w:tcW w:w="1382" w:type="dxa"/>
            <w:tcMar>
              <w:top w:w="57" w:type="dxa"/>
              <w:left w:w="102" w:type="dxa"/>
              <w:bottom w:w="57" w:type="dxa"/>
              <w:right w:w="108" w:type="dxa"/>
            </w:tcMar>
            <w:vAlign w:val="center"/>
            <w:hideMark/>
          </w:tcPr>
          <w:p w14:paraId="52428C3C" w14:textId="0CC39399" w:rsidR="00897115" w:rsidRPr="004D004E" w:rsidRDefault="00897115" w:rsidP="00897115">
            <w:pPr>
              <w:pStyle w:val="Tablicagwkarodek"/>
              <w:rPr>
                <w:lang w:val="en-GB"/>
              </w:rPr>
            </w:pPr>
            <w:r w:rsidRPr="004D004E">
              <w:rPr>
                <w:color w:val="000000" w:themeColor="text1"/>
                <w:lang w:val="en-GB"/>
              </w:rPr>
              <w:t>export</w:t>
            </w:r>
          </w:p>
        </w:tc>
        <w:tc>
          <w:tcPr>
            <w:tcW w:w="1383" w:type="dxa"/>
            <w:tcMar>
              <w:top w:w="57" w:type="dxa"/>
              <w:left w:w="102" w:type="dxa"/>
              <w:bottom w:w="57" w:type="dxa"/>
              <w:right w:w="108" w:type="dxa"/>
            </w:tcMar>
            <w:vAlign w:val="center"/>
            <w:hideMark/>
          </w:tcPr>
          <w:p w14:paraId="5E0AAA58" w14:textId="59579DF6" w:rsidR="00897115" w:rsidRPr="004D004E" w:rsidRDefault="00897115" w:rsidP="00897115">
            <w:pPr>
              <w:pStyle w:val="Tablicagwkarodek"/>
              <w:rPr>
                <w:lang w:val="en-GB"/>
              </w:rPr>
            </w:pPr>
            <w:r w:rsidRPr="004D004E">
              <w:rPr>
                <w:color w:val="000000" w:themeColor="text1"/>
                <w:lang w:val="en-GB"/>
              </w:rPr>
              <w:t>import</w:t>
            </w:r>
          </w:p>
        </w:tc>
      </w:tr>
      <w:tr w:rsidR="00362A9B" w:rsidRPr="004D004E" w14:paraId="0D4F3A05" w14:textId="77777777" w:rsidTr="00746814">
        <w:trPr>
          <w:trHeight w:val="258"/>
        </w:trPr>
        <w:tc>
          <w:tcPr>
            <w:tcW w:w="2268" w:type="dxa"/>
            <w:vMerge/>
            <w:vAlign w:val="center"/>
            <w:hideMark/>
          </w:tcPr>
          <w:p w14:paraId="5E5CA469" w14:textId="77777777" w:rsidR="00362A9B" w:rsidRPr="004D004E" w:rsidRDefault="00362A9B">
            <w:pPr>
              <w:spacing w:before="0" w:after="0" w:line="240" w:lineRule="auto"/>
              <w:rPr>
                <w:rFonts w:eastAsia="Times New Roman" w:cs="Arial"/>
                <w:bCs/>
                <w:color w:val="000000" w:themeColor="text1"/>
                <w:szCs w:val="19"/>
                <w:lang w:val="en-GB"/>
              </w:rPr>
            </w:pPr>
          </w:p>
        </w:tc>
        <w:tc>
          <w:tcPr>
            <w:tcW w:w="5529" w:type="dxa"/>
            <w:gridSpan w:val="4"/>
            <w:tcMar>
              <w:top w:w="57" w:type="dxa"/>
              <w:left w:w="102" w:type="dxa"/>
              <w:bottom w:w="57" w:type="dxa"/>
              <w:right w:w="108" w:type="dxa"/>
            </w:tcMar>
            <w:vAlign w:val="center"/>
            <w:hideMark/>
          </w:tcPr>
          <w:p w14:paraId="231C3CA5" w14:textId="7A8B976E" w:rsidR="00362A9B" w:rsidRPr="004D004E" w:rsidRDefault="00897115" w:rsidP="00362A9B">
            <w:pPr>
              <w:pStyle w:val="Tablicagwkarodek"/>
              <w:rPr>
                <w:lang w:val="en-GB"/>
              </w:rPr>
            </w:pPr>
            <w:r w:rsidRPr="004D004E">
              <w:rPr>
                <w:color w:val="000000" w:themeColor="text1"/>
                <w:lang w:val="en-GB"/>
              </w:rPr>
              <w:t>in million PLN</w:t>
            </w:r>
          </w:p>
        </w:tc>
      </w:tr>
      <w:tr w:rsidR="00D61557" w:rsidRPr="004D004E" w14:paraId="487674E0" w14:textId="77777777" w:rsidTr="00A207A9">
        <w:trPr>
          <w:trHeight w:val="461"/>
        </w:trPr>
        <w:tc>
          <w:tcPr>
            <w:tcW w:w="2268" w:type="dxa"/>
            <w:vAlign w:val="center"/>
            <w:hideMark/>
          </w:tcPr>
          <w:p w14:paraId="33718E82" w14:textId="2C9FE122" w:rsidR="00D61557" w:rsidRPr="004D004E" w:rsidRDefault="00D61557" w:rsidP="00D61557">
            <w:pPr>
              <w:pStyle w:val="Nagwek5"/>
              <w:tabs>
                <w:tab w:val="right" w:leader="dot" w:pos="4156"/>
              </w:tabs>
              <w:spacing w:before="0" w:line="240" w:lineRule="auto"/>
              <w:contextualSpacing/>
              <w:outlineLvl w:val="4"/>
              <w:rPr>
                <w:rFonts w:ascii="Fira Sans" w:hAnsi="Fira Sans"/>
                <w:b/>
                <w:bCs/>
                <w:color w:val="000000" w:themeColor="text1"/>
                <w:szCs w:val="19"/>
                <w:lang w:val="en-GB"/>
              </w:rPr>
            </w:pPr>
            <w:r w:rsidRPr="004D004E">
              <w:rPr>
                <w:rFonts w:ascii="Fira Sans" w:hAnsi="Fira Sans"/>
                <w:b/>
                <w:bCs/>
                <w:color w:val="000000" w:themeColor="text1"/>
                <w:szCs w:val="19"/>
                <w:lang w:val="en-GB"/>
              </w:rPr>
              <w:t>Total</w:t>
            </w:r>
          </w:p>
        </w:tc>
        <w:tc>
          <w:tcPr>
            <w:tcW w:w="1382" w:type="dxa"/>
            <w:tcMar>
              <w:top w:w="57" w:type="dxa"/>
              <w:left w:w="102" w:type="dxa"/>
              <w:bottom w:w="57" w:type="dxa"/>
              <w:right w:w="108" w:type="dxa"/>
            </w:tcMar>
            <w:vAlign w:val="bottom"/>
            <w:hideMark/>
          </w:tcPr>
          <w:p w14:paraId="2674F003" w14:textId="6FE033BF" w:rsidR="00D61557" w:rsidRPr="004D004E" w:rsidRDefault="00D61557" w:rsidP="00D61557">
            <w:pPr>
              <w:spacing w:before="0" w:after="0" w:line="240" w:lineRule="auto"/>
              <w:jc w:val="right"/>
              <w:rPr>
                <w:b/>
                <w:szCs w:val="19"/>
                <w:lang w:val="en-GB"/>
              </w:rPr>
            </w:pPr>
            <w:r w:rsidRPr="00AD0926">
              <w:rPr>
                <w:rFonts w:cs="Arial"/>
                <w:b/>
                <w:bCs/>
                <w:color w:val="000000"/>
                <w:szCs w:val="19"/>
              </w:rPr>
              <w:t>16</w:t>
            </w:r>
            <w:r w:rsidR="00CB23CF">
              <w:rPr>
                <w:rFonts w:cs="Arial"/>
                <w:b/>
                <w:bCs/>
                <w:color w:val="000000"/>
                <w:szCs w:val="19"/>
              </w:rPr>
              <w:t>,</w:t>
            </w:r>
            <w:r w:rsidRPr="00AD0926">
              <w:rPr>
                <w:rFonts w:cs="Arial"/>
                <w:b/>
                <w:bCs/>
                <w:color w:val="000000"/>
                <w:szCs w:val="19"/>
              </w:rPr>
              <w:t>515</w:t>
            </w:r>
            <w:r w:rsidR="00CB23CF">
              <w:rPr>
                <w:rFonts w:cs="Arial"/>
                <w:b/>
                <w:bCs/>
                <w:color w:val="000000"/>
                <w:szCs w:val="19"/>
              </w:rPr>
              <w:t>.</w:t>
            </w:r>
            <w:r w:rsidRPr="00AD0926">
              <w:rPr>
                <w:rFonts w:cs="Arial"/>
                <w:b/>
                <w:bCs/>
                <w:color w:val="000000"/>
                <w:szCs w:val="19"/>
              </w:rPr>
              <w:t>5</w:t>
            </w:r>
          </w:p>
        </w:tc>
        <w:tc>
          <w:tcPr>
            <w:tcW w:w="1382" w:type="dxa"/>
            <w:tcMar>
              <w:top w:w="57" w:type="dxa"/>
              <w:left w:w="102" w:type="dxa"/>
              <w:bottom w:w="57" w:type="dxa"/>
              <w:right w:w="108" w:type="dxa"/>
            </w:tcMar>
            <w:vAlign w:val="bottom"/>
            <w:hideMark/>
          </w:tcPr>
          <w:p w14:paraId="6F28744F" w14:textId="1AA0475F" w:rsidR="00D61557" w:rsidRPr="004D004E" w:rsidRDefault="00D61557" w:rsidP="00D61557">
            <w:pPr>
              <w:spacing w:before="0" w:after="0" w:line="240" w:lineRule="auto"/>
              <w:jc w:val="right"/>
              <w:rPr>
                <w:b/>
                <w:szCs w:val="19"/>
                <w:lang w:val="en-GB"/>
              </w:rPr>
            </w:pPr>
            <w:r w:rsidRPr="00AD0926">
              <w:rPr>
                <w:rFonts w:cs="Arial"/>
                <w:b/>
                <w:bCs/>
                <w:color w:val="000000"/>
                <w:szCs w:val="19"/>
              </w:rPr>
              <w:t>10</w:t>
            </w:r>
            <w:r w:rsidR="00CB23CF">
              <w:rPr>
                <w:rFonts w:cs="Arial"/>
                <w:b/>
                <w:bCs/>
                <w:color w:val="000000"/>
                <w:szCs w:val="19"/>
              </w:rPr>
              <w:t>,</w:t>
            </w:r>
            <w:r w:rsidRPr="00AD0926">
              <w:rPr>
                <w:rFonts w:cs="Arial"/>
                <w:b/>
                <w:bCs/>
                <w:color w:val="000000"/>
                <w:szCs w:val="19"/>
              </w:rPr>
              <w:t>493</w:t>
            </w:r>
            <w:r w:rsidR="00CB23CF">
              <w:rPr>
                <w:rFonts w:cs="Arial"/>
                <w:b/>
                <w:bCs/>
                <w:color w:val="000000"/>
                <w:szCs w:val="19"/>
              </w:rPr>
              <w:t>.</w:t>
            </w:r>
            <w:r w:rsidRPr="00AD0926">
              <w:rPr>
                <w:rFonts w:cs="Arial"/>
                <w:b/>
                <w:bCs/>
                <w:color w:val="000000"/>
                <w:szCs w:val="19"/>
              </w:rPr>
              <w:t>0</w:t>
            </w:r>
          </w:p>
        </w:tc>
        <w:tc>
          <w:tcPr>
            <w:tcW w:w="1382" w:type="dxa"/>
            <w:tcMar>
              <w:top w:w="57" w:type="dxa"/>
              <w:left w:w="102" w:type="dxa"/>
              <w:bottom w:w="57" w:type="dxa"/>
              <w:right w:w="108" w:type="dxa"/>
            </w:tcMar>
            <w:vAlign w:val="bottom"/>
            <w:hideMark/>
          </w:tcPr>
          <w:p w14:paraId="7E02F700" w14:textId="1FF3DD84" w:rsidR="00D61557" w:rsidRPr="004D004E" w:rsidRDefault="00D61557" w:rsidP="00D61557">
            <w:pPr>
              <w:spacing w:before="0" w:after="0" w:line="240" w:lineRule="auto"/>
              <w:jc w:val="right"/>
              <w:rPr>
                <w:b/>
                <w:szCs w:val="19"/>
                <w:lang w:val="en-GB"/>
              </w:rPr>
            </w:pPr>
            <w:r w:rsidRPr="005A5983">
              <w:rPr>
                <w:rFonts w:cs="Arial"/>
                <w:b/>
                <w:bCs/>
                <w:color w:val="000000"/>
                <w:szCs w:val="19"/>
              </w:rPr>
              <w:t>15</w:t>
            </w:r>
            <w:r w:rsidR="00CB23CF">
              <w:rPr>
                <w:rFonts w:cs="Arial"/>
                <w:b/>
                <w:bCs/>
                <w:color w:val="000000"/>
                <w:szCs w:val="19"/>
              </w:rPr>
              <w:t>,520.</w:t>
            </w:r>
            <w:r w:rsidRPr="005A5983">
              <w:rPr>
                <w:rFonts w:cs="Arial"/>
                <w:b/>
                <w:bCs/>
                <w:color w:val="000000"/>
                <w:szCs w:val="19"/>
              </w:rPr>
              <w:t>6</w:t>
            </w:r>
          </w:p>
        </w:tc>
        <w:tc>
          <w:tcPr>
            <w:tcW w:w="1383" w:type="dxa"/>
            <w:tcMar>
              <w:top w:w="57" w:type="dxa"/>
              <w:left w:w="102" w:type="dxa"/>
              <w:bottom w:w="57" w:type="dxa"/>
              <w:right w:w="108" w:type="dxa"/>
            </w:tcMar>
            <w:vAlign w:val="bottom"/>
            <w:hideMark/>
          </w:tcPr>
          <w:p w14:paraId="52CAC864" w14:textId="6FAEA8A3" w:rsidR="00D61557" w:rsidRPr="004D004E" w:rsidRDefault="00D61557" w:rsidP="00D61557">
            <w:pPr>
              <w:spacing w:before="0" w:after="0" w:line="240" w:lineRule="auto"/>
              <w:jc w:val="right"/>
              <w:rPr>
                <w:b/>
                <w:szCs w:val="19"/>
                <w:lang w:val="en-GB"/>
              </w:rPr>
            </w:pPr>
            <w:r w:rsidRPr="005A5983">
              <w:rPr>
                <w:b/>
                <w:bCs/>
                <w:color w:val="000000"/>
                <w:szCs w:val="19"/>
              </w:rPr>
              <w:t>17</w:t>
            </w:r>
            <w:r w:rsidR="00CB23CF">
              <w:rPr>
                <w:b/>
                <w:bCs/>
                <w:color w:val="000000"/>
                <w:szCs w:val="19"/>
              </w:rPr>
              <w:t>,816.</w:t>
            </w:r>
            <w:r w:rsidRPr="005A5983">
              <w:rPr>
                <w:b/>
                <w:bCs/>
                <w:color w:val="000000"/>
                <w:szCs w:val="19"/>
              </w:rPr>
              <w:t>0</w:t>
            </w:r>
          </w:p>
        </w:tc>
      </w:tr>
      <w:tr w:rsidR="00D61557" w:rsidRPr="004D004E" w14:paraId="3832374B" w14:textId="77777777" w:rsidTr="00746814">
        <w:trPr>
          <w:trHeight w:val="227"/>
        </w:trPr>
        <w:tc>
          <w:tcPr>
            <w:tcW w:w="2268" w:type="dxa"/>
            <w:vAlign w:val="center"/>
            <w:hideMark/>
          </w:tcPr>
          <w:p w14:paraId="036E9955" w14:textId="0807EC11" w:rsidR="00D61557" w:rsidRPr="004D004E" w:rsidRDefault="00D61557" w:rsidP="00D61557">
            <w:pPr>
              <w:pStyle w:val="Tablicaboczek"/>
              <w:rPr>
                <w:rFonts w:cs="Fira Sans"/>
                <w:spacing w:val="-1"/>
                <w:lang w:val="en-GB"/>
              </w:rPr>
            </w:pPr>
            <w:r w:rsidRPr="004D004E">
              <w:rPr>
                <w:color w:val="000000" w:themeColor="text1"/>
                <w:lang w:val="en-GB"/>
              </w:rPr>
              <w:t xml:space="preserve">Cultural heritage </w:t>
            </w:r>
          </w:p>
        </w:tc>
        <w:tc>
          <w:tcPr>
            <w:tcW w:w="1382" w:type="dxa"/>
            <w:tcMar>
              <w:top w:w="57" w:type="dxa"/>
              <w:left w:w="102" w:type="dxa"/>
              <w:bottom w:w="57" w:type="dxa"/>
              <w:right w:w="108" w:type="dxa"/>
            </w:tcMar>
            <w:vAlign w:val="bottom"/>
            <w:hideMark/>
          </w:tcPr>
          <w:p w14:paraId="44FD1131" w14:textId="30C253E8" w:rsidR="00D61557" w:rsidRPr="004D004E" w:rsidRDefault="00CB23CF" w:rsidP="00D61557">
            <w:pPr>
              <w:pStyle w:val="Tablicadanerodek"/>
              <w:rPr>
                <w:lang w:val="en-GB"/>
              </w:rPr>
            </w:pPr>
            <w:r>
              <w:t>88.</w:t>
            </w:r>
            <w:r w:rsidR="00D61557" w:rsidRPr="00210B55">
              <w:t>6</w:t>
            </w:r>
          </w:p>
        </w:tc>
        <w:tc>
          <w:tcPr>
            <w:tcW w:w="1382" w:type="dxa"/>
            <w:tcMar>
              <w:top w:w="57" w:type="dxa"/>
              <w:left w:w="102" w:type="dxa"/>
              <w:bottom w:w="57" w:type="dxa"/>
              <w:right w:w="108" w:type="dxa"/>
            </w:tcMar>
            <w:vAlign w:val="bottom"/>
            <w:hideMark/>
          </w:tcPr>
          <w:p w14:paraId="3B89714C" w14:textId="6B1180B9" w:rsidR="00D61557" w:rsidRPr="004D004E" w:rsidRDefault="00CB23CF" w:rsidP="00D61557">
            <w:pPr>
              <w:pStyle w:val="Tablicadanerodek"/>
              <w:rPr>
                <w:lang w:val="en-GB"/>
              </w:rPr>
            </w:pPr>
            <w:r>
              <w:t>224.</w:t>
            </w:r>
            <w:r w:rsidR="00D61557" w:rsidRPr="00210B55">
              <w:t>1</w:t>
            </w:r>
          </w:p>
        </w:tc>
        <w:tc>
          <w:tcPr>
            <w:tcW w:w="1382" w:type="dxa"/>
            <w:tcMar>
              <w:top w:w="57" w:type="dxa"/>
              <w:left w:w="102" w:type="dxa"/>
              <w:bottom w:w="57" w:type="dxa"/>
              <w:right w:w="108" w:type="dxa"/>
            </w:tcMar>
            <w:vAlign w:val="bottom"/>
            <w:hideMark/>
          </w:tcPr>
          <w:p w14:paraId="22CC4B0D" w14:textId="275F3CEB" w:rsidR="00D61557" w:rsidRPr="004D004E" w:rsidRDefault="00D61557" w:rsidP="00D61557">
            <w:pPr>
              <w:pStyle w:val="Tablicadanerodek"/>
              <w:rPr>
                <w:lang w:val="en-GB"/>
              </w:rPr>
            </w:pPr>
            <w:r w:rsidRPr="005A5983">
              <w:t>516</w:t>
            </w:r>
            <w:r w:rsidR="00CB23CF">
              <w:t>.</w:t>
            </w:r>
            <w:r w:rsidRPr="005A5983">
              <w:t>1</w:t>
            </w:r>
          </w:p>
        </w:tc>
        <w:tc>
          <w:tcPr>
            <w:tcW w:w="1383" w:type="dxa"/>
            <w:tcMar>
              <w:top w:w="57" w:type="dxa"/>
              <w:left w:w="102" w:type="dxa"/>
              <w:bottom w:w="57" w:type="dxa"/>
              <w:right w:w="108" w:type="dxa"/>
            </w:tcMar>
            <w:vAlign w:val="bottom"/>
            <w:hideMark/>
          </w:tcPr>
          <w:p w14:paraId="1267EE6B" w14:textId="428A9BCC" w:rsidR="00D61557" w:rsidRPr="004D004E" w:rsidRDefault="00CB23CF" w:rsidP="00D61557">
            <w:pPr>
              <w:pStyle w:val="Tablicadanerodek"/>
              <w:rPr>
                <w:lang w:val="en-GB"/>
              </w:rPr>
            </w:pPr>
            <w:r>
              <w:t>372.</w:t>
            </w:r>
            <w:r w:rsidR="00D61557" w:rsidRPr="005A5983">
              <w:t>9</w:t>
            </w:r>
          </w:p>
        </w:tc>
      </w:tr>
      <w:tr w:rsidR="00D61557" w:rsidRPr="004D004E" w14:paraId="44851D55" w14:textId="77777777" w:rsidTr="00746814">
        <w:trPr>
          <w:trHeight w:val="227"/>
        </w:trPr>
        <w:tc>
          <w:tcPr>
            <w:tcW w:w="2268" w:type="dxa"/>
            <w:vAlign w:val="center"/>
            <w:hideMark/>
          </w:tcPr>
          <w:p w14:paraId="79800977" w14:textId="717AA4F0" w:rsidR="00D61557" w:rsidRPr="004D004E" w:rsidRDefault="00D61557" w:rsidP="00D61557">
            <w:pPr>
              <w:pStyle w:val="Tablicaboczek"/>
              <w:rPr>
                <w:rFonts w:cs="Fira Sans"/>
                <w:spacing w:val="-1"/>
                <w:lang w:val="en-GB"/>
              </w:rPr>
            </w:pPr>
            <w:r w:rsidRPr="004D004E">
              <w:rPr>
                <w:color w:val="000000" w:themeColor="text1"/>
                <w:lang w:val="en-GB"/>
              </w:rPr>
              <w:t>Books and press</w:t>
            </w:r>
          </w:p>
        </w:tc>
        <w:tc>
          <w:tcPr>
            <w:tcW w:w="1382" w:type="dxa"/>
            <w:tcMar>
              <w:top w:w="57" w:type="dxa"/>
              <w:left w:w="102" w:type="dxa"/>
              <w:bottom w:w="57" w:type="dxa"/>
              <w:right w:w="108" w:type="dxa"/>
            </w:tcMar>
            <w:vAlign w:val="bottom"/>
            <w:hideMark/>
          </w:tcPr>
          <w:p w14:paraId="3FF81689" w14:textId="2339C033" w:rsidR="00D61557" w:rsidRPr="004D004E" w:rsidRDefault="00D61557" w:rsidP="00D61557">
            <w:pPr>
              <w:pStyle w:val="Tablicadanerodek"/>
              <w:rPr>
                <w:lang w:val="en-GB"/>
              </w:rPr>
            </w:pPr>
            <w:r w:rsidRPr="00210B55">
              <w:t>7</w:t>
            </w:r>
            <w:r w:rsidR="00CB23CF">
              <w:t>,336.</w:t>
            </w:r>
            <w:r w:rsidRPr="00210B55">
              <w:t>5</w:t>
            </w:r>
          </w:p>
        </w:tc>
        <w:tc>
          <w:tcPr>
            <w:tcW w:w="1382" w:type="dxa"/>
            <w:tcMar>
              <w:top w:w="57" w:type="dxa"/>
              <w:left w:w="102" w:type="dxa"/>
              <w:bottom w:w="57" w:type="dxa"/>
              <w:right w:w="108" w:type="dxa"/>
            </w:tcMar>
            <w:vAlign w:val="bottom"/>
            <w:hideMark/>
          </w:tcPr>
          <w:p w14:paraId="2B856CCC" w14:textId="455FE878" w:rsidR="00D61557" w:rsidRPr="004D004E" w:rsidRDefault="00D61557" w:rsidP="00D61557">
            <w:pPr>
              <w:pStyle w:val="Tablicadanerodek"/>
              <w:rPr>
                <w:lang w:val="en-GB"/>
              </w:rPr>
            </w:pPr>
            <w:r w:rsidRPr="00210B55">
              <w:t>2</w:t>
            </w:r>
            <w:r w:rsidR="00CB23CF">
              <w:t>,815.</w:t>
            </w:r>
            <w:r w:rsidRPr="00210B55">
              <w:t>4</w:t>
            </w:r>
          </w:p>
        </w:tc>
        <w:tc>
          <w:tcPr>
            <w:tcW w:w="1382" w:type="dxa"/>
            <w:tcMar>
              <w:top w:w="57" w:type="dxa"/>
              <w:left w:w="102" w:type="dxa"/>
              <w:bottom w:w="57" w:type="dxa"/>
              <w:right w:w="108" w:type="dxa"/>
            </w:tcMar>
            <w:vAlign w:val="bottom"/>
            <w:hideMark/>
          </w:tcPr>
          <w:p w14:paraId="38AB9E95" w14:textId="40C5A6D1" w:rsidR="00D61557" w:rsidRPr="004D004E" w:rsidRDefault="00CB23CF" w:rsidP="00D61557">
            <w:pPr>
              <w:pStyle w:val="Tablicadanerodek"/>
              <w:rPr>
                <w:lang w:val="en-GB"/>
              </w:rPr>
            </w:pPr>
            <w:r>
              <w:t>245.</w:t>
            </w:r>
            <w:r w:rsidR="00D61557" w:rsidRPr="005A5983">
              <w:t>7</w:t>
            </w:r>
          </w:p>
        </w:tc>
        <w:tc>
          <w:tcPr>
            <w:tcW w:w="1383" w:type="dxa"/>
            <w:tcMar>
              <w:top w:w="57" w:type="dxa"/>
              <w:left w:w="102" w:type="dxa"/>
              <w:bottom w:w="57" w:type="dxa"/>
              <w:right w:w="108" w:type="dxa"/>
            </w:tcMar>
            <w:vAlign w:val="bottom"/>
            <w:hideMark/>
          </w:tcPr>
          <w:p w14:paraId="2AEF971E" w14:textId="7B0C3C71" w:rsidR="00D61557" w:rsidRPr="004D004E" w:rsidRDefault="00CB23CF" w:rsidP="00D61557">
            <w:pPr>
              <w:pStyle w:val="Tablicadanerodek"/>
              <w:rPr>
                <w:lang w:val="en-GB"/>
              </w:rPr>
            </w:pPr>
            <w:r>
              <w:t>825.</w:t>
            </w:r>
            <w:r w:rsidR="00D61557" w:rsidRPr="005A5983">
              <w:t>8</w:t>
            </w:r>
          </w:p>
        </w:tc>
      </w:tr>
      <w:tr w:rsidR="00D61557" w:rsidRPr="004D004E" w14:paraId="4119A169" w14:textId="77777777" w:rsidTr="00746814">
        <w:trPr>
          <w:trHeight w:val="227"/>
        </w:trPr>
        <w:tc>
          <w:tcPr>
            <w:tcW w:w="2268" w:type="dxa"/>
            <w:vAlign w:val="center"/>
            <w:hideMark/>
          </w:tcPr>
          <w:p w14:paraId="41C33200" w14:textId="3D8FF3E0" w:rsidR="00D61557" w:rsidRPr="004D004E" w:rsidRDefault="00D61557" w:rsidP="00D61557">
            <w:pPr>
              <w:pStyle w:val="Tablicaboczek"/>
              <w:rPr>
                <w:rFonts w:cs="Fira Sans"/>
                <w:spacing w:val="-1"/>
                <w:lang w:val="en-GB"/>
              </w:rPr>
            </w:pPr>
            <w:r w:rsidRPr="004D004E">
              <w:rPr>
                <w:color w:val="000000" w:themeColor="text1"/>
                <w:lang w:val="en-GB"/>
              </w:rPr>
              <w:t>Visual arts</w:t>
            </w:r>
          </w:p>
        </w:tc>
        <w:tc>
          <w:tcPr>
            <w:tcW w:w="1382" w:type="dxa"/>
            <w:tcMar>
              <w:top w:w="57" w:type="dxa"/>
              <w:left w:w="102" w:type="dxa"/>
              <w:bottom w:w="57" w:type="dxa"/>
              <w:right w:w="108" w:type="dxa"/>
            </w:tcMar>
            <w:vAlign w:val="bottom"/>
            <w:hideMark/>
          </w:tcPr>
          <w:p w14:paraId="786207F5" w14:textId="093DBFCA" w:rsidR="00D61557" w:rsidRPr="004D004E" w:rsidRDefault="00CB23CF" w:rsidP="00D61557">
            <w:pPr>
              <w:pStyle w:val="Tablicadanerodek"/>
              <w:rPr>
                <w:lang w:val="en-GB"/>
              </w:rPr>
            </w:pPr>
            <w:r>
              <w:t>332.</w:t>
            </w:r>
            <w:r w:rsidR="00D61557" w:rsidRPr="00971790">
              <w:t>0</w:t>
            </w:r>
          </w:p>
        </w:tc>
        <w:tc>
          <w:tcPr>
            <w:tcW w:w="1382" w:type="dxa"/>
            <w:tcMar>
              <w:top w:w="57" w:type="dxa"/>
              <w:left w:w="102" w:type="dxa"/>
              <w:bottom w:w="57" w:type="dxa"/>
              <w:right w:w="108" w:type="dxa"/>
            </w:tcMar>
            <w:vAlign w:val="bottom"/>
            <w:hideMark/>
          </w:tcPr>
          <w:p w14:paraId="63D839AA" w14:textId="1B7EBACE" w:rsidR="00D61557" w:rsidRPr="004D004E" w:rsidRDefault="00CB23CF" w:rsidP="00D61557">
            <w:pPr>
              <w:pStyle w:val="Tablicadanerodek"/>
              <w:rPr>
                <w:lang w:val="en-GB"/>
              </w:rPr>
            </w:pPr>
            <w:r>
              <w:t>222.</w:t>
            </w:r>
            <w:r w:rsidR="00D61557" w:rsidRPr="00971790">
              <w:t>5</w:t>
            </w:r>
          </w:p>
        </w:tc>
        <w:tc>
          <w:tcPr>
            <w:tcW w:w="1382" w:type="dxa"/>
            <w:tcMar>
              <w:top w:w="57" w:type="dxa"/>
              <w:left w:w="102" w:type="dxa"/>
              <w:bottom w:w="57" w:type="dxa"/>
              <w:right w:w="108" w:type="dxa"/>
            </w:tcMar>
            <w:vAlign w:val="bottom"/>
            <w:hideMark/>
          </w:tcPr>
          <w:p w14:paraId="79290BBE" w14:textId="2E64EBB4" w:rsidR="00D61557" w:rsidRPr="004D004E" w:rsidRDefault="00D61557" w:rsidP="00D61557">
            <w:pPr>
              <w:pStyle w:val="Tablicadanerodek"/>
              <w:rPr>
                <w:lang w:val="en-GB"/>
              </w:rPr>
            </w:pPr>
            <w:r w:rsidRPr="005A5983">
              <w:t>–</w:t>
            </w:r>
          </w:p>
        </w:tc>
        <w:tc>
          <w:tcPr>
            <w:tcW w:w="1383" w:type="dxa"/>
            <w:tcMar>
              <w:top w:w="57" w:type="dxa"/>
              <w:left w:w="102" w:type="dxa"/>
              <w:bottom w:w="57" w:type="dxa"/>
              <w:right w:w="108" w:type="dxa"/>
            </w:tcMar>
            <w:vAlign w:val="bottom"/>
            <w:hideMark/>
          </w:tcPr>
          <w:p w14:paraId="36B461D3" w14:textId="23B508F7" w:rsidR="00D61557" w:rsidRPr="004D004E" w:rsidRDefault="00D61557" w:rsidP="00D61557">
            <w:pPr>
              <w:pStyle w:val="Tablicadanerodek"/>
              <w:rPr>
                <w:lang w:val="en-GB"/>
              </w:rPr>
            </w:pPr>
            <w:r w:rsidRPr="005A5983">
              <w:t>–</w:t>
            </w:r>
          </w:p>
        </w:tc>
      </w:tr>
      <w:tr w:rsidR="00D61557" w:rsidRPr="004D004E" w14:paraId="4388F84E" w14:textId="77777777" w:rsidTr="00746814">
        <w:trPr>
          <w:trHeight w:val="227"/>
        </w:trPr>
        <w:tc>
          <w:tcPr>
            <w:tcW w:w="2268" w:type="dxa"/>
            <w:vAlign w:val="center"/>
            <w:hideMark/>
          </w:tcPr>
          <w:p w14:paraId="0F52171C" w14:textId="44C8819D" w:rsidR="00D61557" w:rsidRPr="004D004E" w:rsidRDefault="00D61557" w:rsidP="00D61557">
            <w:pPr>
              <w:pStyle w:val="Tablicaboczek"/>
              <w:rPr>
                <w:rFonts w:cs="Fira Sans"/>
                <w:spacing w:val="-1"/>
                <w:lang w:val="en-GB"/>
              </w:rPr>
            </w:pPr>
            <w:r w:rsidRPr="004D004E">
              <w:rPr>
                <w:color w:val="000000" w:themeColor="text1"/>
                <w:lang w:val="en-GB"/>
              </w:rPr>
              <w:t>Architecture</w:t>
            </w:r>
          </w:p>
        </w:tc>
        <w:tc>
          <w:tcPr>
            <w:tcW w:w="1382" w:type="dxa"/>
            <w:tcMar>
              <w:top w:w="57" w:type="dxa"/>
              <w:left w:w="102" w:type="dxa"/>
              <w:bottom w:w="57" w:type="dxa"/>
              <w:right w:w="108" w:type="dxa"/>
            </w:tcMar>
            <w:vAlign w:val="bottom"/>
            <w:hideMark/>
          </w:tcPr>
          <w:p w14:paraId="5B4D381B" w14:textId="19BA9E69" w:rsidR="00D61557" w:rsidRPr="004D004E" w:rsidRDefault="00D61557" w:rsidP="00D61557">
            <w:pPr>
              <w:pStyle w:val="Tablicadanerodek"/>
              <w:rPr>
                <w:lang w:val="en-GB"/>
              </w:rPr>
            </w:pPr>
            <w:r w:rsidRPr="00EE6E15">
              <w:t>1</w:t>
            </w:r>
            <w:r w:rsidR="00CB23CF">
              <w:t>.</w:t>
            </w:r>
            <w:r w:rsidRPr="00EE6E15">
              <w:t>2</w:t>
            </w:r>
          </w:p>
        </w:tc>
        <w:tc>
          <w:tcPr>
            <w:tcW w:w="1382" w:type="dxa"/>
            <w:tcMar>
              <w:top w:w="57" w:type="dxa"/>
              <w:left w:w="102" w:type="dxa"/>
              <w:bottom w:w="57" w:type="dxa"/>
              <w:right w:w="108" w:type="dxa"/>
            </w:tcMar>
            <w:vAlign w:val="bottom"/>
            <w:hideMark/>
          </w:tcPr>
          <w:p w14:paraId="3C6E40B8" w14:textId="21669A3F" w:rsidR="00D61557" w:rsidRPr="004D004E" w:rsidRDefault="00CB23CF" w:rsidP="00D61557">
            <w:pPr>
              <w:pStyle w:val="Tablicadanerodek"/>
              <w:rPr>
                <w:lang w:val="en-GB"/>
              </w:rPr>
            </w:pPr>
            <w:r>
              <w:t>3.</w:t>
            </w:r>
            <w:r w:rsidR="00D61557" w:rsidRPr="00EE6E15">
              <w:t>1</w:t>
            </w:r>
          </w:p>
        </w:tc>
        <w:tc>
          <w:tcPr>
            <w:tcW w:w="1382" w:type="dxa"/>
            <w:tcMar>
              <w:top w:w="57" w:type="dxa"/>
              <w:left w:w="102" w:type="dxa"/>
              <w:bottom w:w="57" w:type="dxa"/>
              <w:right w:w="108" w:type="dxa"/>
            </w:tcMar>
            <w:vAlign w:val="bottom"/>
            <w:hideMark/>
          </w:tcPr>
          <w:p w14:paraId="6CB5B5AC" w14:textId="647AA944" w:rsidR="00D61557" w:rsidRPr="004D004E" w:rsidRDefault="00CB23CF" w:rsidP="00D61557">
            <w:pPr>
              <w:pStyle w:val="Tablicadanerodek"/>
              <w:rPr>
                <w:lang w:val="en-GB"/>
              </w:rPr>
            </w:pPr>
            <w:r>
              <w:t>312.</w:t>
            </w:r>
            <w:r w:rsidR="00D61557" w:rsidRPr="005A5983">
              <w:t>4</w:t>
            </w:r>
          </w:p>
        </w:tc>
        <w:tc>
          <w:tcPr>
            <w:tcW w:w="1383" w:type="dxa"/>
            <w:tcMar>
              <w:top w:w="57" w:type="dxa"/>
              <w:left w:w="102" w:type="dxa"/>
              <w:bottom w:w="57" w:type="dxa"/>
              <w:right w:w="108" w:type="dxa"/>
            </w:tcMar>
            <w:vAlign w:val="bottom"/>
            <w:hideMark/>
          </w:tcPr>
          <w:p w14:paraId="120777BB" w14:textId="2F936AA8" w:rsidR="00D61557" w:rsidRPr="004D004E" w:rsidRDefault="00CB23CF" w:rsidP="00D61557">
            <w:pPr>
              <w:pStyle w:val="Tablicadanerodek"/>
              <w:rPr>
                <w:lang w:val="en-GB"/>
              </w:rPr>
            </w:pPr>
            <w:r>
              <w:t>131.</w:t>
            </w:r>
            <w:r w:rsidR="00D61557" w:rsidRPr="005A5983">
              <w:t>8</w:t>
            </w:r>
          </w:p>
        </w:tc>
      </w:tr>
      <w:tr w:rsidR="00D61557" w:rsidRPr="004D004E" w14:paraId="34D88EBC" w14:textId="77777777" w:rsidTr="00746814">
        <w:trPr>
          <w:trHeight w:val="227"/>
        </w:trPr>
        <w:tc>
          <w:tcPr>
            <w:tcW w:w="2268" w:type="dxa"/>
            <w:vAlign w:val="center"/>
            <w:hideMark/>
          </w:tcPr>
          <w:p w14:paraId="78AAAB17" w14:textId="265AE005" w:rsidR="00D61557" w:rsidRPr="004D004E" w:rsidRDefault="00D61557" w:rsidP="00D61557">
            <w:pPr>
              <w:pStyle w:val="Tablicaboczek"/>
              <w:rPr>
                <w:rFonts w:cs="Fira Sans"/>
                <w:spacing w:val="-1"/>
                <w:lang w:val="en-GB"/>
              </w:rPr>
            </w:pPr>
            <w:r w:rsidRPr="004D004E">
              <w:rPr>
                <w:color w:val="000000" w:themeColor="text1"/>
                <w:lang w:val="en-GB"/>
              </w:rPr>
              <w:t xml:space="preserve">Performing arts </w:t>
            </w:r>
          </w:p>
        </w:tc>
        <w:tc>
          <w:tcPr>
            <w:tcW w:w="1382" w:type="dxa"/>
            <w:tcMar>
              <w:top w:w="57" w:type="dxa"/>
              <w:left w:w="102" w:type="dxa"/>
              <w:bottom w:w="57" w:type="dxa"/>
              <w:right w:w="108" w:type="dxa"/>
            </w:tcMar>
            <w:vAlign w:val="bottom"/>
            <w:hideMark/>
          </w:tcPr>
          <w:p w14:paraId="46727AA1" w14:textId="102BF833" w:rsidR="00D61557" w:rsidRPr="004D004E" w:rsidRDefault="00CB23CF" w:rsidP="00D61557">
            <w:pPr>
              <w:pStyle w:val="Tablicadanerodek"/>
              <w:rPr>
                <w:lang w:val="en-GB"/>
              </w:rPr>
            </w:pPr>
            <w:r>
              <w:t>218.</w:t>
            </w:r>
            <w:r w:rsidR="00D61557" w:rsidRPr="00EE6E15">
              <w:t>8</w:t>
            </w:r>
          </w:p>
        </w:tc>
        <w:tc>
          <w:tcPr>
            <w:tcW w:w="1382" w:type="dxa"/>
            <w:tcMar>
              <w:top w:w="57" w:type="dxa"/>
              <w:left w:w="102" w:type="dxa"/>
              <w:bottom w:w="57" w:type="dxa"/>
              <w:right w:w="108" w:type="dxa"/>
            </w:tcMar>
            <w:vAlign w:val="bottom"/>
            <w:hideMark/>
          </w:tcPr>
          <w:p w14:paraId="30D75445" w14:textId="3467BCBF" w:rsidR="00D61557" w:rsidRPr="004D004E" w:rsidRDefault="00CB23CF" w:rsidP="00D61557">
            <w:pPr>
              <w:pStyle w:val="Tablicadanerodek"/>
              <w:rPr>
                <w:lang w:val="en-GB"/>
              </w:rPr>
            </w:pPr>
            <w:r>
              <w:t>336.</w:t>
            </w:r>
            <w:r w:rsidR="00D61557" w:rsidRPr="00EE6E15">
              <w:t>1</w:t>
            </w:r>
          </w:p>
        </w:tc>
        <w:tc>
          <w:tcPr>
            <w:tcW w:w="1382" w:type="dxa"/>
            <w:tcMar>
              <w:top w:w="57" w:type="dxa"/>
              <w:left w:w="102" w:type="dxa"/>
              <w:bottom w:w="57" w:type="dxa"/>
              <w:right w:w="108" w:type="dxa"/>
            </w:tcMar>
            <w:vAlign w:val="bottom"/>
            <w:hideMark/>
          </w:tcPr>
          <w:p w14:paraId="4FC8B67A" w14:textId="13D8E3E3" w:rsidR="00D61557" w:rsidRPr="004D004E" w:rsidRDefault="00CB23CF" w:rsidP="00D61557">
            <w:pPr>
              <w:pStyle w:val="Tablicadanerodek"/>
              <w:rPr>
                <w:lang w:val="en-GB"/>
              </w:rPr>
            </w:pPr>
            <w:r>
              <w:t>337.</w:t>
            </w:r>
            <w:r w:rsidR="00D61557" w:rsidRPr="005A5983">
              <w:t>4</w:t>
            </w:r>
          </w:p>
        </w:tc>
        <w:tc>
          <w:tcPr>
            <w:tcW w:w="1383" w:type="dxa"/>
            <w:tcMar>
              <w:top w:w="57" w:type="dxa"/>
              <w:left w:w="102" w:type="dxa"/>
              <w:bottom w:w="57" w:type="dxa"/>
              <w:right w:w="108" w:type="dxa"/>
            </w:tcMar>
            <w:vAlign w:val="bottom"/>
            <w:hideMark/>
          </w:tcPr>
          <w:p w14:paraId="620D573C" w14:textId="57C702FF" w:rsidR="00D61557" w:rsidRPr="004D004E" w:rsidRDefault="00CB23CF" w:rsidP="00D61557">
            <w:pPr>
              <w:pStyle w:val="Tablicadanerodek"/>
              <w:rPr>
                <w:lang w:val="en-GB"/>
              </w:rPr>
            </w:pPr>
            <w:r>
              <w:t>635.</w:t>
            </w:r>
            <w:r w:rsidR="00D61557" w:rsidRPr="005A5983">
              <w:t>8</w:t>
            </w:r>
          </w:p>
        </w:tc>
      </w:tr>
      <w:tr w:rsidR="00D61557" w:rsidRPr="004D004E" w14:paraId="7034E3E6" w14:textId="77777777" w:rsidTr="00746814">
        <w:trPr>
          <w:trHeight w:val="227"/>
        </w:trPr>
        <w:tc>
          <w:tcPr>
            <w:tcW w:w="2268" w:type="dxa"/>
            <w:vAlign w:val="center"/>
            <w:hideMark/>
          </w:tcPr>
          <w:p w14:paraId="72E89863" w14:textId="1E140A64" w:rsidR="00D61557" w:rsidRPr="004D004E" w:rsidRDefault="00D61557" w:rsidP="00D61557">
            <w:pPr>
              <w:pStyle w:val="Tablicaboczek"/>
              <w:rPr>
                <w:rFonts w:cs="Fira Sans"/>
                <w:spacing w:val="-1"/>
                <w:lang w:val="en-GB"/>
              </w:rPr>
            </w:pPr>
            <w:r w:rsidRPr="004D004E">
              <w:rPr>
                <w:color w:val="000000" w:themeColor="text1"/>
                <w:lang w:val="en-GB"/>
              </w:rPr>
              <w:t>Audiovisual arts and multimedia</w:t>
            </w:r>
          </w:p>
        </w:tc>
        <w:tc>
          <w:tcPr>
            <w:tcW w:w="1382" w:type="dxa"/>
            <w:tcMar>
              <w:top w:w="57" w:type="dxa"/>
              <w:left w:w="102" w:type="dxa"/>
              <w:bottom w:w="57" w:type="dxa"/>
              <w:right w:w="108" w:type="dxa"/>
            </w:tcMar>
            <w:vAlign w:val="bottom"/>
            <w:hideMark/>
          </w:tcPr>
          <w:p w14:paraId="602B02DA" w14:textId="7F663C7F" w:rsidR="00D61557" w:rsidRPr="004D004E" w:rsidRDefault="00D61557" w:rsidP="00D61557">
            <w:pPr>
              <w:pStyle w:val="Tablicadanerodek"/>
              <w:rPr>
                <w:lang w:val="en-GB"/>
              </w:rPr>
            </w:pPr>
            <w:r>
              <w:t>6</w:t>
            </w:r>
            <w:r w:rsidR="00CB23CF">
              <w:t>,796.</w:t>
            </w:r>
            <w:r w:rsidRPr="00AD0926">
              <w:t>0</w:t>
            </w:r>
          </w:p>
        </w:tc>
        <w:tc>
          <w:tcPr>
            <w:tcW w:w="1382" w:type="dxa"/>
            <w:tcMar>
              <w:top w:w="57" w:type="dxa"/>
              <w:left w:w="102" w:type="dxa"/>
              <w:bottom w:w="57" w:type="dxa"/>
              <w:right w:w="108" w:type="dxa"/>
            </w:tcMar>
            <w:vAlign w:val="bottom"/>
            <w:hideMark/>
          </w:tcPr>
          <w:p w14:paraId="6D194CD2" w14:textId="23D8A7AD" w:rsidR="00D61557" w:rsidRPr="004D004E" w:rsidRDefault="00D61557" w:rsidP="00D61557">
            <w:pPr>
              <w:pStyle w:val="Tablicadanerodek"/>
              <w:rPr>
                <w:lang w:val="en-GB"/>
              </w:rPr>
            </w:pPr>
            <w:r w:rsidRPr="00AD0926">
              <w:t>6</w:t>
            </w:r>
            <w:r w:rsidR="00CB23CF">
              <w:t>,670.</w:t>
            </w:r>
            <w:r w:rsidRPr="00AD0926">
              <w:t>1</w:t>
            </w:r>
          </w:p>
        </w:tc>
        <w:tc>
          <w:tcPr>
            <w:tcW w:w="1382" w:type="dxa"/>
            <w:tcMar>
              <w:top w:w="57" w:type="dxa"/>
              <w:left w:w="102" w:type="dxa"/>
              <w:bottom w:w="57" w:type="dxa"/>
              <w:right w:w="108" w:type="dxa"/>
            </w:tcMar>
            <w:vAlign w:val="bottom"/>
            <w:hideMark/>
          </w:tcPr>
          <w:p w14:paraId="7EA4F624" w14:textId="72AB1516" w:rsidR="00D61557" w:rsidRPr="004D004E" w:rsidRDefault="00D61557" w:rsidP="00D61557">
            <w:pPr>
              <w:pStyle w:val="Tablicadanerodek"/>
              <w:rPr>
                <w:lang w:val="en-GB"/>
              </w:rPr>
            </w:pPr>
            <w:r w:rsidRPr="005A5983">
              <w:t>1</w:t>
            </w:r>
            <w:r w:rsidR="00CB23CF">
              <w:t>,</w:t>
            </w:r>
            <w:r w:rsidRPr="005A5983">
              <w:t>531</w:t>
            </w:r>
            <w:r w:rsidR="00CB23CF">
              <w:t>.</w:t>
            </w:r>
            <w:r w:rsidRPr="005A5983">
              <w:t>1</w:t>
            </w:r>
          </w:p>
        </w:tc>
        <w:tc>
          <w:tcPr>
            <w:tcW w:w="1383" w:type="dxa"/>
            <w:tcMar>
              <w:top w:w="57" w:type="dxa"/>
              <w:left w:w="102" w:type="dxa"/>
              <w:bottom w:w="57" w:type="dxa"/>
              <w:right w:w="108" w:type="dxa"/>
            </w:tcMar>
            <w:vAlign w:val="bottom"/>
            <w:hideMark/>
          </w:tcPr>
          <w:p w14:paraId="1983CBFA" w14:textId="41A2422F" w:rsidR="00D61557" w:rsidRPr="004D004E" w:rsidRDefault="00D61557" w:rsidP="00D61557">
            <w:pPr>
              <w:pStyle w:val="Tablicadanerodek"/>
              <w:rPr>
                <w:lang w:val="en-GB"/>
              </w:rPr>
            </w:pPr>
            <w:r w:rsidRPr="005A5983">
              <w:t>3</w:t>
            </w:r>
            <w:r w:rsidR="00CB23CF">
              <w:t>,410.</w:t>
            </w:r>
            <w:r w:rsidRPr="005A5983">
              <w:t>8</w:t>
            </w:r>
          </w:p>
        </w:tc>
      </w:tr>
      <w:tr w:rsidR="00D61557" w:rsidRPr="004D004E" w14:paraId="52733449" w14:textId="77777777" w:rsidTr="00746814">
        <w:trPr>
          <w:trHeight w:val="227"/>
        </w:trPr>
        <w:tc>
          <w:tcPr>
            <w:tcW w:w="2268" w:type="dxa"/>
            <w:vAlign w:val="center"/>
            <w:hideMark/>
          </w:tcPr>
          <w:p w14:paraId="3817E398" w14:textId="5FF90BAD" w:rsidR="00D61557" w:rsidRPr="004D004E" w:rsidRDefault="00D61557" w:rsidP="00D61557">
            <w:pPr>
              <w:pStyle w:val="Tablicaboczek"/>
              <w:rPr>
                <w:rFonts w:cs="Fira Sans"/>
                <w:spacing w:val="-1"/>
                <w:lang w:val="en-GB"/>
              </w:rPr>
            </w:pPr>
            <w:r w:rsidRPr="004D004E">
              <w:rPr>
                <w:color w:val="000000" w:themeColor="text1"/>
                <w:lang w:val="en-GB"/>
              </w:rPr>
              <w:t>Advertising</w:t>
            </w:r>
          </w:p>
        </w:tc>
        <w:tc>
          <w:tcPr>
            <w:tcW w:w="1382" w:type="dxa"/>
            <w:tcMar>
              <w:top w:w="57" w:type="dxa"/>
              <w:left w:w="102" w:type="dxa"/>
              <w:bottom w:w="57" w:type="dxa"/>
              <w:right w:w="108" w:type="dxa"/>
            </w:tcMar>
            <w:vAlign w:val="bottom"/>
            <w:hideMark/>
          </w:tcPr>
          <w:p w14:paraId="07830D92" w14:textId="0409D500" w:rsidR="00D61557" w:rsidRPr="004D004E" w:rsidRDefault="00CB23CF" w:rsidP="00D61557">
            <w:pPr>
              <w:pStyle w:val="Tablicadanerodek"/>
              <w:rPr>
                <w:lang w:val="en-GB"/>
              </w:rPr>
            </w:pPr>
            <w:r>
              <w:t>1,741.</w:t>
            </w:r>
            <w:r w:rsidR="00D61557" w:rsidRPr="00AD0926">
              <w:t>8</w:t>
            </w:r>
          </w:p>
        </w:tc>
        <w:tc>
          <w:tcPr>
            <w:tcW w:w="1382" w:type="dxa"/>
            <w:tcMar>
              <w:top w:w="57" w:type="dxa"/>
              <w:left w:w="102" w:type="dxa"/>
              <w:bottom w:w="57" w:type="dxa"/>
              <w:right w:w="108" w:type="dxa"/>
            </w:tcMar>
            <w:vAlign w:val="bottom"/>
            <w:hideMark/>
          </w:tcPr>
          <w:p w14:paraId="49AC5B3A" w14:textId="38D978C3" w:rsidR="00D61557" w:rsidRPr="004D004E" w:rsidRDefault="00CB23CF" w:rsidP="00D61557">
            <w:pPr>
              <w:pStyle w:val="Tablicadanerodek"/>
              <w:rPr>
                <w:lang w:val="en-GB"/>
              </w:rPr>
            </w:pPr>
            <w:r>
              <w:t>220.</w:t>
            </w:r>
            <w:r w:rsidR="00D61557" w:rsidRPr="00AD0926">
              <w:t>2</w:t>
            </w:r>
          </w:p>
        </w:tc>
        <w:tc>
          <w:tcPr>
            <w:tcW w:w="1382" w:type="dxa"/>
            <w:tcMar>
              <w:top w:w="57" w:type="dxa"/>
              <w:left w:w="102" w:type="dxa"/>
              <w:bottom w:w="57" w:type="dxa"/>
              <w:right w:w="108" w:type="dxa"/>
            </w:tcMar>
            <w:vAlign w:val="bottom"/>
            <w:hideMark/>
          </w:tcPr>
          <w:p w14:paraId="74349AF5" w14:textId="7351238E" w:rsidR="00D61557" w:rsidRPr="004D004E" w:rsidRDefault="00D61557" w:rsidP="00D61557">
            <w:pPr>
              <w:pStyle w:val="Tablicadanerodek"/>
              <w:rPr>
                <w:lang w:val="en-GB"/>
              </w:rPr>
            </w:pPr>
            <w:r w:rsidRPr="00D928D5">
              <w:t>12</w:t>
            </w:r>
            <w:r w:rsidR="00CB23CF">
              <w:t>,</w:t>
            </w:r>
            <w:r w:rsidRPr="00D928D5">
              <w:t>577</w:t>
            </w:r>
            <w:r w:rsidR="00CB23CF">
              <w:t>.</w:t>
            </w:r>
            <w:r w:rsidRPr="00D928D5">
              <w:t>8</w:t>
            </w:r>
          </w:p>
        </w:tc>
        <w:tc>
          <w:tcPr>
            <w:tcW w:w="1383" w:type="dxa"/>
            <w:tcMar>
              <w:top w:w="57" w:type="dxa"/>
              <w:left w:w="102" w:type="dxa"/>
              <w:bottom w:w="57" w:type="dxa"/>
              <w:right w:w="108" w:type="dxa"/>
            </w:tcMar>
            <w:vAlign w:val="bottom"/>
            <w:hideMark/>
          </w:tcPr>
          <w:p w14:paraId="21298F82" w14:textId="01D6FC05" w:rsidR="00D61557" w:rsidRPr="004D004E" w:rsidRDefault="00D61557" w:rsidP="00D61557">
            <w:pPr>
              <w:pStyle w:val="Tablicadanerodek"/>
              <w:rPr>
                <w:lang w:val="en-GB"/>
              </w:rPr>
            </w:pPr>
            <w:r w:rsidRPr="00D928D5">
              <w:t>12</w:t>
            </w:r>
            <w:r w:rsidR="00CB23CF">
              <w:t>,</w:t>
            </w:r>
            <w:r w:rsidRPr="00D928D5">
              <w:t>438</w:t>
            </w:r>
            <w:r w:rsidR="00CB23CF">
              <w:t>.</w:t>
            </w:r>
            <w:r w:rsidRPr="00D928D5">
              <w:t>9</w:t>
            </w:r>
          </w:p>
        </w:tc>
      </w:tr>
      <w:tr w:rsidR="00D61557" w:rsidRPr="004D004E" w14:paraId="7311B920" w14:textId="77777777" w:rsidTr="00A207A9">
        <w:trPr>
          <w:trHeight w:val="227"/>
        </w:trPr>
        <w:tc>
          <w:tcPr>
            <w:tcW w:w="2268" w:type="dxa"/>
            <w:vAlign w:val="center"/>
            <w:hideMark/>
          </w:tcPr>
          <w:p w14:paraId="28A9A7FE" w14:textId="2A771280" w:rsidR="00D61557" w:rsidRPr="004D004E" w:rsidRDefault="00D61557" w:rsidP="00D61557">
            <w:pPr>
              <w:pStyle w:val="Tablicaboczek"/>
              <w:rPr>
                <w:rFonts w:cs="Fira Sans"/>
                <w:spacing w:val="-1"/>
                <w:lang w:val="en-GB"/>
              </w:rPr>
            </w:pPr>
            <w:r w:rsidRPr="004D004E">
              <w:rPr>
                <w:color w:val="000000" w:themeColor="text1"/>
                <w:lang w:val="en-GB"/>
              </w:rPr>
              <w:t>Arts and crafts</w:t>
            </w:r>
          </w:p>
        </w:tc>
        <w:tc>
          <w:tcPr>
            <w:tcW w:w="1382" w:type="dxa"/>
            <w:tcMar>
              <w:top w:w="57" w:type="dxa"/>
              <w:left w:w="102" w:type="dxa"/>
              <w:bottom w:w="57" w:type="dxa"/>
              <w:right w:w="108" w:type="dxa"/>
            </w:tcMar>
            <w:vAlign w:val="bottom"/>
            <w:hideMark/>
          </w:tcPr>
          <w:p w14:paraId="0F9E7C17" w14:textId="45D38C21" w:rsidR="00D61557" w:rsidRPr="004D004E" w:rsidRDefault="00CB23CF" w:rsidP="00D61557">
            <w:pPr>
              <w:pStyle w:val="Tablicadanerodek"/>
              <w:rPr>
                <w:lang w:val="en-GB"/>
              </w:rPr>
            </w:pPr>
            <w:r>
              <w:t>0.</w:t>
            </w:r>
            <w:r w:rsidR="00D61557" w:rsidRPr="00AD0926">
              <w:t>6</w:t>
            </w:r>
          </w:p>
        </w:tc>
        <w:tc>
          <w:tcPr>
            <w:tcW w:w="1382" w:type="dxa"/>
            <w:tcMar>
              <w:top w:w="57" w:type="dxa"/>
              <w:left w:w="102" w:type="dxa"/>
              <w:bottom w:w="57" w:type="dxa"/>
              <w:right w:w="108" w:type="dxa"/>
            </w:tcMar>
            <w:vAlign w:val="bottom"/>
            <w:hideMark/>
          </w:tcPr>
          <w:p w14:paraId="4E0B3667" w14:textId="09B047E6" w:rsidR="00D61557" w:rsidRPr="004D004E" w:rsidRDefault="00CB23CF" w:rsidP="00D61557">
            <w:pPr>
              <w:pStyle w:val="Tablicadanerodek"/>
              <w:rPr>
                <w:lang w:val="en-GB"/>
              </w:rPr>
            </w:pPr>
            <w:r>
              <w:t>1.</w:t>
            </w:r>
            <w:r w:rsidR="00D61557" w:rsidRPr="00AD0926">
              <w:t>5</w:t>
            </w:r>
          </w:p>
        </w:tc>
        <w:tc>
          <w:tcPr>
            <w:tcW w:w="1382" w:type="dxa"/>
            <w:tcMar>
              <w:top w:w="57" w:type="dxa"/>
              <w:left w:w="102" w:type="dxa"/>
              <w:bottom w:w="57" w:type="dxa"/>
              <w:right w:w="108" w:type="dxa"/>
            </w:tcMar>
            <w:vAlign w:val="bottom"/>
            <w:hideMark/>
          </w:tcPr>
          <w:p w14:paraId="1F32E22A" w14:textId="16447404" w:rsidR="00D61557" w:rsidRPr="004D004E" w:rsidRDefault="00D61557" w:rsidP="00D61557">
            <w:pPr>
              <w:pStyle w:val="Tablicadanerodek"/>
              <w:rPr>
                <w:lang w:val="en-GB"/>
              </w:rPr>
            </w:pPr>
            <w:r w:rsidRPr="00D928D5">
              <w:t>–</w:t>
            </w:r>
          </w:p>
        </w:tc>
        <w:tc>
          <w:tcPr>
            <w:tcW w:w="1383" w:type="dxa"/>
            <w:tcMar>
              <w:top w:w="57" w:type="dxa"/>
              <w:left w:w="102" w:type="dxa"/>
              <w:bottom w:w="57" w:type="dxa"/>
              <w:right w:w="108" w:type="dxa"/>
            </w:tcMar>
            <w:vAlign w:val="bottom"/>
            <w:hideMark/>
          </w:tcPr>
          <w:p w14:paraId="7E1B2970" w14:textId="7A0C27FE" w:rsidR="00D61557" w:rsidRPr="004D004E" w:rsidRDefault="00D61557" w:rsidP="00D61557">
            <w:pPr>
              <w:pStyle w:val="Tablicadanerodek"/>
              <w:rPr>
                <w:lang w:val="en-GB"/>
              </w:rPr>
            </w:pPr>
            <w:r w:rsidRPr="00D928D5">
              <w:t>–</w:t>
            </w:r>
          </w:p>
        </w:tc>
      </w:tr>
    </w:tbl>
    <w:p w14:paraId="48110BD0" w14:textId="77777777" w:rsidR="007762FA" w:rsidRPr="008635DD" w:rsidRDefault="007762FA" w:rsidP="000461F1">
      <w:pPr>
        <w:suppressAutoHyphens/>
        <w:spacing w:before="5520" w:line="288" w:lineRule="auto"/>
        <w:rPr>
          <w:sz w:val="18"/>
          <w:lang w:val="en-GB"/>
        </w:rPr>
        <w:sectPr w:rsidR="007762FA" w:rsidRPr="008635DD"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8635DD">
        <w:rPr>
          <w:shd w:val="clear" w:color="auto" w:fill="FFFFFF"/>
          <w:lang w:val="en-GB"/>
        </w:rPr>
        <w:t xml:space="preserve">In </w:t>
      </w:r>
      <w:r w:rsidRPr="008635DD">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headings"/>
      </w:tblPr>
      <w:tblGrid>
        <w:gridCol w:w="4926"/>
        <w:gridCol w:w="4927"/>
      </w:tblGrid>
      <w:tr w:rsidR="003C507B" w:rsidRPr="006E0B96" w14:paraId="7E4A673E" w14:textId="77777777" w:rsidTr="004B3971">
        <w:trPr>
          <w:cantSplit/>
          <w:trHeight w:val="1626"/>
        </w:trPr>
        <w:tc>
          <w:tcPr>
            <w:tcW w:w="4926" w:type="dxa"/>
          </w:tcPr>
          <w:p w14:paraId="5A618431" w14:textId="77777777" w:rsidR="003C507B" w:rsidRPr="00287211" w:rsidRDefault="003C507B" w:rsidP="004B3971">
            <w:pPr>
              <w:spacing w:before="0" w:after="0" w:line="276" w:lineRule="auto"/>
              <w:rPr>
                <w:rFonts w:cs="Arial"/>
                <w:sz w:val="20"/>
                <w:lang w:val="en-GB"/>
              </w:rPr>
            </w:pPr>
            <w:r>
              <w:rPr>
                <w:rFonts w:cs="Arial"/>
                <w:sz w:val="20"/>
                <w:lang w:val="en-GB"/>
              </w:rPr>
              <w:lastRenderedPageBreak/>
              <w:t>Prepared by</w:t>
            </w:r>
            <w:r w:rsidRPr="00287211">
              <w:rPr>
                <w:rFonts w:cs="Arial"/>
                <w:sz w:val="20"/>
                <w:lang w:val="en-GB"/>
              </w:rPr>
              <w:t>:</w:t>
            </w:r>
          </w:p>
          <w:p w14:paraId="6A192A22" w14:textId="77777777" w:rsidR="003C507B" w:rsidRPr="00287211" w:rsidRDefault="003C507B" w:rsidP="004B3971">
            <w:pPr>
              <w:spacing w:before="0" w:line="276" w:lineRule="auto"/>
              <w:rPr>
                <w:b/>
                <w:color w:val="000000" w:themeColor="text1"/>
                <w:sz w:val="20"/>
                <w:szCs w:val="20"/>
                <w:lang w:val="en-GB"/>
              </w:rPr>
            </w:pPr>
            <w:r>
              <w:rPr>
                <w:b/>
                <w:sz w:val="20"/>
                <w:szCs w:val="20"/>
                <w:lang w:val="en-GB"/>
              </w:rPr>
              <w:t>Statistical Office in Kraków</w:t>
            </w:r>
          </w:p>
          <w:p w14:paraId="62724E7D" w14:textId="77777777" w:rsidR="003C507B" w:rsidRDefault="003C507B" w:rsidP="004B3971">
            <w:pPr>
              <w:spacing w:before="0" w:after="0" w:line="276" w:lineRule="auto"/>
              <w:rPr>
                <w:b/>
                <w:sz w:val="20"/>
                <w:szCs w:val="20"/>
                <w:lang w:val="en-GB"/>
              </w:rPr>
            </w:pPr>
            <w:r>
              <w:rPr>
                <w:b/>
                <w:sz w:val="20"/>
                <w:szCs w:val="20"/>
                <w:lang w:val="en-GB"/>
              </w:rPr>
              <w:t>Director Agnieszka Szlubowska</w:t>
            </w:r>
          </w:p>
          <w:p w14:paraId="563A0014" w14:textId="77777777" w:rsidR="003C507B" w:rsidRPr="006E0B96" w:rsidRDefault="003C507B" w:rsidP="004B3971">
            <w:pPr>
              <w:spacing w:before="0" w:line="276" w:lineRule="auto"/>
              <w:rPr>
                <w:rFonts w:cs="Arial"/>
                <w:color w:val="000000" w:themeColor="text1"/>
                <w:lang w:val="en-GB"/>
              </w:rPr>
            </w:pPr>
            <w:r>
              <w:rPr>
                <w:lang w:val="en-GB"/>
              </w:rPr>
              <w:t>Phone:</w:t>
            </w:r>
            <w:r w:rsidRPr="00827493">
              <w:rPr>
                <w:color w:val="000000" w:themeColor="text1"/>
                <w:lang w:val="en-GB"/>
              </w:rPr>
              <w:t xml:space="preserve"> </w:t>
            </w:r>
            <w:hyperlink r:id="rId18" w:tooltip="click to call" w:history="1">
              <w:r w:rsidRPr="00827493">
                <w:rPr>
                  <w:rStyle w:val="Hipercze"/>
                  <w:color w:val="000000" w:themeColor="text1"/>
                  <w:lang w:val="en-GB"/>
                </w:rPr>
                <w:t>(+48 12) 420 40 50</w:t>
              </w:r>
            </w:hyperlink>
            <w:r w:rsidRPr="00287211">
              <w:rPr>
                <w:sz w:val="20"/>
                <w:lang w:val="en-GB"/>
              </w:rPr>
              <w:t xml:space="preserve"> </w:t>
            </w:r>
          </w:p>
        </w:tc>
        <w:tc>
          <w:tcPr>
            <w:tcW w:w="4927" w:type="dxa"/>
          </w:tcPr>
          <w:p w14:paraId="0A21E3F9" w14:textId="77777777" w:rsidR="003C507B" w:rsidRPr="00287211" w:rsidRDefault="003C507B" w:rsidP="004B3971">
            <w:pPr>
              <w:spacing w:before="0" w:after="0" w:line="276" w:lineRule="auto"/>
              <w:rPr>
                <w:rFonts w:cs="Arial"/>
                <w:sz w:val="20"/>
                <w:lang w:val="en-GB"/>
              </w:rPr>
            </w:pPr>
            <w:r>
              <w:rPr>
                <w:rFonts w:cs="Arial"/>
                <w:sz w:val="20"/>
                <w:lang w:val="en-GB"/>
              </w:rPr>
              <w:t>Issued by</w:t>
            </w:r>
            <w:r w:rsidRPr="00287211">
              <w:rPr>
                <w:rFonts w:cs="Arial"/>
                <w:sz w:val="20"/>
                <w:lang w:val="en-GB"/>
              </w:rPr>
              <w:t>:</w:t>
            </w:r>
          </w:p>
          <w:p w14:paraId="51337FBA" w14:textId="77777777" w:rsidR="003C507B" w:rsidRPr="00287211" w:rsidRDefault="003C507B" w:rsidP="004B3971">
            <w:pPr>
              <w:spacing w:before="0" w:line="276" w:lineRule="auto"/>
              <w:rPr>
                <w:rFonts w:cs="Arial"/>
                <w:b/>
                <w:sz w:val="20"/>
                <w:lang w:val="en-GB"/>
              </w:rPr>
            </w:pPr>
            <w:r>
              <w:rPr>
                <w:rFonts w:cs="Arial"/>
                <w:b/>
                <w:sz w:val="20"/>
                <w:lang w:val="en-GB"/>
              </w:rPr>
              <w:t>The Spokesperson for the President of Statistics Poland</w:t>
            </w:r>
          </w:p>
          <w:p w14:paraId="3FB7EC38" w14:textId="77777777" w:rsidR="003C507B" w:rsidRPr="00287211" w:rsidRDefault="003C507B" w:rsidP="004B3971">
            <w:pPr>
              <w:spacing w:before="0" w:after="0" w:line="276" w:lineRule="auto"/>
              <w:rPr>
                <w:b/>
                <w:sz w:val="20"/>
                <w:szCs w:val="20"/>
                <w:lang w:val="en-GB"/>
              </w:rPr>
            </w:pPr>
            <w:r w:rsidRPr="00287211">
              <w:rPr>
                <w:b/>
                <w:sz w:val="20"/>
                <w:szCs w:val="20"/>
                <w:lang w:val="en-GB"/>
              </w:rPr>
              <w:t xml:space="preserve">Karolina </w:t>
            </w:r>
            <w:proofErr w:type="spellStart"/>
            <w:r w:rsidRPr="00287211">
              <w:rPr>
                <w:b/>
                <w:sz w:val="20"/>
                <w:szCs w:val="20"/>
                <w:lang w:val="en-GB"/>
              </w:rPr>
              <w:t>Banaszek</w:t>
            </w:r>
            <w:proofErr w:type="spellEnd"/>
          </w:p>
          <w:p w14:paraId="0DEDFE88" w14:textId="77777777" w:rsidR="003C507B" w:rsidRPr="006E0B96" w:rsidRDefault="003C507B" w:rsidP="004B3971">
            <w:pPr>
              <w:rPr>
                <w:sz w:val="18"/>
                <w:lang w:val="en-GB"/>
              </w:rPr>
            </w:pPr>
            <w:r>
              <w:rPr>
                <w:lang w:val="en-GB"/>
              </w:rPr>
              <w:t>Phone</w:t>
            </w:r>
            <w:r w:rsidRPr="00287211">
              <w:rPr>
                <w:lang w:val="en-GB"/>
              </w:rPr>
              <w:t xml:space="preserve">: </w:t>
            </w:r>
            <w:hyperlink r:id="rId19" w:tooltip="click to call" w:history="1">
              <w:r>
                <w:rPr>
                  <w:rStyle w:val="Hipercze"/>
                  <w:color w:val="000000" w:themeColor="text1"/>
                  <w:lang w:val="en-GB"/>
                </w:rPr>
                <w:t>(+48) 695 255 011</w:t>
              </w:r>
            </w:hyperlink>
            <w:r w:rsidRPr="00287211">
              <w:rPr>
                <w:lang w:val="en-GB"/>
              </w:rPr>
              <w:t xml:space="preserve"> </w:t>
            </w:r>
          </w:p>
        </w:tc>
      </w:tr>
      <w:tr w:rsidR="003C507B" w:rsidRPr="006E0B96" w14:paraId="37C17FFF" w14:textId="77777777" w:rsidTr="004B3971">
        <w:trPr>
          <w:cantSplit/>
          <w:trHeight w:val="418"/>
        </w:trPr>
        <w:tc>
          <w:tcPr>
            <w:tcW w:w="4926" w:type="dxa"/>
            <w:vMerge w:val="restart"/>
          </w:tcPr>
          <w:p w14:paraId="0767AC70" w14:textId="77777777" w:rsidR="003C507B" w:rsidRPr="00287211" w:rsidRDefault="003C507B" w:rsidP="004B3971">
            <w:pPr>
              <w:rPr>
                <w:b/>
                <w:sz w:val="20"/>
                <w:lang w:val="en-GB"/>
              </w:rPr>
            </w:pPr>
            <w:r>
              <w:rPr>
                <w:b/>
                <w:sz w:val="20"/>
                <w:lang w:val="en-GB"/>
              </w:rPr>
              <w:t>Press Office</w:t>
            </w:r>
          </w:p>
          <w:p w14:paraId="2F4F025B" w14:textId="77777777" w:rsidR="003C507B" w:rsidRPr="00287211" w:rsidRDefault="003C507B" w:rsidP="004B3971">
            <w:pPr>
              <w:spacing w:before="0" w:after="0"/>
              <w:rPr>
                <w:sz w:val="20"/>
                <w:lang w:val="en-GB"/>
              </w:rPr>
            </w:pPr>
            <w:r>
              <w:rPr>
                <w:lang w:val="en-GB"/>
              </w:rPr>
              <w:t>Phone</w:t>
            </w:r>
            <w:r w:rsidRPr="00287211">
              <w:rPr>
                <w:sz w:val="20"/>
                <w:lang w:val="en-GB"/>
              </w:rPr>
              <w:t>:</w:t>
            </w:r>
            <w:r w:rsidRPr="00287211">
              <w:rPr>
                <w:color w:val="000000" w:themeColor="text1"/>
                <w:sz w:val="20"/>
                <w:lang w:val="en-GB"/>
              </w:rPr>
              <w:t xml:space="preserve"> </w:t>
            </w:r>
            <w:hyperlink r:id="rId20" w:tooltip="click to call" w:history="1">
              <w:r>
                <w:rPr>
                  <w:rStyle w:val="Hipercze"/>
                  <w:color w:val="000000" w:themeColor="text1"/>
                  <w:sz w:val="20"/>
                  <w:lang w:val="en-GB"/>
                </w:rPr>
                <w:t>(+48 22) 608 38 04</w:t>
              </w:r>
            </w:hyperlink>
            <w:r w:rsidRPr="00287211">
              <w:rPr>
                <w:sz w:val="20"/>
                <w:lang w:val="en-GB"/>
              </w:rPr>
              <w:t xml:space="preserve"> </w:t>
            </w:r>
          </w:p>
          <w:p w14:paraId="051A2358" w14:textId="77777777" w:rsidR="003C507B" w:rsidRPr="006E0B96" w:rsidRDefault="003C507B" w:rsidP="004B3971">
            <w:pPr>
              <w:rPr>
                <w:sz w:val="18"/>
                <w:lang w:val="en-GB"/>
              </w:rPr>
            </w:pPr>
            <w:r w:rsidRPr="00287211">
              <w:rPr>
                <w:b/>
                <w:sz w:val="20"/>
                <w:lang w:val="en-GB"/>
              </w:rPr>
              <w:t>e-mail:</w:t>
            </w:r>
            <w:r w:rsidRPr="00287211">
              <w:rPr>
                <w:sz w:val="20"/>
                <w:lang w:val="en-GB"/>
              </w:rPr>
              <w:t xml:space="preserve"> </w:t>
            </w:r>
            <w:hyperlink r:id="rId21" w:tooltip="obslugaprasowa@stat.gov.pl" w:history="1">
              <w:r w:rsidRPr="00287211">
                <w:rPr>
                  <w:rStyle w:val="Hipercze"/>
                  <w:rFonts w:eastAsiaTheme="majorEastAsia" w:cs="Arial"/>
                  <w:b/>
                  <w:sz w:val="20"/>
                  <w:szCs w:val="20"/>
                  <w:lang w:val="en-GB"/>
                </w:rPr>
                <w:t>obslugaprasowa@stat.gov.pl</w:t>
              </w:r>
            </w:hyperlink>
          </w:p>
        </w:tc>
        <w:tc>
          <w:tcPr>
            <w:tcW w:w="4927" w:type="dxa"/>
            <w:vAlign w:val="center"/>
          </w:tcPr>
          <w:p w14:paraId="56CAA8FB" w14:textId="77777777" w:rsidR="003C507B" w:rsidRPr="006E0B96" w:rsidRDefault="003C507B" w:rsidP="004B3971">
            <w:pPr>
              <w:ind w:firstLine="680"/>
              <w:rPr>
                <w:sz w:val="18"/>
                <w:lang w:val="en-GB"/>
              </w:rPr>
            </w:pPr>
            <w:r w:rsidRPr="0047786B">
              <w:rPr>
                <w:noProof/>
                <w:color w:val="000000" w:themeColor="text1"/>
                <w:sz w:val="20"/>
                <w:lang w:eastAsia="pl-PL"/>
              </w:rPr>
              <w:drawing>
                <wp:anchor distT="0" distB="0" distL="114300" distR="114300" simplePos="0" relativeHeight="251820032" behindDoc="0" locked="0" layoutInCell="1" allowOverlap="1" wp14:anchorId="7473C563" wp14:editId="18685749">
                  <wp:simplePos x="0" y="0"/>
                  <wp:positionH relativeFrom="column">
                    <wp:posOffset>78740</wp:posOffset>
                  </wp:positionH>
                  <wp:positionV relativeFrom="paragraph">
                    <wp:posOffset>21590</wp:posOffset>
                  </wp:positionV>
                  <wp:extent cx="251460" cy="251460"/>
                  <wp:effectExtent l="0" t="0" r="0" b="0"/>
                  <wp:wrapNone/>
                  <wp:docPr id="13" name="Obraz 1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3" w:tooltip="website SO" w:history="1">
              <w:r w:rsidRPr="0047786B">
                <w:rPr>
                  <w:rStyle w:val="Hipercze"/>
                  <w:color w:val="000000" w:themeColor="text1"/>
                  <w:sz w:val="20"/>
                  <w:lang w:val="en-GB"/>
                </w:rPr>
                <w:t>stat.gov.pl/</w:t>
              </w:r>
              <w:proofErr w:type="spellStart"/>
              <w:r w:rsidRPr="0047786B">
                <w:rPr>
                  <w:rStyle w:val="Hipercze"/>
                  <w:color w:val="000000" w:themeColor="text1"/>
                  <w:sz w:val="20"/>
                  <w:lang w:val="en-GB"/>
                </w:rPr>
                <w:t>en</w:t>
              </w:r>
              <w:proofErr w:type="spellEnd"/>
              <w:r w:rsidRPr="0047786B">
                <w:rPr>
                  <w:rStyle w:val="Hipercze"/>
                  <w:color w:val="000000" w:themeColor="text1"/>
                  <w:sz w:val="20"/>
                  <w:lang w:val="en-GB"/>
                </w:rPr>
                <w:t>/</w:t>
              </w:r>
            </w:hyperlink>
          </w:p>
        </w:tc>
      </w:tr>
      <w:tr w:rsidR="003C507B" w:rsidRPr="006E0B96" w14:paraId="3D03795B" w14:textId="77777777" w:rsidTr="004B3971">
        <w:trPr>
          <w:cantSplit/>
          <w:trHeight w:val="418"/>
        </w:trPr>
        <w:tc>
          <w:tcPr>
            <w:tcW w:w="4926" w:type="dxa"/>
            <w:vMerge/>
          </w:tcPr>
          <w:p w14:paraId="1558392C" w14:textId="77777777" w:rsidR="003C507B" w:rsidRPr="006E0B96" w:rsidRDefault="003C507B" w:rsidP="004B3971">
            <w:pPr>
              <w:rPr>
                <w:b/>
                <w:sz w:val="20"/>
                <w:lang w:val="en-GB"/>
              </w:rPr>
            </w:pPr>
          </w:p>
        </w:tc>
        <w:tc>
          <w:tcPr>
            <w:tcW w:w="4927" w:type="dxa"/>
            <w:vAlign w:val="center"/>
          </w:tcPr>
          <w:p w14:paraId="74961729" w14:textId="77777777" w:rsidR="003C507B" w:rsidRPr="006E0B96" w:rsidRDefault="003C507B" w:rsidP="004B3971">
            <w:pPr>
              <w:ind w:firstLine="680"/>
              <w:rPr>
                <w:sz w:val="18"/>
                <w:lang w:val="en-GB"/>
              </w:rPr>
            </w:pPr>
            <w:r>
              <w:rPr>
                <w:noProof/>
                <w:sz w:val="20"/>
                <w:lang w:eastAsia="pl-PL"/>
              </w:rPr>
              <w:drawing>
                <wp:anchor distT="0" distB="0" distL="114300" distR="114300" simplePos="0" relativeHeight="251821056" behindDoc="0" locked="0" layoutInCell="1" allowOverlap="1" wp14:anchorId="75E95552" wp14:editId="137B27C6">
                  <wp:simplePos x="0" y="0"/>
                  <wp:positionH relativeFrom="column">
                    <wp:posOffset>80010</wp:posOffset>
                  </wp:positionH>
                  <wp:positionV relativeFrom="paragraph">
                    <wp:posOffset>30480</wp:posOffset>
                  </wp:positionV>
                  <wp:extent cx="251460" cy="251460"/>
                  <wp:effectExtent l="0" t="0" r="0" b="0"/>
                  <wp:wrapNone/>
                  <wp:docPr id="18" name="Obraz 18"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649D2">
              <w:rPr>
                <w:color w:val="000000" w:themeColor="text1"/>
              </w:rPr>
              <w:t>@</w:t>
            </w:r>
            <w:proofErr w:type="spellStart"/>
            <w:r w:rsidRPr="009649D2">
              <w:rPr>
                <w:color w:val="000000" w:themeColor="text1"/>
              </w:rPr>
              <w:fldChar w:fldCharType="begin"/>
            </w:r>
            <w:r w:rsidRPr="009649D2">
              <w:rPr>
                <w:color w:val="000000" w:themeColor="text1"/>
              </w:rPr>
              <w:instrText xml:space="preserve"> HYPERLINK "https://twitter.com/StatPoland" \o "twitter" </w:instrText>
            </w:r>
            <w:r w:rsidRPr="009649D2">
              <w:rPr>
                <w:color w:val="000000" w:themeColor="text1"/>
              </w:rPr>
              <w:fldChar w:fldCharType="separate"/>
            </w:r>
            <w:r w:rsidRPr="009649D2">
              <w:rPr>
                <w:rStyle w:val="Hipercze"/>
                <w:color w:val="000000" w:themeColor="text1"/>
              </w:rPr>
              <w:t>StatPoland</w:t>
            </w:r>
            <w:proofErr w:type="spellEnd"/>
            <w:r w:rsidRPr="009649D2">
              <w:rPr>
                <w:color w:val="000000" w:themeColor="text1"/>
              </w:rPr>
              <w:fldChar w:fldCharType="end"/>
            </w:r>
          </w:p>
        </w:tc>
      </w:tr>
      <w:tr w:rsidR="003C507B" w:rsidRPr="006E0B96" w14:paraId="495F7BBB" w14:textId="77777777" w:rsidTr="004B3971">
        <w:trPr>
          <w:cantSplit/>
          <w:trHeight w:val="476"/>
        </w:trPr>
        <w:tc>
          <w:tcPr>
            <w:tcW w:w="4926" w:type="dxa"/>
            <w:vMerge/>
          </w:tcPr>
          <w:p w14:paraId="49535C78" w14:textId="77777777" w:rsidR="003C507B" w:rsidRPr="006E0B96" w:rsidRDefault="003C507B" w:rsidP="004B3971">
            <w:pPr>
              <w:rPr>
                <w:b/>
                <w:sz w:val="20"/>
                <w:lang w:val="en-GB"/>
              </w:rPr>
            </w:pPr>
          </w:p>
        </w:tc>
        <w:tc>
          <w:tcPr>
            <w:tcW w:w="4927" w:type="dxa"/>
          </w:tcPr>
          <w:p w14:paraId="1E0F3B37" w14:textId="77777777" w:rsidR="003C507B" w:rsidRPr="006E0B96" w:rsidRDefault="003C507B" w:rsidP="004B3971">
            <w:pPr>
              <w:ind w:firstLine="680"/>
              <w:rPr>
                <w:sz w:val="18"/>
                <w:lang w:val="en-GB"/>
              </w:rPr>
            </w:pPr>
            <w:r w:rsidRPr="00935E1E">
              <w:rPr>
                <w:noProof/>
                <w:color w:val="000000" w:themeColor="text1"/>
                <w:sz w:val="20"/>
                <w:lang w:eastAsia="pl-PL"/>
              </w:rPr>
              <w:drawing>
                <wp:anchor distT="0" distB="0" distL="114300" distR="114300" simplePos="0" relativeHeight="251822080" behindDoc="0" locked="0" layoutInCell="1" allowOverlap="1" wp14:anchorId="76B18981" wp14:editId="13F50B02">
                  <wp:simplePos x="0" y="0"/>
                  <wp:positionH relativeFrom="column">
                    <wp:posOffset>80645</wp:posOffset>
                  </wp:positionH>
                  <wp:positionV relativeFrom="paragraph">
                    <wp:posOffset>39214</wp:posOffset>
                  </wp:positionV>
                  <wp:extent cx="251460" cy="251460"/>
                  <wp:effectExtent l="0" t="0" r="0" b="0"/>
                  <wp:wrapNone/>
                  <wp:docPr id="25" name="Obraz 25"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facebook" w:history="1">
              <w:r w:rsidRPr="00935E1E">
                <w:rPr>
                  <w:rStyle w:val="Hipercze"/>
                  <w:color w:val="000000" w:themeColor="text1"/>
                  <w:sz w:val="20"/>
                  <w:lang w:val="en-GB"/>
                </w:rPr>
                <w:t>@</w:t>
              </w:r>
              <w:proofErr w:type="spellStart"/>
              <w:r w:rsidRPr="00935E1E">
                <w:rPr>
                  <w:rStyle w:val="Hipercze"/>
                  <w:color w:val="000000" w:themeColor="text1"/>
                  <w:sz w:val="20"/>
                  <w:lang w:val="en-GB"/>
                </w:rPr>
                <w:t>GlownyUrzadStatystyczny</w:t>
              </w:r>
              <w:proofErr w:type="spellEnd"/>
            </w:hyperlink>
            <w:r w:rsidRPr="00935E1E">
              <w:rPr>
                <w:noProof/>
                <w:color w:val="000000" w:themeColor="text1"/>
                <w:sz w:val="20"/>
                <w:lang w:val="en-GB" w:eastAsia="pl-PL"/>
              </w:rPr>
              <w:t xml:space="preserve"> </w:t>
            </w:r>
          </w:p>
        </w:tc>
      </w:tr>
      <w:tr w:rsidR="003C507B" w:rsidRPr="006E0B96" w14:paraId="75568FC4" w14:textId="77777777" w:rsidTr="004B3971">
        <w:trPr>
          <w:cantSplit/>
          <w:trHeight w:val="426"/>
        </w:trPr>
        <w:tc>
          <w:tcPr>
            <w:tcW w:w="4926" w:type="dxa"/>
          </w:tcPr>
          <w:p w14:paraId="6F1A8B19" w14:textId="77777777" w:rsidR="003C507B" w:rsidRPr="006E0B96" w:rsidRDefault="003C507B" w:rsidP="004B3971">
            <w:pPr>
              <w:rPr>
                <w:b/>
                <w:sz w:val="20"/>
                <w:lang w:val="en-GB"/>
              </w:rPr>
            </w:pPr>
          </w:p>
        </w:tc>
        <w:tc>
          <w:tcPr>
            <w:tcW w:w="4927" w:type="dxa"/>
          </w:tcPr>
          <w:p w14:paraId="685739F0" w14:textId="77777777" w:rsidR="003C507B" w:rsidRPr="006E0B96" w:rsidRDefault="003C507B" w:rsidP="004B3971">
            <w:pPr>
              <w:ind w:firstLine="680"/>
              <w:rPr>
                <w:noProof/>
                <w:sz w:val="20"/>
                <w:lang w:val="en-GB" w:eastAsia="pl-PL"/>
              </w:rPr>
            </w:pPr>
            <w:r w:rsidRPr="003C6A24">
              <w:rPr>
                <w:noProof/>
                <w:color w:val="000000" w:themeColor="text1"/>
                <w:sz w:val="20"/>
                <w:lang w:eastAsia="pl-PL"/>
              </w:rPr>
              <w:drawing>
                <wp:anchor distT="0" distB="0" distL="114300" distR="114300" simplePos="0" relativeHeight="251823104" behindDoc="0" locked="0" layoutInCell="1" allowOverlap="1" wp14:anchorId="3AB409FE" wp14:editId="27F02CF1">
                  <wp:simplePos x="0" y="0"/>
                  <wp:positionH relativeFrom="column">
                    <wp:posOffset>82550</wp:posOffset>
                  </wp:positionH>
                  <wp:positionV relativeFrom="paragraph">
                    <wp:posOffset>37944</wp:posOffset>
                  </wp:positionV>
                  <wp:extent cx="251460" cy="251460"/>
                  <wp:effectExtent l="0" t="0" r="0" b="0"/>
                  <wp:wrapNone/>
                  <wp:docPr id="29" name="Obraz 29"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intagram GUS" w:history="1">
              <w:proofErr w:type="spellStart"/>
              <w:r w:rsidRPr="003C6A24">
                <w:rPr>
                  <w:rStyle w:val="Hipercze"/>
                  <w:color w:val="000000" w:themeColor="text1"/>
                  <w:sz w:val="20"/>
                </w:rPr>
                <w:t>gus_stat</w:t>
              </w:r>
              <w:proofErr w:type="spellEnd"/>
            </w:hyperlink>
          </w:p>
        </w:tc>
      </w:tr>
      <w:tr w:rsidR="003C507B" w:rsidRPr="006E0B96" w14:paraId="32190C19" w14:textId="77777777" w:rsidTr="004B3971">
        <w:trPr>
          <w:cantSplit/>
          <w:trHeight w:val="504"/>
        </w:trPr>
        <w:tc>
          <w:tcPr>
            <w:tcW w:w="4926" w:type="dxa"/>
          </w:tcPr>
          <w:p w14:paraId="14D63B68" w14:textId="77777777" w:rsidR="003C507B" w:rsidRPr="006E0B96" w:rsidRDefault="003C507B" w:rsidP="004B3971">
            <w:pPr>
              <w:rPr>
                <w:b/>
                <w:sz w:val="20"/>
                <w:lang w:val="en-GB"/>
              </w:rPr>
            </w:pPr>
          </w:p>
        </w:tc>
        <w:tc>
          <w:tcPr>
            <w:tcW w:w="4927" w:type="dxa"/>
          </w:tcPr>
          <w:p w14:paraId="79B1B927" w14:textId="77777777" w:rsidR="003C507B" w:rsidRPr="006E0B96" w:rsidRDefault="003C507B" w:rsidP="004B3971">
            <w:pPr>
              <w:ind w:firstLine="680"/>
              <w:rPr>
                <w:noProof/>
                <w:sz w:val="20"/>
                <w:lang w:val="en-GB" w:eastAsia="pl-PL"/>
              </w:rPr>
            </w:pPr>
            <w:r w:rsidRPr="003C6A24">
              <w:rPr>
                <w:noProof/>
                <w:color w:val="000000" w:themeColor="text1"/>
                <w:sz w:val="20"/>
                <w:lang w:eastAsia="pl-PL"/>
              </w:rPr>
              <w:drawing>
                <wp:anchor distT="0" distB="0" distL="114300" distR="114300" simplePos="0" relativeHeight="251824128" behindDoc="0" locked="0" layoutInCell="1" allowOverlap="1" wp14:anchorId="43F8E0F5" wp14:editId="3DDAF4D1">
                  <wp:simplePos x="0" y="0"/>
                  <wp:positionH relativeFrom="column">
                    <wp:posOffset>82550</wp:posOffset>
                  </wp:positionH>
                  <wp:positionV relativeFrom="paragraph">
                    <wp:posOffset>47629</wp:posOffset>
                  </wp:positionV>
                  <wp:extent cx="251460" cy="251460"/>
                  <wp:effectExtent l="0" t="0" r="0" b="0"/>
                  <wp:wrapNone/>
                  <wp:docPr id="30" name="Obraz 30"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30" w:tooltip="youtube GUS" w:history="1">
              <w:proofErr w:type="spellStart"/>
              <w:r w:rsidRPr="003C6A24">
                <w:rPr>
                  <w:rStyle w:val="Hipercze"/>
                  <w:color w:val="000000" w:themeColor="text1"/>
                  <w:sz w:val="20"/>
                </w:rPr>
                <w:t>glownyurzadstatystycznygus</w:t>
              </w:r>
              <w:proofErr w:type="spellEnd"/>
            </w:hyperlink>
          </w:p>
        </w:tc>
      </w:tr>
      <w:tr w:rsidR="003C507B" w:rsidRPr="006E0B96" w14:paraId="00E536CB" w14:textId="77777777" w:rsidTr="004B3971">
        <w:trPr>
          <w:cantSplit/>
          <w:trHeight w:val="1546"/>
        </w:trPr>
        <w:tc>
          <w:tcPr>
            <w:tcW w:w="4926" w:type="dxa"/>
          </w:tcPr>
          <w:p w14:paraId="05F1E989" w14:textId="77777777" w:rsidR="003C507B" w:rsidRPr="006E0B96" w:rsidRDefault="003C507B" w:rsidP="004B3971">
            <w:pPr>
              <w:rPr>
                <w:b/>
                <w:sz w:val="20"/>
                <w:lang w:val="en-GB"/>
              </w:rPr>
            </w:pPr>
          </w:p>
        </w:tc>
        <w:tc>
          <w:tcPr>
            <w:tcW w:w="4927" w:type="dxa"/>
          </w:tcPr>
          <w:p w14:paraId="2C98E711" w14:textId="77777777" w:rsidR="003C507B" w:rsidRPr="006E0B96" w:rsidRDefault="000461F1" w:rsidP="004B3971">
            <w:pPr>
              <w:ind w:firstLine="680"/>
              <w:rPr>
                <w:noProof/>
                <w:sz w:val="20"/>
                <w:lang w:val="en-GB" w:eastAsia="pl-PL"/>
              </w:rPr>
            </w:pPr>
            <w:hyperlink r:id="rId31" w:tooltip="linkedin GUS" w:history="1">
              <w:r w:rsidR="003C507B" w:rsidRPr="003C6A24">
                <w:rPr>
                  <w:rStyle w:val="Hipercze"/>
                  <w:noProof/>
                  <w:color w:val="000000" w:themeColor="text1"/>
                  <w:sz w:val="20"/>
                  <w:lang w:eastAsia="pl-PL"/>
                </w:rPr>
                <w:t>glownyurzadstatystyczny</w:t>
              </w:r>
              <w:r w:rsidR="003C507B" w:rsidRPr="003C6A24">
                <w:rPr>
                  <w:rStyle w:val="Hipercze"/>
                  <w:noProof/>
                  <w:color w:val="000000" w:themeColor="text1"/>
                  <w:sz w:val="20"/>
                  <w:lang w:eastAsia="pl-PL"/>
                </w:rPr>
                <w:drawing>
                  <wp:anchor distT="0" distB="0" distL="114300" distR="114300" simplePos="0" relativeHeight="251825152" behindDoc="0" locked="0" layoutInCell="1" allowOverlap="1" wp14:anchorId="13EEB94A" wp14:editId="48470AAC">
                    <wp:simplePos x="0" y="0"/>
                    <wp:positionH relativeFrom="column">
                      <wp:posOffset>82550</wp:posOffset>
                    </wp:positionH>
                    <wp:positionV relativeFrom="paragraph">
                      <wp:posOffset>15240</wp:posOffset>
                    </wp:positionV>
                    <wp:extent cx="251460" cy="251460"/>
                    <wp:effectExtent l="0" t="0" r="0" b="0"/>
                    <wp:wrapNone/>
                    <wp:docPr id="31" name="Obraz 31"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863791" w:rsidRPr="004D004E" w14:paraId="4BF9499D" w14:textId="77777777" w:rsidTr="00412D3F">
        <w:trPr>
          <w:cantSplit/>
          <w:trHeight w:val="2700"/>
        </w:trPr>
        <w:tc>
          <w:tcPr>
            <w:tcW w:w="9853" w:type="dxa"/>
            <w:gridSpan w:val="2"/>
            <w:shd w:val="clear" w:color="auto" w:fill="D9D9D9" w:themeFill="background1" w:themeFillShade="D9"/>
          </w:tcPr>
          <w:p w14:paraId="54A45487" w14:textId="355AAE15" w:rsidR="00863791" w:rsidRPr="004D004E" w:rsidRDefault="00A56D33" w:rsidP="00412D3F">
            <w:pPr>
              <w:shd w:val="clear" w:color="auto" w:fill="D9D9D9" w:themeFill="background1" w:themeFillShade="D9"/>
              <w:spacing w:before="360"/>
              <w:rPr>
                <w:b/>
                <w:lang w:val="en-GB"/>
              </w:rPr>
            </w:pPr>
            <w:r w:rsidRPr="004D004E">
              <w:rPr>
                <w:b/>
                <w:lang w:val="en-GB"/>
              </w:rPr>
              <w:t xml:space="preserve">Related </w:t>
            </w:r>
            <w:r w:rsidR="00576EE6">
              <w:rPr>
                <w:b/>
                <w:lang w:val="en-GB"/>
              </w:rPr>
              <w:t>information</w:t>
            </w:r>
          </w:p>
          <w:p w14:paraId="656A8FCA" w14:textId="1D3A9BFC" w:rsidR="00102CD1" w:rsidRPr="004D004E" w:rsidRDefault="000461F1" w:rsidP="00102CD1">
            <w:pPr>
              <w:rPr>
                <w:rStyle w:val="Hipercze"/>
                <w:lang w:val="en-GB"/>
              </w:rPr>
            </w:pPr>
            <w:hyperlink r:id="rId33" w:tooltip="link to publication &quot;Cultural and creative industries 2017–2021&quot;" w:history="1">
              <w:r w:rsidR="00576EE6">
                <w:rPr>
                  <w:rStyle w:val="Hipercze"/>
                  <w:rFonts w:cstheme="minorBidi"/>
                  <w:lang w:val="en-GB"/>
                </w:rPr>
                <w:t>Cultural and creative industries 2017–2021</w:t>
              </w:r>
            </w:hyperlink>
          </w:p>
          <w:p w14:paraId="63E68D88" w14:textId="3E4967BC" w:rsidR="00A56D33" w:rsidRPr="004D004E" w:rsidRDefault="000461F1" w:rsidP="00102CD1">
            <w:pPr>
              <w:rPr>
                <w:lang w:val="en-GB"/>
              </w:rPr>
            </w:pPr>
            <w:hyperlink r:id="rId34" w:tooltip="link to publication &quot;Cultural and creative industries in 2021&quot;" w:history="1">
              <w:r w:rsidR="00576EE6">
                <w:rPr>
                  <w:rStyle w:val="Hipercze"/>
                  <w:rFonts w:cstheme="minorBidi"/>
                  <w:lang w:val="en-GB"/>
                </w:rPr>
                <w:t>Cultural and creative industries in 2021</w:t>
              </w:r>
            </w:hyperlink>
          </w:p>
          <w:p w14:paraId="2A13CB6E" w14:textId="50CFC8F2" w:rsidR="00863791" w:rsidRPr="004D004E" w:rsidRDefault="000461F1" w:rsidP="00102CD1">
            <w:pPr>
              <w:rPr>
                <w:rStyle w:val="Hipercze"/>
                <w:lang w:val="en-GB"/>
              </w:rPr>
            </w:pPr>
            <w:hyperlink r:id="rId35" w:tooltip="link to publication &quot;Culture and national heritage in 2022&quot;" w:history="1">
              <w:r w:rsidR="00576EE6">
                <w:rPr>
                  <w:rStyle w:val="Hipercze"/>
                  <w:lang w:val="en-GB"/>
                </w:rPr>
                <w:t>Culture and national heritage in 2022</w:t>
              </w:r>
            </w:hyperlink>
          </w:p>
          <w:p w14:paraId="2391B181" w14:textId="60BE9E81" w:rsidR="00863791" w:rsidRPr="004D004E" w:rsidRDefault="00A56D33" w:rsidP="00412D3F">
            <w:pPr>
              <w:shd w:val="clear" w:color="auto" w:fill="D9D9D9" w:themeFill="background1" w:themeFillShade="D9"/>
              <w:spacing w:before="360"/>
              <w:rPr>
                <w:b/>
                <w:bCs/>
                <w:color w:val="000000" w:themeColor="text1"/>
                <w:szCs w:val="24"/>
                <w:lang w:val="en-GB"/>
              </w:rPr>
            </w:pPr>
            <w:r w:rsidRPr="004D004E">
              <w:rPr>
                <w:b/>
                <w:bCs/>
                <w:color w:val="000000" w:themeColor="text1"/>
                <w:lang w:val="en-GB"/>
              </w:rPr>
              <w:t>Terms used in the official statistics</w:t>
            </w:r>
          </w:p>
          <w:p w14:paraId="270AA9C0" w14:textId="0419C995" w:rsidR="00A56D33" w:rsidRPr="003F3FFD" w:rsidRDefault="000461F1" w:rsidP="00A56D33">
            <w:pPr>
              <w:rPr>
                <w:rStyle w:val="Hipercze"/>
                <w:rFonts w:cstheme="minorBidi"/>
                <w:lang w:val="en-GB"/>
              </w:rPr>
            </w:pPr>
            <w:hyperlink r:id="rId36" w:tooltip="link to term &quot;Exports of goods and services&quot;" w:history="1">
              <w:r w:rsidR="00A56D33" w:rsidRPr="003F3FFD">
                <w:rPr>
                  <w:rStyle w:val="Hipercze"/>
                  <w:rFonts w:cstheme="minorBidi"/>
                  <w:lang w:val="en-GB"/>
                </w:rPr>
                <w:t>Exports of goods and services</w:t>
              </w:r>
            </w:hyperlink>
          </w:p>
          <w:p w14:paraId="5F1EE258" w14:textId="0C1EC4F7" w:rsidR="00A56D33" w:rsidRPr="003F3FFD" w:rsidRDefault="000461F1" w:rsidP="00A56D33">
            <w:pPr>
              <w:rPr>
                <w:rStyle w:val="Hipercze"/>
                <w:rFonts w:cstheme="minorBidi"/>
                <w:lang w:val="en-GB"/>
              </w:rPr>
            </w:pPr>
            <w:hyperlink r:id="rId37" w:tooltip="link to term &quot;Imports of goods and services&quot;" w:history="1">
              <w:r w:rsidR="00A56D33" w:rsidRPr="003F3FFD">
                <w:rPr>
                  <w:rStyle w:val="Hipercze"/>
                  <w:rFonts w:cstheme="minorBidi"/>
                  <w:lang w:val="en-GB"/>
                </w:rPr>
                <w:t>Imports of goods and services</w:t>
              </w:r>
            </w:hyperlink>
          </w:p>
          <w:p w14:paraId="3EDE41A1" w14:textId="1EADD8A5" w:rsidR="00A56D33" w:rsidRPr="003F3FFD" w:rsidRDefault="000461F1" w:rsidP="00A56D33">
            <w:pPr>
              <w:rPr>
                <w:rStyle w:val="Hipercze"/>
                <w:rFonts w:cstheme="minorBidi"/>
                <w:lang w:val="en-GB"/>
              </w:rPr>
            </w:pPr>
            <w:hyperlink r:id="rId38" w:tooltip="link to term &quot;Total costs&quot;" w:history="1">
              <w:r w:rsidR="00A56D33" w:rsidRPr="003F3FFD">
                <w:rPr>
                  <w:rStyle w:val="Hipercze"/>
                  <w:rFonts w:cstheme="minorBidi"/>
                  <w:lang w:val="en-GB"/>
                </w:rPr>
                <w:t>Total costs</w:t>
              </w:r>
            </w:hyperlink>
          </w:p>
          <w:p w14:paraId="6F889A66" w14:textId="621E5A7D" w:rsidR="00A56D33" w:rsidRPr="003F3FFD" w:rsidRDefault="000461F1" w:rsidP="00A56D33">
            <w:pPr>
              <w:rPr>
                <w:rStyle w:val="Hipercze"/>
                <w:rFonts w:cstheme="minorBidi"/>
                <w:lang w:val="en-GB"/>
              </w:rPr>
            </w:pPr>
            <w:hyperlink r:id="rId39" w:tooltip="link to term &quot;Average monthly gross wages and salaries&quot;" w:history="1">
              <w:r w:rsidR="00A56D33" w:rsidRPr="003F3FFD">
                <w:rPr>
                  <w:rStyle w:val="Hipercze"/>
                  <w:rFonts w:cstheme="minorBidi"/>
                  <w:lang w:val="en-GB"/>
                </w:rPr>
                <w:t>Average monthly gross wages and salaries</w:t>
              </w:r>
            </w:hyperlink>
          </w:p>
          <w:p w14:paraId="66981DE2" w14:textId="349C8411" w:rsidR="00A56D33" w:rsidRPr="003F3FFD" w:rsidRDefault="000461F1" w:rsidP="00A56D33">
            <w:pPr>
              <w:rPr>
                <w:rStyle w:val="Hipercze"/>
                <w:rFonts w:cstheme="minorBidi"/>
                <w:lang w:val="en-GB"/>
              </w:rPr>
            </w:pPr>
            <w:hyperlink r:id="rId40" w:tooltip="link to term &quot;Average paid employment&quot;" w:history="1">
              <w:r w:rsidR="00A56D33" w:rsidRPr="003F3FFD">
                <w:rPr>
                  <w:rStyle w:val="Hipercze"/>
                  <w:rFonts w:cstheme="minorBidi"/>
                  <w:lang w:val="en-GB"/>
                </w:rPr>
                <w:t>Average paid employment</w:t>
              </w:r>
            </w:hyperlink>
          </w:p>
          <w:p w14:paraId="74BF576B" w14:textId="1B16909D" w:rsidR="00A56D33" w:rsidRPr="003F3FFD" w:rsidRDefault="000461F1" w:rsidP="00A56D33">
            <w:pPr>
              <w:rPr>
                <w:rStyle w:val="Hipercze"/>
                <w:rFonts w:cstheme="minorBidi"/>
                <w:lang w:val="en-GB"/>
              </w:rPr>
            </w:pPr>
            <w:hyperlink r:id="rId41" w:tooltip="link to term &quot;Total revenues&quot;" w:history="1">
              <w:r w:rsidR="00A56D33" w:rsidRPr="003F3FFD">
                <w:rPr>
                  <w:rStyle w:val="Hipercze"/>
                  <w:rFonts w:cstheme="minorBidi"/>
                  <w:lang w:val="en-GB"/>
                </w:rPr>
                <w:t>Total revenues</w:t>
              </w:r>
            </w:hyperlink>
          </w:p>
          <w:p w14:paraId="6B89886C" w14:textId="5BC55DE9" w:rsidR="00A56D33" w:rsidRPr="003F3FFD" w:rsidRDefault="000461F1" w:rsidP="00A56D33">
            <w:pPr>
              <w:rPr>
                <w:rStyle w:val="Hipercze"/>
                <w:rFonts w:cstheme="minorBidi"/>
                <w:lang w:val="en-GB"/>
              </w:rPr>
            </w:pPr>
            <w:hyperlink r:id="rId42" w:tooltip="link to term &quot;Balance foreign trade commodity turnover&quot;" w:history="1">
              <w:r w:rsidR="00A56D33" w:rsidRPr="003F3FFD">
                <w:rPr>
                  <w:rStyle w:val="Hipercze"/>
                  <w:rFonts w:cstheme="minorBidi"/>
                  <w:lang w:val="en-GB"/>
                </w:rPr>
                <w:t>Balance foreign trade commodity turnover</w:t>
              </w:r>
            </w:hyperlink>
          </w:p>
          <w:p w14:paraId="16438E73" w14:textId="4168A25B" w:rsidR="00A56D33" w:rsidRPr="003F3FFD" w:rsidRDefault="000461F1" w:rsidP="00A56D33">
            <w:pPr>
              <w:rPr>
                <w:rStyle w:val="Hipercze"/>
                <w:rFonts w:cstheme="minorBidi"/>
                <w:lang w:val="en-GB"/>
              </w:rPr>
            </w:pPr>
            <w:hyperlink r:id="rId43" w:tooltip="link to term &quot;Balance of services&quot;" w:history="1">
              <w:r w:rsidR="00A56D33" w:rsidRPr="003F3FFD">
                <w:rPr>
                  <w:rStyle w:val="Hipercze"/>
                  <w:rFonts w:cstheme="minorBidi"/>
                  <w:lang w:val="en-GB"/>
                </w:rPr>
                <w:t>Balance of services</w:t>
              </w:r>
            </w:hyperlink>
          </w:p>
          <w:p w14:paraId="38BC84F4" w14:textId="1D2690A8" w:rsidR="00A56D33" w:rsidRPr="003F3FFD" w:rsidRDefault="000461F1" w:rsidP="00A56D33">
            <w:pPr>
              <w:rPr>
                <w:rStyle w:val="Hipercze"/>
                <w:rFonts w:cstheme="minorBidi"/>
                <w:lang w:val="en-GB"/>
              </w:rPr>
            </w:pPr>
            <w:hyperlink r:id="rId44" w:tooltip="link to term &quot;Cost level indicator&quot;" w:history="1">
              <w:r w:rsidR="00A56D33" w:rsidRPr="003F3FFD">
                <w:rPr>
                  <w:rStyle w:val="Hipercze"/>
                  <w:rFonts w:cstheme="minorBidi"/>
                  <w:lang w:val="en-GB"/>
                </w:rPr>
                <w:t>Cost level indicator</w:t>
              </w:r>
            </w:hyperlink>
          </w:p>
          <w:p w14:paraId="334560CE" w14:textId="58CC8781" w:rsidR="00A56D33" w:rsidRPr="003F3FFD" w:rsidRDefault="000461F1" w:rsidP="00A56D33">
            <w:pPr>
              <w:rPr>
                <w:rStyle w:val="Hipercze"/>
                <w:rFonts w:cstheme="minorBidi"/>
              </w:rPr>
            </w:pPr>
            <w:hyperlink r:id="rId45" w:tooltip="link to term &quot;Gross earnings&quot;" w:history="1">
              <w:r w:rsidR="00A56D33" w:rsidRPr="003F3FFD">
                <w:rPr>
                  <w:rStyle w:val="Hipercze"/>
                  <w:rFonts w:cstheme="minorBidi"/>
                  <w:lang w:val="en-GB"/>
                </w:rPr>
                <w:t>Gross earnings</w:t>
              </w:r>
            </w:hyperlink>
          </w:p>
          <w:p w14:paraId="68A2E35D" w14:textId="10299A21" w:rsidR="00863791" w:rsidRPr="004D004E" w:rsidRDefault="00863791" w:rsidP="00102CD1">
            <w:pPr>
              <w:rPr>
                <w:rFonts w:cs="Times New Roman"/>
                <w:color w:val="0000FF"/>
                <w:u w:val="single"/>
                <w:lang w:val="en-GB"/>
              </w:rPr>
            </w:pPr>
          </w:p>
        </w:tc>
      </w:tr>
    </w:tbl>
    <w:p w14:paraId="7C19EFAE" w14:textId="1156A8A9" w:rsidR="00D261A2" w:rsidRPr="004D004E" w:rsidRDefault="00D261A2" w:rsidP="00863791">
      <w:pPr>
        <w:spacing w:before="0" w:after="0" w:line="276" w:lineRule="auto"/>
        <w:rPr>
          <w:sz w:val="18"/>
          <w:lang w:val="en-GB"/>
        </w:rPr>
      </w:pPr>
    </w:p>
    <w:sectPr w:rsidR="00D261A2" w:rsidRPr="004D004E" w:rsidSect="003B18B6">
      <w:headerReference w:type="default" r:id="rId46"/>
      <w:footerReference w:type="default" r:id="rId4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9C00E" w14:textId="77777777" w:rsidR="008839F7" w:rsidRDefault="008839F7" w:rsidP="000662E2">
      <w:pPr>
        <w:spacing w:after="0" w:line="240" w:lineRule="auto"/>
      </w:pPr>
      <w:r>
        <w:separator/>
      </w:r>
    </w:p>
  </w:endnote>
  <w:endnote w:type="continuationSeparator" w:id="0">
    <w:p w14:paraId="0B096650" w14:textId="77777777" w:rsidR="008839F7" w:rsidRDefault="008839F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2064CD">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2064C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2064CD">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CB48A" w14:textId="77777777" w:rsidR="008839F7" w:rsidRDefault="008839F7" w:rsidP="000662E2">
      <w:pPr>
        <w:spacing w:after="0" w:line="240" w:lineRule="auto"/>
      </w:pPr>
      <w:r>
        <w:separator/>
      </w:r>
    </w:p>
  </w:footnote>
  <w:footnote w:type="continuationSeparator" w:id="0">
    <w:p w14:paraId="04D393B3" w14:textId="77777777" w:rsidR="008839F7" w:rsidRDefault="008839F7"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7762FA" w:rsidRDefault="007762FA"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12" name="Obraz 12"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64CB928A">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28.03.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75C9AF9B" w:rsidR="007762FA" w:rsidRPr="00A01B40" w:rsidRDefault="008C682B" w:rsidP="0057332C">
                          <w:pPr>
                            <w:pStyle w:val="Datainformacjisygnalnej"/>
                          </w:pPr>
                          <w:r>
                            <w:t>28</w:t>
                          </w:r>
                          <w:r w:rsidR="007762FA">
                            <w:t>.0</w:t>
                          </w:r>
                          <w:r w:rsidR="00F64988">
                            <w:t>3</w:t>
                          </w:r>
                          <w: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32" type="#_x0000_t202" alt="Publication data 28.03.2024"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1KAIAABwEAAAOAAAAZHJzL2Uyb0RvYy54bWysU9Fu2yAUfZ+0f0C8L3acpE2sOFXXrtOk&#10;bovU7QMwxjEqcBmQ2NnX94LTNNrepvkBgS/33HvOPaxvBq3IQTgvwVR0OskpEYZDI82uoj9/PHxY&#10;UuIDMw1TYERFj8LTm837d+velqKADlQjHEEQ48veVrQLwZZZ5nknNPMTsMJgsAWnWcCj22WNYz2i&#10;a5UVeX6V9eAa64AL7/Hv/Rikm4TftoKH723rRSCqothbSKtLax3XbLNm5c4x20l+aoP9QxeaSYNF&#10;z1D3LDCyd/IvKC25Aw9tmHDQGbSt5CJxQDbT/A82Tx2zInFBcbw9y+T/Hyz/dtg6Ihuc3TUlhmmc&#10;0RaUIEE8+wC9IAUljfAcNdvuayU5Czhq0kSCxXKSzyZFXsyjjr31JcI9WQQMw0cYEDNp4u0j8GdP&#10;DNx1zOzErXPQd4I1yGMaM7OL1BHHR5C6/woN9sP2ARLQ0DodRUbZCKLjPI/nGYohEB5LzmdFsZpR&#10;wjE2m10tlqtUgpWv2db58FmAJnFTUYceSejs8OhD7IaVr1diMQMPUqnkE2VIX9HVolikhIuIlgFt&#10;rKSu6DKP32isSPKTaVJyYFKNeyygzIl1JDpSDkM94MUoRQ3NEfk7GO2Kzws3HbjflPRo1Yr6X3vm&#10;BCXqi0ENV9P5PHo7HeaL6wIP7jJSX0aY4QhV0UDJuL0L6T2MXG9R61YmGd46OfWKFkzqnJ5L9Pjl&#10;Od16e9SbFwAAAP//AwBQSwMEFAAGAAgAAAAhAMbrtafgAAAADAEAAA8AAABkcnMvZG93bnJldi54&#10;bWxMj81OwzAQhO9IfQdrkXqjNm1TJSFOVYF6BVF+JG5uvE0i4nUUu014e7YnuO1oPs3OFNvJdeKC&#10;Q2g9abhfKBBIlbct1Rre3/Z3KYgQDVnTeUINPxhgW85uCpNbP9IrXg6xFhxCITcamhj7XMpQNehM&#10;WPgeib2TH5yJLIda2sGMHO46uVRqI51piT80psfHBqvvw9lp+Hg+fX2u1Uv95JJ+9JOS5DKp9fx2&#10;2j2AiDjFPxiu9bk6lNzp6M9kg+g0pKvVklE21psExJVQScprjnxlWQKyLOT/EeUvAAAA//8DAFBL&#10;AQItABQABgAIAAAAIQC2gziS/gAAAOEBAAATAAAAAAAAAAAAAAAAAAAAAABbQ29udGVudF9UeXBl&#10;c10ueG1sUEsBAi0AFAAGAAgAAAAhADj9If/WAAAAlAEAAAsAAAAAAAAAAAAAAAAALwEAAF9yZWxz&#10;Ly5yZWxzUEsBAi0AFAAGAAgAAAAhAKiLb/UoAgAAHAQAAA4AAAAAAAAAAAAAAAAALgIAAGRycy9l&#10;Mm9Eb2MueG1sUEsBAi0AFAAGAAgAAAAhAMbrtafgAAAADAEAAA8AAAAAAAAAAAAAAAAAggQAAGRy&#10;cy9kb3ducmV2LnhtbFBLBQYAAAAABAAEAPMAAACPBQAAAAA=&#10;" filled="f" stroked="f">
              <v:textbox>
                <w:txbxContent>
                  <w:p w14:paraId="2103FAD6" w14:textId="75C9AF9B" w:rsidR="007762FA" w:rsidRPr="00A01B40" w:rsidRDefault="008C682B" w:rsidP="0057332C">
                    <w:pPr>
                      <w:pStyle w:val="Datainformacjisygnalnej"/>
                    </w:pPr>
                    <w:r>
                      <w:t>28</w:t>
                    </w:r>
                    <w:r w:rsidR="007762FA">
                      <w:t>.0</w:t>
                    </w:r>
                    <w:r w:rsidR="00F64988">
                      <w:t>3</w:t>
                    </w:r>
                    <w:r>
                      <w:t>.2024</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3"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BB24"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4pt;height:129.6pt;visibility:visible;mso-wrap-style:square" o:bullet="t">
        <v:imagedata r:id="rId1" o:title=""/>
      </v:shape>
    </w:pict>
  </w:numPicBullet>
  <w:numPicBullet w:numPicBulletId="1">
    <w:pict>
      <v:shape id="_x0000_i1027" type="#_x0000_t75" style="width:122.4pt;height:129.6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52F5"/>
    <w:rsid w:val="00017EE0"/>
    <w:rsid w:val="00021C39"/>
    <w:rsid w:val="00025AC2"/>
    <w:rsid w:val="00026804"/>
    <w:rsid w:val="000303D7"/>
    <w:rsid w:val="0004126F"/>
    <w:rsid w:val="00044667"/>
    <w:rsid w:val="0004582E"/>
    <w:rsid w:val="000461F1"/>
    <w:rsid w:val="000470AA"/>
    <w:rsid w:val="0004788F"/>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3004"/>
    <w:rsid w:val="00095966"/>
    <w:rsid w:val="00097840"/>
    <w:rsid w:val="000A16D8"/>
    <w:rsid w:val="000A7BED"/>
    <w:rsid w:val="000A7C30"/>
    <w:rsid w:val="000B0727"/>
    <w:rsid w:val="000B19C5"/>
    <w:rsid w:val="000B323E"/>
    <w:rsid w:val="000B3F66"/>
    <w:rsid w:val="000B3F99"/>
    <w:rsid w:val="000B3FC6"/>
    <w:rsid w:val="000C135D"/>
    <w:rsid w:val="000C4742"/>
    <w:rsid w:val="000C4C2E"/>
    <w:rsid w:val="000D1D43"/>
    <w:rsid w:val="000D225C"/>
    <w:rsid w:val="000D2A5C"/>
    <w:rsid w:val="000D2F00"/>
    <w:rsid w:val="000D3262"/>
    <w:rsid w:val="000D39F0"/>
    <w:rsid w:val="000D7E5C"/>
    <w:rsid w:val="000E0918"/>
    <w:rsid w:val="000E7199"/>
    <w:rsid w:val="000E7901"/>
    <w:rsid w:val="000E79A9"/>
    <w:rsid w:val="000F2E7E"/>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3651"/>
    <w:rsid w:val="00134145"/>
    <w:rsid w:val="00136736"/>
    <w:rsid w:val="00136D67"/>
    <w:rsid w:val="00140ADB"/>
    <w:rsid w:val="001423B6"/>
    <w:rsid w:val="00143957"/>
    <w:rsid w:val="001448A7"/>
    <w:rsid w:val="00146621"/>
    <w:rsid w:val="00151077"/>
    <w:rsid w:val="00153446"/>
    <w:rsid w:val="0015465E"/>
    <w:rsid w:val="00156EC0"/>
    <w:rsid w:val="001617E3"/>
    <w:rsid w:val="00162325"/>
    <w:rsid w:val="00163D43"/>
    <w:rsid w:val="00174A1D"/>
    <w:rsid w:val="00180822"/>
    <w:rsid w:val="00193AA0"/>
    <w:rsid w:val="001951DA"/>
    <w:rsid w:val="00197D40"/>
    <w:rsid w:val="001A0F2D"/>
    <w:rsid w:val="001A32E4"/>
    <w:rsid w:val="001B011C"/>
    <w:rsid w:val="001B053D"/>
    <w:rsid w:val="001B313A"/>
    <w:rsid w:val="001B52E0"/>
    <w:rsid w:val="001C147B"/>
    <w:rsid w:val="001C3269"/>
    <w:rsid w:val="001D19B6"/>
    <w:rsid w:val="001D1C78"/>
    <w:rsid w:val="001D1DB4"/>
    <w:rsid w:val="001D23F1"/>
    <w:rsid w:val="001D25F9"/>
    <w:rsid w:val="001D2EEB"/>
    <w:rsid w:val="001D4695"/>
    <w:rsid w:val="001D61ED"/>
    <w:rsid w:val="001E0386"/>
    <w:rsid w:val="001E0B4B"/>
    <w:rsid w:val="001E5B2D"/>
    <w:rsid w:val="001F1ADC"/>
    <w:rsid w:val="001F4ABF"/>
    <w:rsid w:val="001F770C"/>
    <w:rsid w:val="00200D3A"/>
    <w:rsid w:val="0020156C"/>
    <w:rsid w:val="00203905"/>
    <w:rsid w:val="002064CD"/>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73B"/>
    <w:rsid w:val="00242D31"/>
    <w:rsid w:val="002442BD"/>
    <w:rsid w:val="00247B69"/>
    <w:rsid w:val="00253348"/>
    <w:rsid w:val="00253CEC"/>
    <w:rsid w:val="0025481E"/>
    <w:rsid w:val="002574F9"/>
    <w:rsid w:val="00260894"/>
    <w:rsid w:val="00262B61"/>
    <w:rsid w:val="00262CC6"/>
    <w:rsid w:val="00263E08"/>
    <w:rsid w:val="002669F1"/>
    <w:rsid w:val="00266C29"/>
    <w:rsid w:val="00266DDB"/>
    <w:rsid w:val="0027180D"/>
    <w:rsid w:val="00271D23"/>
    <w:rsid w:val="002726D2"/>
    <w:rsid w:val="00272C59"/>
    <w:rsid w:val="0027656D"/>
    <w:rsid w:val="00276811"/>
    <w:rsid w:val="00280BDF"/>
    <w:rsid w:val="00282699"/>
    <w:rsid w:val="00285253"/>
    <w:rsid w:val="00286680"/>
    <w:rsid w:val="00290A7E"/>
    <w:rsid w:val="002926DF"/>
    <w:rsid w:val="00296697"/>
    <w:rsid w:val="00297B38"/>
    <w:rsid w:val="002A2E23"/>
    <w:rsid w:val="002A471E"/>
    <w:rsid w:val="002A655D"/>
    <w:rsid w:val="002B0472"/>
    <w:rsid w:val="002B3C0D"/>
    <w:rsid w:val="002B4995"/>
    <w:rsid w:val="002B6282"/>
    <w:rsid w:val="002B6B12"/>
    <w:rsid w:val="002C157F"/>
    <w:rsid w:val="002C21F0"/>
    <w:rsid w:val="002C3E5F"/>
    <w:rsid w:val="002C4469"/>
    <w:rsid w:val="002C4774"/>
    <w:rsid w:val="002C70F6"/>
    <w:rsid w:val="002D01DF"/>
    <w:rsid w:val="002D2B89"/>
    <w:rsid w:val="002D30C7"/>
    <w:rsid w:val="002D4F2B"/>
    <w:rsid w:val="002D6769"/>
    <w:rsid w:val="002E1608"/>
    <w:rsid w:val="002E175E"/>
    <w:rsid w:val="002E229C"/>
    <w:rsid w:val="002E386D"/>
    <w:rsid w:val="002E3EB3"/>
    <w:rsid w:val="002E4DAD"/>
    <w:rsid w:val="002E6140"/>
    <w:rsid w:val="002E6985"/>
    <w:rsid w:val="002E71B6"/>
    <w:rsid w:val="002F1645"/>
    <w:rsid w:val="002F35F6"/>
    <w:rsid w:val="002F44E9"/>
    <w:rsid w:val="002F5768"/>
    <w:rsid w:val="002F77C8"/>
    <w:rsid w:val="00302A3F"/>
    <w:rsid w:val="00302E96"/>
    <w:rsid w:val="00304F22"/>
    <w:rsid w:val="00306C7C"/>
    <w:rsid w:val="0031107D"/>
    <w:rsid w:val="003120D1"/>
    <w:rsid w:val="00314F86"/>
    <w:rsid w:val="00315802"/>
    <w:rsid w:val="00315FB4"/>
    <w:rsid w:val="00317F4D"/>
    <w:rsid w:val="00321B3E"/>
    <w:rsid w:val="00322EDD"/>
    <w:rsid w:val="00323407"/>
    <w:rsid w:val="003260BE"/>
    <w:rsid w:val="003265B2"/>
    <w:rsid w:val="003309FA"/>
    <w:rsid w:val="00330D24"/>
    <w:rsid w:val="00331A75"/>
    <w:rsid w:val="00332320"/>
    <w:rsid w:val="00335908"/>
    <w:rsid w:val="00342D75"/>
    <w:rsid w:val="00345E06"/>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580"/>
    <w:rsid w:val="0039064A"/>
    <w:rsid w:val="00391259"/>
    <w:rsid w:val="00393761"/>
    <w:rsid w:val="003946F9"/>
    <w:rsid w:val="00394E26"/>
    <w:rsid w:val="00396691"/>
    <w:rsid w:val="00397D18"/>
    <w:rsid w:val="003A1B36"/>
    <w:rsid w:val="003A2A72"/>
    <w:rsid w:val="003A2B07"/>
    <w:rsid w:val="003B1454"/>
    <w:rsid w:val="003B15C6"/>
    <w:rsid w:val="003B18B6"/>
    <w:rsid w:val="003B3863"/>
    <w:rsid w:val="003B3D7D"/>
    <w:rsid w:val="003B54B6"/>
    <w:rsid w:val="003B668D"/>
    <w:rsid w:val="003C025A"/>
    <w:rsid w:val="003C161B"/>
    <w:rsid w:val="003C430B"/>
    <w:rsid w:val="003C507B"/>
    <w:rsid w:val="003C59E0"/>
    <w:rsid w:val="003C5CC0"/>
    <w:rsid w:val="003C6C8D"/>
    <w:rsid w:val="003C75B2"/>
    <w:rsid w:val="003D2656"/>
    <w:rsid w:val="003D4F95"/>
    <w:rsid w:val="003D5F42"/>
    <w:rsid w:val="003D60A9"/>
    <w:rsid w:val="003E16FF"/>
    <w:rsid w:val="003E76F6"/>
    <w:rsid w:val="003F1D96"/>
    <w:rsid w:val="003F3FFD"/>
    <w:rsid w:val="003F458E"/>
    <w:rsid w:val="003F4C97"/>
    <w:rsid w:val="003F5475"/>
    <w:rsid w:val="003F666D"/>
    <w:rsid w:val="003F7FE6"/>
    <w:rsid w:val="00400193"/>
    <w:rsid w:val="0040084E"/>
    <w:rsid w:val="00401D2E"/>
    <w:rsid w:val="00403EAE"/>
    <w:rsid w:val="00404EA3"/>
    <w:rsid w:val="00405DFE"/>
    <w:rsid w:val="00406856"/>
    <w:rsid w:val="00410F71"/>
    <w:rsid w:val="00411A97"/>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AA3"/>
    <w:rsid w:val="00446749"/>
    <w:rsid w:val="00446D34"/>
    <w:rsid w:val="004528E0"/>
    <w:rsid w:val="00453672"/>
    <w:rsid w:val="00453EB7"/>
    <w:rsid w:val="00457394"/>
    <w:rsid w:val="00457427"/>
    <w:rsid w:val="00463E39"/>
    <w:rsid w:val="004657FC"/>
    <w:rsid w:val="00466A99"/>
    <w:rsid w:val="004733F6"/>
    <w:rsid w:val="00473557"/>
    <w:rsid w:val="00474E69"/>
    <w:rsid w:val="00477F4E"/>
    <w:rsid w:val="0048136E"/>
    <w:rsid w:val="00483E9F"/>
    <w:rsid w:val="00485759"/>
    <w:rsid w:val="00485A2C"/>
    <w:rsid w:val="00491E76"/>
    <w:rsid w:val="0049246F"/>
    <w:rsid w:val="0049621B"/>
    <w:rsid w:val="004A1D19"/>
    <w:rsid w:val="004A28E4"/>
    <w:rsid w:val="004A399C"/>
    <w:rsid w:val="004A406A"/>
    <w:rsid w:val="004B0408"/>
    <w:rsid w:val="004B56CA"/>
    <w:rsid w:val="004B678F"/>
    <w:rsid w:val="004B6CDA"/>
    <w:rsid w:val="004C1895"/>
    <w:rsid w:val="004C1D0E"/>
    <w:rsid w:val="004C6D40"/>
    <w:rsid w:val="004C7FB6"/>
    <w:rsid w:val="004D004E"/>
    <w:rsid w:val="004D06EF"/>
    <w:rsid w:val="004E0C32"/>
    <w:rsid w:val="004E28B4"/>
    <w:rsid w:val="004E6AA8"/>
    <w:rsid w:val="004F0C3C"/>
    <w:rsid w:val="004F2280"/>
    <w:rsid w:val="004F23BB"/>
    <w:rsid w:val="004F63FC"/>
    <w:rsid w:val="00500489"/>
    <w:rsid w:val="0050328A"/>
    <w:rsid w:val="00503585"/>
    <w:rsid w:val="00505A92"/>
    <w:rsid w:val="005067F2"/>
    <w:rsid w:val="00511823"/>
    <w:rsid w:val="00511E14"/>
    <w:rsid w:val="00513768"/>
    <w:rsid w:val="00513C95"/>
    <w:rsid w:val="005203F1"/>
    <w:rsid w:val="00521BC3"/>
    <w:rsid w:val="005232C7"/>
    <w:rsid w:val="005233CF"/>
    <w:rsid w:val="00523B60"/>
    <w:rsid w:val="005244EC"/>
    <w:rsid w:val="0052656C"/>
    <w:rsid w:val="00531FB0"/>
    <w:rsid w:val="00533632"/>
    <w:rsid w:val="00534013"/>
    <w:rsid w:val="00540C5C"/>
    <w:rsid w:val="005415D3"/>
    <w:rsid w:val="00541666"/>
    <w:rsid w:val="00541E6E"/>
    <w:rsid w:val="00542252"/>
    <w:rsid w:val="0054251F"/>
    <w:rsid w:val="00543DA2"/>
    <w:rsid w:val="00550234"/>
    <w:rsid w:val="00551392"/>
    <w:rsid w:val="005520D8"/>
    <w:rsid w:val="005520F3"/>
    <w:rsid w:val="00555CFB"/>
    <w:rsid w:val="00556CF1"/>
    <w:rsid w:val="00556DCC"/>
    <w:rsid w:val="0057109D"/>
    <w:rsid w:val="0057289C"/>
    <w:rsid w:val="0057332C"/>
    <w:rsid w:val="00573991"/>
    <w:rsid w:val="005762A7"/>
    <w:rsid w:val="00576EE6"/>
    <w:rsid w:val="0058463C"/>
    <w:rsid w:val="00587CEE"/>
    <w:rsid w:val="00590015"/>
    <w:rsid w:val="005916D7"/>
    <w:rsid w:val="00593C33"/>
    <w:rsid w:val="0059427F"/>
    <w:rsid w:val="0059603E"/>
    <w:rsid w:val="0059780C"/>
    <w:rsid w:val="005A0E54"/>
    <w:rsid w:val="005A4E00"/>
    <w:rsid w:val="005A698C"/>
    <w:rsid w:val="005B1F61"/>
    <w:rsid w:val="005B26E9"/>
    <w:rsid w:val="005B538E"/>
    <w:rsid w:val="005B5488"/>
    <w:rsid w:val="005B5788"/>
    <w:rsid w:val="005B5820"/>
    <w:rsid w:val="005C0CAC"/>
    <w:rsid w:val="005C1525"/>
    <w:rsid w:val="005D062E"/>
    <w:rsid w:val="005D121F"/>
    <w:rsid w:val="005D1394"/>
    <w:rsid w:val="005D1A32"/>
    <w:rsid w:val="005D3C7C"/>
    <w:rsid w:val="005D6955"/>
    <w:rsid w:val="005E0799"/>
    <w:rsid w:val="005E10F9"/>
    <w:rsid w:val="005E1200"/>
    <w:rsid w:val="005E1389"/>
    <w:rsid w:val="005E2CC7"/>
    <w:rsid w:val="005E68A5"/>
    <w:rsid w:val="005E793B"/>
    <w:rsid w:val="005F45EE"/>
    <w:rsid w:val="005F4A8B"/>
    <w:rsid w:val="005F5A80"/>
    <w:rsid w:val="006044FF"/>
    <w:rsid w:val="00607CC5"/>
    <w:rsid w:val="0061179B"/>
    <w:rsid w:val="006125F9"/>
    <w:rsid w:val="006243F5"/>
    <w:rsid w:val="006254CD"/>
    <w:rsid w:val="00627887"/>
    <w:rsid w:val="00633014"/>
    <w:rsid w:val="0063437B"/>
    <w:rsid w:val="0063617A"/>
    <w:rsid w:val="00636E2C"/>
    <w:rsid w:val="0064017E"/>
    <w:rsid w:val="00643272"/>
    <w:rsid w:val="00645703"/>
    <w:rsid w:val="00647B5C"/>
    <w:rsid w:val="00650CA3"/>
    <w:rsid w:val="006523BA"/>
    <w:rsid w:val="0065267F"/>
    <w:rsid w:val="006530C5"/>
    <w:rsid w:val="00654BB6"/>
    <w:rsid w:val="00664FFB"/>
    <w:rsid w:val="00666100"/>
    <w:rsid w:val="006673CA"/>
    <w:rsid w:val="0066751D"/>
    <w:rsid w:val="00670C24"/>
    <w:rsid w:val="00671156"/>
    <w:rsid w:val="00673C26"/>
    <w:rsid w:val="00674DE5"/>
    <w:rsid w:val="006764FF"/>
    <w:rsid w:val="00677ACA"/>
    <w:rsid w:val="006812AF"/>
    <w:rsid w:val="0068327D"/>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BE1"/>
    <w:rsid w:val="00701680"/>
    <w:rsid w:val="0070216F"/>
    <w:rsid w:val="00705D19"/>
    <w:rsid w:val="007108D3"/>
    <w:rsid w:val="00710F28"/>
    <w:rsid w:val="00720B05"/>
    <w:rsid w:val="007211B1"/>
    <w:rsid w:val="00721FBB"/>
    <w:rsid w:val="0072379F"/>
    <w:rsid w:val="00727559"/>
    <w:rsid w:val="007277DA"/>
    <w:rsid w:val="00730795"/>
    <w:rsid w:val="00731BEB"/>
    <w:rsid w:val="00731D27"/>
    <w:rsid w:val="007346B2"/>
    <w:rsid w:val="007424B6"/>
    <w:rsid w:val="00743792"/>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62FA"/>
    <w:rsid w:val="007801F5"/>
    <w:rsid w:val="00782147"/>
    <w:rsid w:val="007825A5"/>
    <w:rsid w:val="00783A20"/>
    <w:rsid w:val="00783CA4"/>
    <w:rsid w:val="007842FB"/>
    <w:rsid w:val="00785608"/>
    <w:rsid w:val="00786124"/>
    <w:rsid w:val="00792546"/>
    <w:rsid w:val="0079514B"/>
    <w:rsid w:val="00795252"/>
    <w:rsid w:val="00797434"/>
    <w:rsid w:val="007A2DC1"/>
    <w:rsid w:val="007A6717"/>
    <w:rsid w:val="007A6932"/>
    <w:rsid w:val="007B49E9"/>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7F5B1E"/>
    <w:rsid w:val="00800827"/>
    <w:rsid w:val="00805072"/>
    <w:rsid w:val="0080553C"/>
    <w:rsid w:val="00805B46"/>
    <w:rsid w:val="00805DB4"/>
    <w:rsid w:val="008077CE"/>
    <w:rsid w:val="00810599"/>
    <w:rsid w:val="008170A6"/>
    <w:rsid w:val="00817DDF"/>
    <w:rsid w:val="00821B53"/>
    <w:rsid w:val="00822E90"/>
    <w:rsid w:val="00823593"/>
    <w:rsid w:val="00825DC2"/>
    <w:rsid w:val="00826205"/>
    <w:rsid w:val="00834AD3"/>
    <w:rsid w:val="0083692E"/>
    <w:rsid w:val="00843795"/>
    <w:rsid w:val="00843F2E"/>
    <w:rsid w:val="00844717"/>
    <w:rsid w:val="00845C50"/>
    <w:rsid w:val="00846E76"/>
    <w:rsid w:val="00847F0F"/>
    <w:rsid w:val="00850FAD"/>
    <w:rsid w:val="00851428"/>
    <w:rsid w:val="00852448"/>
    <w:rsid w:val="00863791"/>
    <w:rsid w:val="008641DA"/>
    <w:rsid w:val="00870FA8"/>
    <w:rsid w:val="00873E14"/>
    <w:rsid w:val="00877F6C"/>
    <w:rsid w:val="0088258A"/>
    <w:rsid w:val="008839F7"/>
    <w:rsid w:val="00886332"/>
    <w:rsid w:val="008867DC"/>
    <w:rsid w:val="00887A8A"/>
    <w:rsid w:val="008911E2"/>
    <w:rsid w:val="008925F0"/>
    <w:rsid w:val="00893E27"/>
    <w:rsid w:val="0089448A"/>
    <w:rsid w:val="00896D9D"/>
    <w:rsid w:val="00897115"/>
    <w:rsid w:val="00897877"/>
    <w:rsid w:val="00897922"/>
    <w:rsid w:val="008A26D9"/>
    <w:rsid w:val="008A47B0"/>
    <w:rsid w:val="008A4B6E"/>
    <w:rsid w:val="008A5C1E"/>
    <w:rsid w:val="008A7B5B"/>
    <w:rsid w:val="008B12D2"/>
    <w:rsid w:val="008B71F1"/>
    <w:rsid w:val="008C0C29"/>
    <w:rsid w:val="008C682B"/>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84A"/>
    <w:rsid w:val="00906E52"/>
    <w:rsid w:val="009104D4"/>
    <w:rsid w:val="00911ACF"/>
    <w:rsid w:val="009127BA"/>
    <w:rsid w:val="00916135"/>
    <w:rsid w:val="00920436"/>
    <w:rsid w:val="00920AAE"/>
    <w:rsid w:val="009227A6"/>
    <w:rsid w:val="00927009"/>
    <w:rsid w:val="00933EC1"/>
    <w:rsid w:val="00936CE3"/>
    <w:rsid w:val="009408B9"/>
    <w:rsid w:val="00940AE5"/>
    <w:rsid w:val="009425C0"/>
    <w:rsid w:val="009446AD"/>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6E4"/>
    <w:rsid w:val="0098398B"/>
    <w:rsid w:val="00984157"/>
    <w:rsid w:val="009859B9"/>
    <w:rsid w:val="00986D3C"/>
    <w:rsid w:val="009873E1"/>
    <w:rsid w:val="00991BAC"/>
    <w:rsid w:val="00993775"/>
    <w:rsid w:val="00993E20"/>
    <w:rsid w:val="009A0B98"/>
    <w:rsid w:val="009A0EB0"/>
    <w:rsid w:val="009A26B9"/>
    <w:rsid w:val="009A68CA"/>
    <w:rsid w:val="009A6EA0"/>
    <w:rsid w:val="009B155D"/>
    <w:rsid w:val="009B1972"/>
    <w:rsid w:val="009C12A7"/>
    <w:rsid w:val="009C1335"/>
    <w:rsid w:val="009C1AB2"/>
    <w:rsid w:val="009C7251"/>
    <w:rsid w:val="009D466C"/>
    <w:rsid w:val="009E0D43"/>
    <w:rsid w:val="009E25E1"/>
    <w:rsid w:val="009E2E91"/>
    <w:rsid w:val="00A01B40"/>
    <w:rsid w:val="00A05677"/>
    <w:rsid w:val="00A10BA5"/>
    <w:rsid w:val="00A139F5"/>
    <w:rsid w:val="00A14146"/>
    <w:rsid w:val="00A1700A"/>
    <w:rsid w:val="00A23CC1"/>
    <w:rsid w:val="00A24A85"/>
    <w:rsid w:val="00A2668F"/>
    <w:rsid w:val="00A2736A"/>
    <w:rsid w:val="00A32B36"/>
    <w:rsid w:val="00A32E16"/>
    <w:rsid w:val="00A3528D"/>
    <w:rsid w:val="00A365F4"/>
    <w:rsid w:val="00A36FCB"/>
    <w:rsid w:val="00A41DCB"/>
    <w:rsid w:val="00A44B8F"/>
    <w:rsid w:val="00A47D80"/>
    <w:rsid w:val="00A47F5A"/>
    <w:rsid w:val="00A52B4E"/>
    <w:rsid w:val="00A53132"/>
    <w:rsid w:val="00A563F2"/>
    <w:rsid w:val="00A566E8"/>
    <w:rsid w:val="00A56D33"/>
    <w:rsid w:val="00A61856"/>
    <w:rsid w:val="00A61E4F"/>
    <w:rsid w:val="00A62D30"/>
    <w:rsid w:val="00A660B4"/>
    <w:rsid w:val="00A66347"/>
    <w:rsid w:val="00A73F73"/>
    <w:rsid w:val="00A810F9"/>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D062C"/>
    <w:rsid w:val="00AD086E"/>
    <w:rsid w:val="00AD0C58"/>
    <w:rsid w:val="00AD0E56"/>
    <w:rsid w:val="00AD1704"/>
    <w:rsid w:val="00AD7641"/>
    <w:rsid w:val="00AD7D81"/>
    <w:rsid w:val="00AE02E2"/>
    <w:rsid w:val="00AE229B"/>
    <w:rsid w:val="00AE2D4B"/>
    <w:rsid w:val="00AE4F99"/>
    <w:rsid w:val="00AF1E52"/>
    <w:rsid w:val="00AF499E"/>
    <w:rsid w:val="00B00E71"/>
    <w:rsid w:val="00B01F63"/>
    <w:rsid w:val="00B06F75"/>
    <w:rsid w:val="00B11B69"/>
    <w:rsid w:val="00B13878"/>
    <w:rsid w:val="00B13BAC"/>
    <w:rsid w:val="00B1432B"/>
    <w:rsid w:val="00B14952"/>
    <w:rsid w:val="00B14FBA"/>
    <w:rsid w:val="00B151CA"/>
    <w:rsid w:val="00B16871"/>
    <w:rsid w:val="00B23582"/>
    <w:rsid w:val="00B25B45"/>
    <w:rsid w:val="00B267FF"/>
    <w:rsid w:val="00B30564"/>
    <w:rsid w:val="00B31DB9"/>
    <w:rsid w:val="00B31E5A"/>
    <w:rsid w:val="00B35453"/>
    <w:rsid w:val="00B45F13"/>
    <w:rsid w:val="00B465D8"/>
    <w:rsid w:val="00B46CBE"/>
    <w:rsid w:val="00B47359"/>
    <w:rsid w:val="00B579AB"/>
    <w:rsid w:val="00B62D0B"/>
    <w:rsid w:val="00B653AB"/>
    <w:rsid w:val="00B65F9E"/>
    <w:rsid w:val="00B6639B"/>
    <w:rsid w:val="00B66B19"/>
    <w:rsid w:val="00B77D57"/>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B02B7"/>
    <w:rsid w:val="00BB0BDB"/>
    <w:rsid w:val="00BB4793"/>
    <w:rsid w:val="00BB4F09"/>
    <w:rsid w:val="00BC0EDF"/>
    <w:rsid w:val="00BC12E2"/>
    <w:rsid w:val="00BC2D48"/>
    <w:rsid w:val="00BC36E6"/>
    <w:rsid w:val="00BC66BD"/>
    <w:rsid w:val="00BD4E33"/>
    <w:rsid w:val="00BE077B"/>
    <w:rsid w:val="00BE2813"/>
    <w:rsid w:val="00BE383F"/>
    <w:rsid w:val="00BE7F14"/>
    <w:rsid w:val="00BF1D5B"/>
    <w:rsid w:val="00BF27FA"/>
    <w:rsid w:val="00BF2E69"/>
    <w:rsid w:val="00BF2F72"/>
    <w:rsid w:val="00BF4AA9"/>
    <w:rsid w:val="00BF768F"/>
    <w:rsid w:val="00C013B9"/>
    <w:rsid w:val="00C030DE"/>
    <w:rsid w:val="00C051A8"/>
    <w:rsid w:val="00C10C66"/>
    <w:rsid w:val="00C14F50"/>
    <w:rsid w:val="00C1689D"/>
    <w:rsid w:val="00C20615"/>
    <w:rsid w:val="00C21F58"/>
    <w:rsid w:val="00C22105"/>
    <w:rsid w:val="00C244B6"/>
    <w:rsid w:val="00C247E0"/>
    <w:rsid w:val="00C24B22"/>
    <w:rsid w:val="00C27BF1"/>
    <w:rsid w:val="00C307AB"/>
    <w:rsid w:val="00C32E34"/>
    <w:rsid w:val="00C34FFB"/>
    <w:rsid w:val="00C35801"/>
    <w:rsid w:val="00C35E76"/>
    <w:rsid w:val="00C36C83"/>
    <w:rsid w:val="00C3702F"/>
    <w:rsid w:val="00C4379C"/>
    <w:rsid w:val="00C4500A"/>
    <w:rsid w:val="00C50128"/>
    <w:rsid w:val="00C52FFC"/>
    <w:rsid w:val="00C56B13"/>
    <w:rsid w:val="00C62238"/>
    <w:rsid w:val="00C64A37"/>
    <w:rsid w:val="00C7158E"/>
    <w:rsid w:val="00C7250B"/>
    <w:rsid w:val="00C72EF8"/>
    <w:rsid w:val="00C72FE2"/>
    <w:rsid w:val="00C7346B"/>
    <w:rsid w:val="00C76710"/>
    <w:rsid w:val="00C77C0E"/>
    <w:rsid w:val="00C77E23"/>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B1E65"/>
    <w:rsid w:val="00CB23CF"/>
    <w:rsid w:val="00CB2CEB"/>
    <w:rsid w:val="00CB2F90"/>
    <w:rsid w:val="00CB689D"/>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F076D"/>
    <w:rsid w:val="00CF0D68"/>
    <w:rsid w:val="00CF111C"/>
    <w:rsid w:val="00CF18EE"/>
    <w:rsid w:val="00CF278D"/>
    <w:rsid w:val="00CF30BD"/>
    <w:rsid w:val="00CF4099"/>
    <w:rsid w:val="00CF5EBF"/>
    <w:rsid w:val="00D00796"/>
    <w:rsid w:val="00D02342"/>
    <w:rsid w:val="00D0314E"/>
    <w:rsid w:val="00D04A10"/>
    <w:rsid w:val="00D10688"/>
    <w:rsid w:val="00D11050"/>
    <w:rsid w:val="00D1265D"/>
    <w:rsid w:val="00D15D1B"/>
    <w:rsid w:val="00D261A2"/>
    <w:rsid w:val="00D262A8"/>
    <w:rsid w:val="00D2709F"/>
    <w:rsid w:val="00D307AD"/>
    <w:rsid w:val="00D30ADE"/>
    <w:rsid w:val="00D31400"/>
    <w:rsid w:val="00D40538"/>
    <w:rsid w:val="00D43306"/>
    <w:rsid w:val="00D61557"/>
    <w:rsid w:val="00D616D2"/>
    <w:rsid w:val="00D6351C"/>
    <w:rsid w:val="00D63B5F"/>
    <w:rsid w:val="00D66006"/>
    <w:rsid w:val="00D70EF7"/>
    <w:rsid w:val="00D71810"/>
    <w:rsid w:val="00D762A5"/>
    <w:rsid w:val="00D76F96"/>
    <w:rsid w:val="00D80AAB"/>
    <w:rsid w:val="00D82888"/>
    <w:rsid w:val="00D8397C"/>
    <w:rsid w:val="00D94EED"/>
    <w:rsid w:val="00D96026"/>
    <w:rsid w:val="00D972F6"/>
    <w:rsid w:val="00DA331D"/>
    <w:rsid w:val="00DA3C88"/>
    <w:rsid w:val="00DA7C1C"/>
    <w:rsid w:val="00DB0536"/>
    <w:rsid w:val="00DB147A"/>
    <w:rsid w:val="00DB1B7A"/>
    <w:rsid w:val="00DB3752"/>
    <w:rsid w:val="00DB3817"/>
    <w:rsid w:val="00DB5F7D"/>
    <w:rsid w:val="00DB706E"/>
    <w:rsid w:val="00DC6708"/>
    <w:rsid w:val="00DC7DCB"/>
    <w:rsid w:val="00DD011A"/>
    <w:rsid w:val="00DD21BA"/>
    <w:rsid w:val="00DD382C"/>
    <w:rsid w:val="00DD62BE"/>
    <w:rsid w:val="00DE2400"/>
    <w:rsid w:val="00DE58F1"/>
    <w:rsid w:val="00DE6B58"/>
    <w:rsid w:val="00DF0BAD"/>
    <w:rsid w:val="00DF587A"/>
    <w:rsid w:val="00DF5D38"/>
    <w:rsid w:val="00DF5E32"/>
    <w:rsid w:val="00DF708F"/>
    <w:rsid w:val="00E01436"/>
    <w:rsid w:val="00E027F0"/>
    <w:rsid w:val="00E02F90"/>
    <w:rsid w:val="00E03E79"/>
    <w:rsid w:val="00E045BD"/>
    <w:rsid w:val="00E04D6C"/>
    <w:rsid w:val="00E17B77"/>
    <w:rsid w:val="00E231AB"/>
    <w:rsid w:val="00E23337"/>
    <w:rsid w:val="00E245B1"/>
    <w:rsid w:val="00E259EA"/>
    <w:rsid w:val="00E25D33"/>
    <w:rsid w:val="00E2641A"/>
    <w:rsid w:val="00E315B9"/>
    <w:rsid w:val="00E32061"/>
    <w:rsid w:val="00E33F48"/>
    <w:rsid w:val="00E33F66"/>
    <w:rsid w:val="00E40A56"/>
    <w:rsid w:val="00E42FF9"/>
    <w:rsid w:val="00E44790"/>
    <w:rsid w:val="00E4714C"/>
    <w:rsid w:val="00E5178D"/>
    <w:rsid w:val="00E51AEB"/>
    <w:rsid w:val="00E522A7"/>
    <w:rsid w:val="00E52651"/>
    <w:rsid w:val="00E5349E"/>
    <w:rsid w:val="00E54452"/>
    <w:rsid w:val="00E55166"/>
    <w:rsid w:val="00E56776"/>
    <w:rsid w:val="00E572D9"/>
    <w:rsid w:val="00E60642"/>
    <w:rsid w:val="00E610C8"/>
    <w:rsid w:val="00E61970"/>
    <w:rsid w:val="00E63B0C"/>
    <w:rsid w:val="00E664C5"/>
    <w:rsid w:val="00E671A2"/>
    <w:rsid w:val="00E70F8F"/>
    <w:rsid w:val="00E76D26"/>
    <w:rsid w:val="00E76EE5"/>
    <w:rsid w:val="00E8524C"/>
    <w:rsid w:val="00E93DB8"/>
    <w:rsid w:val="00E948B2"/>
    <w:rsid w:val="00E953FE"/>
    <w:rsid w:val="00E95B8E"/>
    <w:rsid w:val="00E96919"/>
    <w:rsid w:val="00E96E0C"/>
    <w:rsid w:val="00EA016D"/>
    <w:rsid w:val="00EA3CB1"/>
    <w:rsid w:val="00EB0537"/>
    <w:rsid w:val="00EB11FA"/>
    <w:rsid w:val="00EB1390"/>
    <w:rsid w:val="00EB2C71"/>
    <w:rsid w:val="00EB2E72"/>
    <w:rsid w:val="00EB3333"/>
    <w:rsid w:val="00EB4340"/>
    <w:rsid w:val="00EB4F67"/>
    <w:rsid w:val="00EB556D"/>
    <w:rsid w:val="00EB5A7D"/>
    <w:rsid w:val="00EC2817"/>
    <w:rsid w:val="00EC512C"/>
    <w:rsid w:val="00EC73D3"/>
    <w:rsid w:val="00ED460F"/>
    <w:rsid w:val="00ED55C0"/>
    <w:rsid w:val="00ED5DBC"/>
    <w:rsid w:val="00ED682B"/>
    <w:rsid w:val="00EE41D5"/>
    <w:rsid w:val="00EE4563"/>
    <w:rsid w:val="00EE79FF"/>
    <w:rsid w:val="00EF1488"/>
    <w:rsid w:val="00EF4291"/>
    <w:rsid w:val="00F0166F"/>
    <w:rsid w:val="00F037A4"/>
    <w:rsid w:val="00F049AB"/>
    <w:rsid w:val="00F07A42"/>
    <w:rsid w:val="00F107D9"/>
    <w:rsid w:val="00F10AD7"/>
    <w:rsid w:val="00F142DB"/>
    <w:rsid w:val="00F145A8"/>
    <w:rsid w:val="00F15EA6"/>
    <w:rsid w:val="00F16054"/>
    <w:rsid w:val="00F16692"/>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FF9"/>
    <w:rsid w:val="00F526E6"/>
    <w:rsid w:val="00F56F3E"/>
    <w:rsid w:val="00F60BA8"/>
    <w:rsid w:val="00F619F2"/>
    <w:rsid w:val="00F62E3D"/>
    <w:rsid w:val="00F63267"/>
    <w:rsid w:val="00F64988"/>
    <w:rsid w:val="00F654F7"/>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A1273"/>
    <w:rsid w:val="00FA1FD6"/>
    <w:rsid w:val="00FA2171"/>
    <w:rsid w:val="00FA5128"/>
    <w:rsid w:val="00FA5211"/>
    <w:rsid w:val="00FA723C"/>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tel:+48124204050" TargetMode="External"/><Relationship Id="rId26" Type="http://schemas.openxmlformats.org/officeDocument/2006/relationships/hyperlink" Target="https://www.facebook.com/GlownyUrzadStatystyczny/" TargetMode="External"/><Relationship Id="rId39" Type="http://schemas.openxmlformats.org/officeDocument/2006/relationships/hyperlink" Target="https://stat.gov.pl/en/metainformation/glossary/terms-used-in-official-statistics/693,term.html" TargetMode="External"/><Relationship Id="rId21" Type="http://schemas.openxmlformats.org/officeDocument/2006/relationships/hyperlink" Target="mailto:obslugaprasowa@stat.gov.pl" TargetMode="External"/><Relationship Id="rId34" Type="http://schemas.openxmlformats.org/officeDocument/2006/relationships/hyperlink" Target="https://stat.gov.pl/en/topics/culture-tourism-sport/culture/cultural-and-creative-industries-in-2021,14,5.html" TargetMode="External"/><Relationship Id="rId42" Type="http://schemas.openxmlformats.org/officeDocument/2006/relationships/hyperlink" Target="https://stat.gov.pl/en/metainformation/glossary/terms-used-in-official-statistics/449,term.html"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1.png"/><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hyperlink" Target="https://stat.gov.pl/en/metainformation/glossary/terms-used-in-official-statistics/3775,term.html" TargetMode="External"/><Relationship Id="rId40" Type="http://schemas.openxmlformats.org/officeDocument/2006/relationships/hyperlink" Target="https://stat.gov.pl/en/metainformation/glossary/terms-used-in-official-statistics/376,term.html" TargetMode="External"/><Relationship Id="rId45" Type="http://schemas.openxmlformats.org/officeDocument/2006/relationships/hyperlink" Target="https://stat.gov.pl/en/metainformation/glossary/terms-used-in-official-statistics/3390,term.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 TargetMode="External"/><Relationship Id="rId28" Type="http://schemas.openxmlformats.org/officeDocument/2006/relationships/hyperlink" Target="https://www.instagram.com/gus_stat/" TargetMode="External"/><Relationship Id="rId36" Type="http://schemas.openxmlformats.org/officeDocument/2006/relationships/hyperlink" Target="https://stat.gov.pl/en/metainformation/glossary/terms-used-in-official-statistics/3774,term.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48695255011" TargetMode="External"/><Relationship Id="rId31" Type="http://schemas.openxmlformats.org/officeDocument/2006/relationships/hyperlink" Target="https://pl.linkedin.com/company/glownyurzadstatystyczny" TargetMode="External"/><Relationship Id="rId44" Type="http://schemas.openxmlformats.org/officeDocument/2006/relationships/hyperlink" Target="https://stat.gov.pl/en/metainformation/glossary/terms-used-in-official-statistics/58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www.youtube.com/channel/UC0wiQMElFgYszpAoYgTnXtg/featured" TargetMode="External"/><Relationship Id="rId35" Type="http://schemas.openxmlformats.org/officeDocument/2006/relationships/hyperlink" Target="https://stat.gov.pl/en/topics/culture-tourism-sport/culture/culture-and-national-heritage-in-2022,1,15.html" TargetMode="External"/><Relationship Id="rId43" Type="http://schemas.openxmlformats.org/officeDocument/2006/relationships/hyperlink" Target="https://stat.gov.pl/en/metainformation/glossary/terms-used-in-official-statistics/3806,term.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hyperlink" Target="https://stat.gov.pl/en/topics/culture-tourism-sport/culture/cultural-and-creative-industries-2017-2021,12,2.html" TargetMode="External"/><Relationship Id="rId38" Type="http://schemas.openxmlformats.org/officeDocument/2006/relationships/hyperlink" Target="https://stat.gov.pl/en/metainformation/glossary/terms-used-in-official-statistics/158,term.html" TargetMode="External"/><Relationship Id="rId46" Type="http://schemas.openxmlformats.org/officeDocument/2006/relationships/header" Target="header3.xml"/><Relationship Id="rId20" Type="http://schemas.openxmlformats.org/officeDocument/2006/relationships/hyperlink" Target="tel:+48226083804" TargetMode="External"/><Relationship Id="rId41" Type="http://schemas.openxmlformats.org/officeDocument/2006/relationships/hyperlink" Target="https://stat.gov.pl/en/metainformation/glossary/terms-used-in-official-statistics/395,term.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01_Cultural and creative industries in 2022.docx.docx</NazwaPliku>
    <Osoba xmlns="1E9983FF-DC4B-4F4E-A072-0441E2B88E6D">STAT\piwowarczykm</Osoba>
    <Odbiorcy2 xmlns="1E9983FF-DC4B-4F4E-A072-0441E2B88E6D" xsi:nil="true"/>
  </documentManagement>
</p:properties>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A916-BF4D-4925-B504-171D231664DA}"/>
</file>

<file path=customXml/itemProps2.xml><?xml version="1.0" encoding="utf-8"?>
<ds:datastoreItem xmlns:ds="http://schemas.openxmlformats.org/officeDocument/2006/customXml" ds:itemID="{E5777B78-E118-4B87-A243-489012129A67}"/>
</file>

<file path=customXml/itemProps3.xml><?xml version="1.0" encoding="utf-8"?>
<ds:datastoreItem xmlns:ds="http://schemas.openxmlformats.org/officeDocument/2006/customXml" ds:itemID="{F71997DC-6A44-4874-B679-7B6E4EB4B882}"/>
</file>

<file path=customXml/itemProps4.xml><?xml version="1.0" encoding="utf-8"?>
<ds:datastoreItem xmlns:ds="http://schemas.openxmlformats.org/officeDocument/2006/customXml" ds:itemID="{86BC24CE-087E-44E5-A0A5-DCC7BDC2AEDF}"/>
</file>

<file path=docProps/app.xml><?xml version="1.0" encoding="utf-8"?>
<Properties xmlns="http://schemas.openxmlformats.org/officeDocument/2006/extended-properties" xmlns:vt="http://schemas.openxmlformats.org/officeDocument/2006/docPropsVTypes">
  <Template>Normal</Template>
  <TotalTime>239</TotalTime>
  <Pages>6</Pages>
  <Words>2160</Words>
  <Characters>12963</Characters>
  <DocSecurity>0</DocSecurity>
  <Lines>108</Lines>
  <Paragraphs>30</Paragraphs>
  <ScaleCrop>false</ScaleCrop>
  <HeadingPairs>
    <vt:vector size="2" baseType="variant">
      <vt:variant>
        <vt:lpstr>Tytuł</vt:lpstr>
      </vt:variant>
      <vt:variant>
        <vt:i4>1</vt:i4>
      </vt:variant>
    </vt:vector>
  </HeadingPairs>
  <TitlesOfParts>
    <vt:vector size="1" baseType="lpstr">
      <vt:lpstr>Cultural and creative industries in 2021</vt:lpstr>
    </vt:vector>
  </TitlesOfParts>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2023-02-24T09:20:00Z</cp:lastPrinted>
  <dcterms:created xsi:type="dcterms:W3CDTF">2024-03-20T07:25:00Z</dcterms:created>
  <dcterms:modified xsi:type="dcterms:W3CDTF">2024-03-22T09:56:00Z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