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72F7937C" w:rsidR="00393761" w:rsidRPr="0047793E" w:rsidRDefault="00864EB1" w:rsidP="004C74BF">
      <w:pPr>
        <w:pStyle w:val="Tytuinfomacjisygnalnej"/>
        <w:spacing w:line="240" w:lineRule="exact"/>
        <w:rPr>
          <w:rFonts w:cs="Fira Sans Extra Condensed SemiB"/>
          <w:bCs/>
          <w:spacing w:val="-2"/>
          <w:szCs w:val="40"/>
          <w:lang w:val="en-GB"/>
        </w:rPr>
      </w:pPr>
      <w:r w:rsidRPr="0047793E">
        <w:rPr>
          <w:rFonts w:cs="Fira Sans Extra Condensed SemiB"/>
          <w:bCs/>
          <w:spacing w:val="-2"/>
          <w:szCs w:val="40"/>
          <w:lang w:val="en-GB"/>
        </w:rPr>
        <w:t>Activity of m</w:t>
      </w:r>
      <w:bookmarkStart w:id="0" w:name="_GoBack"/>
      <w:bookmarkEnd w:id="0"/>
      <w:r w:rsidRPr="0047793E">
        <w:rPr>
          <w:rFonts w:cs="Fira Sans Extra Condensed SemiB"/>
          <w:bCs/>
          <w:spacing w:val="-2"/>
          <w:szCs w:val="40"/>
          <w:lang w:val="en-GB"/>
        </w:rPr>
        <w:t>useum</w:t>
      </w:r>
      <w:r w:rsidR="00187DDC" w:rsidRPr="0047793E">
        <w:rPr>
          <w:rFonts w:cs="Fira Sans Extra Condensed SemiB"/>
          <w:bCs/>
          <w:spacing w:val="-2"/>
          <w:szCs w:val="40"/>
          <w:lang w:val="en-GB"/>
        </w:rPr>
        <w:t>s in 2023</w:t>
      </w:r>
    </w:p>
    <w:p w14:paraId="57FB7B71" w14:textId="32CF33F0" w:rsidR="003521FF" w:rsidRPr="0047793E" w:rsidRDefault="00241FA7" w:rsidP="008041A5">
      <w:pPr>
        <w:pStyle w:val="LID"/>
        <w:spacing w:before="360" w:after="1440"/>
        <w:rPr>
          <w:lang w:val="en-GB"/>
        </w:rPr>
      </w:pPr>
      <w:r w:rsidRPr="0047793E">
        <w:rPr>
          <w:color w:val="001D77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477C018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457325"/>
                <wp:effectExtent l="0" t="0" r="0" b="9525"/>
                <wp:wrapSquare wrapText="bothSides"/>
                <wp:docPr id="3" name="Pole tekstowe 2" descr="Arrow icon pointing upwards, presenting 15.3% increase of the number of visitors in museums and museum branches in comparison to 2022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73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4292CCC3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864EB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15.3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2B1B8CAE" w:rsidR="00241FA7" w:rsidRPr="00F16692" w:rsidRDefault="00EC464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="00C60F60">
                              <w:rPr>
                                <w:lang w:val="en-GB"/>
                              </w:rPr>
                              <w:t xml:space="preserve">ncrease in the number of </w:t>
                            </w:r>
                            <w:r w:rsidR="00864EB1" w:rsidRPr="0002253F">
                              <w:rPr>
                                <w:lang w:val="en-US"/>
                              </w:rPr>
                              <w:t>visi</w:t>
                            </w:r>
                            <w:r w:rsidR="00864EB1">
                              <w:rPr>
                                <w:lang w:val="en-US"/>
                              </w:rPr>
                              <w:t>to</w:t>
                            </w:r>
                            <w:r w:rsidR="00864EB1" w:rsidRPr="0002253F">
                              <w:rPr>
                                <w:lang w:val="en-US"/>
                              </w:rPr>
                              <w:t>rs in museums and</w:t>
                            </w:r>
                            <w:r w:rsidR="00864EB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4EB1" w:rsidRPr="0002253F">
                              <w:rPr>
                                <w:lang w:val="en-US"/>
                              </w:rPr>
                              <w:t xml:space="preserve">museum branches </w:t>
                            </w:r>
                            <w:r w:rsidR="00C60F60">
                              <w:rPr>
                                <w:lang w:val="en-GB"/>
                              </w:rPr>
                              <w:t>in comparison to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presenting 15.3% increase of the number of visitors in museums and museum branches in comparison to 2022&#10;&#10;&#10;&#10;" style="position:absolute;margin-left:0;margin-top:.55pt;width:165pt;height:114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IdiQIAAMgEAAAOAAAAZHJzL2Uyb0RvYy54bWysVM1u1DAQviPxDpYRnGCTTXdpG5qtSksR&#10;UoGKwgM4jrOx6niMx9mkPD1j77Zdyg2Rg+Xx/H/zTU5Op96wjfKowVZ8Pss5U1ZCo+264j++X745&#10;4gyDsI0wYFXF7xTy09XzZyejK1UBHZhGeUZBLJajq3gXgiuzDGWneoEzcMqSsgXfi0CiX2eNFyNF&#10;701W5PnbbATfOA9SIdLrxVbJVyl+2yoZvrYtqsBMxam2kE6fzjqe2epElGsvXKflrgzxD1X0QltK&#10;+hDqQgTBBq//CtVr6QGhDTMJfQZtq6VKPVA38/xJNzedcCr1QuCge4AJ/19Y+WVz7ZluKn7AmRU9&#10;jegajGJB3WKAUbGCs0ahJMjOvIeRaQmWOdA2ENxscKPwDb5mzitU27f5cnbwkmkrvRKoGLQsdIrZ&#10;oa9p0iRtNOoAHsmE9QOqoUdGBNndWe2FpeknNWHkhNdIKQOwIi+KVy+ms3dPjjjE0WFJvdw46iZM&#10;72EiMqaBoLsCeYvMwnkn7FqlLjolGgJxHj2zPddtHIxB6vEzNISGGAKkQFPr+zhhmhmj6ESmuwcC&#10;qSkwSY9Ffrxc5qSSpJsvlocHxTLlEOW9u/MYPiroCTEkNnoYbPONaJpyiM0VhliTKO/tYkoEo5tL&#10;bUwS/Lo+N55tRKR0Pr84PNyl+MPMWDZW/HhJBUQvC9E/sb3XgQZhdF/xozx+0V2UEZMPtkn3ILTZ&#10;3qkSY3cgRVy2CIWpnsgwIldDc0dwediuFv0K6NKB/8XZSGtVcfw5CK84M58sQX48XyziHiaBACpI&#10;8Puael8TmQBEvcCJIfF6HtLubjs6o9G0OuH1WMmuVlqXBONuteM+7svJ6vEHtPoNAAD//wMAUEsD&#10;BBQABgAIAAAAIQCBkVGe2wAAAAYBAAAPAAAAZHJzL2Rvd25yZXYueG1sTI/BTsMwEETvSPyDtUhc&#10;Imq3kSoU4lQUKRzoiRTubryNI+J1FLtN+HuWExxnZzXzptwtfhBXnGIfSMN6pUAgtcH21Gn4ONYP&#10;jyBiMmTNEAg1fGOEXXV7U5rChpne8dqkTnAIxcJocCmNhZSxdehNXIURib1zmLxJLKdO2snMHO4H&#10;uVFqK73piRucGfHFYfvVXLyG/XQ+NCpfotsf3w5ZXWefr3Om9f3d8vwEIuGS/p7hF5/RoWKmU7iQ&#10;jWLQwEMSX9cg2MxzxfqkYZOrLciqlP/xqx8AAAD//wMAUEsBAi0AFAAGAAgAAAAhALaDOJL+AAAA&#10;4QEAABMAAAAAAAAAAAAAAAAAAAAAAFtDb250ZW50X1R5cGVzXS54bWxQSwECLQAUAAYACAAAACEA&#10;OP0h/9YAAACUAQAACwAAAAAAAAAAAAAAAAAvAQAAX3JlbHMvLnJlbHNQSwECLQAUAAYACAAAACEA&#10;bvbSHYkCAADIBAAADgAAAAAAAAAAAAAAAAAuAgAAZHJzL2Uyb0RvYy54bWxQSwECLQAUAAYACAAA&#10;ACEAgZFRntsAAAAGAQAADwAAAAAAAAAAAAAAAADjBAAAZHJzL2Rvd25yZXYueG1sUEsFBgAAAAAE&#10;AAQA8wAAAOsFAAAAAA==&#10;" fillcolor="#001d77" stroked="f">
                <v:stroke joinstyle="miter"/>
                <v:textbox>
                  <w:txbxContent>
                    <w:p w14:paraId="0321F3D8" w14:textId="4292CCC3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864EB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15.3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2B1B8CAE" w:rsidR="00241FA7" w:rsidRPr="00F16692" w:rsidRDefault="00EC464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I</w:t>
                      </w:r>
                      <w:r w:rsidR="00C60F60">
                        <w:rPr>
                          <w:lang w:val="en-GB"/>
                        </w:rPr>
                        <w:t xml:space="preserve">ncrease in the number of </w:t>
                      </w:r>
                      <w:r w:rsidR="00864EB1" w:rsidRPr="0002253F">
                        <w:rPr>
                          <w:lang w:val="en-US"/>
                        </w:rPr>
                        <w:t>visi</w:t>
                      </w:r>
                      <w:r w:rsidR="00864EB1">
                        <w:rPr>
                          <w:lang w:val="en-US"/>
                        </w:rPr>
                        <w:t>to</w:t>
                      </w:r>
                      <w:r w:rsidR="00864EB1" w:rsidRPr="0002253F">
                        <w:rPr>
                          <w:lang w:val="en-US"/>
                        </w:rPr>
                        <w:t>rs in museums and</w:t>
                      </w:r>
                      <w:r w:rsidR="00864EB1">
                        <w:rPr>
                          <w:lang w:val="en-US"/>
                        </w:rPr>
                        <w:t xml:space="preserve"> </w:t>
                      </w:r>
                      <w:r w:rsidR="00864EB1" w:rsidRPr="0002253F">
                        <w:rPr>
                          <w:lang w:val="en-US"/>
                        </w:rPr>
                        <w:t xml:space="preserve">museum branches </w:t>
                      </w:r>
                      <w:r w:rsidR="00C60F60">
                        <w:rPr>
                          <w:lang w:val="en-GB"/>
                        </w:rPr>
                        <w:t>in comparison to 2022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60F60" w:rsidRPr="0047793E">
        <w:rPr>
          <w:lang w:val="en-GB"/>
        </w:rPr>
        <w:t>In 2023,</w:t>
      </w:r>
      <w:r w:rsidR="005D3838" w:rsidRPr="0047793E">
        <w:rPr>
          <w:lang w:val="en-GB"/>
        </w:rPr>
        <w:t xml:space="preserve"> ther</w:t>
      </w:r>
      <w:r w:rsidR="00E61E56" w:rsidRPr="0047793E">
        <w:rPr>
          <w:lang w:val="en-GB"/>
        </w:rPr>
        <w:t xml:space="preserve">e </w:t>
      </w:r>
      <w:r w:rsidR="005D3838" w:rsidRPr="0047793E">
        <w:rPr>
          <w:lang w:val="en-GB"/>
        </w:rPr>
        <w:t xml:space="preserve">were 974 museums and museum branches, visited by 42.3 million people. Museums presented 2.7 thousand </w:t>
      </w:r>
      <w:r w:rsidR="00A0703F" w:rsidRPr="0047793E">
        <w:rPr>
          <w:lang w:val="en-GB"/>
        </w:rPr>
        <w:t>permanent</w:t>
      </w:r>
      <w:r w:rsidR="005D3838" w:rsidRPr="0047793E">
        <w:rPr>
          <w:lang w:val="en-GB"/>
        </w:rPr>
        <w:t xml:space="preserve"> exhibitions and organised 4.6 thousand temporary exhibitions in Poland.</w:t>
      </w:r>
    </w:p>
    <w:p w14:paraId="43742666" w14:textId="669BB8C5" w:rsidR="00D3203A" w:rsidRPr="0047793E" w:rsidRDefault="0022298A" w:rsidP="008911E2">
      <w:pPr>
        <w:spacing w:line="288" w:lineRule="auto"/>
        <w:rPr>
          <w:lang w:val="en-GB"/>
        </w:rPr>
      </w:pPr>
      <w:r w:rsidRPr="0047793E">
        <w:rPr>
          <w:lang w:val="en-GB"/>
        </w:rPr>
        <w:t>In terms of the number of museums and mu</w:t>
      </w:r>
      <w:r w:rsidR="00C15327" w:rsidRPr="0047793E">
        <w:rPr>
          <w:lang w:val="en-GB"/>
        </w:rPr>
        <w:t>seum branches, in 2023 two V</w:t>
      </w:r>
      <w:r w:rsidRPr="0047793E">
        <w:rPr>
          <w:lang w:val="en-GB"/>
        </w:rPr>
        <w:t xml:space="preserve">oivodships </w:t>
      </w:r>
      <w:r w:rsidRPr="0047793E">
        <w:rPr>
          <w:rFonts w:eastAsia="Times New Roman" w:cs="Times New Roman"/>
          <w:noProof/>
          <w:szCs w:val="19"/>
          <w:lang w:val="en-GB" w:eastAsia="pl-PL"/>
        </w:rPr>
        <w:t>dominated</w:t>
      </w:r>
      <w:r w:rsidR="004D77F1" w:rsidRPr="0047793E">
        <w:rPr>
          <w:rFonts w:eastAsia="Times New Roman" w:cs="Times New Roman"/>
          <w:noProof/>
          <w:szCs w:val="19"/>
          <w:lang w:val="en-GB" w:eastAsia="pl-PL"/>
        </w:rPr>
        <w:t xml:space="preserve"> – Mazowieckie and Małopolskie, </w:t>
      </w:r>
      <w:r w:rsidR="00403B32" w:rsidRPr="0047793E">
        <w:rPr>
          <w:rFonts w:eastAsia="Times New Roman" w:cs="Times New Roman"/>
          <w:noProof/>
          <w:szCs w:val="19"/>
          <w:lang w:val="en-GB" w:eastAsia="pl-PL"/>
        </w:rPr>
        <w:t>with</w:t>
      </w:r>
      <w:r w:rsidR="004D77F1" w:rsidRPr="0047793E">
        <w:rPr>
          <w:rFonts w:eastAsia="Times New Roman" w:cs="Times New Roman"/>
          <w:noProof/>
          <w:szCs w:val="19"/>
          <w:lang w:val="en-GB" w:eastAsia="pl-PL"/>
        </w:rPr>
        <w:t xml:space="preserve"> 140 and 111 units </w:t>
      </w:r>
      <w:r w:rsidR="00403B32" w:rsidRPr="0047793E">
        <w:rPr>
          <w:rFonts w:eastAsia="Times New Roman" w:cs="Times New Roman"/>
          <w:noProof/>
          <w:szCs w:val="19"/>
          <w:lang w:val="en-GB" w:eastAsia="pl-PL"/>
        </w:rPr>
        <w:t xml:space="preserve">operating, </w:t>
      </w:r>
      <w:r w:rsidR="00E61E56" w:rsidRPr="0047793E">
        <w:rPr>
          <w:rFonts w:eastAsia="Times New Roman" w:cs="Times New Roman"/>
          <w:noProof/>
          <w:szCs w:val="19"/>
          <w:lang w:val="en-GB" w:eastAsia="pl-PL"/>
        </w:rPr>
        <w:t>respectively</w:t>
      </w:r>
      <w:r w:rsidR="004D77F1" w:rsidRPr="0047793E">
        <w:rPr>
          <w:rFonts w:eastAsia="Times New Roman" w:cs="Times New Roman"/>
          <w:noProof/>
          <w:szCs w:val="19"/>
          <w:lang w:val="en-GB" w:eastAsia="pl-PL"/>
        </w:rPr>
        <w:t xml:space="preserve">. </w:t>
      </w:r>
      <w:r w:rsidR="00C15327" w:rsidRPr="0047793E">
        <w:rPr>
          <w:rFonts w:eastAsia="Times New Roman" w:cs="Times New Roman"/>
          <w:noProof/>
          <w:szCs w:val="19"/>
          <w:lang w:val="en-GB" w:eastAsia="pl-PL"/>
        </w:rPr>
        <w:t xml:space="preserve">In these Voivodships, visitors accounted for 59.3% of the total number of visitors </w:t>
      </w:r>
      <w:r w:rsidR="00E61E56" w:rsidRPr="0047793E">
        <w:rPr>
          <w:rFonts w:eastAsia="Times New Roman" w:cs="Times New Roman"/>
          <w:noProof/>
          <w:szCs w:val="19"/>
          <w:lang w:val="en-GB" w:eastAsia="pl-PL"/>
        </w:rPr>
        <w:t>to</w:t>
      </w:r>
      <w:r w:rsidR="00C15327" w:rsidRPr="0047793E">
        <w:rPr>
          <w:rFonts w:eastAsia="Times New Roman" w:cs="Times New Roman"/>
          <w:noProof/>
          <w:szCs w:val="19"/>
          <w:lang w:val="en-GB" w:eastAsia="pl-PL"/>
        </w:rPr>
        <w:t xml:space="preserve"> museums and museum branches. The fewest museums and visitors were </w:t>
      </w:r>
      <w:r w:rsidR="00E61E56" w:rsidRPr="0047793E">
        <w:rPr>
          <w:rFonts w:eastAsia="Times New Roman" w:cs="Times New Roman"/>
          <w:noProof/>
          <w:szCs w:val="19"/>
          <w:lang w:val="en-GB" w:eastAsia="pl-PL"/>
        </w:rPr>
        <w:t>recorded</w:t>
      </w:r>
      <w:r w:rsidR="00C15327" w:rsidRPr="0047793E">
        <w:rPr>
          <w:rFonts w:eastAsia="Times New Roman" w:cs="Times New Roman"/>
          <w:noProof/>
          <w:szCs w:val="19"/>
          <w:lang w:val="en-GB" w:eastAsia="pl-PL"/>
        </w:rPr>
        <w:t xml:space="preserve"> in Lubuskie Voivodship (17 museums and 281.6 thousand visitors). The number of museum visitors in Poland per 1,000 population was 1,123.</w:t>
      </w:r>
    </w:p>
    <w:p w14:paraId="5BAD859B" w14:textId="47582B3B" w:rsidR="00CE57B4" w:rsidRPr="0047793E" w:rsidRDefault="0060035B" w:rsidP="00A00B33">
      <w:pPr>
        <w:pStyle w:val="Tytuwykresu0"/>
        <w:ind w:left="709" w:hanging="709"/>
        <w:rPr>
          <w:rFonts w:ascii="Fira Sans" w:hAnsi="Fira Sans"/>
          <w:lang w:val="en-GB"/>
        </w:rPr>
      </w:pPr>
      <w:r w:rsidRPr="0047793E">
        <w:rPr>
          <w:rFonts w:ascii="Fira Sans" w:hAnsi="Fira Sans"/>
          <w:lang w:val="en-GB" w:eastAsia="en-GB"/>
        </w:rPr>
        <w:drawing>
          <wp:anchor distT="0" distB="0" distL="114300" distR="114300" simplePos="0" relativeHeight="251872256" behindDoc="0" locked="0" layoutInCell="1" allowOverlap="1" wp14:anchorId="16E4E918" wp14:editId="58ECF97C">
            <wp:simplePos x="0" y="0"/>
            <wp:positionH relativeFrom="margin">
              <wp:align>left</wp:align>
            </wp:positionH>
            <wp:positionV relativeFrom="paragraph">
              <wp:posOffset>409827</wp:posOffset>
            </wp:positionV>
            <wp:extent cx="5060950" cy="3094990"/>
            <wp:effectExtent l="0" t="0" r="6350" b="0"/>
            <wp:wrapTopAndBottom/>
            <wp:docPr id="22" name="Obraz 22" descr="Map 1. Map of Poland by voivodships presenting the number of museums and museum branches (as of 31 December) and number of visitors per 1 museum and museum branch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8A" w:rsidRPr="0047793E">
        <w:rPr>
          <w:rFonts w:ascii="Fira Sans" w:hAnsi="Fira Sans"/>
          <w:lang w:val="en-GB"/>
        </w:rPr>
        <w:t>Map 1. Museums and museum branches</w:t>
      </w:r>
      <w:r w:rsidR="005A736D" w:rsidRPr="0047793E">
        <w:rPr>
          <w:rFonts w:ascii="Fira Sans" w:hAnsi="Fira Sans"/>
          <w:lang w:val="en-GB"/>
        </w:rPr>
        <w:t xml:space="preserve"> in 2023</w:t>
      </w:r>
    </w:p>
    <w:p w14:paraId="30A97A18" w14:textId="6472E506" w:rsidR="009B731F" w:rsidRPr="0047793E" w:rsidRDefault="00550AA4" w:rsidP="0060035B">
      <w:pPr>
        <w:spacing w:before="240"/>
        <w:rPr>
          <w:szCs w:val="24"/>
          <w:lang w:val="en-GB"/>
        </w:rPr>
      </w:pPr>
      <w:r w:rsidRPr="0047793E">
        <w:rPr>
          <w:b/>
          <w:noProof/>
          <w:highlight w:val="yellow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47E0DB3B" wp14:editId="4118F51F">
                <wp:simplePos x="0" y="0"/>
                <wp:positionH relativeFrom="page">
                  <wp:posOffset>5796915</wp:posOffset>
                </wp:positionH>
                <wp:positionV relativeFrom="paragraph">
                  <wp:posOffset>3220085</wp:posOffset>
                </wp:positionV>
                <wp:extent cx="1725295" cy="581025"/>
                <wp:effectExtent l="0" t="0" r="0" b="0"/>
                <wp:wrapTight wrapText="bothSides">
                  <wp:wrapPolygon edited="0">
                    <wp:start x="715" y="0"/>
                    <wp:lineTo x="715" y="20538"/>
                    <wp:lineTo x="20749" y="20538"/>
                    <wp:lineTo x="20749" y="0"/>
                    <wp:lineTo x="715" y="0"/>
                  </wp:wrapPolygon>
                </wp:wrapTight>
                <wp:docPr id="4" name="Pole tekstowe 4" descr="71.9% of museums and museum branches belonged to the public s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ABB90" w14:textId="309E5003" w:rsidR="00A94953" w:rsidRPr="0078715B" w:rsidRDefault="00A94953" w:rsidP="00A94953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71.9</w:t>
                            </w:r>
                            <w:r w:rsidRPr="0078715B">
                              <w:rPr>
                                <w:lang w:val="en-US"/>
                              </w:rPr>
                              <w:t>% of museums and museum branches belonged to the public sector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0DB3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71.9% of museums and museum branches belonged to the public sector" style="position:absolute;margin-left:456.45pt;margin-top:253.55pt;width:135.85pt;height:45.75pt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NbPwIAAEkEAAAOAAAAZHJzL2Uyb0RvYy54bWysVFFv0zAQfkfiP5ws8UjTVi1ro6bT2BhC&#10;GjBp8AMcx2ms2T5ju03Gr+fsdF013hB5sOxc/N1933eXzeVgNBykDwptxWaTKQNpBTbK7ir288ft&#10;+xWDELltuEYrK/YkA7vcvn2z6V0p59ihbqQHArGh7F3FuhhdWRRBdNLwMEEnLQVb9IZHOvpd0Xje&#10;E7rRxXw6/VD06BvnUcgQ6O3NGGTbjN+2UsTvbRtkBF0xqi3m1ee1Tmux3fBy57nrlDiWwf+hCsOV&#10;paQnqBseOey9+gvKKOExYBsnAk2BbauEzByIzWz6is1Dx53MXEic4E4yhf8HK74d7j2opmILBpYb&#10;sugetYQoH0PEXgK9bmQQJNnFbLJ+B9iC2Qe5NwHI1eMeas8tWRagluTzTjYQEWInwe1rTcoGMgJ9&#10;Urt3oaSkD47SxuEjDtQ1Wbng7lA8BrB43XGCuPIe+07yhtjO0s3i7OqIExJI3X/Fhsrm+4gZaGi9&#10;SVaQuEDo5PrTyWk5RBAp5cV8OV8vGQiKLVez6XyZU/Dy+bbzIX6WaCBtKuaJQEbnh7sQUzW8fP4k&#10;JbN4q7TO3aQt9BVbLwnyVcSoSM2ulanYapqesf0SyU+2yZcjV3rcUwJtj6wT0ZFyHOoh25UlSYrU&#10;2DyRDB7H3qZZpE2H/jeDnvq6YuHXnnvJQH+xJOV6tlikQciHxfJiTgd/HqnPI8lVJO8jI7fT9jrm&#10;4RmJXZHkrcpqvFRyLJn6NYt0nK00EOfn/NXLH2D7BwAA//8DAFBLAwQUAAYACAAAACEAcAES3t8A&#10;AAAMAQAADwAAAGRycy9kb3ducmV2LnhtbEyPwU7DMAyG70i8Q2QkbizptJW21J0QiCuIwSZxyxqv&#10;rWicqsnW8vZkJzja/vT7+8vNbHtxptF3jhGShQJBXDvTcYPw+fFyl4HwQbPRvWNC+CEPm+r6qtSF&#10;cRO/03kbGhFD2BcaoQ1hKKT0dUtW+4UbiOPt6EarQxzHRppRTzHc9nKpVCqt7jh+aPVATy3V39uT&#10;Rdi9Hr/2K/XWPNv1MLlZSba5RLy9mR8fQASawx8MF/2oDlV0OrgTGy96hDxZ5hFFWKv7BMSFSLJV&#10;CuIQV3mWgqxK+b9E9QsAAP//AwBQSwECLQAUAAYACAAAACEAtoM4kv4AAADhAQAAEwAAAAAAAAAA&#10;AAAAAAAAAAAAW0NvbnRlbnRfVHlwZXNdLnhtbFBLAQItABQABgAIAAAAIQA4/SH/1gAAAJQBAAAL&#10;AAAAAAAAAAAAAAAAAC8BAABfcmVscy8ucmVsc1BLAQItABQABgAIAAAAIQD6MXNbPwIAAEkEAAAO&#10;AAAAAAAAAAAAAAAAAC4CAABkcnMvZTJvRG9jLnhtbFBLAQItABQABgAIAAAAIQBwARLe3wAAAAwB&#10;AAAPAAAAAAAAAAAAAAAAAJkEAABkcnMvZG93bnJldi54bWxQSwUGAAAAAAQABADzAAAApQUAAAAA&#10;" filled="f" stroked="f">
                <v:textbox>
                  <w:txbxContent>
                    <w:p w14:paraId="780ABB90" w14:textId="309E5003" w:rsidR="00A94953" w:rsidRPr="0078715B" w:rsidRDefault="00A94953" w:rsidP="00A94953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71.9</w:t>
                      </w:r>
                      <w:r w:rsidRPr="0078715B">
                        <w:rPr>
                          <w:lang w:val="en-US"/>
                        </w:rPr>
                        <w:t>% of museums and museum branches belonged to the public sector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B6975" w:rsidRPr="0047793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42E581FC">
                <wp:simplePos x="0" y="0"/>
                <wp:positionH relativeFrom="column">
                  <wp:posOffset>5314950</wp:posOffset>
                </wp:positionH>
                <wp:positionV relativeFrom="paragraph">
                  <wp:posOffset>165735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24" name="Prostokąt 24" descr="25.8% of the total number of museums operated in Mazowieckie and Małopolskie Voivodsh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4DA7F338" w:rsidR="00FB78C8" w:rsidRPr="00DD62BE" w:rsidRDefault="004D77F1" w:rsidP="00FB78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25.8% of the total number of museums operated in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Małopolskie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Voivodships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8" alt="25.8% of the total number of museums operated in Mazowieckie and Małopolskie Voivodships" style="position:absolute;margin-left:418.5pt;margin-top:13.05pt;width:135.85pt;height:77.2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ecMgIAAIkEAAAOAAAAZHJzL2Uyb0RvYy54bWysVEtvEzEQviPxHyxLHMkmgfSx6qZCVOVS&#10;IKLA3fHaWau2x3icbMKxEv8M/hdjbxIKnIq4WDuPbx7fzOzF5dZZtlERDfiGT0ZjzpSX0Bq/avin&#10;j9fPzzjDJHwrLHjV8J1Cfjl/+uSiD7WaQge2VZFREI91HxrepRTqqkLZKSdwBEF5MmqITiQS46pq&#10;o+gpurPVdDw+qXqIbYggFSJprwYjn5f4WiuZ3muNKjHbcKotlTeWd5nfan4h6lUUoTNyX4b4hyqc&#10;MJ6SHkNdiSTYOpq/QjkjIyDoNJLgKtDaSFV6oG4m4z+6ue1EUKUXIgfDkSb8f2Hlu80iMtM2fPqS&#10;My8czWhBFSa4+/4tsaxsFUpibDobnT1joFnqFEuQhGV+7ZY0PdK5Naq1Q0bziiKplhnP3oqv0Bsl&#10;74xitAAk/7iHABaz4jOYDbTYmYB5Bn3Amkq5DYuYWcRwA/IOyVD9ZskC7n22OrrsSxyybRno7jhQ&#10;tU1MknJyOp1Nz2ecSbKdn03Gp7OcrRL1AR0ipjcKHMsfDY+0MGWOYnODaXA9uORkHq6NtaQXtfWs&#10;p6AvTsYFcLRQcOv3hQ+1lqrTzqoB9kFpIryUnBVE7mr52kY2bCWdDe3pYTdLMAJkR02ZH4ndQzJa&#10;lWN4JP4IKvnBpyPeGQ+xcPmgu/yZtsvtsE+HuS6h3dGO9XRkDccvaxHzTmcuX60TaFNoztDBcU8d&#10;7XsZ1P4280E9lIvXrz/I/CcAAAD//wMAUEsDBBQABgAIAAAAIQBwovbr3wAAAAsBAAAPAAAAZHJz&#10;L2Rvd25yZXYueG1sTI/BboMwEETvlfoP1lbqrbFJJYIoJqoq0UtPJTnk6OAtoOA1wpsE8vV1Tu1t&#10;VjOafVNsZzeIC06h96QhWSkQSI23PbUa9rvqJQMR2JA1gyfUsGCAbfn4UJjc+it946XmVsQSCrnR&#10;0DGPuZSh6dCZsPIjUvR+/OQMx3NqpZ3MNZa7Qa6VSqUzPcUPnRnxo8PmVJ+dhkqd9vWt3vGnqm5f&#10;KR8WZdNF6+en+f0NBOPMf2G440d0KCPT0Z/JBjFoyF43cQtrWKcJiHsgUdkGxDGqTKUgy0L+31D+&#10;AgAA//8DAFBLAQItABQABgAIAAAAIQC2gziS/gAAAOEBAAATAAAAAAAAAAAAAAAAAAAAAABbQ29u&#10;dGVudF9UeXBlc10ueG1sUEsBAi0AFAAGAAgAAAAhADj9If/WAAAAlAEAAAsAAAAAAAAAAAAAAAAA&#10;LwEAAF9yZWxzLy5yZWxzUEsBAi0AFAAGAAgAAAAhAAz755wyAgAAiQQAAA4AAAAAAAAAAAAAAAAA&#10;LgIAAGRycy9lMm9Eb2MueG1sUEsBAi0AFAAGAAgAAAAhAHCi9uvfAAAACwEAAA8AAAAAAAAAAAAA&#10;AAAAjAQAAGRycy9kb3ducmV2LnhtbFBLBQYAAAAABAAEAPMAAACYBQAAAAA=&#10;" filled="f" stroked="f" strokeweight=".26mm">
                <v:textbox>
                  <w:txbxContent>
                    <w:p w14:paraId="369CA229" w14:textId="4DA7F338" w:rsidR="00FB78C8" w:rsidRPr="00DD62BE" w:rsidRDefault="004D77F1" w:rsidP="00FB78C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 xml:space="preserve">25.8% of the total number of museums operated in </w:t>
                      </w:r>
                      <w:proofErr w:type="spellStart"/>
                      <w:r>
                        <w:rPr>
                          <w:lang w:val="en-GB"/>
                        </w:rPr>
                        <w:t>Mazowieckie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and </w:t>
                      </w:r>
                      <w:proofErr w:type="spellStart"/>
                      <w:r>
                        <w:rPr>
                          <w:lang w:val="en-GB"/>
                        </w:rPr>
                        <w:t>Małopolskie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Voivodships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9B731F" w:rsidRPr="0047793E">
        <w:rPr>
          <w:lang w:val="en-GB"/>
        </w:rPr>
        <w:t>7</w:t>
      </w:r>
      <w:r w:rsidR="00503E18" w:rsidRPr="0047793E">
        <w:rPr>
          <w:lang w:val="en-GB"/>
        </w:rPr>
        <w:t>1.9</w:t>
      </w:r>
      <w:r w:rsidR="009B731F" w:rsidRPr="0047793E">
        <w:rPr>
          <w:lang w:val="en-GB"/>
        </w:rPr>
        <w:t xml:space="preserve">% of museums belonged to the public sector, the vast majority of which were organised by local government units (83.9%). </w:t>
      </w:r>
      <w:r w:rsidR="00403B32" w:rsidRPr="0047793E">
        <w:rPr>
          <w:lang w:val="en-GB"/>
        </w:rPr>
        <w:t>Whereas</w:t>
      </w:r>
      <w:r w:rsidR="00762EB0" w:rsidRPr="0047793E">
        <w:rPr>
          <w:lang w:val="en-GB"/>
        </w:rPr>
        <w:t>, within the private sector, museum organisers were most often natural persons (52.2% of private museums).</w:t>
      </w:r>
    </w:p>
    <w:p w14:paraId="2C4BA0D9" w14:textId="5FD9A133" w:rsidR="009B731F" w:rsidRPr="0047793E" w:rsidRDefault="00A3412D" w:rsidP="0060035B">
      <w:pPr>
        <w:rPr>
          <w:rFonts w:eastAsia="Times New Roman" w:cs="Times New Roman"/>
          <w:szCs w:val="19"/>
          <w:lang w:val="en-GB" w:eastAsia="pl-PL"/>
        </w:rPr>
      </w:pPr>
      <w:r w:rsidRPr="0047793E">
        <w:rPr>
          <w:rFonts w:eastAsia="Times New Roman" w:cs="Times New Roman"/>
          <w:noProof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 wp14:anchorId="03FF95BB" wp14:editId="273DDB3A">
                <wp:simplePos x="0" y="0"/>
                <wp:positionH relativeFrom="rightMargin">
                  <wp:posOffset>211455</wp:posOffset>
                </wp:positionH>
                <wp:positionV relativeFrom="paragraph">
                  <wp:posOffset>158750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8" name="Pole tekstowe 8" descr="Museums and museum branches were visited by 42.3 million people, including 12.8 million free of char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97EA8" w14:textId="3A6FA142" w:rsidR="00A94953" w:rsidRPr="0078715B" w:rsidRDefault="00A94953" w:rsidP="00A94953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78715B">
                              <w:rPr>
                                <w:lang w:val="en-US"/>
                              </w:rPr>
                              <w:t xml:space="preserve">Museums and museum </w:t>
                            </w:r>
                            <w:r>
                              <w:rPr>
                                <w:lang w:val="en-US"/>
                              </w:rPr>
                              <w:t xml:space="preserve">branches were visited by 42.3 million people, including 12.8 </w:t>
                            </w:r>
                            <w:r w:rsidRPr="0078715B">
                              <w:rPr>
                                <w:lang w:val="en-US"/>
                              </w:rPr>
                              <w:t>million free of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95BB" id="Pole tekstowe 8" o:spid="_x0000_s1029" type="#_x0000_t202" alt="Museums and museum branches were visited by 42.3 million people, including 12.8 million free of charge" style="position:absolute;margin-left:16.65pt;margin-top:12.5pt;width:135.85pt;height:65.5pt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8NVwIAAG0EAAAOAAAAZHJzL2Uyb0RvYy54bWysVMFu2zAMvQ/YPxA6b3HiJmsa1Cm6dh0G&#10;tFuBbh+gyHQsVBI9SYmTfv0oOc2C7TbMB4EyzUfy8dGXVztrYIs+aHKVmIzGAtApqrVbV+LH97v3&#10;cwEhSldLQw4rsccgrpZv31z23QJLasnU6IFBXFj0XSXaGLtFUQTVopVhRB06djbkrYx89eui9rJn&#10;dGuKcjz+UPTk686TwhD47e3gFMuM3zSo4remCRjBVIJri/n0+Vyls1heysXay67V6lCG/IcqrNSO&#10;kx6hbmWUsPH6LyirladATRwpsgU1jVaYe+BuJuM/unlqZYe5FyYndEeawv+DVV+3jx50XQkelJOW&#10;R/RIBiHic4jUI/DrGoNiyh42ATc2AA8TbLZh5aXjSQXo0SNsddARa1jtYVqOzsBqY1gW0CF1Bt+B&#10;dspskjJgUo7mR3fjEYEaUK30a0wT6buw4MKeOi4t7j7SjpWV2Q3dPannAI5uWunWeO099S3KmhmZ&#10;pMjiJHTACQlk1T9Qza3JTaQMtGu8TePiAQCjszL2RzXgLoJKKc/LWXkxE6DYNz+bzGdZLoVcvEZ3&#10;PsTPSBaSUQnPasvocnsfYqpGLl4/Sckc3TEjWXHGQV+Ji1k5ywEnHssUejDacs5xegaJpiY/uToH&#10;R6nNYHMC4w5dp0aHluNutcsjPXslc0X1nmnwNOif95WNlvyLgJ61X4nwcyM9CjBfHFN5MZlO07Lk&#10;y3R2XvLFn3pWp54kAWJ9RMHSSOZNzAs2tHzNlDc6s5FmM1RyKJk1nUk67F9amtN7/ur3X2L5CwAA&#10;//8DAFBLAwQUAAYACAAAACEAVJaxY9wAAAAJAQAADwAAAGRycy9kb3ducmV2LnhtbEyPzU7DMBCE&#10;70i8g7VI3KhNQyoI2VQIxBVE+ZG4ufE2iYjXUew24e3ZnuhtR/NpdqZcz75XBxpjFxjhemFAEdfB&#10;ddwgfLw/X92Cismys31gQvilCOvq/Ky0hQsTv9FhkxolIRwLi9CmNBRax7olb+MiDMTi7cLobRI5&#10;NtqNdpJw3+ulMSvtbcfyobUDPbZU/2z2HuHzZff9dWNemyefD1OYjWZ/pxEvL+aHe1CJ5vQPw7G+&#10;VIdKOm3Dnl1UPUKWZUIiLHOZJH5mjsdWwHxlQFelPl1Q/QEAAP//AwBQSwECLQAUAAYACAAAACEA&#10;toM4kv4AAADhAQAAEwAAAAAAAAAAAAAAAAAAAAAAW0NvbnRlbnRfVHlwZXNdLnhtbFBLAQItABQA&#10;BgAIAAAAIQA4/SH/1gAAAJQBAAALAAAAAAAAAAAAAAAAAC8BAABfcmVscy8ucmVsc1BLAQItABQA&#10;BgAIAAAAIQBTep8NVwIAAG0EAAAOAAAAAAAAAAAAAAAAAC4CAABkcnMvZTJvRG9jLnhtbFBLAQIt&#10;ABQABgAIAAAAIQBUlrFj3AAAAAkBAAAPAAAAAAAAAAAAAAAAALEEAABkcnMvZG93bnJldi54bWxQ&#10;SwUGAAAAAAQABADzAAAAugUAAAAA&#10;" filled="f" stroked="f">
                <v:textbox>
                  <w:txbxContent>
                    <w:p w14:paraId="11797EA8" w14:textId="3A6FA142" w:rsidR="00A94953" w:rsidRPr="0078715B" w:rsidRDefault="00A94953" w:rsidP="00A94953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78715B">
                        <w:rPr>
                          <w:lang w:val="en-US"/>
                        </w:rPr>
                        <w:t xml:space="preserve">Museums and museum </w:t>
                      </w:r>
                      <w:r>
                        <w:rPr>
                          <w:lang w:val="en-US"/>
                        </w:rPr>
                        <w:t xml:space="preserve">branches were visited by 42.3 million people, including 12.8 </w:t>
                      </w:r>
                      <w:r w:rsidRPr="0078715B">
                        <w:rPr>
                          <w:lang w:val="en-US"/>
                        </w:rPr>
                        <w:t>million free of charge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532DA" w:rsidRPr="0047793E">
        <w:rPr>
          <w:spacing w:val="-2"/>
          <w:szCs w:val="19"/>
          <w:lang w:val="en-GB"/>
        </w:rPr>
        <w:t>Museums and museum branches were visited by 42.3 million people</w:t>
      </w:r>
      <w:r w:rsidR="009F071E" w:rsidRPr="0047793E">
        <w:rPr>
          <w:spacing w:val="-2"/>
          <w:szCs w:val="19"/>
          <w:lang w:val="en-GB"/>
        </w:rPr>
        <w:t xml:space="preserve">, </w:t>
      </w:r>
      <w:r w:rsidR="00403B32" w:rsidRPr="0047793E">
        <w:rPr>
          <w:spacing w:val="-2"/>
          <w:szCs w:val="19"/>
          <w:lang w:val="en-GB"/>
        </w:rPr>
        <w:t>including</w:t>
      </w:r>
      <w:r w:rsidR="000A1CB5" w:rsidRPr="0047793E">
        <w:rPr>
          <w:spacing w:val="-2"/>
          <w:szCs w:val="19"/>
          <w:lang w:val="en-GB"/>
        </w:rPr>
        <w:t xml:space="preserve"> 12.8 million free of charge, and 7.9 million visitors </w:t>
      </w:r>
      <w:r w:rsidR="00403B32" w:rsidRPr="0047793E">
        <w:rPr>
          <w:spacing w:val="-2"/>
          <w:szCs w:val="19"/>
          <w:lang w:val="en-GB"/>
        </w:rPr>
        <w:t xml:space="preserve">with </w:t>
      </w:r>
      <w:r w:rsidR="00E61E56" w:rsidRPr="0047793E">
        <w:rPr>
          <w:spacing w:val="-2"/>
          <w:szCs w:val="19"/>
          <w:lang w:val="en-GB"/>
        </w:rPr>
        <w:t>reduced-price</w:t>
      </w:r>
      <w:r w:rsidR="000A1CB5" w:rsidRPr="0047793E">
        <w:rPr>
          <w:spacing w:val="-2"/>
          <w:szCs w:val="19"/>
          <w:lang w:val="en-GB"/>
        </w:rPr>
        <w:t xml:space="preserve"> tickets. </w:t>
      </w:r>
      <w:r w:rsidR="00EE7592" w:rsidRPr="0047793E">
        <w:rPr>
          <w:spacing w:val="-2"/>
          <w:szCs w:val="19"/>
          <w:lang w:val="en-GB"/>
        </w:rPr>
        <w:t xml:space="preserve">Organised groups of school youth accounted for 9.0% of all visitors (in 2022 </w:t>
      </w:r>
      <w:r w:rsidR="00EE7592" w:rsidRPr="0047793E">
        <w:rPr>
          <w:rFonts w:eastAsia="Times New Roman" w:cs="Times New Roman"/>
          <w:szCs w:val="19"/>
          <w:lang w:val="en-GB" w:eastAsia="pl-PL"/>
        </w:rPr>
        <w:t>– 10.7%). Art museums were the most popular among all visitors, visited by 15.7 million people (37.1% of the total number of visitors).</w:t>
      </w:r>
    </w:p>
    <w:p w14:paraId="375D4AB8" w14:textId="7AFB8AFC" w:rsidR="009476CC" w:rsidRPr="0047793E" w:rsidRDefault="009476CC" w:rsidP="0060035B">
      <w:pPr>
        <w:rPr>
          <w:rFonts w:eastAsia="Times New Roman" w:cs="Times New Roman"/>
          <w:szCs w:val="19"/>
          <w:lang w:val="en-GB" w:eastAsia="pl-PL"/>
        </w:rPr>
      </w:pPr>
      <w:r w:rsidRPr="0047793E">
        <w:rPr>
          <w:rFonts w:eastAsia="Times New Roman" w:cs="Times New Roman"/>
          <w:szCs w:val="19"/>
          <w:lang w:val="en-GB" w:eastAsia="pl-PL"/>
        </w:rPr>
        <w:t>The “Night of Museums” was attended by 762.4 thousand visitors (in 2022 – 619.6 thousand).</w:t>
      </w:r>
      <w:r w:rsidR="00376968" w:rsidRPr="0047793E">
        <w:rPr>
          <w:rFonts w:eastAsia="Times New Roman" w:cs="Times New Roman"/>
          <w:szCs w:val="19"/>
          <w:lang w:val="en-GB" w:eastAsia="pl-PL"/>
        </w:rPr>
        <w:t xml:space="preserve"> </w:t>
      </w:r>
      <w:r w:rsidR="00A0703F" w:rsidRPr="0047793E">
        <w:rPr>
          <w:rFonts w:eastAsia="Times New Roman" w:cs="Times New Roman"/>
          <w:szCs w:val="19"/>
          <w:lang w:val="en-GB" w:eastAsia="pl-PL"/>
        </w:rPr>
        <w:t>Historical museums were t</w:t>
      </w:r>
      <w:r w:rsidR="00376968" w:rsidRPr="0047793E">
        <w:rPr>
          <w:rFonts w:eastAsia="Times New Roman" w:cs="Times New Roman"/>
          <w:szCs w:val="19"/>
          <w:lang w:val="en-GB" w:eastAsia="pl-PL"/>
        </w:rPr>
        <w:t xml:space="preserve">he most popular during this event, </w:t>
      </w:r>
      <w:r w:rsidR="00E61E56" w:rsidRPr="0047793E">
        <w:rPr>
          <w:rFonts w:eastAsia="Times New Roman" w:cs="Times New Roman"/>
          <w:szCs w:val="19"/>
          <w:lang w:val="en-GB" w:eastAsia="pl-PL"/>
        </w:rPr>
        <w:t>with</w:t>
      </w:r>
      <w:r w:rsidR="00376968" w:rsidRPr="0047793E">
        <w:rPr>
          <w:rFonts w:eastAsia="Times New Roman" w:cs="Times New Roman"/>
          <w:szCs w:val="19"/>
          <w:lang w:val="en-GB" w:eastAsia="pl-PL"/>
        </w:rPr>
        <w:t xml:space="preserve"> 290.2 thousand visit</w:t>
      </w:r>
      <w:r w:rsidR="00E61E56" w:rsidRPr="0047793E">
        <w:rPr>
          <w:rFonts w:eastAsia="Times New Roman" w:cs="Times New Roman"/>
          <w:szCs w:val="19"/>
          <w:lang w:val="en-GB" w:eastAsia="pl-PL"/>
        </w:rPr>
        <w:t>ors</w:t>
      </w:r>
      <w:r w:rsidR="00376968" w:rsidRPr="0047793E">
        <w:rPr>
          <w:rFonts w:eastAsia="Times New Roman" w:cs="Times New Roman"/>
          <w:szCs w:val="19"/>
          <w:lang w:val="en-GB" w:eastAsia="pl-PL"/>
        </w:rPr>
        <w:t xml:space="preserve"> (in 2022 – 231.8 thousand).</w:t>
      </w:r>
    </w:p>
    <w:p w14:paraId="44345AF8" w14:textId="4B569684" w:rsidR="00A00B33" w:rsidRPr="0047793E" w:rsidRDefault="00E61E56" w:rsidP="00671802">
      <w:pPr>
        <w:spacing w:before="360"/>
        <w:rPr>
          <w:rFonts w:eastAsia="Times New Roman" w:cs="Times New Roman"/>
          <w:noProof/>
          <w:szCs w:val="19"/>
          <w:lang w:val="en-GB" w:eastAsia="pl-PL"/>
        </w:rPr>
      </w:pPr>
      <w:r w:rsidRPr="0047793E">
        <w:rPr>
          <w:rFonts w:eastAsia="Times New Roman" w:cs="Times New Roman"/>
          <w:noProof/>
          <w:szCs w:val="19"/>
          <w:lang w:val="en-GB" w:eastAsia="pl-PL"/>
        </w:rPr>
        <w:lastRenderedPageBreak/>
        <w:t xml:space="preserve">Of the total number of museums and museum branches, </w:t>
      </w:r>
      <w:r w:rsidR="00404F5D" w:rsidRPr="0047793E">
        <w:rPr>
          <w:rFonts w:eastAsia="Times New Roman" w:cs="Times New Roman"/>
          <w:noProof/>
          <w:szCs w:val="19"/>
          <w:lang w:val="en-GB" w:eastAsia="pl-PL"/>
        </w:rPr>
        <w:t xml:space="preserve">39.2% presented </w:t>
      </w:r>
      <w:r w:rsidRPr="0047793E">
        <w:rPr>
          <w:rFonts w:eastAsia="Times New Roman" w:cs="Times New Roman"/>
          <w:noProof/>
          <w:szCs w:val="19"/>
          <w:lang w:val="en-GB" w:eastAsia="pl-PL"/>
        </w:rPr>
        <w:t>outdoor</w:t>
      </w:r>
      <w:r w:rsidR="00404F5D" w:rsidRPr="0047793E">
        <w:rPr>
          <w:rFonts w:eastAsia="Times New Roman" w:cs="Times New Roman"/>
          <w:noProof/>
          <w:szCs w:val="19"/>
          <w:lang w:val="en-GB" w:eastAsia="pl-PL"/>
        </w:rPr>
        <w:t xml:space="preserve"> exhibitions, </w:t>
      </w:r>
      <w:r w:rsidR="00154131" w:rsidRPr="0047793E">
        <w:rPr>
          <w:rFonts w:eastAsia="Times New Roman" w:cs="Times New Roman"/>
          <w:noProof/>
          <w:szCs w:val="19"/>
          <w:lang w:val="en-GB" w:eastAsia="pl-PL"/>
        </w:rPr>
        <w:t xml:space="preserve">and 38.2% had </w:t>
      </w:r>
      <w:r w:rsidRPr="0047793E">
        <w:rPr>
          <w:rFonts w:eastAsia="Times New Roman" w:cs="Times New Roman"/>
          <w:noProof/>
          <w:szCs w:val="19"/>
          <w:lang w:val="en-GB" w:eastAsia="pl-PL"/>
        </w:rPr>
        <w:t>adjacent</w:t>
      </w:r>
      <w:r w:rsidR="00154131" w:rsidRPr="0047793E">
        <w:rPr>
          <w:rFonts w:eastAsia="Times New Roman" w:cs="Times New Roman"/>
          <w:noProof/>
          <w:szCs w:val="19"/>
          <w:lang w:val="en-GB" w:eastAsia="pl-PL"/>
        </w:rPr>
        <w:t xml:space="preserve"> areas (gardens, parks, green areas) available to visitors. Historical museums accounted for half of the museums offering both </w:t>
      </w:r>
      <w:r w:rsidRPr="0047793E">
        <w:rPr>
          <w:rFonts w:eastAsia="Times New Roman" w:cs="Times New Roman"/>
          <w:noProof/>
          <w:szCs w:val="19"/>
          <w:lang w:val="en-GB" w:eastAsia="pl-PL"/>
        </w:rPr>
        <w:t>outdoor</w:t>
      </w:r>
      <w:r w:rsidR="00154131" w:rsidRPr="0047793E">
        <w:rPr>
          <w:rFonts w:eastAsia="Times New Roman" w:cs="Times New Roman"/>
          <w:noProof/>
          <w:szCs w:val="19"/>
          <w:lang w:val="en-GB" w:eastAsia="pl-PL"/>
        </w:rPr>
        <w:t xml:space="preserve"> exhibitions and </w:t>
      </w:r>
      <w:r w:rsidRPr="0047793E">
        <w:rPr>
          <w:rFonts w:eastAsia="Times New Roman" w:cs="Times New Roman"/>
          <w:noProof/>
          <w:szCs w:val="19"/>
          <w:lang w:val="en-GB" w:eastAsia="pl-PL"/>
        </w:rPr>
        <w:t>adjacent</w:t>
      </w:r>
      <w:r w:rsidR="00154131" w:rsidRPr="0047793E">
        <w:rPr>
          <w:rFonts w:eastAsia="Times New Roman" w:cs="Times New Roman"/>
          <w:noProof/>
          <w:szCs w:val="19"/>
          <w:lang w:val="en-GB" w:eastAsia="pl-PL"/>
        </w:rPr>
        <w:t xml:space="preserve"> areas (48.4% and 50.0%, respectively).</w:t>
      </w:r>
    </w:p>
    <w:p w14:paraId="4A1C4158" w14:textId="2F994304" w:rsidR="00A17F3F" w:rsidRPr="0047793E" w:rsidRDefault="005E40D1" w:rsidP="0060035B">
      <w:pPr>
        <w:pStyle w:val="tytuwykresu"/>
        <w:spacing w:before="360"/>
        <w:rPr>
          <w:b w:val="0"/>
          <w:sz w:val="19"/>
          <w:szCs w:val="19"/>
          <w:lang w:val="en-GB"/>
        </w:rPr>
      </w:pPr>
      <w:r w:rsidRPr="0047793E">
        <w:rPr>
          <w:noProof/>
          <w:lang w:val="en-GB" w:eastAsia="en-GB"/>
        </w:rPr>
        <w:drawing>
          <wp:anchor distT="0" distB="0" distL="114300" distR="114300" simplePos="0" relativeHeight="251874304" behindDoc="0" locked="0" layoutInCell="1" allowOverlap="1" wp14:anchorId="0A49E8FB" wp14:editId="3DD68250">
            <wp:simplePos x="0" y="0"/>
            <wp:positionH relativeFrom="column">
              <wp:posOffset>-25880</wp:posOffset>
            </wp:positionH>
            <wp:positionV relativeFrom="paragraph">
              <wp:posOffset>400997</wp:posOffset>
            </wp:positionV>
            <wp:extent cx="5047615" cy="2956560"/>
            <wp:effectExtent l="0" t="0" r="0" b="0"/>
            <wp:wrapTopAndBottom/>
            <wp:docPr id="12" name="Obraz 12" descr="Chart 1. Pie chart presenting the visitors and museum branches by type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7F3F" w:rsidRPr="0047793E">
        <w:rPr>
          <w:sz w:val="19"/>
          <w:szCs w:val="19"/>
          <w:lang w:val="en-GB"/>
        </w:rPr>
        <w:t>Chart 1</w:t>
      </w:r>
      <w:r w:rsidR="00DD62BE" w:rsidRPr="0047793E">
        <w:rPr>
          <w:sz w:val="19"/>
          <w:szCs w:val="19"/>
          <w:lang w:val="en-GB"/>
        </w:rPr>
        <w:t xml:space="preserve">. </w:t>
      </w:r>
      <w:r w:rsidR="00154131" w:rsidRPr="0047793E">
        <w:rPr>
          <w:sz w:val="19"/>
          <w:szCs w:val="19"/>
          <w:lang w:val="en-GB"/>
        </w:rPr>
        <w:t xml:space="preserve">Visitors to museums and museum branches by </w:t>
      </w:r>
      <w:r w:rsidR="004B4713" w:rsidRPr="0047793E">
        <w:rPr>
          <w:sz w:val="19"/>
          <w:szCs w:val="19"/>
          <w:lang w:val="en-GB"/>
        </w:rPr>
        <w:t>type</w:t>
      </w:r>
      <w:r w:rsidR="00154131" w:rsidRPr="0047793E">
        <w:rPr>
          <w:sz w:val="19"/>
          <w:szCs w:val="19"/>
          <w:lang w:val="en-GB"/>
        </w:rPr>
        <w:t xml:space="preserve"> </w:t>
      </w:r>
      <w:r w:rsidR="00A17F3F" w:rsidRPr="0047793E">
        <w:rPr>
          <w:sz w:val="19"/>
          <w:szCs w:val="19"/>
          <w:lang w:val="en-GB"/>
        </w:rPr>
        <w:t>in 2023</w:t>
      </w:r>
      <w:r w:rsidR="00A17F3F" w:rsidRPr="0047793E">
        <w:rPr>
          <w:b w:val="0"/>
          <w:sz w:val="19"/>
          <w:szCs w:val="19"/>
          <w:lang w:val="en-GB"/>
        </w:rPr>
        <w:t xml:space="preserve"> </w:t>
      </w:r>
    </w:p>
    <w:p w14:paraId="4A287ED0" w14:textId="3530A611" w:rsidR="00144CAE" w:rsidRPr="0047793E" w:rsidRDefault="00144CAE" w:rsidP="008041A5">
      <w:pPr>
        <w:spacing w:before="240" w:line="288" w:lineRule="auto"/>
        <w:rPr>
          <w:lang w:val="en-GB"/>
        </w:rPr>
      </w:pPr>
      <w:r w:rsidRPr="0047793E">
        <w:rPr>
          <w:lang w:val="en-GB"/>
        </w:rPr>
        <w:t>As of the end of 2023, the total number of museum collections amounted to 21.4 million items, i.e. 2.6% more than in 2022.</w:t>
      </w:r>
    </w:p>
    <w:p w14:paraId="5C497ABC" w14:textId="1ECC5122" w:rsidR="00144CAE" w:rsidRPr="0047793E" w:rsidRDefault="00144CAE" w:rsidP="0060035B">
      <w:pPr>
        <w:spacing w:line="288" w:lineRule="auto"/>
        <w:rPr>
          <w:lang w:val="en-GB"/>
        </w:rPr>
      </w:pPr>
      <w:r w:rsidRPr="0047793E">
        <w:rPr>
          <w:lang w:val="en-GB"/>
        </w:rPr>
        <w:t xml:space="preserve">Museums presented 2.7 thousand </w:t>
      </w:r>
      <w:r w:rsidR="00403B32" w:rsidRPr="0047793E">
        <w:rPr>
          <w:lang w:val="en-GB"/>
        </w:rPr>
        <w:t>permanent</w:t>
      </w:r>
      <w:r w:rsidRPr="0047793E">
        <w:rPr>
          <w:lang w:val="en-GB"/>
        </w:rPr>
        <w:t xml:space="preserve"> exhibitions (3.4% more than in 2022) and 4.6 thousand temporary exhibitions (4.2% more). The </w:t>
      </w:r>
      <w:r w:rsidR="003C1D73" w:rsidRPr="0047793E">
        <w:rPr>
          <w:lang w:val="en-GB"/>
        </w:rPr>
        <w:t>largest number of temporary exhibitions was organised by historical museum</w:t>
      </w:r>
      <w:r w:rsidR="00BF1E2A" w:rsidRPr="0047793E">
        <w:rPr>
          <w:lang w:val="en-GB"/>
        </w:rPr>
        <w:t>s</w:t>
      </w:r>
      <w:r w:rsidR="003C1D73" w:rsidRPr="0047793E">
        <w:rPr>
          <w:lang w:val="en-GB"/>
        </w:rPr>
        <w:t xml:space="preserve"> (2.3 thousand). </w:t>
      </w:r>
    </w:p>
    <w:p w14:paraId="7B312095" w14:textId="7CA020B8" w:rsidR="00A56D33" w:rsidRPr="0047793E" w:rsidRDefault="00503E18" w:rsidP="0060035B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47793E">
        <w:rPr>
          <w:rFonts w:eastAsia="Times New Roman" w:cs="Times New Roman"/>
          <w:noProof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2908AFD2" wp14:editId="01C415B3">
                <wp:simplePos x="0" y="0"/>
                <wp:positionH relativeFrom="rightMargin">
                  <wp:posOffset>180076</wp:posOffset>
                </wp:positionH>
                <wp:positionV relativeFrom="page">
                  <wp:posOffset>5377563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 descr="The number of cultural and educational events increased by 8.7% compared to the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6AF79" w14:textId="701588D2" w:rsidR="00DB3788" w:rsidRPr="00785A08" w:rsidRDefault="00DB3788" w:rsidP="00DB3788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 w:rsidRPr="00785A08">
                              <w:rPr>
                                <w:lang w:val="en-US"/>
                              </w:rPr>
                              <w:t>The number of cultural and educ</w:t>
                            </w:r>
                            <w:r>
                              <w:rPr>
                                <w:lang w:val="en-US"/>
                              </w:rPr>
                              <w:t>ational events increased by 8.7</w:t>
                            </w:r>
                            <w:r w:rsidRPr="00785A08">
                              <w:rPr>
                                <w:lang w:val="en-US"/>
                              </w:rPr>
                              <w:t>% compared to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8AFD2" id="Pole tekstowe 14" o:spid="_x0000_s1030" type="#_x0000_t202" alt="The number of cultural and educational events increased by 8.7% compared to the previous year" style="position:absolute;margin-left:14.2pt;margin-top:423.45pt;width:135.85pt;height:65.5pt;z-index:-2514534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eMWAIAAGYEAAAOAAAAZHJzL2Uyb0RvYy54bWysVFFv0zAQfkfiP1iWeKRpS8u6aOk0NoaQ&#10;Bkza+AGOfWmsOT5jO03Kr+fsdKOCN0QfLNuX+3zfd9/14nLsDNuDDxptxRezOWdgJSptdxX//nj7&#10;dsNZiMIqYdBCxQ8Q+OX29auLwZWwxBaNAs8IxIZycBVvY3RlUQTZQifCDB1YCjboOxHp6HeF8mIg&#10;9M4Uy/n8fTGgV86jhBDo9mYK8m3GbxqQ8VvTBIjMVJxqi3n1ea3TWmwvRLnzwrVaHssQ/1BFJ7Sl&#10;R1+gbkQUrPf6L6hOS48BmziT2BXYNFpC5kBsFvM/2Dy0wkHmQuIE9yJT+H+w8uv+3jOtqHcrzqzo&#10;qEf3aIBFeAoRB2DpXkGQJNpjC8z2XU0dw4bJ3sTeC8OouwxUL0UkE9AZ9mBjYNpKDyKAYvWBbWZn&#10;bxhRdsLTRUQWCct52GvsAzuA8KkVgwslVfTgqKY4fsCRysqyBneH8ikwi9etsDu48h6HFoQiKRYp&#10;szhJnXBCAqmHL6iIkugjZqCx8V3qEynPCJ0scXixAYyRyfTk2XK9PF9zJim2ebfYrLNPClE+Zzsf&#10;4ifAjhgEspQnm2V0sb8LMVUjyudP0mMWb7Ux2WrGsqHi5+vlOiecRDodSVejO3pznn6TNxPJj1bl&#10;5Ci0mfb0gLFH1onoRDmO9Zh7uXoWs0Z1IBk8TsanQaVNi/4nZwOZvuLhR08d4cx8tiTl+WK1SlOS&#10;D6v12ZIO/jRSn0aElQRV8cjJAml7HfNkTZSvSPJGZzVSb6ZKjiWTmbNIx8FL03J6zl/9/nvY/gIA&#10;AP//AwBQSwMEFAAGAAgAAAAhAEHNgFDfAAAACgEAAA8AAABkcnMvZG93bnJldi54bWxMj8tOwzAQ&#10;RfdI/IM1SOyo3Ta0ScikqorYgigPiZ0bT5Oo8TiK3Sb8PWYFy9E9uvdMsZlsJy40+NYxwnymQBBX&#10;zrRcI7y/Pd2lIHzQbHTnmBC+ycOmvL4qdG7cyK902YdaxBL2uUZoQuhzKX3VkNV+5nrimB3dYHWI&#10;51BLM+gxlttOLpRaSatbjguN7mnXUHXany3Cx/Px6zNRL/Wjve9HNynJNpOItzfT9gFEoCn8wfCr&#10;H9WhjE4Hd2bjRYewSJNIIqTJKgMRgaVScxAHhGy9zkCWhfz/QvkDAAD//wMAUEsBAi0AFAAGAAgA&#10;AAAhALaDOJL+AAAA4QEAABMAAAAAAAAAAAAAAAAAAAAAAFtDb250ZW50X1R5cGVzXS54bWxQSwEC&#10;LQAUAAYACAAAACEAOP0h/9YAAACUAQAACwAAAAAAAAAAAAAAAAAvAQAAX3JlbHMvLnJlbHNQSwEC&#10;LQAUAAYACAAAACEAPYkHjFgCAABmBAAADgAAAAAAAAAAAAAAAAAuAgAAZHJzL2Uyb0RvYy54bWxQ&#10;SwECLQAUAAYACAAAACEAQc2AUN8AAAAKAQAADwAAAAAAAAAAAAAAAACyBAAAZHJzL2Rvd25yZXYu&#10;eG1sUEsFBgAAAAAEAAQA8wAAAL4FAAAAAA==&#10;" filled="f" stroked="f">
                <v:textbox>
                  <w:txbxContent>
                    <w:p w14:paraId="2376AF79" w14:textId="701588D2" w:rsidR="00DB3788" w:rsidRPr="00785A08" w:rsidRDefault="00DB3788" w:rsidP="00DB3788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 w:rsidRPr="00785A08">
                        <w:rPr>
                          <w:lang w:val="en-US"/>
                        </w:rPr>
                        <w:t>The number of cultural and educ</w:t>
                      </w:r>
                      <w:r>
                        <w:rPr>
                          <w:lang w:val="en-US"/>
                        </w:rPr>
                        <w:t>ational events increased by 8.7</w:t>
                      </w:r>
                      <w:r w:rsidRPr="00785A08">
                        <w:rPr>
                          <w:lang w:val="en-US"/>
                        </w:rPr>
                        <w:t>% compared to the previous year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C1D73" w:rsidRPr="0047793E">
        <w:rPr>
          <w:lang w:val="en-GB"/>
        </w:rPr>
        <w:t xml:space="preserve">In addition to the primary </w:t>
      </w:r>
      <w:r w:rsidR="00E2471E" w:rsidRPr="0047793E">
        <w:rPr>
          <w:lang w:val="en-GB"/>
        </w:rPr>
        <w:t>exhibition activity,</w:t>
      </w:r>
      <w:r w:rsidR="00236B33" w:rsidRPr="0047793E">
        <w:rPr>
          <w:lang w:val="en-GB"/>
        </w:rPr>
        <w:t xml:space="preserve"> 144.2 thousand events were organised by museums and museum branches in 2023, attended by 6.9 million people.</w:t>
      </w:r>
      <w:r w:rsidR="00DB3788" w:rsidRPr="0047793E">
        <w:rPr>
          <w:lang w:val="en-GB"/>
        </w:rPr>
        <w:t xml:space="preserve"> </w:t>
      </w:r>
      <w:r w:rsidR="00731210" w:rsidRPr="0047793E">
        <w:rPr>
          <w:lang w:val="en-GB"/>
        </w:rPr>
        <w:t xml:space="preserve">Most of the events were museum classes and workshops </w:t>
      </w:r>
      <w:r w:rsidR="00731210" w:rsidRPr="0047793E">
        <w:rPr>
          <w:rFonts w:eastAsia="Times New Roman" w:cs="Times New Roman"/>
          <w:szCs w:val="19"/>
          <w:lang w:val="en-GB" w:eastAsia="pl-PL"/>
        </w:rPr>
        <w:t xml:space="preserve">– 107.8 thousand, attended by 2.2 million people. </w:t>
      </w:r>
      <w:r w:rsidR="00D01013" w:rsidRPr="0047793E">
        <w:rPr>
          <w:rFonts w:eastAsia="Times New Roman" w:cs="Times New Roman"/>
          <w:szCs w:val="19"/>
          <w:lang w:val="en-GB" w:eastAsia="pl-PL"/>
        </w:rPr>
        <w:t>Museums and museum branches organised also 11.1 thousand curatorial tours</w:t>
      </w:r>
      <w:r w:rsidR="003E0EDC" w:rsidRPr="0047793E">
        <w:rPr>
          <w:rStyle w:val="Odwoanieprzypisudolnego"/>
          <w:rFonts w:eastAsia="Times New Roman" w:cs="Times New Roman"/>
          <w:szCs w:val="19"/>
          <w:lang w:val="en-GB" w:eastAsia="pl-PL"/>
        </w:rPr>
        <w:footnoteReference w:id="1"/>
      </w:r>
      <w:r w:rsidR="00D01013" w:rsidRPr="0047793E">
        <w:rPr>
          <w:rFonts w:eastAsia="Times New Roman" w:cs="Times New Roman"/>
          <w:szCs w:val="19"/>
          <w:lang w:val="en-GB" w:eastAsia="pl-PL"/>
        </w:rPr>
        <w:t xml:space="preserve"> – 258.0 thousand people took advantage of this form of sightseeing.</w:t>
      </w:r>
    </w:p>
    <w:p w14:paraId="68E7E3D1" w14:textId="0529DE6E" w:rsidR="00CB490A" w:rsidRPr="0047793E" w:rsidRDefault="00CB490A" w:rsidP="00CB490A">
      <w:pPr>
        <w:pStyle w:val="Tytuwykresu0"/>
        <w:keepNext w:val="0"/>
        <w:spacing w:before="3600"/>
        <w:ind w:left="709" w:hanging="709"/>
        <w:outlineLvl w:val="9"/>
        <w:rPr>
          <w:shd w:val="clear" w:color="auto" w:fill="FFFFFF"/>
          <w:lang w:val="en-GB"/>
        </w:rPr>
      </w:pPr>
      <w:r w:rsidRPr="0047793E">
        <w:rPr>
          <w:rFonts w:ascii="Fira Sans" w:hAnsi="Fira Sans"/>
          <w:lang w:val="en-GB" w:eastAsia="en-GB"/>
        </w:rPr>
        <w:lastRenderedPageBreak/>
        <w:drawing>
          <wp:anchor distT="0" distB="0" distL="114300" distR="114300" simplePos="0" relativeHeight="251864064" behindDoc="0" locked="0" layoutInCell="1" allowOverlap="1" wp14:anchorId="346B429E" wp14:editId="06C7DE50">
            <wp:simplePos x="0" y="0"/>
            <wp:positionH relativeFrom="margin">
              <wp:posOffset>-47625</wp:posOffset>
            </wp:positionH>
            <wp:positionV relativeFrom="paragraph">
              <wp:posOffset>352425</wp:posOffset>
            </wp:positionV>
            <wp:extent cx="5002530" cy="2505075"/>
            <wp:effectExtent l="0" t="0" r="0" b="0"/>
            <wp:wrapTopAndBottom/>
            <wp:docPr id="29" name="Obraz 29" descr="Chart 2. Bar chart presenting cultural and educational activity of museums and museum branches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93E">
        <w:rPr>
          <w:rFonts w:ascii="Fira Sans" w:hAnsi="Fira Sans"/>
          <w:lang w:val="en-GB"/>
        </w:rPr>
        <w:t xml:space="preserve">Chart 2. </w:t>
      </w:r>
      <w:r w:rsidR="009D2E40" w:rsidRPr="0047793E">
        <w:rPr>
          <w:rFonts w:ascii="Fira Sans" w:hAnsi="Fira Sans"/>
          <w:lang w:val="en-GB"/>
        </w:rPr>
        <w:t>C</w:t>
      </w:r>
      <w:r w:rsidRPr="0047793E">
        <w:rPr>
          <w:rFonts w:ascii="Fira Sans" w:hAnsi="Fira Sans"/>
          <w:lang w:val="en-GB"/>
        </w:rPr>
        <w:t>ultural and educational activity of museums and museum branches in 2023</w:t>
      </w:r>
    </w:p>
    <w:p w14:paraId="48110BD0" w14:textId="71679FD8" w:rsidR="007762FA" w:rsidRPr="0047793E" w:rsidRDefault="007762FA" w:rsidP="003B0FF2">
      <w:pPr>
        <w:suppressAutoHyphens/>
        <w:spacing w:before="9600" w:line="288" w:lineRule="auto"/>
        <w:rPr>
          <w:sz w:val="18"/>
          <w:lang w:val="en-GB"/>
        </w:rPr>
        <w:sectPr w:rsidR="007762FA" w:rsidRPr="0047793E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47793E">
        <w:rPr>
          <w:shd w:val="clear" w:color="auto" w:fill="FFFFFF"/>
          <w:lang w:val="en-GB"/>
        </w:rPr>
        <w:t xml:space="preserve">In </w:t>
      </w:r>
      <w:r w:rsidRPr="0047793E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4B534C" w:rsidRPr="0047793E" w14:paraId="7477BCAD" w14:textId="77777777" w:rsidTr="00D51653">
        <w:trPr>
          <w:cantSplit/>
          <w:trHeight w:val="1626"/>
        </w:trPr>
        <w:tc>
          <w:tcPr>
            <w:tcW w:w="4926" w:type="dxa"/>
          </w:tcPr>
          <w:p w14:paraId="0224CDAB" w14:textId="77777777" w:rsidR="004B534C" w:rsidRPr="0047793E" w:rsidRDefault="004B534C" w:rsidP="004B534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47793E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58F2DD01" w14:textId="77777777" w:rsidR="004B534C" w:rsidRPr="0047793E" w:rsidRDefault="004B534C" w:rsidP="004B534C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47793E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78155EEE" w14:textId="77777777" w:rsidR="004B534C" w:rsidRPr="0047793E" w:rsidRDefault="004B534C" w:rsidP="004B534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47793E"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47793E"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36CE0C4" w14:textId="66E7D30F" w:rsidR="004B534C" w:rsidRPr="0047793E" w:rsidRDefault="004B534C" w:rsidP="004B534C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47793E">
              <w:rPr>
                <w:lang w:val="en-GB"/>
              </w:rPr>
              <w:t>Phone:</w:t>
            </w:r>
            <w:r w:rsidRPr="0047793E">
              <w:rPr>
                <w:color w:val="000000" w:themeColor="text1"/>
                <w:lang w:val="en-GB"/>
              </w:rPr>
              <w:t xml:space="preserve"> </w:t>
            </w:r>
            <w:hyperlink r:id="rId18" w:tooltip="click to call" w:history="1">
              <w:r w:rsidRPr="0047793E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 w:rsidRPr="0047793E">
              <w:rPr>
                <w:lang w:val="en-GB"/>
              </w:rPr>
              <w:t xml:space="preserve"> </w:t>
            </w:r>
            <w:r w:rsidRPr="0047793E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108B00BA" w14:textId="77777777" w:rsidR="004B534C" w:rsidRPr="0047793E" w:rsidRDefault="004B534C" w:rsidP="004B534C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47793E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3FA78F4D" w14:textId="77777777" w:rsidR="004B534C" w:rsidRPr="0047793E" w:rsidRDefault="004B534C" w:rsidP="004B534C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47793E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1A314B80" w14:textId="77777777" w:rsidR="004B534C" w:rsidRPr="0047793E" w:rsidRDefault="004B534C" w:rsidP="004B534C">
            <w:pPr>
              <w:rPr>
                <w:sz w:val="20"/>
                <w:szCs w:val="20"/>
                <w:lang w:val="en-GB"/>
              </w:rPr>
            </w:pPr>
            <w:r w:rsidRPr="0047793E">
              <w:rPr>
                <w:sz w:val="20"/>
                <w:szCs w:val="20"/>
                <w:lang w:val="en-GB"/>
              </w:rPr>
              <w:t>Mobile: (+48) 695 255 032</w:t>
            </w:r>
          </w:p>
          <w:p w14:paraId="702A2EC3" w14:textId="77777777" w:rsidR="004B534C" w:rsidRPr="0047793E" w:rsidRDefault="004B534C" w:rsidP="004B534C">
            <w:pPr>
              <w:spacing w:after="0"/>
              <w:rPr>
                <w:sz w:val="20"/>
                <w:szCs w:val="20"/>
                <w:lang w:val="en-GB"/>
              </w:rPr>
            </w:pPr>
            <w:r w:rsidRPr="0047793E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1D50D0B3" w14:textId="77777777" w:rsidR="004B534C" w:rsidRPr="0047793E" w:rsidRDefault="004B534C" w:rsidP="004B534C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47793E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40631F32" w:rsidR="004B534C" w:rsidRPr="0047793E" w:rsidRDefault="004B534C" w:rsidP="004B534C">
            <w:pPr>
              <w:spacing w:before="0"/>
              <w:rPr>
                <w:b/>
                <w:lang w:val="en-GB"/>
              </w:rPr>
            </w:pPr>
            <w:r w:rsidRPr="0047793E">
              <w:rPr>
                <w:b/>
                <w:sz w:val="20"/>
                <w:szCs w:val="20"/>
                <w:lang w:val="en-GB"/>
              </w:rPr>
              <w:t>e-mail:</w:t>
            </w:r>
            <w:r w:rsidRPr="0047793E">
              <w:rPr>
                <w:sz w:val="20"/>
                <w:szCs w:val="20"/>
                <w:lang w:val="en-GB"/>
              </w:rPr>
              <w:t xml:space="preserve"> </w:t>
            </w:r>
            <w:hyperlink r:id="rId19" w:tooltip="obslugaprasowa@stat.gov.pl" w:history="1">
              <w:r w:rsidRPr="0047793E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4B534C" w:rsidRPr="0047793E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1E4835C8" w14:textId="35B09589" w:rsidR="004B534C" w:rsidRPr="0047793E" w:rsidRDefault="004B534C" w:rsidP="004B534C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1898CBA5" w:rsidR="004B534C" w:rsidRPr="0047793E" w:rsidRDefault="004B534C" w:rsidP="004B534C">
            <w:pPr>
              <w:ind w:firstLine="680"/>
              <w:rPr>
                <w:sz w:val="18"/>
                <w:lang w:val="en-GB"/>
              </w:rPr>
            </w:pPr>
            <w:r w:rsidRPr="0047793E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66112" behindDoc="0" locked="0" layoutInCell="1" allowOverlap="1" wp14:anchorId="38C92BD2" wp14:editId="18A2D79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tooltip="website SO" w:history="1">
              <w:r w:rsidRPr="0047793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47793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47793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4B534C" w:rsidRPr="0047793E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4B534C" w:rsidRPr="0047793E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229D3012" w:rsidR="004B534C" w:rsidRPr="0047793E" w:rsidRDefault="004B534C" w:rsidP="004B534C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47793E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67136" behindDoc="0" locked="0" layoutInCell="1" allowOverlap="1" wp14:anchorId="0349E41B" wp14:editId="44C090D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6" name="Obraz 6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793E">
              <w:rPr>
                <w:color w:val="000000" w:themeColor="text1"/>
                <w:lang w:val="en-GB"/>
              </w:rPr>
              <w:t>@</w:t>
            </w:r>
            <w:proofErr w:type="spellStart"/>
            <w:r w:rsidR="008C2C1C" w:rsidRPr="0047793E">
              <w:rPr>
                <w:lang w:val="en-GB"/>
              </w:rPr>
              <w:fldChar w:fldCharType="begin"/>
            </w:r>
            <w:r w:rsidR="008C2C1C" w:rsidRPr="0047793E">
              <w:rPr>
                <w:lang w:val="en-GB"/>
              </w:rPr>
              <w:instrText xml:space="preserve"> HYPERLINK "https://twitter.com/StatPoland" \o "twitter" </w:instrText>
            </w:r>
            <w:r w:rsidR="008C2C1C" w:rsidRPr="0047793E">
              <w:rPr>
                <w:lang w:val="en-GB"/>
              </w:rPr>
              <w:fldChar w:fldCharType="separate"/>
            </w:r>
            <w:r w:rsidRPr="0047793E">
              <w:rPr>
                <w:rStyle w:val="Hipercze"/>
                <w:color w:val="000000" w:themeColor="text1"/>
                <w:u w:val="none"/>
                <w:lang w:val="en-GB"/>
              </w:rPr>
              <w:t>StatPoland</w:t>
            </w:r>
            <w:proofErr w:type="spellEnd"/>
            <w:r w:rsidR="008C2C1C" w:rsidRPr="0047793E">
              <w:rPr>
                <w:rStyle w:val="Hipercze"/>
                <w:color w:val="000000" w:themeColor="text1"/>
                <w:u w:val="none"/>
                <w:lang w:val="en-GB"/>
              </w:rPr>
              <w:fldChar w:fldCharType="end"/>
            </w:r>
          </w:p>
        </w:tc>
      </w:tr>
      <w:tr w:rsidR="004B534C" w:rsidRPr="0047793E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4B534C" w:rsidRPr="0047793E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172886CE" w:rsidR="004B534C" w:rsidRPr="0047793E" w:rsidRDefault="004B534C" w:rsidP="004B534C">
            <w:pPr>
              <w:ind w:firstLine="680"/>
              <w:rPr>
                <w:sz w:val="18"/>
                <w:lang w:val="en-GB"/>
              </w:rPr>
            </w:pPr>
            <w:r w:rsidRPr="0047793E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68160" behindDoc="0" locked="0" layoutInCell="1" allowOverlap="1" wp14:anchorId="08C845A3" wp14:editId="062425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tooltip="facebook" w:history="1">
              <w:r w:rsidRPr="0047793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47793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47793E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4B534C" w:rsidRPr="0047793E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4B534C" w:rsidRPr="0047793E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206F3B90" w:rsidR="004B534C" w:rsidRPr="0047793E" w:rsidRDefault="004B534C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7793E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69184" behindDoc="0" locked="0" layoutInCell="1" allowOverlap="1" wp14:anchorId="664CBB35" wp14:editId="28B6CD6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intagram GUS" w:history="1">
              <w:proofErr w:type="spellStart"/>
              <w:r w:rsidRPr="0047793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gus_stat</w:t>
              </w:r>
              <w:proofErr w:type="spellEnd"/>
            </w:hyperlink>
          </w:p>
        </w:tc>
      </w:tr>
      <w:tr w:rsidR="004B534C" w:rsidRPr="0047793E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4B534C" w:rsidRPr="0047793E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278F1983" w:rsidR="004B534C" w:rsidRPr="0047793E" w:rsidRDefault="004B534C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7793E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70208" behindDoc="0" locked="0" layoutInCell="1" allowOverlap="1" wp14:anchorId="37D27262" wp14:editId="1F7AF17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tooltip="youtube GUS" w:history="1">
              <w:proofErr w:type="spellStart"/>
              <w:r w:rsidRPr="0047793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glownyurzadstatystycznygus</w:t>
              </w:r>
              <w:proofErr w:type="spellEnd"/>
            </w:hyperlink>
          </w:p>
        </w:tc>
      </w:tr>
      <w:tr w:rsidR="004B534C" w:rsidRPr="0047793E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4B534C" w:rsidRPr="0047793E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76405C70" w:rsidR="004B534C" w:rsidRPr="0047793E" w:rsidRDefault="008C2C1C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9" w:tooltip="linkedin GUS" w:history="1">
              <w:r w:rsidR="004B534C" w:rsidRPr="0047793E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pl-PL"/>
                </w:rPr>
                <w:t>glownyurzadstatystyczny</w:t>
              </w:r>
              <w:r w:rsidR="004B534C" w:rsidRPr="0047793E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en-GB"/>
                </w:rPr>
                <w:drawing>
                  <wp:anchor distT="0" distB="0" distL="114300" distR="114300" simplePos="0" relativeHeight="251871232" behindDoc="0" locked="0" layoutInCell="1" allowOverlap="1" wp14:anchorId="1E271F8A" wp14:editId="5DF1A582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77282A" w:rsidRPr="0047793E" w14:paraId="503ADA62" w14:textId="77777777" w:rsidTr="00D5165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47793E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47793E">
              <w:rPr>
                <w:b/>
                <w:lang w:val="en-GB"/>
              </w:rPr>
              <w:t>Related information</w:t>
            </w:r>
          </w:p>
          <w:p w14:paraId="13AF7008" w14:textId="03E258DB" w:rsidR="0077282A" w:rsidRPr="0047793E" w:rsidRDefault="008C2C1C" w:rsidP="004C74BF">
            <w:pPr>
              <w:suppressAutoHyphens/>
              <w:rPr>
                <w:rStyle w:val="Hipercze"/>
                <w:lang w:val="en-GB"/>
              </w:rPr>
            </w:pPr>
            <w:hyperlink r:id="rId31" w:tooltip="link to publication &quot;Culture and national heritage in 2022&quot;" w:history="1">
              <w:r w:rsidR="0077282A" w:rsidRPr="0047793E">
                <w:rPr>
                  <w:rStyle w:val="Hipercze"/>
                  <w:lang w:val="en-GB"/>
                </w:rPr>
                <w:t>Culture and nati</w:t>
              </w:r>
              <w:r w:rsidR="0077282A" w:rsidRPr="0047793E">
                <w:rPr>
                  <w:rStyle w:val="Hipercze"/>
                  <w:lang w:val="en-GB"/>
                </w:rPr>
                <w:t>o</w:t>
              </w:r>
              <w:r w:rsidR="0077282A" w:rsidRPr="0047793E">
                <w:rPr>
                  <w:rStyle w:val="Hipercze"/>
                  <w:lang w:val="en-GB"/>
                </w:rPr>
                <w:t>nal heritage in 2022</w:t>
              </w:r>
            </w:hyperlink>
          </w:p>
          <w:p w14:paraId="0CB4373A" w14:textId="5B2DEFF6" w:rsidR="00550AA4" w:rsidRPr="0047793E" w:rsidRDefault="008C2C1C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2" w:tooltip="link to publication &quot;Activity of museums in 2022&quot;" w:history="1">
              <w:r w:rsidR="00550AA4" w:rsidRPr="0047793E">
                <w:rPr>
                  <w:rStyle w:val="Hipercze"/>
                  <w:lang w:val="en-GB"/>
                </w:rPr>
                <w:t>Activity of museums in</w:t>
              </w:r>
              <w:r w:rsidR="00550AA4" w:rsidRPr="0047793E">
                <w:rPr>
                  <w:rStyle w:val="Hipercze"/>
                  <w:lang w:val="en-GB"/>
                </w:rPr>
                <w:t xml:space="preserve"> </w:t>
              </w:r>
              <w:r w:rsidR="00550AA4" w:rsidRPr="0047793E">
                <w:rPr>
                  <w:rStyle w:val="Hipercze"/>
                  <w:lang w:val="en-GB"/>
                </w:rPr>
                <w:t>2022</w:t>
              </w:r>
            </w:hyperlink>
          </w:p>
          <w:p w14:paraId="08289162" w14:textId="77777777" w:rsidR="0077282A" w:rsidRPr="0047793E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bCs/>
                <w:color w:val="000000" w:themeColor="text1"/>
                <w:szCs w:val="24"/>
                <w:lang w:val="en-GB"/>
              </w:rPr>
            </w:pPr>
            <w:r w:rsidRPr="0047793E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3210E62A" w14:textId="141204E4" w:rsidR="00550AA4" w:rsidRPr="0047793E" w:rsidRDefault="008C2C1C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3" w:tooltip="link to term &quot;museum&quot;" w:history="1">
              <w:r w:rsidR="00550AA4" w:rsidRPr="0047793E">
                <w:rPr>
                  <w:rStyle w:val="Hipercze"/>
                  <w:lang w:val="en-GB"/>
                </w:rPr>
                <w:t>Mus</w:t>
              </w:r>
              <w:r w:rsidR="00550AA4" w:rsidRPr="0047793E">
                <w:rPr>
                  <w:rStyle w:val="Hipercze"/>
                  <w:lang w:val="en-GB"/>
                </w:rPr>
                <w:t>e</w:t>
              </w:r>
              <w:r w:rsidR="00550AA4" w:rsidRPr="0047793E">
                <w:rPr>
                  <w:rStyle w:val="Hipercze"/>
                  <w:lang w:val="en-GB"/>
                </w:rPr>
                <w:t>um</w:t>
              </w:r>
            </w:hyperlink>
          </w:p>
          <w:p w14:paraId="4D5A9D98" w14:textId="34ACFAB3" w:rsidR="00550AA4" w:rsidRPr="0047793E" w:rsidRDefault="008C2C1C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4" w:tooltip="link to term &quot;museum branch&quot;" w:history="1">
              <w:r w:rsidR="00550AA4" w:rsidRPr="0047793E">
                <w:rPr>
                  <w:rStyle w:val="Hipercze"/>
                  <w:lang w:val="en-GB"/>
                </w:rPr>
                <w:t xml:space="preserve">Museum </w:t>
              </w:r>
              <w:r w:rsidR="00550AA4" w:rsidRPr="0047793E">
                <w:rPr>
                  <w:rStyle w:val="Hipercze"/>
                  <w:lang w:val="en-GB"/>
                </w:rPr>
                <w:t>b</w:t>
              </w:r>
              <w:r w:rsidR="00550AA4" w:rsidRPr="0047793E">
                <w:rPr>
                  <w:rStyle w:val="Hipercze"/>
                  <w:lang w:val="en-GB"/>
                </w:rPr>
                <w:t>ranch</w:t>
              </w:r>
            </w:hyperlink>
          </w:p>
          <w:p w14:paraId="285C9CDF" w14:textId="3C844276" w:rsidR="00550AA4" w:rsidRPr="0047793E" w:rsidRDefault="008C2C1C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5" w:tooltip="link to term &quot;unit’s organiser&quot;" w:history="1">
              <w:r w:rsidR="00550AA4" w:rsidRPr="0047793E">
                <w:rPr>
                  <w:rStyle w:val="Hipercze"/>
                  <w:lang w:val="en-GB"/>
                </w:rPr>
                <w:t xml:space="preserve">Unit’s </w:t>
              </w:r>
              <w:r w:rsidR="00550AA4" w:rsidRPr="0047793E">
                <w:rPr>
                  <w:rStyle w:val="Hipercze"/>
                  <w:lang w:val="en-GB"/>
                </w:rPr>
                <w:t>o</w:t>
              </w:r>
              <w:r w:rsidR="00550AA4" w:rsidRPr="0047793E">
                <w:rPr>
                  <w:rStyle w:val="Hipercze"/>
                  <w:lang w:val="en-GB"/>
                </w:rPr>
                <w:t>rganiser</w:t>
              </w:r>
            </w:hyperlink>
            <w:r w:rsidR="00550AA4" w:rsidRPr="0047793E">
              <w:rPr>
                <w:rStyle w:val="Hipercze"/>
                <w:lang w:val="en-GB"/>
              </w:rPr>
              <w:t xml:space="preserve"> </w:t>
            </w:r>
          </w:p>
          <w:p w14:paraId="03FAE9E3" w14:textId="075B52EC" w:rsidR="00550AA4" w:rsidRPr="0047793E" w:rsidRDefault="00550AA4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r w:rsidRPr="0047793E">
              <w:rPr>
                <w:rStyle w:val="Hipercze"/>
                <w:lang w:val="en-GB"/>
              </w:rPr>
              <w:fldChar w:fldCharType="begin"/>
            </w:r>
            <w:r w:rsidR="004C74BF">
              <w:rPr>
                <w:rStyle w:val="Hipercze"/>
                <w:lang w:val="en-GB"/>
              </w:rPr>
              <w:instrText>HYPERLINK "https://stat.gov.pl/en/metainformation/glossary/terms-used-in-official-statistics/175,term.html" \o "link to term \"museum lesson\"</w:instrText>
            </w:r>
            <w:r w:rsidR="004C74BF" w:rsidRPr="0047793E">
              <w:rPr>
                <w:rStyle w:val="Hipercze"/>
                <w:lang w:val="en-GB"/>
              </w:rPr>
            </w:r>
            <w:r w:rsidRPr="0047793E">
              <w:rPr>
                <w:rStyle w:val="Hipercze"/>
                <w:lang w:val="en-GB"/>
              </w:rPr>
              <w:fldChar w:fldCharType="separate"/>
            </w:r>
            <w:r w:rsidRPr="0047793E">
              <w:rPr>
                <w:rStyle w:val="Hipercze"/>
                <w:lang w:val="en-GB"/>
              </w:rPr>
              <w:t>Museum</w:t>
            </w:r>
            <w:r w:rsidRPr="0047793E">
              <w:rPr>
                <w:rStyle w:val="Hipercze"/>
                <w:lang w:val="en-GB"/>
              </w:rPr>
              <w:t xml:space="preserve"> </w:t>
            </w:r>
            <w:r w:rsidRPr="0047793E">
              <w:rPr>
                <w:rStyle w:val="Hipercze"/>
                <w:lang w:val="en-GB"/>
              </w:rPr>
              <w:t>lesson</w:t>
            </w:r>
          </w:p>
          <w:p w14:paraId="4BEB58E5" w14:textId="4AB63E33" w:rsidR="00550AA4" w:rsidRPr="0047793E" w:rsidRDefault="00550AA4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r w:rsidRPr="0047793E">
              <w:rPr>
                <w:rStyle w:val="Hipercze"/>
                <w:lang w:val="en-GB"/>
              </w:rPr>
              <w:fldChar w:fldCharType="end"/>
            </w:r>
            <w:hyperlink r:id="rId36" w:tooltip="link to term &quot;exhibits&quot;" w:history="1">
              <w:r w:rsidRPr="0047793E">
                <w:rPr>
                  <w:rStyle w:val="Hipercze"/>
                  <w:lang w:val="en-GB"/>
                </w:rPr>
                <w:t>Exh</w:t>
              </w:r>
              <w:r w:rsidRPr="0047793E">
                <w:rPr>
                  <w:rStyle w:val="Hipercze"/>
                  <w:lang w:val="en-GB"/>
                </w:rPr>
                <w:t>i</w:t>
              </w:r>
              <w:r w:rsidRPr="0047793E">
                <w:rPr>
                  <w:rStyle w:val="Hipercze"/>
                  <w:lang w:val="en-GB"/>
                </w:rPr>
                <w:t>bits</w:t>
              </w:r>
            </w:hyperlink>
          </w:p>
          <w:p w14:paraId="1EBE2235" w14:textId="149151F4" w:rsidR="00550AA4" w:rsidRPr="0047793E" w:rsidRDefault="008C2C1C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7" w:tooltip="link to term &quot;temporary exhibitions&quot;" w:history="1">
              <w:r w:rsidR="00550AA4" w:rsidRPr="0047793E">
                <w:rPr>
                  <w:rStyle w:val="Hipercze"/>
                  <w:lang w:val="en-GB"/>
                </w:rPr>
                <w:t xml:space="preserve">Temporary </w:t>
              </w:r>
              <w:r w:rsidR="00550AA4" w:rsidRPr="0047793E">
                <w:rPr>
                  <w:rStyle w:val="Hipercze"/>
                  <w:lang w:val="en-GB"/>
                </w:rPr>
                <w:t>e</w:t>
              </w:r>
              <w:r w:rsidR="00550AA4" w:rsidRPr="0047793E">
                <w:rPr>
                  <w:rStyle w:val="Hipercze"/>
                  <w:lang w:val="en-GB"/>
                </w:rPr>
                <w:t>xhibitions</w:t>
              </w:r>
            </w:hyperlink>
          </w:p>
          <w:p w14:paraId="7F331CFF" w14:textId="77777777" w:rsidR="00550AA4" w:rsidRPr="0047793E" w:rsidRDefault="008C2C1C" w:rsidP="00550AA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8" w:tooltip="link to term &quot;permanent exhibitions&quot;" w:history="1">
              <w:r w:rsidR="00550AA4" w:rsidRPr="0047793E">
                <w:rPr>
                  <w:rStyle w:val="Hipercze"/>
                  <w:lang w:val="en-GB"/>
                </w:rPr>
                <w:t>Permanent exhibitions</w:t>
              </w:r>
            </w:hyperlink>
          </w:p>
          <w:p w14:paraId="77ECBDD0" w14:textId="35B5773B" w:rsidR="0077282A" w:rsidRPr="0047793E" w:rsidRDefault="008C2C1C" w:rsidP="00550AA4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9" w:tooltip="link to term &quot;visitor&quot;" w:history="1">
              <w:r w:rsidR="00550AA4" w:rsidRPr="0047793E">
                <w:rPr>
                  <w:rStyle w:val="Hipercze"/>
                  <w:lang w:val="en-GB"/>
                </w:rPr>
                <w:t>Vis</w:t>
              </w:r>
              <w:r w:rsidR="00550AA4" w:rsidRPr="0047793E">
                <w:rPr>
                  <w:rStyle w:val="Hipercze"/>
                  <w:lang w:val="en-GB"/>
                </w:rPr>
                <w:t>i</w:t>
              </w:r>
              <w:r w:rsidR="00550AA4" w:rsidRPr="0047793E">
                <w:rPr>
                  <w:rStyle w:val="Hipercze"/>
                  <w:lang w:val="en-GB"/>
                </w:rPr>
                <w:t>tor</w:t>
              </w:r>
            </w:hyperlink>
          </w:p>
        </w:tc>
      </w:tr>
    </w:tbl>
    <w:p w14:paraId="6CD67820" w14:textId="77777777" w:rsidR="0077282A" w:rsidRPr="0047793E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47793E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5D22" w14:textId="77777777" w:rsidR="00BA5A74" w:rsidRDefault="00BA5A74" w:rsidP="000662E2">
      <w:pPr>
        <w:spacing w:after="0" w:line="240" w:lineRule="auto"/>
      </w:pPr>
      <w:r>
        <w:separator/>
      </w:r>
    </w:p>
  </w:endnote>
  <w:endnote w:type="continuationSeparator" w:id="0">
    <w:p w14:paraId="18B51C80" w14:textId="77777777" w:rsidR="00BA5A74" w:rsidRDefault="00BA5A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4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4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4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62CAB" w14:textId="77777777" w:rsidR="00BA5A74" w:rsidRDefault="00BA5A74" w:rsidP="000662E2">
      <w:pPr>
        <w:spacing w:after="0" w:line="240" w:lineRule="auto"/>
      </w:pPr>
      <w:r>
        <w:separator/>
      </w:r>
    </w:p>
  </w:footnote>
  <w:footnote w:type="continuationSeparator" w:id="0">
    <w:p w14:paraId="186644D9" w14:textId="77777777" w:rsidR="00BA5A74" w:rsidRDefault="00BA5A74" w:rsidP="000662E2">
      <w:pPr>
        <w:spacing w:after="0" w:line="240" w:lineRule="auto"/>
      </w:pPr>
      <w:r>
        <w:continuationSeparator/>
      </w:r>
    </w:p>
  </w:footnote>
  <w:footnote w:id="1">
    <w:p w14:paraId="76DB5859" w14:textId="36F0798B" w:rsidR="003E0EDC" w:rsidRPr="003E0EDC" w:rsidRDefault="003E0EDC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3E0EDC">
        <w:rPr>
          <w:lang w:val="en-GB"/>
        </w:rPr>
        <w:t xml:space="preserve"> Visiting the exhibition with a researcher.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val="en-GB" w:eastAsia="en-GB"/>
      </w:rPr>
      <w:drawing>
        <wp:inline distT="0" distB="0" distL="0" distR="0" wp14:anchorId="184897DF" wp14:editId="33F70C4C">
          <wp:extent cx="1867489" cy="468000"/>
          <wp:effectExtent l="0" t="0" r="0" b="8255"/>
          <wp:docPr id="10" name="Obraz 10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3BF86B97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3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334E9290" w:rsidR="007762FA" w:rsidRPr="00A01B40" w:rsidRDefault="005D3838" w:rsidP="0057332C">
                          <w:pPr>
                            <w:pStyle w:val="Datainformacjisygnalnej"/>
                          </w:pPr>
                          <w:r>
                            <w:t>13.05</w:t>
                          </w:r>
                          <w:r w:rsidR="008C682B"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Publication data 13.05.2024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b8KAIAABwEAAAOAAAAZHJzL2Uyb0RvYy54bWysU9Fu2yAUfZ+0f0C8L3acpE2sOFXXrtOk&#10;bovU7QMw4BgVcxmQ2NnX94LTNNrepvkBgS/33HvOPaxvhk6Tg3ReganodJJTIg0Hocyuoj9/PHxY&#10;UuIDM4JpMLKiR+npzeb9u3VvS1lAC1pIRxDE+LK3FW1DsGWWed7KjvkJWGkw2IDrWMCj22XCsR7R&#10;O50VeX6V9eCEdcCl9/j3fgzSTcJvGsnD96bxMhBdUewtpNWltY5rtlmzcueYbRU/tcH+oYuOKYNF&#10;z1D3LDCyd+ovqE5xBx6aMOHQZdA0isvEAdlM8z/YPLXMysQFxfH2LJP/f7D822HriBI4u2tKDOtw&#10;RlvQkgT57AP0khSUCOk5arbd11pxFnDURESC09kkX0yKvJhHHXvrS4R7sggYho8wIGbSxNtH4M+e&#10;GLhrmdnJW+egbyUTyGMaM7OL1BHHR5C6/woC+2H7AAloaFwXRUbZCKLjPI/nGcohEB5LzmdFsZpR&#10;wjE2m10tlqtUgpWv2db58FlCR+Kmog49ktDZ4dGH2A0rX6/EYgYelNbJJ9qQvqKrRbFICReRTgW0&#10;sVZdRZd5/EZjRZKfjEjJgSk97rGANifWkehIOQz1gBejFDWII/J3MNoVnxduWnC/KenRqhX1v/bM&#10;SUr0F4MarqbzefR2OswX1wUe3GWkvowwwxGqooGScXsX0nsYud6i1o1KMrx1cuoVLZjUOT2X6PHL&#10;c7r19qg3L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AWwxvw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334E9290" w:rsidR="007762FA" w:rsidRPr="00A01B40" w:rsidRDefault="005D3838" w:rsidP="0057332C">
                    <w:pPr>
                      <w:pStyle w:val="Datainformacjisygnalnej"/>
                    </w:pPr>
                    <w:r>
                      <w:t>13.05</w:t>
                    </w:r>
                    <w:r w:rsidR="008C682B">
                      <w:t>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2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30.2pt;visibility:visible;mso-wrap-style:square" o:bullet="t">
        <v:imagedata r:id="rId1" o:title=""/>
      </v:shape>
    </w:pict>
  </w:numPicBullet>
  <w:numPicBullet w:numPicBulletId="1">
    <w:pict>
      <v:shape id="_x0000_i1027" type="#_x0000_t75" style="width:122.7pt;height:130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3004"/>
    <w:rsid w:val="00095966"/>
    <w:rsid w:val="00097840"/>
    <w:rsid w:val="000A16D8"/>
    <w:rsid w:val="000A1CB5"/>
    <w:rsid w:val="000A7BED"/>
    <w:rsid w:val="000A7C30"/>
    <w:rsid w:val="000B0727"/>
    <w:rsid w:val="000B19C5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FFE"/>
    <w:rsid w:val="001423B6"/>
    <w:rsid w:val="00143957"/>
    <w:rsid w:val="001448A7"/>
    <w:rsid w:val="00144CAE"/>
    <w:rsid w:val="00146621"/>
    <w:rsid w:val="00151077"/>
    <w:rsid w:val="00153446"/>
    <w:rsid w:val="00154131"/>
    <w:rsid w:val="0015465E"/>
    <w:rsid w:val="00156EC0"/>
    <w:rsid w:val="00157896"/>
    <w:rsid w:val="001617E3"/>
    <w:rsid w:val="00162325"/>
    <w:rsid w:val="00163D43"/>
    <w:rsid w:val="0016407B"/>
    <w:rsid w:val="00174A1D"/>
    <w:rsid w:val="00180822"/>
    <w:rsid w:val="00187DDC"/>
    <w:rsid w:val="00193AA0"/>
    <w:rsid w:val="001951DA"/>
    <w:rsid w:val="00197D40"/>
    <w:rsid w:val="001A0F2D"/>
    <w:rsid w:val="001A32E4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770C"/>
    <w:rsid w:val="00200D3A"/>
    <w:rsid w:val="0020156C"/>
    <w:rsid w:val="00203905"/>
    <w:rsid w:val="002064CD"/>
    <w:rsid w:val="002130F5"/>
    <w:rsid w:val="00213AEF"/>
    <w:rsid w:val="002153B1"/>
    <w:rsid w:val="00216634"/>
    <w:rsid w:val="00217196"/>
    <w:rsid w:val="002200E0"/>
    <w:rsid w:val="002214CE"/>
    <w:rsid w:val="0022298A"/>
    <w:rsid w:val="002239FF"/>
    <w:rsid w:val="00226513"/>
    <w:rsid w:val="00231082"/>
    <w:rsid w:val="00231B77"/>
    <w:rsid w:val="0023674F"/>
    <w:rsid w:val="00236B33"/>
    <w:rsid w:val="00241963"/>
    <w:rsid w:val="00241FA7"/>
    <w:rsid w:val="0024273B"/>
    <w:rsid w:val="00242D31"/>
    <w:rsid w:val="002442BD"/>
    <w:rsid w:val="00247B69"/>
    <w:rsid w:val="00253348"/>
    <w:rsid w:val="00253CEC"/>
    <w:rsid w:val="0025481E"/>
    <w:rsid w:val="002574F9"/>
    <w:rsid w:val="00260894"/>
    <w:rsid w:val="00262B61"/>
    <w:rsid w:val="00262CC6"/>
    <w:rsid w:val="00263E08"/>
    <w:rsid w:val="002669F1"/>
    <w:rsid w:val="00266C29"/>
    <w:rsid w:val="00266DDB"/>
    <w:rsid w:val="002708CE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655D"/>
    <w:rsid w:val="002B0472"/>
    <w:rsid w:val="002B3C0D"/>
    <w:rsid w:val="002B4995"/>
    <w:rsid w:val="002B6282"/>
    <w:rsid w:val="002B6B12"/>
    <w:rsid w:val="002C157F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5768"/>
    <w:rsid w:val="002F77C8"/>
    <w:rsid w:val="00302A3F"/>
    <w:rsid w:val="00302E96"/>
    <w:rsid w:val="00304F22"/>
    <w:rsid w:val="00306C7C"/>
    <w:rsid w:val="0031107D"/>
    <w:rsid w:val="003120D1"/>
    <w:rsid w:val="00314F86"/>
    <w:rsid w:val="00315802"/>
    <w:rsid w:val="00315FB4"/>
    <w:rsid w:val="00317F4D"/>
    <w:rsid w:val="00321B3E"/>
    <w:rsid w:val="00322EDD"/>
    <w:rsid w:val="003233A9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5E06"/>
    <w:rsid w:val="00347D72"/>
    <w:rsid w:val="00350E19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6968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2A72"/>
    <w:rsid w:val="003A2B07"/>
    <w:rsid w:val="003B0FF2"/>
    <w:rsid w:val="003B1454"/>
    <w:rsid w:val="003B15C6"/>
    <w:rsid w:val="003B18B6"/>
    <w:rsid w:val="003B3863"/>
    <w:rsid w:val="003B3D7D"/>
    <w:rsid w:val="003B4F7C"/>
    <w:rsid w:val="003B54B6"/>
    <w:rsid w:val="003B65C0"/>
    <w:rsid w:val="003B668D"/>
    <w:rsid w:val="003C025A"/>
    <w:rsid w:val="003C161B"/>
    <w:rsid w:val="003C1D73"/>
    <w:rsid w:val="003C430B"/>
    <w:rsid w:val="003C507B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D7858"/>
    <w:rsid w:val="003E0EDC"/>
    <w:rsid w:val="003E14E3"/>
    <w:rsid w:val="003E16FF"/>
    <w:rsid w:val="003E76F6"/>
    <w:rsid w:val="003F1D96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B32"/>
    <w:rsid w:val="00403EAE"/>
    <w:rsid w:val="00404EA3"/>
    <w:rsid w:val="00404F5D"/>
    <w:rsid w:val="00405DFE"/>
    <w:rsid w:val="00406856"/>
    <w:rsid w:val="00410F71"/>
    <w:rsid w:val="00411556"/>
    <w:rsid w:val="00411A97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3036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394"/>
    <w:rsid w:val="00457427"/>
    <w:rsid w:val="00463E39"/>
    <w:rsid w:val="004657FC"/>
    <w:rsid w:val="00466A99"/>
    <w:rsid w:val="004733F6"/>
    <w:rsid w:val="00473557"/>
    <w:rsid w:val="00474E69"/>
    <w:rsid w:val="0047793E"/>
    <w:rsid w:val="00477F4E"/>
    <w:rsid w:val="0048136E"/>
    <w:rsid w:val="00483E9F"/>
    <w:rsid w:val="00485759"/>
    <w:rsid w:val="00485A2C"/>
    <w:rsid w:val="00486E0E"/>
    <w:rsid w:val="00491E76"/>
    <w:rsid w:val="0049246F"/>
    <w:rsid w:val="0049621B"/>
    <w:rsid w:val="004A1D19"/>
    <w:rsid w:val="004A28E4"/>
    <w:rsid w:val="004A399C"/>
    <w:rsid w:val="004A406A"/>
    <w:rsid w:val="004B0408"/>
    <w:rsid w:val="004B4713"/>
    <w:rsid w:val="004B534C"/>
    <w:rsid w:val="004B56CA"/>
    <w:rsid w:val="004B678F"/>
    <w:rsid w:val="004B6CDA"/>
    <w:rsid w:val="004C1895"/>
    <w:rsid w:val="004C1D0E"/>
    <w:rsid w:val="004C6D40"/>
    <w:rsid w:val="004C74BF"/>
    <w:rsid w:val="004C7FB6"/>
    <w:rsid w:val="004D004E"/>
    <w:rsid w:val="004D06EF"/>
    <w:rsid w:val="004D636A"/>
    <w:rsid w:val="004D77F1"/>
    <w:rsid w:val="004E0C32"/>
    <w:rsid w:val="004E28B4"/>
    <w:rsid w:val="004E6AA8"/>
    <w:rsid w:val="004F0C3C"/>
    <w:rsid w:val="004F2280"/>
    <w:rsid w:val="004F23BB"/>
    <w:rsid w:val="004F63FC"/>
    <w:rsid w:val="00500489"/>
    <w:rsid w:val="0050328A"/>
    <w:rsid w:val="00503585"/>
    <w:rsid w:val="00503E18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1FB0"/>
    <w:rsid w:val="00533632"/>
    <w:rsid w:val="00534013"/>
    <w:rsid w:val="00540C5C"/>
    <w:rsid w:val="005415D3"/>
    <w:rsid w:val="00541666"/>
    <w:rsid w:val="00541E6E"/>
    <w:rsid w:val="00542252"/>
    <w:rsid w:val="0054251F"/>
    <w:rsid w:val="00543DA2"/>
    <w:rsid w:val="00550234"/>
    <w:rsid w:val="00550423"/>
    <w:rsid w:val="00550AA4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4E00"/>
    <w:rsid w:val="005A698C"/>
    <w:rsid w:val="005A736D"/>
    <w:rsid w:val="005B06F3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838"/>
    <w:rsid w:val="005D3C7C"/>
    <w:rsid w:val="005D6955"/>
    <w:rsid w:val="005E0799"/>
    <w:rsid w:val="005E10F9"/>
    <w:rsid w:val="005E1200"/>
    <w:rsid w:val="005E1389"/>
    <w:rsid w:val="005E2CC7"/>
    <w:rsid w:val="005E40D1"/>
    <w:rsid w:val="005E68A5"/>
    <w:rsid w:val="005E793B"/>
    <w:rsid w:val="005F45EE"/>
    <w:rsid w:val="005F4A8B"/>
    <w:rsid w:val="005F5A80"/>
    <w:rsid w:val="0060035B"/>
    <w:rsid w:val="006044FF"/>
    <w:rsid w:val="00607CC5"/>
    <w:rsid w:val="0061179B"/>
    <w:rsid w:val="006125F9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2E8"/>
    <w:rsid w:val="00654BB6"/>
    <w:rsid w:val="00664FFB"/>
    <w:rsid w:val="00666100"/>
    <w:rsid w:val="006673CA"/>
    <w:rsid w:val="0066751D"/>
    <w:rsid w:val="00670C24"/>
    <w:rsid w:val="00671156"/>
    <w:rsid w:val="00671802"/>
    <w:rsid w:val="00673C26"/>
    <w:rsid w:val="00674DE5"/>
    <w:rsid w:val="006764FF"/>
    <w:rsid w:val="00677631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680"/>
    <w:rsid w:val="0070216F"/>
    <w:rsid w:val="00705A38"/>
    <w:rsid w:val="00705D19"/>
    <w:rsid w:val="007108D3"/>
    <w:rsid w:val="00710F28"/>
    <w:rsid w:val="00720B05"/>
    <w:rsid w:val="007211B1"/>
    <w:rsid w:val="00721FBB"/>
    <w:rsid w:val="0072379F"/>
    <w:rsid w:val="00727559"/>
    <w:rsid w:val="007277DA"/>
    <w:rsid w:val="00730795"/>
    <w:rsid w:val="00731210"/>
    <w:rsid w:val="00731BEB"/>
    <w:rsid w:val="00731D27"/>
    <w:rsid w:val="007346B2"/>
    <w:rsid w:val="007424B6"/>
    <w:rsid w:val="00743792"/>
    <w:rsid w:val="007440C6"/>
    <w:rsid w:val="00746187"/>
    <w:rsid w:val="00746814"/>
    <w:rsid w:val="00746B84"/>
    <w:rsid w:val="007500BD"/>
    <w:rsid w:val="00750AB8"/>
    <w:rsid w:val="00751277"/>
    <w:rsid w:val="00755481"/>
    <w:rsid w:val="0076254F"/>
    <w:rsid w:val="00762EB0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4CEF"/>
    <w:rsid w:val="00785608"/>
    <w:rsid w:val="00786124"/>
    <w:rsid w:val="00792546"/>
    <w:rsid w:val="0079514B"/>
    <w:rsid w:val="00795252"/>
    <w:rsid w:val="00797434"/>
    <w:rsid w:val="007A2DC1"/>
    <w:rsid w:val="007A6717"/>
    <w:rsid w:val="007A6932"/>
    <w:rsid w:val="007B49E9"/>
    <w:rsid w:val="007B6A4B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41A5"/>
    <w:rsid w:val="00805072"/>
    <w:rsid w:val="0080553C"/>
    <w:rsid w:val="00805B46"/>
    <w:rsid w:val="00805DB4"/>
    <w:rsid w:val="008077CE"/>
    <w:rsid w:val="00810599"/>
    <w:rsid w:val="008170A6"/>
    <w:rsid w:val="00817DDF"/>
    <w:rsid w:val="00821B53"/>
    <w:rsid w:val="00822E90"/>
    <w:rsid w:val="00823593"/>
    <w:rsid w:val="00825DC2"/>
    <w:rsid w:val="0082620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63791"/>
    <w:rsid w:val="008641DA"/>
    <w:rsid w:val="00864EB1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12D2"/>
    <w:rsid w:val="008B71F1"/>
    <w:rsid w:val="008C0C29"/>
    <w:rsid w:val="008C2C1C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84A"/>
    <w:rsid w:val="00906E52"/>
    <w:rsid w:val="009104D4"/>
    <w:rsid w:val="00911ACF"/>
    <w:rsid w:val="009127BA"/>
    <w:rsid w:val="00916135"/>
    <w:rsid w:val="00920436"/>
    <w:rsid w:val="00920AAE"/>
    <w:rsid w:val="009227A6"/>
    <w:rsid w:val="00927009"/>
    <w:rsid w:val="00933EC1"/>
    <w:rsid w:val="00936CE3"/>
    <w:rsid w:val="009408B9"/>
    <w:rsid w:val="00940AE5"/>
    <w:rsid w:val="00941517"/>
    <w:rsid w:val="009425C0"/>
    <w:rsid w:val="009446AD"/>
    <w:rsid w:val="0094749C"/>
    <w:rsid w:val="009476C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BAC"/>
    <w:rsid w:val="00993775"/>
    <w:rsid w:val="00993E20"/>
    <w:rsid w:val="009A0B98"/>
    <w:rsid w:val="009A0EB0"/>
    <w:rsid w:val="009A26B9"/>
    <w:rsid w:val="009A68CA"/>
    <w:rsid w:val="009A6EA0"/>
    <w:rsid w:val="009B155D"/>
    <w:rsid w:val="009B1972"/>
    <w:rsid w:val="009B731F"/>
    <w:rsid w:val="009C12A7"/>
    <w:rsid w:val="009C1335"/>
    <w:rsid w:val="009C1AB2"/>
    <w:rsid w:val="009C7251"/>
    <w:rsid w:val="009D2E40"/>
    <w:rsid w:val="009D466C"/>
    <w:rsid w:val="009E0D43"/>
    <w:rsid w:val="009E25E1"/>
    <w:rsid w:val="009E2E91"/>
    <w:rsid w:val="009F071E"/>
    <w:rsid w:val="00A00B33"/>
    <w:rsid w:val="00A01B40"/>
    <w:rsid w:val="00A040CB"/>
    <w:rsid w:val="00A05677"/>
    <w:rsid w:val="00A0703F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41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32DA"/>
    <w:rsid w:val="00A563F2"/>
    <w:rsid w:val="00A566E8"/>
    <w:rsid w:val="00A56D33"/>
    <w:rsid w:val="00A61856"/>
    <w:rsid w:val="00A61E4F"/>
    <w:rsid w:val="00A62D30"/>
    <w:rsid w:val="00A660B4"/>
    <w:rsid w:val="00A66347"/>
    <w:rsid w:val="00A710B1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4953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3582"/>
    <w:rsid w:val="00B25B45"/>
    <w:rsid w:val="00B267FF"/>
    <w:rsid w:val="00B30564"/>
    <w:rsid w:val="00B31DB9"/>
    <w:rsid w:val="00B31E5A"/>
    <w:rsid w:val="00B35453"/>
    <w:rsid w:val="00B45F13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A74"/>
    <w:rsid w:val="00BB02B7"/>
    <w:rsid w:val="00BB0BDB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1E2A"/>
    <w:rsid w:val="00BF27FA"/>
    <w:rsid w:val="00BF2E69"/>
    <w:rsid w:val="00BF2F72"/>
    <w:rsid w:val="00BF4AA9"/>
    <w:rsid w:val="00BF768F"/>
    <w:rsid w:val="00C013B9"/>
    <w:rsid w:val="00C030DE"/>
    <w:rsid w:val="00C051A8"/>
    <w:rsid w:val="00C10C66"/>
    <w:rsid w:val="00C14F50"/>
    <w:rsid w:val="00C15327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BEC"/>
    <w:rsid w:val="00CA4FB6"/>
    <w:rsid w:val="00CB1E65"/>
    <w:rsid w:val="00CB23CF"/>
    <w:rsid w:val="00CB2CEB"/>
    <w:rsid w:val="00CB2F90"/>
    <w:rsid w:val="00CB490A"/>
    <w:rsid w:val="00CB689D"/>
    <w:rsid w:val="00CB6975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E57B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1013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331D"/>
    <w:rsid w:val="00DA3C88"/>
    <w:rsid w:val="00DA7C1C"/>
    <w:rsid w:val="00DB0536"/>
    <w:rsid w:val="00DB147A"/>
    <w:rsid w:val="00DB1B7A"/>
    <w:rsid w:val="00DB3752"/>
    <w:rsid w:val="00DB3788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58F1"/>
    <w:rsid w:val="00DE6B58"/>
    <w:rsid w:val="00DF0BAD"/>
    <w:rsid w:val="00DF587A"/>
    <w:rsid w:val="00DF5D38"/>
    <w:rsid w:val="00DF5E32"/>
    <w:rsid w:val="00DF708F"/>
    <w:rsid w:val="00E01436"/>
    <w:rsid w:val="00E027F0"/>
    <w:rsid w:val="00E02F90"/>
    <w:rsid w:val="00E03E79"/>
    <w:rsid w:val="00E045BD"/>
    <w:rsid w:val="00E04D6C"/>
    <w:rsid w:val="00E114AE"/>
    <w:rsid w:val="00E17B77"/>
    <w:rsid w:val="00E231AB"/>
    <w:rsid w:val="00E23337"/>
    <w:rsid w:val="00E245B1"/>
    <w:rsid w:val="00E2471E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425"/>
    <w:rsid w:val="00E60642"/>
    <w:rsid w:val="00E610C8"/>
    <w:rsid w:val="00E61970"/>
    <w:rsid w:val="00E61E56"/>
    <w:rsid w:val="00E63B0C"/>
    <w:rsid w:val="00E664C5"/>
    <w:rsid w:val="00E671A2"/>
    <w:rsid w:val="00E70F8F"/>
    <w:rsid w:val="00E76D26"/>
    <w:rsid w:val="00E76EE5"/>
    <w:rsid w:val="00E8524C"/>
    <w:rsid w:val="00E93DB8"/>
    <w:rsid w:val="00E948B2"/>
    <w:rsid w:val="00E953FE"/>
    <w:rsid w:val="00E95B8E"/>
    <w:rsid w:val="00E96919"/>
    <w:rsid w:val="00E96E0C"/>
    <w:rsid w:val="00EA016D"/>
    <w:rsid w:val="00EA3CB1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2817"/>
    <w:rsid w:val="00EC4647"/>
    <w:rsid w:val="00EC512C"/>
    <w:rsid w:val="00EC73D3"/>
    <w:rsid w:val="00ED460F"/>
    <w:rsid w:val="00ED55C0"/>
    <w:rsid w:val="00ED5DBC"/>
    <w:rsid w:val="00ED682B"/>
    <w:rsid w:val="00EE41D5"/>
    <w:rsid w:val="00EE4563"/>
    <w:rsid w:val="00EE7592"/>
    <w:rsid w:val="00EE79FF"/>
    <w:rsid w:val="00EF1488"/>
    <w:rsid w:val="00EF4291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0D1"/>
    <w:rsid w:val="00F4359C"/>
    <w:rsid w:val="00F435E5"/>
    <w:rsid w:val="00F4477E"/>
    <w:rsid w:val="00F46269"/>
    <w:rsid w:val="00F46E9C"/>
    <w:rsid w:val="00F47FF9"/>
    <w:rsid w:val="00F526E6"/>
    <w:rsid w:val="00F56F3E"/>
    <w:rsid w:val="00F60BA8"/>
    <w:rsid w:val="00F619F2"/>
    <w:rsid w:val="00F62E3D"/>
    <w:rsid w:val="00F63267"/>
    <w:rsid w:val="00F64988"/>
    <w:rsid w:val="00F654F7"/>
    <w:rsid w:val="00F66E32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tel:+48124204050" TargetMode="External"/><Relationship Id="rId26" Type="http://schemas.openxmlformats.org/officeDocument/2006/relationships/hyperlink" Target="https://www.instagram.com/gus_stat/" TargetMode="External"/><Relationship Id="rId39" Type="http://schemas.openxmlformats.org/officeDocument/2006/relationships/hyperlink" Target="https://stat.gov.pl/en/metainformation/glossary/terms-used-in-official-statistics/275,term.html" TargetMode="Externa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s://stat.gov.pl/en/metainformation/glossary/terms-used-in-official-statistics/3676,term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s://pl.linkedin.com/company/glownyurzadstatystyczny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s://stat.gov.pl/en/topics/culture-tourism-sport/culture/activity-of-museums-in-2022,8,6.html" TargetMode="External"/><Relationship Id="rId37" Type="http://schemas.openxmlformats.org/officeDocument/2006/relationships/hyperlink" Target="https://stat.gov.pl/en/metainformation/glossary/terms-used-in-official-statistics/2090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28" Type="http://schemas.openxmlformats.org/officeDocument/2006/relationships/hyperlink" Target="https://www.youtube.com/channel/UC0wiQMElFgYszpAoYgTnXtg/featured" TargetMode="External"/><Relationship Id="rId36" Type="http://schemas.openxmlformats.org/officeDocument/2006/relationships/hyperlink" Target="https://stat.gov.pl/en/metainformation/glossary/terms-used-in-official-statistics/1942,ter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topics/culture-tourism-sport/culture/culture-and-national-heritage-in-2022,1,1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hyperlink" Target="https://stat.gov.pl/en/metainformation/glossary/terms-used-in-official-statistics/3665,term.html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image" Target="media/image10.png"/><Relationship Id="rId33" Type="http://schemas.openxmlformats.org/officeDocument/2006/relationships/hyperlink" Target="https://stat.gov.pl/en/metainformation/glossary/terms-used-in-official-statistics/216,term.html" TargetMode="External"/><Relationship Id="rId38" Type="http://schemas.openxmlformats.org/officeDocument/2006/relationships/hyperlink" Target="https://stat.gov.pl/en/metainformation/glossary/terms-used-in-official-statistics/308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01_Activity of museums in 2023.docx.docx</NazwaPliku>
    <Osoba xmlns="1E9983FF-DC4B-4F4E-A072-0441E2B88E6D">STAT\piwowarczykm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F442617C-9166-4241-9EE2-15DD8D338D45}"/>
</file>

<file path=customXml/itemProps2.xml><?xml version="1.0" encoding="utf-8"?>
<ds:datastoreItem xmlns:ds="http://schemas.openxmlformats.org/officeDocument/2006/customXml" ds:itemID="{F71997DC-6A44-4874-B679-7B6E4EB4B882}"/>
</file>

<file path=customXml/itemProps3.xml><?xml version="1.0" encoding="utf-8"?>
<ds:datastoreItem xmlns:ds="http://schemas.openxmlformats.org/officeDocument/2006/customXml" ds:itemID="{957097DF-374F-4830-9D21-C8CF059718E2}"/>
</file>

<file path=customXml/itemProps4.xml><?xml version="1.0" encoding="utf-8"?>
<ds:datastoreItem xmlns:ds="http://schemas.openxmlformats.org/officeDocument/2006/customXml" ds:itemID="{E5777B78-E118-4B87-A243-489012129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828</Words>
  <Characters>4973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Acitvity of art galleries in 2023</vt:lpstr>
    </vt:vector>
  </TitlesOfParts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2024-05-08T12:33:00Z</cp:lastPrinted>
  <dcterms:created xsi:type="dcterms:W3CDTF">2024-05-07T04:58:00Z</dcterms:created>
  <dcterms:modified xsi:type="dcterms:W3CDTF">2024-05-08T12:33:00Z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