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6B747929" w:rsidR="00393761" w:rsidRPr="004D004E" w:rsidRDefault="00187DDC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bookmarkStart w:id="0" w:name="_GoBack"/>
      <w:bookmarkEnd w:id="0"/>
      <w:r>
        <w:rPr>
          <w:rFonts w:cs="Fira Sans Extra Condensed SemiB"/>
          <w:bCs/>
          <w:spacing w:val="-2"/>
          <w:szCs w:val="40"/>
          <w:lang w:val="en-GB"/>
        </w:rPr>
        <w:t xml:space="preserve">Activity of </w:t>
      </w:r>
      <w:r w:rsidR="00297FF3">
        <w:rPr>
          <w:rFonts w:cs="Fira Sans Extra Condensed SemiB"/>
          <w:bCs/>
          <w:spacing w:val="-2"/>
          <w:szCs w:val="40"/>
          <w:lang w:val="en-GB"/>
        </w:rPr>
        <w:t>theatres and music institutions in 2023</w:t>
      </w:r>
    </w:p>
    <w:p w14:paraId="57FB7B71" w14:textId="5F13782F" w:rsidR="003521FF" w:rsidRDefault="00241FA7" w:rsidP="008041A5">
      <w:pPr>
        <w:pStyle w:val="LID"/>
        <w:spacing w:before="360" w:after="1440"/>
        <w:rPr>
          <w:lang w:val="en-GB"/>
        </w:rPr>
      </w:pPr>
      <w:r w:rsidRPr="004D004E">
        <w:rPr>
          <w:color w:val="001D77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515106B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upwards, presenting 31.7% increase of the number of audience in theatres and music institutions in comparison to 2022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5681A9B5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297FF3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31.7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267F0461" w:rsidR="00241FA7" w:rsidRPr="00F16692" w:rsidRDefault="0084471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C60F60">
                              <w:rPr>
                                <w:lang w:val="en-GB"/>
                              </w:rPr>
                              <w:t>n</w:t>
                            </w:r>
                            <w:r w:rsidR="0004126F">
                              <w:rPr>
                                <w:lang w:val="en-GB"/>
                              </w:rPr>
                              <w:t xml:space="preserve"> </w:t>
                            </w:r>
                            <w:r w:rsidR="00C60F60">
                              <w:rPr>
                                <w:lang w:val="en-GB"/>
                              </w:rPr>
                              <w:t xml:space="preserve">increase in the number of </w:t>
                            </w:r>
                            <w:proofErr w:type="gramStart"/>
                            <w:r w:rsidR="00297FF3">
                              <w:rPr>
                                <w:lang w:val="en-GB"/>
                              </w:rPr>
                              <w:t>audience</w:t>
                            </w:r>
                            <w:proofErr w:type="gramEnd"/>
                            <w:r w:rsidR="00297FF3">
                              <w:rPr>
                                <w:lang w:val="en-GB"/>
                              </w:rPr>
                              <w:t xml:space="preserve"> in theatres and music institutions in comparison to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31.7% increase of the number of audience in theatres and music institutions in comparison to 2022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" fillcolor="#001d77" stroked="f">
                <v:stroke joinstyle="miter"/>
                <v:textbox>
                  <w:txbxContent>
                    <w:p w14:paraId="0321F3D8" w14:textId="5681A9B5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297FF3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31.7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267F0461" w:rsidR="00241FA7" w:rsidRPr="00F16692" w:rsidRDefault="0084471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A</w:t>
                      </w:r>
                      <w:r w:rsidR="00C60F60">
                        <w:rPr>
                          <w:lang w:val="en-GB"/>
                        </w:rPr>
                        <w:t>n</w:t>
                      </w:r>
                      <w:r w:rsidR="0004126F">
                        <w:rPr>
                          <w:lang w:val="en-GB"/>
                        </w:rPr>
                        <w:t xml:space="preserve"> </w:t>
                      </w:r>
                      <w:r w:rsidR="00C60F60">
                        <w:rPr>
                          <w:lang w:val="en-GB"/>
                        </w:rPr>
                        <w:t xml:space="preserve">increase in the number of </w:t>
                      </w:r>
                      <w:proofErr w:type="gramStart"/>
                      <w:r w:rsidR="00297FF3">
                        <w:rPr>
                          <w:lang w:val="en-GB"/>
                        </w:rPr>
                        <w:t>audience</w:t>
                      </w:r>
                      <w:proofErr w:type="gramEnd"/>
                      <w:r w:rsidR="00297FF3">
                        <w:rPr>
                          <w:lang w:val="en-GB"/>
                        </w:rPr>
                        <w:t xml:space="preserve"> in theatres and music institutions in comparison to 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64407578"/>
      <w:r w:rsidR="00297FF3">
        <w:rPr>
          <w:lang w:val="en-GB"/>
        </w:rPr>
        <w:t>In 2023 theatres and music institutions presented 59.0 thousand performances and concerts, with 12.3</w:t>
      </w:r>
      <w:r w:rsidR="001B495C">
        <w:rPr>
          <w:lang w:val="en-GB"/>
        </w:rPr>
        <w:t> </w:t>
      </w:r>
      <w:r w:rsidR="00297FF3">
        <w:rPr>
          <w:lang w:val="en-GB"/>
        </w:rPr>
        <w:t>million audience. 798 premieres took place. Theatres and music institutions had 5.0 thousand performances and concerts in their repertoir</w:t>
      </w:r>
      <w:r w:rsidR="003F4996">
        <w:rPr>
          <w:lang w:val="en-GB"/>
        </w:rPr>
        <w:t>e</w:t>
      </w:r>
      <w:bookmarkEnd w:id="1"/>
      <w:r w:rsidR="00297FF3">
        <w:rPr>
          <w:lang w:val="en-GB"/>
        </w:rPr>
        <w:t>.</w:t>
      </w:r>
    </w:p>
    <w:p w14:paraId="2DED5808" w14:textId="0C3F8D28" w:rsidR="00214EFE" w:rsidRPr="00730AB3" w:rsidRDefault="00214EFE" w:rsidP="001B495C">
      <w:pPr>
        <w:tabs>
          <w:tab w:val="left" w:pos="1170"/>
        </w:tabs>
        <w:spacing w:before="600" w:line="288" w:lineRule="auto"/>
        <w:rPr>
          <w:shd w:val="clear" w:color="auto" w:fill="FFFFFF"/>
          <w:lang w:val="en-GB"/>
        </w:rPr>
      </w:pPr>
      <w:r w:rsidRPr="00730AB3">
        <w:rPr>
          <w:shd w:val="clear" w:color="auto" w:fill="FFFFFF"/>
          <w:lang w:val="en-GB"/>
        </w:rPr>
        <w:t xml:space="preserve">Stage </w:t>
      </w:r>
      <w:r>
        <w:rPr>
          <w:shd w:val="clear" w:color="auto" w:fill="FFFFFF"/>
          <w:lang w:val="en-GB"/>
        </w:rPr>
        <w:t>activities were conducted by 207</w:t>
      </w:r>
      <w:r w:rsidRPr="00730AB3">
        <w:rPr>
          <w:shd w:val="clear" w:color="auto" w:fill="FFFFFF"/>
          <w:lang w:val="en-GB"/>
        </w:rPr>
        <w:t xml:space="preserve"> theatres and music institutions, of which 182 had their own artistic ensemble. The largest number of theatres and music institutions operated in Voivodship</w:t>
      </w:r>
      <w:r>
        <w:rPr>
          <w:shd w:val="clear" w:color="auto" w:fill="FFFFFF"/>
          <w:lang w:val="en-GB"/>
        </w:rPr>
        <w:t>s:</w:t>
      </w:r>
      <w:r w:rsidRPr="00730AB3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Mazowieckie (41) and</w:t>
      </w:r>
      <w:r w:rsidRPr="00730AB3">
        <w:rPr>
          <w:shd w:val="clear" w:color="auto" w:fill="FFFFFF"/>
          <w:lang w:val="en-GB"/>
        </w:rPr>
        <w:t xml:space="preserve"> Małopol</w:t>
      </w:r>
      <w:r>
        <w:rPr>
          <w:shd w:val="clear" w:color="auto" w:fill="FFFFFF"/>
          <w:lang w:val="en-GB"/>
        </w:rPr>
        <w:t>skie (29)</w:t>
      </w:r>
      <w:r w:rsidRPr="00730AB3">
        <w:rPr>
          <w:shd w:val="clear" w:color="auto" w:fill="FFFFFF"/>
          <w:lang w:val="en-GB"/>
        </w:rPr>
        <w:t xml:space="preserve">, and the </w:t>
      </w:r>
      <w:r>
        <w:rPr>
          <w:shd w:val="clear" w:color="auto" w:fill="FFFFFF"/>
          <w:lang w:val="en-GB"/>
        </w:rPr>
        <w:t xml:space="preserve">fewest - </w:t>
      </w:r>
      <w:r w:rsidRPr="00730AB3">
        <w:rPr>
          <w:shd w:val="clear" w:color="auto" w:fill="FFFFFF"/>
          <w:lang w:val="en-GB"/>
        </w:rPr>
        <w:t xml:space="preserve">in </w:t>
      </w:r>
      <w:proofErr w:type="spellStart"/>
      <w:r w:rsidRPr="00730AB3">
        <w:rPr>
          <w:shd w:val="clear" w:color="auto" w:fill="FFFFFF"/>
          <w:lang w:val="en-GB"/>
        </w:rPr>
        <w:t>Lubuskie</w:t>
      </w:r>
      <w:proofErr w:type="spellEnd"/>
      <w:r w:rsidRPr="00730AB3">
        <w:rPr>
          <w:shd w:val="clear" w:color="auto" w:fill="FFFFFF"/>
          <w:lang w:val="en-GB"/>
        </w:rPr>
        <w:t xml:space="preserve">, </w:t>
      </w:r>
      <w:proofErr w:type="spellStart"/>
      <w:r w:rsidRPr="00730AB3">
        <w:rPr>
          <w:shd w:val="clear" w:color="auto" w:fill="FFFFFF"/>
          <w:lang w:val="en-GB"/>
        </w:rPr>
        <w:t>Opolskie</w:t>
      </w:r>
      <w:proofErr w:type="spellEnd"/>
      <w:r w:rsidRPr="00730AB3">
        <w:rPr>
          <w:shd w:val="clear" w:color="auto" w:fill="FFFFFF"/>
          <w:lang w:val="en-GB"/>
        </w:rPr>
        <w:t xml:space="preserve">, </w:t>
      </w:r>
      <w:proofErr w:type="spellStart"/>
      <w:r w:rsidRPr="00730AB3">
        <w:rPr>
          <w:shd w:val="clear" w:color="auto" w:fill="FFFFFF"/>
          <w:lang w:val="en-GB"/>
        </w:rPr>
        <w:t>Podkarpackie</w:t>
      </w:r>
      <w:proofErr w:type="spellEnd"/>
      <w:r w:rsidRPr="00730AB3">
        <w:rPr>
          <w:shd w:val="clear" w:color="auto" w:fill="FFFFFF"/>
          <w:lang w:val="en-GB"/>
        </w:rPr>
        <w:t xml:space="preserve"> and Świętokrzyskie Voivodships (4</w:t>
      </w:r>
      <w:r>
        <w:rPr>
          <w:shd w:val="clear" w:color="auto" w:fill="FFFFFF"/>
          <w:lang w:val="en-GB"/>
        </w:rPr>
        <w:t xml:space="preserve"> each). A total of </w:t>
      </w:r>
      <w:r w:rsidRPr="00CA7A42">
        <w:rPr>
          <w:shd w:val="clear" w:color="auto" w:fill="FFFFFF"/>
          <w:lang w:val="en-GB"/>
        </w:rPr>
        <w:t>59</w:t>
      </w:r>
      <w:r w:rsidR="00EC0302" w:rsidRPr="00CA7A42">
        <w:rPr>
          <w:shd w:val="clear" w:color="auto" w:fill="FFFFFF"/>
          <w:lang w:val="en-GB"/>
        </w:rPr>
        <w:t>.</w:t>
      </w:r>
      <w:r w:rsidR="00EC0302">
        <w:rPr>
          <w:shd w:val="clear" w:color="auto" w:fill="FFFFFF"/>
          <w:lang w:val="en-GB"/>
        </w:rPr>
        <w:t>0</w:t>
      </w:r>
      <w:r w:rsidRPr="00730AB3">
        <w:rPr>
          <w:shd w:val="clear" w:color="auto" w:fill="FFFFFF"/>
          <w:lang w:val="en-GB"/>
        </w:rPr>
        <w:t xml:space="preserve"> thousand perform</w:t>
      </w:r>
      <w:r>
        <w:rPr>
          <w:shd w:val="clear" w:color="auto" w:fill="FFFFFF"/>
          <w:lang w:val="en-GB"/>
        </w:rPr>
        <w:t>ances/concerts were staged on 36</w:t>
      </w:r>
      <w:r w:rsidRPr="00730AB3">
        <w:rPr>
          <w:shd w:val="clear" w:color="auto" w:fill="FFFFFF"/>
          <w:lang w:val="en-GB"/>
        </w:rPr>
        <w:t>9 stages in Poland.</w:t>
      </w:r>
    </w:p>
    <w:p w14:paraId="43742666" w14:textId="29EFFC41" w:rsidR="00D3203A" w:rsidRPr="00A90E10" w:rsidRDefault="00881268" w:rsidP="001B495C">
      <w:pPr>
        <w:spacing w:line="288" w:lineRule="auto"/>
        <w:rPr>
          <w:bCs/>
          <w:lang w:val="en-GB"/>
        </w:rPr>
      </w:pPr>
      <w:r w:rsidRPr="004D004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0BD7B8B6">
                <wp:simplePos x="0" y="0"/>
                <wp:positionH relativeFrom="column">
                  <wp:posOffset>5295900</wp:posOffset>
                </wp:positionH>
                <wp:positionV relativeFrom="paragraph">
                  <wp:posOffset>105410</wp:posOffset>
                </wp:positionV>
                <wp:extent cx="1725295" cy="1200150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24" name="Prostokąt 24" descr="Of the total number of audience 32.3% took part in performances and concerts organised by theatres and music institutions in Mazowieckie Voivod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12001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53C1257F" w:rsidR="00FB78C8" w:rsidRPr="00DD62BE" w:rsidRDefault="00A5587E" w:rsidP="00FB78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Of the total number of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audience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416A8C">
                              <w:rPr>
                                <w:lang w:val="en-GB"/>
                              </w:rPr>
                              <w:t>32.3% t</w:t>
                            </w:r>
                            <w:r>
                              <w:rPr>
                                <w:lang w:val="en-GB"/>
                              </w:rPr>
                              <w:t xml:space="preserve">ook </w:t>
                            </w:r>
                            <w:r w:rsidR="00416A8C">
                              <w:rPr>
                                <w:lang w:val="en-GB"/>
                              </w:rPr>
                              <w:t xml:space="preserve">part in </w:t>
                            </w:r>
                            <w:r w:rsidR="00881268">
                              <w:rPr>
                                <w:lang w:val="en-GB"/>
                              </w:rPr>
                              <w:t>performances and concerts organised by theatres and music institutions in Mazowieckie Voivodship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Of the total number of audience 32.3% took part in performances and concerts organised by theatres and music institutions in Mazowieckie Voivodship" style="position:absolute;margin-left:417pt;margin-top:8.3pt;width:135.85pt;height:94.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" filled="f" stroked="f" strokeweight=".26mm">
                <v:textbox>
                  <w:txbxContent>
                    <w:p w14:paraId="369CA229" w14:textId="53C1257F" w:rsidR="00FB78C8" w:rsidRPr="00DD62BE" w:rsidRDefault="00A5587E" w:rsidP="00FB78C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Of the total number of </w:t>
                      </w:r>
                      <w:proofErr w:type="gramStart"/>
                      <w:r>
                        <w:rPr>
                          <w:lang w:val="en-GB"/>
                        </w:rPr>
                        <w:t>audience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  <w:r w:rsidR="00416A8C">
                        <w:rPr>
                          <w:lang w:val="en-GB"/>
                        </w:rPr>
                        <w:t>32.3% t</w:t>
                      </w:r>
                      <w:r>
                        <w:rPr>
                          <w:lang w:val="en-GB"/>
                        </w:rPr>
                        <w:t xml:space="preserve">ook </w:t>
                      </w:r>
                      <w:r w:rsidR="00416A8C">
                        <w:rPr>
                          <w:lang w:val="en-GB"/>
                        </w:rPr>
                        <w:t xml:space="preserve">part in </w:t>
                      </w:r>
                      <w:r w:rsidR="00881268">
                        <w:rPr>
                          <w:lang w:val="en-GB"/>
                        </w:rPr>
                        <w:t>performances and concerts organised by theatres and music institutions in Mazowieckie Voivodship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C61F80">
        <w:rPr>
          <w:szCs w:val="19"/>
          <w:lang w:val="en-GB"/>
        </w:rPr>
        <w:t>83.6</w:t>
      </w:r>
      <w:r w:rsidR="00214EFE" w:rsidRPr="00730AB3">
        <w:rPr>
          <w:szCs w:val="19"/>
          <w:lang w:val="en-GB"/>
        </w:rPr>
        <w:t>% of theatres and musical institutions belonged to the public sector. Local government units were organisers f</w:t>
      </w:r>
      <w:r w:rsidR="00C61F80">
        <w:rPr>
          <w:szCs w:val="19"/>
          <w:lang w:val="en-GB"/>
        </w:rPr>
        <w:t>or 93.1</w:t>
      </w:r>
      <w:r w:rsidR="00214EFE" w:rsidRPr="00730AB3">
        <w:rPr>
          <w:szCs w:val="19"/>
          <w:lang w:val="en-GB"/>
        </w:rPr>
        <w:t>% of public entities.</w:t>
      </w:r>
    </w:p>
    <w:p w14:paraId="3B5DD910" w14:textId="14175A01" w:rsidR="00164671" w:rsidRDefault="007913B2" w:rsidP="007913B2">
      <w:pPr>
        <w:pStyle w:val="Tytuwykresu0"/>
        <w:ind w:left="709" w:hanging="709"/>
        <w:rPr>
          <w:rFonts w:ascii="Fira Sans" w:hAnsi="Fira Sans"/>
          <w:lang w:val="en-GB"/>
        </w:rPr>
      </w:pPr>
      <w:r>
        <w:rPr>
          <w:rFonts w:ascii="Fira Sans" w:hAnsi="Fira Sans"/>
          <w:lang w:val="en-GB" w:eastAsia="en-GB"/>
        </w:rPr>
        <w:drawing>
          <wp:anchor distT="0" distB="0" distL="114300" distR="114300" simplePos="0" relativeHeight="251862016" behindDoc="1" locked="0" layoutInCell="1" allowOverlap="1" wp14:anchorId="7DB46267" wp14:editId="00E747D0">
            <wp:simplePos x="0" y="0"/>
            <wp:positionH relativeFrom="margin">
              <wp:align>left</wp:align>
            </wp:positionH>
            <wp:positionV relativeFrom="paragraph">
              <wp:posOffset>487680</wp:posOffset>
            </wp:positionV>
            <wp:extent cx="4957445" cy="3181350"/>
            <wp:effectExtent l="0" t="0" r="0" b="0"/>
            <wp:wrapTight wrapText="bothSides">
              <wp:wrapPolygon edited="0">
                <wp:start x="0" y="0"/>
                <wp:lineTo x="0" y="21471"/>
                <wp:lineTo x="21498" y="21471"/>
                <wp:lineTo x="21498" y="0"/>
                <wp:lineTo x="0" y="0"/>
              </wp:wrapPolygon>
            </wp:wrapTight>
            <wp:docPr id="2" name="Obraz 2" descr="Map 1. Map of Poland by voivodships presenting the number of theatres and music institutions (as of 31 December) and number of audience per 1 performance/concert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CBE">
        <w:rPr>
          <w:rFonts w:ascii="Fira Sans" w:hAnsi="Fira Sans"/>
          <w:lang w:val="en-GB"/>
        </w:rPr>
        <w:t>Map 1. Theatres and music institutions in</w:t>
      </w:r>
      <w:r w:rsidR="005A736D">
        <w:rPr>
          <w:rFonts w:ascii="Fira Sans" w:hAnsi="Fira Sans"/>
          <w:lang w:val="en-GB"/>
        </w:rPr>
        <w:t xml:space="preserve"> 2023</w:t>
      </w:r>
    </w:p>
    <w:p w14:paraId="44345AF8" w14:textId="60F6978D" w:rsidR="00A00B33" w:rsidRDefault="00156BB1" w:rsidP="001B495C">
      <w:pPr>
        <w:spacing w:before="360" w:line="288" w:lineRule="auto"/>
        <w:rPr>
          <w:b/>
          <w:spacing w:val="-2"/>
          <w:sz w:val="18"/>
          <w:lang w:val="en-GB"/>
        </w:rPr>
      </w:pPr>
      <w:r>
        <w:rPr>
          <w:szCs w:val="19"/>
          <w:lang w:val="en-GB"/>
        </w:rPr>
        <w:t xml:space="preserve">Performances and </w:t>
      </w:r>
      <w:r w:rsidR="00E1207D" w:rsidRPr="00730AB3">
        <w:rPr>
          <w:szCs w:val="19"/>
          <w:lang w:val="en-GB"/>
        </w:rPr>
        <w:t xml:space="preserve">concerts organised by theatres and musical </w:t>
      </w:r>
      <w:r>
        <w:rPr>
          <w:szCs w:val="19"/>
          <w:lang w:val="en-GB"/>
        </w:rPr>
        <w:t>institutions were attended by</w:t>
      </w:r>
      <w:r w:rsidR="001B495C">
        <w:rPr>
          <w:szCs w:val="19"/>
          <w:lang w:val="en-GB"/>
        </w:rPr>
        <w:t> </w:t>
      </w:r>
      <w:r>
        <w:rPr>
          <w:szCs w:val="19"/>
          <w:lang w:val="en-GB"/>
        </w:rPr>
        <w:t>12.3</w:t>
      </w:r>
      <w:r w:rsidR="00E1207D" w:rsidRPr="00730AB3">
        <w:rPr>
          <w:szCs w:val="19"/>
          <w:lang w:val="en-GB"/>
        </w:rPr>
        <w:t xml:space="preserve"> million audience</w:t>
      </w:r>
      <w:r>
        <w:rPr>
          <w:szCs w:val="19"/>
          <w:lang w:val="en-GB"/>
        </w:rPr>
        <w:t xml:space="preserve"> (31.7% more than in 2022)</w:t>
      </w:r>
      <w:r w:rsidR="00E1207D" w:rsidRPr="00730AB3">
        <w:rPr>
          <w:szCs w:val="19"/>
          <w:lang w:val="en-GB"/>
        </w:rPr>
        <w:t xml:space="preserve">. The largest number of </w:t>
      </w:r>
      <w:proofErr w:type="gramStart"/>
      <w:r w:rsidR="00E1207D" w:rsidRPr="00730AB3">
        <w:rPr>
          <w:szCs w:val="19"/>
          <w:lang w:val="en-GB"/>
        </w:rPr>
        <w:t>audience</w:t>
      </w:r>
      <w:proofErr w:type="gramEnd"/>
      <w:r w:rsidR="00E1207D" w:rsidRPr="00730AB3">
        <w:rPr>
          <w:szCs w:val="19"/>
          <w:lang w:val="en-GB"/>
        </w:rPr>
        <w:t xml:space="preserve"> was recorded in the theatres and music institutions</w:t>
      </w:r>
      <w:r>
        <w:rPr>
          <w:szCs w:val="19"/>
          <w:lang w:val="en-GB"/>
        </w:rPr>
        <w:t xml:space="preserve"> in Mazowieckie Voivodship – 4.0 million people (three times more than in Małopol</w:t>
      </w:r>
      <w:r w:rsidR="00E1207D" w:rsidRPr="00730AB3">
        <w:rPr>
          <w:szCs w:val="19"/>
          <w:lang w:val="en-GB"/>
        </w:rPr>
        <w:t xml:space="preserve">skie Voivodship, which was next in terms of the number of audience). The smallest number of </w:t>
      </w:r>
      <w:proofErr w:type="gramStart"/>
      <w:r w:rsidR="00E1207D" w:rsidRPr="00730AB3">
        <w:rPr>
          <w:szCs w:val="19"/>
          <w:lang w:val="en-GB"/>
        </w:rPr>
        <w:t>audience</w:t>
      </w:r>
      <w:proofErr w:type="gramEnd"/>
      <w:r w:rsidR="00E1207D" w:rsidRPr="00730AB3">
        <w:rPr>
          <w:szCs w:val="19"/>
          <w:lang w:val="en-GB"/>
        </w:rPr>
        <w:t xml:space="preserve"> attended performances and concerts in the theatres and music institutions in Lubelskie </w:t>
      </w:r>
      <w:r w:rsidR="004B391F">
        <w:rPr>
          <w:szCs w:val="19"/>
          <w:lang w:val="en-GB"/>
        </w:rPr>
        <w:t>Voivodship (144.4</w:t>
      </w:r>
      <w:r w:rsidR="00E1207D" w:rsidRPr="00730AB3">
        <w:rPr>
          <w:szCs w:val="19"/>
          <w:lang w:val="en-GB"/>
        </w:rPr>
        <w:t xml:space="preserve"> thousand</w:t>
      </w:r>
      <w:r w:rsidR="004B391F">
        <w:rPr>
          <w:szCs w:val="19"/>
          <w:lang w:val="en-GB"/>
        </w:rPr>
        <w:t>).</w:t>
      </w:r>
      <w:r w:rsidR="00A00B33">
        <w:rPr>
          <w:lang w:val="en-GB"/>
        </w:rPr>
        <w:br w:type="page"/>
      </w:r>
    </w:p>
    <w:p w14:paraId="5EAC985C" w14:textId="79E70D34" w:rsidR="00A17F3F" w:rsidRPr="00C60C18" w:rsidRDefault="00A17F3F" w:rsidP="00A17F3F">
      <w:pPr>
        <w:pStyle w:val="tytuwykresu"/>
        <w:spacing w:before="0" w:after="0"/>
        <w:ind w:left="709" w:hanging="709"/>
        <w:rPr>
          <w:b w:val="0"/>
          <w:sz w:val="19"/>
          <w:szCs w:val="19"/>
          <w:lang w:val="en-GB"/>
        </w:rPr>
      </w:pPr>
      <w:r w:rsidRPr="00C60C18">
        <w:rPr>
          <w:sz w:val="19"/>
          <w:szCs w:val="19"/>
          <w:lang w:val="en-GB"/>
        </w:rPr>
        <w:lastRenderedPageBreak/>
        <w:t>Chart 1</w:t>
      </w:r>
      <w:r w:rsidR="00DD62BE" w:rsidRPr="00C60C18">
        <w:rPr>
          <w:sz w:val="19"/>
          <w:szCs w:val="19"/>
          <w:lang w:val="en-GB"/>
        </w:rPr>
        <w:t xml:space="preserve">. </w:t>
      </w:r>
      <w:r w:rsidR="00625C95" w:rsidRPr="00730AB3">
        <w:rPr>
          <w:shd w:val="clear" w:color="auto" w:fill="FFFFFF"/>
          <w:lang w:val="en-GB"/>
        </w:rPr>
        <w:t xml:space="preserve">The structure of theatres and music institutions by type in </w:t>
      </w:r>
      <w:r w:rsidR="00625C95">
        <w:rPr>
          <w:shd w:val="clear" w:color="auto" w:fill="FFFFFF"/>
          <w:lang w:val="en-GB"/>
        </w:rPr>
        <w:t>2023</w:t>
      </w:r>
    </w:p>
    <w:p w14:paraId="307C8728" w14:textId="27D37573" w:rsidR="007A2B44" w:rsidRDefault="00CA7A42" w:rsidP="007A2B44">
      <w:pPr>
        <w:pStyle w:val="tytuwykresu"/>
        <w:spacing w:before="0"/>
        <w:ind w:firstLine="709"/>
        <w:rPr>
          <w:b w:val="0"/>
          <w:sz w:val="19"/>
          <w:szCs w:val="19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59968" behindDoc="0" locked="0" layoutInCell="1" allowOverlap="1" wp14:anchorId="61EE5ABB" wp14:editId="29DA0642">
            <wp:simplePos x="0" y="0"/>
            <wp:positionH relativeFrom="margin">
              <wp:align>left</wp:align>
            </wp:positionH>
            <wp:positionV relativeFrom="paragraph">
              <wp:posOffset>270294</wp:posOffset>
            </wp:positionV>
            <wp:extent cx="5102860" cy="2200910"/>
            <wp:effectExtent l="0" t="0" r="0" b="8890"/>
            <wp:wrapTopAndBottom/>
            <wp:docPr id="6" name="Obraz 6" descr="Chart 1. Bar chart presenting the structure of theatres and music institutions by type in 2023 (as of 31 Decemb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7F3F">
        <w:rPr>
          <w:b w:val="0"/>
          <w:szCs w:val="19"/>
          <w:lang w:val="en-GB"/>
        </w:rPr>
        <w:t>A</w:t>
      </w:r>
      <w:r w:rsidR="00A17F3F">
        <w:rPr>
          <w:b w:val="0"/>
          <w:sz w:val="19"/>
          <w:szCs w:val="19"/>
          <w:lang w:val="en-GB"/>
        </w:rPr>
        <w:t>s of 31 December</w:t>
      </w:r>
    </w:p>
    <w:p w14:paraId="65763C91" w14:textId="221B1B48" w:rsidR="003F4996" w:rsidRDefault="003F4996" w:rsidP="00CA7A42">
      <w:pPr>
        <w:spacing w:before="360" w:line="288" w:lineRule="auto"/>
        <w:rPr>
          <w:lang w:val="en-GB"/>
        </w:rPr>
      </w:pPr>
      <w:r>
        <w:rPr>
          <w:lang w:val="en-GB"/>
        </w:rPr>
        <w:t xml:space="preserve">Theatres and music institutions had 5.0 thousand performances and concerts in their repertoire, of which 798 </w:t>
      </w:r>
      <w:r w:rsidR="00B01B53">
        <w:rPr>
          <w:lang w:val="en-GB"/>
        </w:rPr>
        <w:t>were premiere shows</w:t>
      </w:r>
      <w:r>
        <w:rPr>
          <w:lang w:val="en-GB"/>
        </w:rPr>
        <w:t xml:space="preserve"> (645 in dramatic and puppet theatres and 153</w:t>
      </w:r>
      <w:r w:rsidR="001B495C">
        <w:rPr>
          <w:lang w:val="en-GB"/>
        </w:rPr>
        <w:t> </w:t>
      </w:r>
      <w:r>
        <w:rPr>
          <w:lang w:val="en-GB"/>
        </w:rPr>
        <w:t>in music theatres).</w:t>
      </w:r>
    </w:p>
    <w:p w14:paraId="78214844" w14:textId="4F33A473" w:rsidR="00AA7A98" w:rsidRDefault="00AA7A98" w:rsidP="008041A5">
      <w:pPr>
        <w:spacing w:before="240" w:line="288" w:lineRule="auto"/>
        <w:rPr>
          <w:lang w:val="en-GB"/>
        </w:rPr>
      </w:pPr>
      <w:r>
        <w:rPr>
          <w:lang w:val="en-GB"/>
        </w:rPr>
        <w:t xml:space="preserve">Almost 1/3 of total performances and concerts were </w:t>
      </w:r>
      <w:r w:rsidR="00A5587E">
        <w:rPr>
          <w:lang w:val="en-GB"/>
        </w:rPr>
        <w:t>addressed to</w:t>
      </w:r>
      <w:r w:rsidR="008E39CB">
        <w:rPr>
          <w:lang w:val="en-GB"/>
        </w:rPr>
        <w:t xml:space="preserve"> children and youth. M</w:t>
      </w:r>
      <w:r>
        <w:rPr>
          <w:lang w:val="en-GB"/>
        </w:rPr>
        <w:t xml:space="preserve">ost of them (55.6%) were </w:t>
      </w:r>
      <w:r w:rsidRPr="00AA7A98">
        <w:rPr>
          <w:lang w:val="en-GB"/>
        </w:rPr>
        <w:t>school music broadcasts.</w:t>
      </w:r>
    </w:p>
    <w:p w14:paraId="48110BD0" w14:textId="77777777" w:rsidR="007762FA" w:rsidRPr="008635DD" w:rsidRDefault="007762FA" w:rsidP="00CA7A42">
      <w:pPr>
        <w:suppressAutoHyphens/>
        <w:spacing w:before="8160" w:line="288" w:lineRule="auto"/>
        <w:rPr>
          <w:sz w:val="18"/>
          <w:lang w:val="en-GB"/>
        </w:rPr>
        <w:sectPr w:rsidR="007762FA" w:rsidRPr="008635DD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635DD">
        <w:rPr>
          <w:shd w:val="clear" w:color="auto" w:fill="FFFFFF"/>
          <w:lang w:val="en-GB"/>
        </w:rPr>
        <w:t xml:space="preserve">In </w:t>
      </w:r>
      <w:r w:rsidRPr="008635DD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ED635D" w:rsidRPr="00287211" w14:paraId="7477BCAD" w14:textId="77777777" w:rsidTr="00ED635D">
        <w:trPr>
          <w:cantSplit/>
          <w:trHeight w:val="2761"/>
        </w:trPr>
        <w:tc>
          <w:tcPr>
            <w:tcW w:w="4926" w:type="dxa"/>
          </w:tcPr>
          <w:p w14:paraId="08884369" w14:textId="77777777" w:rsidR="00ED635D" w:rsidRPr="00287211" w:rsidRDefault="00ED635D" w:rsidP="00ED635D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Pr="00287211">
              <w:rPr>
                <w:rFonts w:cs="Arial"/>
                <w:sz w:val="20"/>
                <w:lang w:val="en-GB"/>
              </w:rPr>
              <w:t>:</w:t>
            </w:r>
          </w:p>
          <w:p w14:paraId="6E8ECA84" w14:textId="77777777" w:rsidR="00ED635D" w:rsidRPr="00287211" w:rsidRDefault="00ED635D" w:rsidP="00ED635D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76FC0CB5" w14:textId="77777777" w:rsidR="00ED635D" w:rsidRDefault="00ED635D" w:rsidP="00ED635D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36CE0C4" w14:textId="3E80652E" w:rsidR="00ED635D" w:rsidRPr="0077282A" w:rsidRDefault="00ED635D" w:rsidP="00ED635D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>
              <w:rPr>
                <w:lang w:val="en-GB"/>
              </w:rPr>
              <w:t>Phone:</w:t>
            </w:r>
            <w:r w:rsidRPr="00827493">
              <w:rPr>
                <w:color w:val="000000" w:themeColor="text1"/>
                <w:lang w:val="en-GB"/>
              </w:rPr>
              <w:t xml:space="preserve"> </w:t>
            </w:r>
            <w:hyperlink r:id="rId17" w:tooltip="click to call" w:history="1">
              <w:r w:rsidRPr="00ED635D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>
              <w:rPr>
                <w:lang w:val="en-GB"/>
              </w:rPr>
              <w:t xml:space="preserve"> </w:t>
            </w:r>
            <w:r w:rsidRPr="00287211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1569E259" w14:textId="77777777" w:rsidR="00ED635D" w:rsidRPr="00F40BB1" w:rsidRDefault="00ED635D" w:rsidP="00ED635D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F40BB1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1A1D3BA3" w14:textId="77777777" w:rsidR="00ED635D" w:rsidRPr="00F40BB1" w:rsidRDefault="00ED635D" w:rsidP="00ED635D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6E85A4BE" w14:textId="77777777" w:rsidR="00ED635D" w:rsidRPr="00F40BB1" w:rsidRDefault="00ED635D" w:rsidP="00ED635D">
            <w:pPr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>Mobile: (+48) 695 255 032</w:t>
            </w:r>
          </w:p>
          <w:p w14:paraId="180E06A3" w14:textId="77777777" w:rsidR="00ED635D" w:rsidRPr="00F40BB1" w:rsidRDefault="00ED635D" w:rsidP="00ED635D">
            <w:pPr>
              <w:spacing w:after="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6D214732" w14:textId="77777777" w:rsidR="00ED635D" w:rsidRPr="00F40BB1" w:rsidRDefault="00ED635D" w:rsidP="00ED635D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30B53AE8" w:rsidR="00ED635D" w:rsidRPr="0077282A" w:rsidRDefault="00ED635D" w:rsidP="00ED635D">
            <w:pPr>
              <w:spacing w:before="0"/>
              <w:rPr>
                <w:b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e-mail:</w:t>
            </w:r>
            <w:r w:rsidRPr="00F40BB1">
              <w:rPr>
                <w:sz w:val="20"/>
                <w:szCs w:val="20"/>
                <w:lang w:val="en-GB"/>
              </w:rPr>
              <w:t xml:space="preserve"> </w:t>
            </w:r>
            <w:hyperlink r:id="rId18" w:tooltip="obslugaprasowa@stat.gov.pl" w:history="1">
              <w:r w:rsidRPr="0040270F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ED635D" w:rsidRPr="00287211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33A1A5EE" w:rsidR="00ED635D" w:rsidRPr="00287211" w:rsidRDefault="00ED635D" w:rsidP="00ED635D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2B877716" w:rsidR="00ED635D" w:rsidRPr="00ED635D" w:rsidRDefault="00ED635D" w:rsidP="00ED635D">
            <w:pPr>
              <w:ind w:firstLine="680"/>
              <w:rPr>
                <w:sz w:val="18"/>
                <w:lang w:val="en-GB"/>
              </w:rPr>
            </w:pPr>
            <w:r w:rsidRPr="00ED635D">
              <w:rPr>
                <w:noProof/>
                <w:color w:val="000000" w:themeColor="text1"/>
                <w:sz w:val="20"/>
                <w:lang w:val="en-GB" w:eastAsia="pl-PL"/>
              </w:rPr>
              <w:drawing>
                <wp:anchor distT="0" distB="0" distL="114300" distR="114300" simplePos="0" relativeHeight="251864064" behindDoc="0" locked="0" layoutInCell="1" allowOverlap="1" wp14:anchorId="06F048A2" wp14:editId="4B1F26D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4" name="Obraz 4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tooltip="website SO" w:history="1">
              <w:r w:rsidRPr="00ED635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ED635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ED635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ED635D" w:rsidRPr="00287211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ED635D" w:rsidRPr="00287211" w:rsidRDefault="00ED635D" w:rsidP="00ED635D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66CB5644" w:rsidR="00ED635D" w:rsidRPr="00ED635D" w:rsidRDefault="00ED635D" w:rsidP="00ED635D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ED635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5088" behindDoc="0" locked="0" layoutInCell="1" allowOverlap="1" wp14:anchorId="21B95369" wp14:editId="5DC19B6A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22" name="Obraz 22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635D">
              <w:rPr>
                <w:color w:val="000000" w:themeColor="text1"/>
              </w:rPr>
              <w:t>@</w:t>
            </w:r>
            <w:proofErr w:type="spellStart"/>
            <w:r w:rsidRPr="00ED635D">
              <w:rPr>
                <w:color w:val="000000" w:themeColor="text1"/>
              </w:rPr>
              <w:fldChar w:fldCharType="begin"/>
            </w:r>
            <w:r w:rsidRPr="00ED635D">
              <w:rPr>
                <w:color w:val="000000" w:themeColor="text1"/>
              </w:rPr>
              <w:instrText xml:space="preserve"> HYPERLINK "https://twitter.com/StatPoland" \o "twitter" </w:instrText>
            </w:r>
            <w:r w:rsidRPr="00ED635D">
              <w:rPr>
                <w:color w:val="000000" w:themeColor="text1"/>
              </w:rPr>
              <w:fldChar w:fldCharType="separate"/>
            </w:r>
            <w:r w:rsidRPr="00ED635D">
              <w:rPr>
                <w:rStyle w:val="Hipercze"/>
                <w:color w:val="000000" w:themeColor="text1"/>
                <w:u w:val="none"/>
              </w:rPr>
              <w:t>StatPoland</w:t>
            </w:r>
            <w:proofErr w:type="spellEnd"/>
            <w:r w:rsidRPr="00ED635D">
              <w:rPr>
                <w:color w:val="000000" w:themeColor="text1"/>
              </w:rPr>
              <w:fldChar w:fldCharType="end"/>
            </w:r>
          </w:p>
        </w:tc>
      </w:tr>
      <w:tr w:rsidR="00ED635D" w:rsidRPr="00287211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ED635D" w:rsidRPr="00287211" w:rsidRDefault="00ED635D" w:rsidP="00ED635D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6C42ABB7" w:rsidR="00ED635D" w:rsidRPr="00ED635D" w:rsidRDefault="00ED635D" w:rsidP="00ED635D">
            <w:pPr>
              <w:ind w:firstLine="680"/>
              <w:rPr>
                <w:sz w:val="18"/>
                <w:lang w:val="en-GB"/>
              </w:rPr>
            </w:pPr>
            <w:r w:rsidRPr="00ED635D">
              <w:rPr>
                <w:noProof/>
                <w:color w:val="000000" w:themeColor="text1"/>
                <w:sz w:val="20"/>
                <w:lang w:val="en-GB" w:eastAsia="pl-PL"/>
              </w:rPr>
              <w:drawing>
                <wp:anchor distT="0" distB="0" distL="114300" distR="114300" simplePos="0" relativeHeight="251866112" behindDoc="0" locked="0" layoutInCell="1" allowOverlap="1" wp14:anchorId="54C271AF" wp14:editId="4290171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" w:history="1">
              <w:r w:rsidRPr="00ED635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ED635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ED635D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ED635D" w:rsidRPr="00287211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ED635D" w:rsidRPr="00287211" w:rsidRDefault="00ED635D" w:rsidP="00ED635D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57E6F7A8" w:rsidR="00ED635D" w:rsidRPr="00ED635D" w:rsidRDefault="00ED635D" w:rsidP="00ED635D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ED635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7136" behindDoc="0" locked="0" layoutInCell="1" allowOverlap="1" wp14:anchorId="52B7D487" wp14:editId="7161197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proofErr w:type="spellStart"/>
              <w:r w:rsidRPr="00ED635D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ED635D" w:rsidRPr="00287211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ED635D" w:rsidRPr="00287211" w:rsidRDefault="00ED635D" w:rsidP="00ED635D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77413F97" w:rsidR="00ED635D" w:rsidRPr="00ED635D" w:rsidRDefault="00ED635D" w:rsidP="00ED635D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ED635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8160" behindDoc="0" locked="0" layoutInCell="1" allowOverlap="1" wp14:anchorId="1D318961" wp14:editId="10701C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proofErr w:type="spellStart"/>
              <w:r w:rsidRPr="00ED635D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ED635D" w:rsidRPr="00287211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ED635D" w:rsidRPr="00287211" w:rsidRDefault="00ED635D" w:rsidP="00ED635D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6A649A12" w:rsidR="00ED635D" w:rsidRPr="00ED635D" w:rsidRDefault="00022096" w:rsidP="00ED635D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8" w:tooltip="linkedin GUS" w:history="1">
              <w:r w:rsidR="00ED635D" w:rsidRPr="00ED635D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ED635D" w:rsidRPr="00ED635D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69184" behindDoc="0" locked="0" layoutInCell="1" allowOverlap="1" wp14:anchorId="3077838D" wp14:editId="73FE77FC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7282A" w:rsidRPr="00287211" w14:paraId="503ADA62" w14:textId="77777777" w:rsidTr="00D5165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4B497F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4B497F">
              <w:rPr>
                <w:b/>
                <w:lang w:val="en-GB"/>
              </w:rPr>
              <w:t>Related information</w:t>
            </w:r>
          </w:p>
          <w:p w14:paraId="13AF7008" w14:textId="40B81F3C" w:rsidR="0077282A" w:rsidRPr="004B497F" w:rsidRDefault="00022096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0" w:tooltip="link to publication &quot;Culture and national heritage in 2022&quot;" w:history="1">
              <w:r w:rsidR="0077282A" w:rsidRPr="004B497F">
                <w:rPr>
                  <w:rStyle w:val="Hipercze"/>
                  <w:lang w:val="en-GB"/>
                </w:rPr>
                <w:t>Culture and national heritage in 2022</w:t>
              </w:r>
            </w:hyperlink>
          </w:p>
          <w:p w14:paraId="4C698BE4" w14:textId="270A8781" w:rsidR="0077282A" w:rsidRPr="004B497F" w:rsidRDefault="00022096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1" w:tooltip="link to the publication &quot;Activity of theatres and music institutions in 2022&quot;" w:history="1">
              <w:r w:rsidR="004B497F">
                <w:rPr>
                  <w:rStyle w:val="Hipercze"/>
                  <w:lang w:val="en-GB"/>
                </w:rPr>
                <w:t>Activity of theatres and music institutions in 2022</w:t>
              </w:r>
            </w:hyperlink>
          </w:p>
          <w:p w14:paraId="08289162" w14:textId="77777777" w:rsidR="0077282A" w:rsidRPr="004B497F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4B497F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13EF3DE0" w14:textId="7FABA521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2" w:tooltip="link to term &quot;choir&quot;" w:history="1">
              <w:r w:rsidR="004B497F" w:rsidRPr="00730AB3">
                <w:rPr>
                  <w:rStyle w:val="Hipercze"/>
                  <w:lang w:val="en-GB"/>
                </w:rPr>
                <w:t>Choir</w:t>
              </w:r>
            </w:hyperlink>
          </w:p>
          <w:p w14:paraId="5C2578F0" w14:textId="4346B381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3" w:tooltip="link to term &quot;artistic activities and entertainment&quot;" w:history="1">
              <w:r w:rsidR="004B497F" w:rsidRPr="00730AB3">
                <w:rPr>
                  <w:rStyle w:val="Hipercze"/>
                  <w:lang w:val="en-GB"/>
                </w:rPr>
                <w:t>Artistic activities and entertainment</w:t>
              </w:r>
            </w:hyperlink>
          </w:p>
          <w:p w14:paraId="249D82BB" w14:textId="28656F9A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4" w:tooltip="link to term &quot;philharmonic:&quot;" w:history="1">
              <w:r w:rsidR="004B497F" w:rsidRPr="00730AB3">
                <w:rPr>
                  <w:rStyle w:val="Hipercze"/>
                  <w:lang w:val="en-GB"/>
                </w:rPr>
                <w:t>Philharmonic</w:t>
              </w:r>
            </w:hyperlink>
            <w:r w:rsidR="004B497F" w:rsidRPr="00730AB3">
              <w:rPr>
                <w:rStyle w:val="Hipercze"/>
                <w:lang w:val="en-GB"/>
              </w:rPr>
              <w:t xml:space="preserve"> </w:t>
            </w:r>
          </w:p>
          <w:p w14:paraId="49ACF6DB" w14:textId="290287A1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5" w:tooltip="link to term &quot;music institution&quot;" w:history="1">
              <w:r w:rsidR="004B497F" w:rsidRPr="00730AB3">
                <w:rPr>
                  <w:rStyle w:val="Hipercze"/>
                  <w:lang w:val="en-GB"/>
                </w:rPr>
                <w:t>Music institution</w:t>
              </w:r>
            </w:hyperlink>
          </w:p>
          <w:p w14:paraId="0B870EDF" w14:textId="6E270576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6" w:tooltip="link to term &quot;concert&quot;" w:history="1">
              <w:r w:rsidR="004B497F" w:rsidRPr="00730AB3">
                <w:rPr>
                  <w:rStyle w:val="Hipercze"/>
                  <w:lang w:val="en-GB"/>
                </w:rPr>
                <w:t>Concert</w:t>
              </w:r>
            </w:hyperlink>
          </w:p>
          <w:p w14:paraId="57523649" w14:textId="77BCBCB4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7" w:tooltip="link to term &quot;orchestra&quot;" w:history="1">
              <w:r w:rsidR="004B497F" w:rsidRPr="00730AB3">
                <w:rPr>
                  <w:rStyle w:val="Hipercze"/>
                  <w:lang w:val="en-GB"/>
                </w:rPr>
                <w:t>Orchestra</w:t>
              </w:r>
            </w:hyperlink>
          </w:p>
          <w:p w14:paraId="07F96DFB" w14:textId="56EE5196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8" w:tooltip="link to term &quot;premiere&quot;" w:history="1">
              <w:r w:rsidR="004B497F" w:rsidRPr="00730AB3">
                <w:rPr>
                  <w:rStyle w:val="Hipercze"/>
                  <w:lang w:val="en-GB"/>
                </w:rPr>
                <w:t>Premiere</w:t>
              </w:r>
            </w:hyperlink>
          </w:p>
          <w:p w14:paraId="06FCF966" w14:textId="0F659EB1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39" w:tooltip="link to term &quot;performance&quot;" w:history="1">
              <w:r w:rsidR="004B497F" w:rsidRPr="00730AB3">
                <w:rPr>
                  <w:rStyle w:val="Hipercze"/>
                  <w:lang w:val="en-GB"/>
                </w:rPr>
                <w:t>Performance</w:t>
              </w:r>
            </w:hyperlink>
          </w:p>
          <w:p w14:paraId="31F86EE9" w14:textId="6D9C76A3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40" w:tooltip="link to term &quot;scene&quot;" w:history="1">
              <w:r w:rsidR="004B497F" w:rsidRPr="00730AB3">
                <w:rPr>
                  <w:rStyle w:val="Hipercze"/>
                  <w:lang w:val="en-GB"/>
                </w:rPr>
                <w:t>Scene</w:t>
              </w:r>
            </w:hyperlink>
          </w:p>
          <w:p w14:paraId="22C3A49B" w14:textId="35F7DC5C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41" w:tooltip="link to term &quot;theatre&quot;" w:history="1">
              <w:r w:rsidR="004B497F" w:rsidRPr="00730AB3">
                <w:rPr>
                  <w:rStyle w:val="Hipercze"/>
                  <w:lang w:val="en-GB"/>
                </w:rPr>
                <w:t>Theatre</w:t>
              </w:r>
            </w:hyperlink>
          </w:p>
          <w:p w14:paraId="468E9E7B" w14:textId="0140E189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42" w:tooltip="link to term &quot;audience&quot;" w:history="1">
              <w:r w:rsidR="004B497F" w:rsidRPr="00730AB3">
                <w:rPr>
                  <w:rStyle w:val="Hipercze"/>
                  <w:lang w:val="en-GB"/>
                </w:rPr>
                <w:t>Audience</w:t>
              </w:r>
            </w:hyperlink>
          </w:p>
          <w:p w14:paraId="6862BC28" w14:textId="5A3F5810" w:rsidR="004B497F" w:rsidRPr="00730AB3" w:rsidRDefault="00022096" w:rsidP="004B497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43" w:tooltip="link to term &quot;own artistic team&quot;" w:history="1">
              <w:r w:rsidR="004B497F" w:rsidRPr="00730AB3">
                <w:rPr>
                  <w:rStyle w:val="Hipercze"/>
                  <w:lang w:val="en-GB"/>
                </w:rPr>
                <w:t>Own artistic team</w:t>
              </w:r>
            </w:hyperlink>
          </w:p>
          <w:p w14:paraId="77ECBDD0" w14:textId="6AF13778" w:rsidR="0077282A" w:rsidRPr="00287211" w:rsidRDefault="00022096" w:rsidP="004B497F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44" w:tooltip="link to term &quot;song and dance ensemble&quot;" w:history="1">
              <w:r w:rsidR="004B497F" w:rsidRPr="00730AB3">
                <w:rPr>
                  <w:rStyle w:val="Hipercze"/>
                  <w:lang w:val="en-GB"/>
                </w:rPr>
                <w:t>Song and dance ensemble</w:t>
              </w:r>
            </w:hyperlink>
          </w:p>
        </w:tc>
      </w:tr>
    </w:tbl>
    <w:p w14:paraId="6CD67820" w14:textId="77777777" w:rsidR="0077282A" w:rsidRPr="004D004E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4D004E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0CF6" w14:textId="77777777" w:rsidR="00F70324" w:rsidRDefault="00F70324" w:rsidP="000662E2">
      <w:pPr>
        <w:spacing w:after="0" w:line="240" w:lineRule="auto"/>
      </w:pPr>
      <w:r>
        <w:separator/>
      </w:r>
    </w:p>
  </w:endnote>
  <w:endnote w:type="continuationSeparator" w:id="0">
    <w:p w14:paraId="766A098A" w14:textId="77777777" w:rsidR="00F70324" w:rsidRDefault="00F703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7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E1E6" w14:textId="77777777" w:rsidR="00F70324" w:rsidRDefault="00F70324" w:rsidP="000662E2">
      <w:pPr>
        <w:spacing w:after="0" w:line="240" w:lineRule="auto"/>
      </w:pPr>
      <w:r>
        <w:separator/>
      </w:r>
    </w:p>
  </w:footnote>
  <w:footnote w:type="continuationSeparator" w:id="0">
    <w:p w14:paraId="7FE54584" w14:textId="77777777" w:rsidR="00F70324" w:rsidRDefault="00F7032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val="en-GB" w:eastAsia="en-GB"/>
      </w:rPr>
      <w:drawing>
        <wp:inline distT="0" distB="0" distL="0" distR="0" wp14:anchorId="184897DF" wp14:editId="33F70C4C">
          <wp:extent cx="1867489" cy="468000"/>
          <wp:effectExtent l="0" t="0" r="0" b="8255"/>
          <wp:docPr id="12" name="Obraz 12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38274833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25.04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1745943B" w:rsidR="007762FA" w:rsidRPr="00A01B40" w:rsidRDefault="00297FF3" w:rsidP="0057332C">
                          <w:pPr>
                            <w:pStyle w:val="Datainformacjisygnalnej"/>
                          </w:pPr>
                          <w:r>
                            <w:t>25</w:t>
                          </w:r>
                          <w:r w:rsidR="00187DDC">
                            <w:t>.04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ublication data 25.04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Bdhd6U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1745943B" w:rsidR="007762FA" w:rsidRPr="00A01B40" w:rsidRDefault="00297FF3" w:rsidP="0057332C">
                    <w:pPr>
                      <w:pStyle w:val="Datainformacjisygnalnej"/>
                    </w:pPr>
                    <w:r>
                      <w:t>25</w:t>
                    </w:r>
                    <w:r w:rsidR="00187DDC">
                      <w:t>.04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29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6pt;height:132pt;visibility:visible;mso-wrap-style:square" o:bullet="t">
        <v:imagedata r:id="rId1" o:title=""/>
      </v:shape>
    </w:pict>
  </w:numPicBullet>
  <w:numPicBullet w:numPicBulletId="1">
    <w:pict>
      <v:shape id="_x0000_i1067" type="#_x0000_t75" style="width:120pt;height:13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2096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6621"/>
    <w:rsid w:val="00151077"/>
    <w:rsid w:val="00153446"/>
    <w:rsid w:val="0015465E"/>
    <w:rsid w:val="00156BB1"/>
    <w:rsid w:val="00156EC0"/>
    <w:rsid w:val="00157896"/>
    <w:rsid w:val="001617E3"/>
    <w:rsid w:val="00162325"/>
    <w:rsid w:val="00163D43"/>
    <w:rsid w:val="0016407B"/>
    <w:rsid w:val="00164671"/>
    <w:rsid w:val="00174A1D"/>
    <w:rsid w:val="00180822"/>
    <w:rsid w:val="00187DDC"/>
    <w:rsid w:val="00193AA0"/>
    <w:rsid w:val="001951DA"/>
    <w:rsid w:val="00197D40"/>
    <w:rsid w:val="001A0F2D"/>
    <w:rsid w:val="001A32E4"/>
    <w:rsid w:val="001B011C"/>
    <w:rsid w:val="001B053D"/>
    <w:rsid w:val="001B313A"/>
    <w:rsid w:val="001B495C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064CD"/>
    <w:rsid w:val="002130F5"/>
    <w:rsid w:val="00213AEF"/>
    <w:rsid w:val="00214EFE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73B"/>
    <w:rsid w:val="00242D31"/>
    <w:rsid w:val="002442BD"/>
    <w:rsid w:val="00247B69"/>
    <w:rsid w:val="00253348"/>
    <w:rsid w:val="00253CEC"/>
    <w:rsid w:val="0025481E"/>
    <w:rsid w:val="002574F9"/>
    <w:rsid w:val="00260894"/>
    <w:rsid w:val="00261CBD"/>
    <w:rsid w:val="00262B61"/>
    <w:rsid w:val="00262CC6"/>
    <w:rsid w:val="00263E08"/>
    <w:rsid w:val="002669F1"/>
    <w:rsid w:val="00266C29"/>
    <w:rsid w:val="00266DDB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97FF3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3CBE"/>
    <w:rsid w:val="00314F86"/>
    <w:rsid w:val="00315802"/>
    <w:rsid w:val="00315FB4"/>
    <w:rsid w:val="00317F4D"/>
    <w:rsid w:val="00321B3E"/>
    <w:rsid w:val="00322EDD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7D72"/>
    <w:rsid w:val="00350E19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1454"/>
    <w:rsid w:val="003B15C6"/>
    <w:rsid w:val="003B18B6"/>
    <w:rsid w:val="003B3863"/>
    <w:rsid w:val="003B3D7D"/>
    <w:rsid w:val="003B54B6"/>
    <w:rsid w:val="003B668D"/>
    <w:rsid w:val="003C025A"/>
    <w:rsid w:val="003C161B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E14E3"/>
    <w:rsid w:val="003E16FF"/>
    <w:rsid w:val="003E76F6"/>
    <w:rsid w:val="003F1D96"/>
    <w:rsid w:val="003F3FFD"/>
    <w:rsid w:val="003F458E"/>
    <w:rsid w:val="003F4996"/>
    <w:rsid w:val="003F4C97"/>
    <w:rsid w:val="003F5475"/>
    <w:rsid w:val="003F666D"/>
    <w:rsid w:val="003F7FE6"/>
    <w:rsid w:val="00400193"/>
    <w:rsid w:val="0040084E"/>
    <w:rsid w:val="00401D2E"/>
    <w:rsid w:val="0040270F"/>
    <w:rsid w:val="00403EAE"/>
    <w:rsid w:val="00404EA3"/>
    <w:rsid w:val="00405DFE"/>
    <w:rsid w:val="00406856"/>
    <w:rsid w:val="00410F71"/>
    <w:rsid w:val="00411A97"/>
    <w:rsid w:val="00416A8C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394"/>
    <w:rsid w:val="00457427"/>
    <w:rsid w:val="00463E39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A1D19"/>
    <w:rsid w:val="004A28E4"/>
    <w:rsid w:val="004A399C"/>
    <w:rsid w:val="004A406A"/>
    <w:rsid w:val="004B0408"/>
    <w:rsid w:val="004B391F"/>
    <w:rsid w:val="004B497F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D4061"/>
    <w:rsid w:val="004D636A"/>
    <w:rsid w:val="004E0C32"/>
    <w:rsid w:val="004E28B4"/>
    <w:rsid w:val="004E6AA8"/>
    <w:rsid w:val="004F0C3C"/>
    <w:rsid w:val="004F2280"/>
    <w:rsid w:val="004F23BB"/>
    <w:rsid w:val="004F63FC"/>
    <w:rsid w:val="00500489"/>
    <w:rsid w:val="0050328A"/>
    <w:rsid w:val="00503585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6CF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089E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C7C"/>
    <w:rsid w:val="005D6955"/>
    <w:rsid w:val="005E0799"/>
    <w:rsid w:val="005E10F9"/>
    <w:rsid w:val="005E1200"/>
    <w:rsid w:val="005E1389"/>
    <w:rsid w:val="005E2CC7"/>
    <w:rsid w:val="005E68A5"/>
    <w:rsid w:val="005E793B"/>
    <w:rsid w:val="005F45EE"/>
    <w:rsid w:val="005F4A8B"/>
    <w:rsid w:val="005F5A80"/>
    <w:rsid w:val="006044FF"/>
    <w:rsid w:val="00607CC5"/>
    <w:rsid w:val="0061179B"/>
    <w:rsid w:val="006125F9"/>
    <w:rsid w:val="006243F5"/>
    <w:rsid w:val="00624DA1"/>
    <w:rsid w:val="006254CD"/>
    <w:rsid w:val="00625C95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BB6"/>
    <w:rsid w:val="00664FFB"/>
    <w:rsid w:val="00666100"/>
    <w:rsid w:val="006673CA"/>
    <w:rsid w:val="0066751D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1A7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795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108D3"/>
    <w:rsid w:val="00710F28"/>
    <w:rsid w:val="00720B05"/>
    <w:rsid w:val="007211B1"/>
    <w:rsid w:val="00721FBB"/>
    <w:rsid w:val="0072379F"/>
    <w:rsid w:val="00727559"/>
    <w:rsid w:val="007277DA"/>
    <w:rsid w:val="00730795"/>
    <w:rsid w:val="00731BEB"/>
    <w:rsid w:val="00731D27"/>
    <w:rsid w:val="007346B2"/>
    <w:rsid w:val="007424B6"/>
    <w:rsid w:val="00743792"/>
    <w:rsid w:val="007440C6"/>
    <w:rsid w:val="0074549A"/>
    <w:rsid w:val="00746187"/>
    <w:rsid w:val="00746814"/>
    <w:rsid w:val="00746B84"/>
    <w:rsid w:val="007500BD"/>
    <w:rsid w:val="00750AB8"/>
    <w:rsid w:val="00751277"/>
    <w:rsid w:val="00755481"/>
    <w:rsid w:val="0076254F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5608"/>
    <w:rsid w:val="00786124"/>
    <w:rsid w:val="007913B2"/>
    <w:rsid w:val="00792546"/>
    <w:rsid w:val="0079514B"/>
    <w:rsid w:val="00795252"/>
    <w:rsid w:val="00797434"/>
    <w:rsid w:val="007A2B4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10599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70FA8"/>
    <w:rsid w:val="008729F7"/>
    <w:rsid w:val="00873E14"/>
    <w:rsid w:val="00877F6C"/>
    <w:rsid w:val="00881268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B71F1"/>
    <w:rsid w:val="008C0C29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39CB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27A6"/>
    <w:rsid w:val="00927009"/>
    <w:rsid w:val="00933EC1"/>
    <w:rsid w:val="00936CE3"/>
    <w:rsid w:val="009408B9"/>
    <w:rsid w:val="00940AE5"/>
    <w:rsid w:val="00941517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9F0C4C"/>
    <w:rsid w:val="00A00B33"/>
    <w:rsid w:val="00A01B40"/>
    <w:rsid w:val="00A040CB"/>
    <w:rsid w:val="00A05677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587E"/>
    <w:rsid w:val="00A563F2"/>
    <w:rsid w:val="00A566E8"/>
    <w:rsid w:val="00A56D33"/>
    <w:rsid w:val="00A61856"/>
    <w:rsid w:val="00A61E4F"/>
    <w:rsid w:val="00A62D30"/>
    <w:rsid w:val="00A660B4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0E10"/>
    <w:rsid w:val="00A910B5"/>
    <w:rsid w:val="00A971E5"/>
    <w:rsid w:val="00AA0698"/>
    <w:rsid w:val="00AA710D"/>
    <w:rsid w:val="00AA7A98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4DA"/>
    <w:rsid w:val="00AF499E"/>
    <w:rsid w:val="00B00E71"/>
    <w:rsid w:val="00B0132C"/>
    <w:rsid w:val="00B01B53"/>
    <w:rsid w:val="00B01F63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080D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27FA"/>
    <w:rsid w:val="00BF2E69"/>
    <w:rsid w:val="00BF2F72"/>
    <w:rsid w:val="00BF4AA9"/>
    <w:rsid w:val="00BF768F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0C18"/>
    <w:rsid w:val="00C60F60"/>
    <w:rsid w:val="00C61F8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A7A42"/>
    <w:rsid w:val="00CB1E65"/>
    <w:rsid w:val="00CB23CF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0AA7"/>
    <w:rsid w:val="00DA331D"/>
    <w:rsid w:val="00DA3C88"/>
    <w:rsid w:val="00DA7C1C"/>
    <w:rsid w:val="00DB0536"/>
    <w:rsid w:val="00DB147A"/>
    <w:rsid w:val="00DB1B7A"/>
    <w:rsid w:val="00DB3752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3441"/>
    <w:rsid w:val="00DE58F1"/>
    <w:rsid w:val="00DE6B58"/>
    <w:rsid w:val="00DF0BAD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207D"/>
    <w:rsid w:val="00E17B77"/>
    <w:rsid w:val="00E231AB"/>
    <w:rsid w:val="00E23337"/>
    <w:rsid w:val="00E245B1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919"/>
    <w:rsid w:val="00E96E0C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0302"/>
    <w:rsid w:val="00EC2817"/>
    <w:rsid w:val="00EC512C"/>
    <w:rsid w:val="00EC73D3"/>
    <w:rsid w:val="00ED460F"/>
    <w:rsid w:val="00ED55C0"/>
    <w:rsid w:val="00ED5DBC"/>
    <w:rsid w:val="00ED635D"/>
    <w:rsid w:val="00ED682B"/>
    <w:rsid w:val="00EE41D5"/>
    <w:rsid w:val="00EE4563"/>
    <w:rsid w:val="00EE79FF"/>
    <w:rsid w:val="00EF1488"/>
    <w:rsid w:val="00EF4291"/>
    <w:rsid w:val="00F0166F"/>
    <w:rsid w:val="00F037A4"/>
    <w:rsid w:val="00F049AB"/>
    <w:rsid w:val="00F04CE0"/>
    <w:rsid w:val="00F07A42"/>
    <w:rsid w:val="00F107D9"/>
    <w:rsid w:val="00F10AD7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E32"/>
    <w:rsid w:val="00F67D8F"/>
    <w:rsid w:val="00F70324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image" Target="media/image10.png"/><Relationship Id="rId39" Type="http://schemas.openxmlformats.org/officeDocument/2006/relationships/hyperlink" Target="https://stat.gov.pl/en/metainformation/glossary/terms-used-in-official-statistics/378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95,term.html" TargetMode="External"/><Relationship Id="rId42" Type="http://schemas.openxmlformats.org/officeDocument/2006/relationships/hyperlink" Target="https://stat.gov.pl/en/metainformation/glossary/terms-used-in-official-statistics/566,term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hyperlink" Target="https://stat.gov.pl/en/metainformation/glossary/terms-used-in-official-statistics/41,term.html" TargetMode="External"/><Relationship Id="rId37" Type="http://schemas.openxmlformats.org/officeDocument/2006/relationships/hyperlink" Target="https://stat.gov.pl/en/metainformation/glossary/terms-used-in-official-statistics/278,term.html" TargetMode="External"/><Relationship Id="rId40" Type="http://schemas.openxmlformats.org/officeDocument/2006/relationships/hyperlink" Target="https://stat.gov.pl/en/metainformation/glossary/terms-used-in-official-statistics/3637,term.html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hyperlink" Target="https://stat.gov.pl/en/metainformation/glossary/terms-used-in-official-statistics/15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en/topics/culture-tourism-sport/culture/activity-of-theatres-and-music-institutions-in-2022,11,7.html" TargetMode="External"/><Relationship Id="rId44" Type="http://schemas.openxmlformats.org/officeDocument/2006/relationships/hyperlink" Target="https://stat.gov.pl/en/metainformation/glossary/terms-used-in-official-statistics/65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en/topics/culture-tourism-sport/culture/culture-and-national-heritage-in-2022,1,15.html" TargetMode="External"/><Relationship Id="rId35" Type="http://schemas.openxmlformats.org/officeDocument/2006/relationships/hyperlink" Target="https://stat.gov.pl/en/metainformation/glossary/terms-used-in-official-statistics/2137,term.html" TargetMode="External"/><Relationship Id="rId43" Type="http://schemas.openxmlformats.org/officeDocument/2006/relationships/hyperlink" Target="https://stat.gov.pl/en/metainformation/glossary/terms-used-in-official-statistics/3659,term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tel:+48124204050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s://stat.gov.pl/en/metainformation/glossary/terms-used-in-official-statistics/75,term.html" TargetMode="External"/><Relationship Id="rId38" Type="http://schemas.openxmlformats.org/officeDocument/2006/relationships/hyperlink" Target="https://stat.gov.pl/en/metainformation/glossary/terms-used-in-official-statistics/2142,term.html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stat.gov.pl/en/" TargetMode="External"/><Relationship Id="rId41" Type="http://schemas.openxmlformats.org/officeDocument/2006/relationships/hyperlink" Target="https://stat.gov.pl/en/metainformation/glossary/terms-used-in-official-statistics/530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05_Activity of theatres and music institutions in 2023.docx.docx</NazwaPliku>
    <Osoba xmlns="1E9983FF-DC4B-4F4E-A072-0441E2B88E6D">STAT\piwowarczykm</Osoba>
    <Odbiorcy2 xmlns="1E9983FF-DC4B-4F4E-A072-0441E2B88E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F5BFB96-C66C-4564-9A49-E1E4C9EDD7D2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40A9EEE2-3C9A-4453-AC7E-14103C56A2AD}"/>
</file>

<file path=customXml/itemProps4.xml><?xml version="1.0" encoding="utf-8"?>
<ds:datastoreItem xmlns:ds="http://schemas.openxmlformats.org/officeDocument/2006/customXml" ds:itemID="{451A17FF-989F-48C4-B277-BCF51CCF1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823</Words>
  <Characters>4943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Acitvity of art galleries in 2023</vt:lpstr>
    </vt:vector>
  </TitlesOfParts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Acitvity of art galleries in 2023</dc:title>
  <dc:subject>Wyniki finansowe instytucji kultury</dc:subject>
  <dc:description/>
  <cp:lastPrinted>2024-04-23T06:23:00Z</cp:lastPrinted>
  <dcterms:created xsi:type="dcterms:W3CDTF">2024-04-18T05:39:00Z</dcterms:created>
  <dcterms:modified xsi:type="dcterms:W3CDTF">2024-04-23T06:51:00Z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