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3B5E2" w14:textId="77777777" w:rsidR="009D2690" w:rsidRDefault="009D2690" w:rsidP="009A7401">
      <w:pPr>
        <w:pStyle w:val="tytuinformacji"/>
        <w:rPr>
          <w:shd w:val="clear" w:color="auto" w:fill="FFFFFF"/>
          <w:lang w:val="en-GB"/>
        </w:rPr>
      </w:pPr>
    </w:p>
    <w:p w14:paraId="2F1C2929" w14:textId="46767C84" w:rsidR="009D2690" w:rsidRDefault="009D2690" w:rsidP="009A7401">
      <w:pPr>
        <w:pStyle w:val="tytuinformacji"/>
        <w:rPr>
          <w:shd w:val="clear" w:color="auto" w:fill="FFFFFF"/>
          <w:lang w:val="en-GB"/>
        </w:rPr>
      </w:pPr>
      <w:r w:rsidRPr="00947B6B">
        <w:rPr>
          <w:shd w:val="clear" w:color="auto" w:fill="FFFFFF"/>
          <w:lang w:val="en-GB"/>
        </w:rPr>
        <w:t>Real estate sales in 2023</w:t>
      </w:r>
    </w:p>
    <w:p w14:paraId="1AA39AD5" w14:textId="77777777" w:rsidR="007E7042" w:rsidRDefault="007E7042" w:rsidP="009A7401">
      <w:pPr>
        <w:pStyle w:val="tytuinformacji"/>
        <w:rPr>
          <w:shd w:val="clear" w:color="auto" w:fill="FFFFFF"/>
          <w:lang w:val="en-GB"/>
        </w:rPr>
      </w:pPr>
    </w:p>
    <w:p w14:paraId="6660D4DB" w14:textId="07C580C6" w:rsidR="00124D5A" w:rsidRDefault="00722AF6" w:rsidP="00025A9D">
      <w:pPr>
        <w:pStyle w:val="LID"/>
        <w:rPr>
          <w:lang w:val="en-GB"/>
        </w:rPr>
      </w:pPr>
      <w:r w:rsidRPr="00947B6B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48260CC6" wp14:editId="22B222E2">
                <wp:simplePos x="0" y="0"/>
                <wp:positionH relativeFrom="margin">
                  <wp:posOffset>-84455</wp:posOffset>
                </wp:positionH>
                <wp:positionV relativeFrom="paragraph">
                  <wp:posOffset>99111</wp:posOffset>
                </wp:positionV>
                <wp:extent cx="2128520" cy="1316355"/>
                <wp:effectExtent l="0" t="0" r="5080" b="0"/>
                <wp:wrapSquare wrapText="bothSides"/>
                <wp:docPr id="6" name="Pole tekstowe 2" descr="Indicator value 3.,8%&#10;A decrease in the number of notarial deeds of real estate sales compared to 2022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3163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B8B84" w14:textId="1FB58874" w:rsidR="00C942D1" w:rsidRPr="009647C1" w:rsidRDefault="00FC6D3E" w:rsidP="00C942D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C6D3E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9D2690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01AE9" w:rsidRPr="009647C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3</w:t>
                            </w:r>
                            <w:r w:rsidR="009647C1" w:rsidRPr="009647C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.</w:t>
                            </w:r>
                            <w:r w:rsidR="00A4248E" w:rsidRPr="009647C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8</w:t>
                            </w:r>
                            <w:r w:rsidR="00C942D1" w:rsidRPr="009647C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36940F7C" w14:textId="55A3CB92" w:rsidR="00C942D1" w:rsidRPr="009647C1" w:rsidRDefault="004F48D2" w:rsidP="007246D2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 d</w:t>
                            </w:r>
                            <w:r w:rsidR="00864AB5" w:rsidRPr="009647C1">
                              <w:rPr>
                                <w:lang w:val="en-US"/>
                              </w:rPr>
                              <w:t xml:space="preserve">ecrease in the number </w:t>
                            </w:r>
                            <w:r w:rsidR="007E7042">
                              <w:rPr>
                                <w:lang w:val="en-US"/>
                              </w:rPr>
                              <w:br/>
                            </w:r>
                            <w:r w:rsidR="00864AB5" w:rsidRPr="009647C1">
                              <w:rPr>
                                <w:lang w:val="en-US"/>
                              </w:rPr>
                              <w:t xml:space="preserve">of notarial deeds </w:t>
                            </w:r>
                            <w:r w:rsidR="00816F43">
                              <w:rPr>
                                <w:lang w:val="en-US"/>
                              </w:rPr>
                              <w:t>of</w:t>
                            </w:r>
                            <w:r w:rsidR="00864AB5" w:rsidRPr="009647C1">
                              <w:rPr>
                                <w:lang w:val="en-US"/>
                              </w:rPr>
                              <w:t xml:space="preserve"> real estate </w:t>
                            </w:r>
                            <w:r w:rsidR="00816F43">
                              <w:rPr>
                                <w:lang w:val="en-US"/>
                              </w:rPr>
                              <w:t xml:space="preserve">sales </w:t>
                            </w:r>
                            <w:r w:rsidR="00864AB5" w:rsidRPr="009647C1">
                              <w:rPr>
                                <w:lang w:val="en-US"/>
                              </w:rPr>
                              <w:t>compared to</w:t>
                            </w:r>
                            <w:r w:rsidR="00B77F13" w:rsidRPr="009647C1">
                              <w:rPr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60CC6" id="Pole tekstowe 2" o:spid="_x0000_s1026" alt="Indicator value 3.,8%&#10;A decrease in the number of notarial deeds of real estate sales compared to 2022&#10;" style="position:absolute;margin-left:-6.65pt;margin-top:7.8pt;width:167.6pt;height:103.6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" fillcolor="#001d77" stroked="f">
                <v:stroke joinstyle="miter"/>
                <v:textbox>
                  <w:txbxContent>
                    <w:p w14:paraId="192B8B84" w14:textId="1FB58874" w:rsidR="00C942D1" w:rsidRPr="009647C1" w:rsidRDefault="00FC6D3E" w:rsidP="00C942D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FC6D3E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2"/>
                      </w:r>
                      <w:r w:rsidR="009D2690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t xml:space="preserve"> </w:t>
                      </w:r>
                      <w:r w:rsidR="00D01AE9" w:rsidRPr="009647C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3</w:t>
                      </w:r>
                      <w:r w:rsidR="009647C1" w:rsidRPr="009647C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.</w:t>
                      </w:r>
                      <w:r w:rsidR="00A4248E" w:rsidRPr="009647C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8</w:t>
                      </w:r>
                      <w:r w:rsidR="00C942D1" w:rsidRPr="009647C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36940F7C" w14:textId="55A3CB92" w:rsidR="00C942D1" w:rsidRPr="009647C1" w:rsidRDefault="004F48D2" w:rsidP="007246D2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 d</w:t>
                      </w:r>
                      <w:r w:rsidR="00864AB5" w:rsidRPr="009647C1">
                        <w:rPr>
                          <w:lang w:val="en-US"/>
                        </w:rPr>
                        <w:t xml:space="preserve">ecrease in the number </w:t>
                      </w:r>
                      <w:r w:rsidR="007E7042">
                        <w:rPr>
                          <w:lang w:val="en-US"/>
                        </w:rPr>
                        <w:br/>
                      </w:r>
                      <w:r w:rsidR="00864AB5" w:rsidRPr="009647C1">
                        <w:rPr>
                          <w:lang w:val="en-US"/>
                        </w:rPr>
                        <w:t xml:space="preserve">of notarial deeds </w:t>
                      </w:r>
                      <w:r w:rsidR="00816F43">
                        <w:rPr>
                          <w:lang w:val="en-US"/>
                        </w:rPr>
                        <w:t>of</w:t>
                      </w:r>
                      <w:r w:rsidR="00864AB5" w:rsidRPr="009647C1">
                        <w:rPr>
                          <w:lang w:val="en-US"/>
                        </w:rPr>
                        <w:t xml:space="preserve"> real estate </w:t>
                      </w:r>
                      <w:r w:rsidR="00816F43">
                        <w:rPr>
                          <w:lang w:val="en-US"/>
                        </w:rPr>
                        <w:t xml:space="preserve">sales </w:t>
                      </w:r>
                      <w:r w:rsidR="00864AB5" w:rsidRPr="009647C1">
                        <w:rPr>
                          <w:lang w:val="en-US"/>
                        </w:rPr>
                        <w:t>compared to</w:t>
                      </w:r>
                      <w:r w:rsidR="00B77F13" w:rsidRPr="009647C1">
                        <w:rPr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64AB5" w:rsidRPr="00947B6B">
        <w:rPr>
          <w:lang w:val="en-GB"/>
        </w:rPr>
        <w:t xml:space="preserve">In 2023, 510.9 thousand notarial deeds </w:t>
      </w:r>
      <w:r w:rsidR="00816F43" w:rsidRPr="00947B6B">
        <w:rPr>
          <w:lang w:val="en-GB"/>
        </w:rPr>
        <w:t>of</w:t>
      </w:r>
      <w:r w:rsidR="00864AB5" w:rsidRPr="00947B6B">
        <w:rPr>
          <w:lang w:val="en-GB"/>
        </w:rPr>
        <w:t xml:space="preserve"> real estate</w:t>
      </w:r>
      <w:r w:rsidR="00816F43" w:rsidRPr="00947B6B">
        <w:rPr>
          <w:lang w:val="en-GB"/>
        </w:rPr>
        <w:t xml:space="preserve"> trading</w:t>
      </w:r>
      <w:r w:rsidR="00864AB5" w:rsidRPr="00947B6B">
        <w:rPr>
          <w:lang w:val="en-GB"/>
        </w:rPr>
        <w:t xml:space="preserve"> </w:t>
      </w:r>
      <w:r w:rsidR="00816F43" w:rsidRPr="00947B6B">
        <w:rPr>
          <w:lang w:val="en-GB"/>
        </w:rPr>
        <w:t xml:space="preserve">were signed </w:t>
      </w:r>
      <w:r w:rsidR="00864AB5" w:rsidRPr="00947B6B">
        <w:rPr>
          <w:lang w:val="en-GB"/>
        </w:rPr>
        <w:t xml:space="preserve">(a year-on-year decrease </w:t>
      </w:r>
      <w:r w:rsidR="007E7042">
        <w:rPr>
          <w:lang w:val="en-GB"/>
        </w:rPr>
        <w:br/>
      </w:r>
      <w:r w:rsidR="00864AB5" w:rsidRPr="00947B6B">
        <w:rPr>
          <w:lang w:val="en-GB"/>
        </w:rPr>
        <w:t xml:space="preserve">of 3.8%). </w:t>
      </w:r>
      <w:r w:rsidR="00864AB5" w:rsidRPr="00947B6B">
        <w:rPr>
          <w:shd w:val="clear" w:color="auto" w:fill="FFFFFF"/>
          <w:lang w:val="en-GB"/>
        </w:rPr>
        <w:t xml:space="preserve">Compared to the previous year, the </w:t>
      </w:r>
      <w:r w:rsidR="00864AB5" w:rsidRPr="00947B6B">
        <w:rPr>
          <w:lang w:val="en-GB"/>
        </w:rPr>
        <w:t xml:space="preserve">number of notarial deeds concerning the sale of real estate to the State Treasury or local government units increased (by 7.0%), the sale of perpetual usufruct rights (by 4.7%), the sale of cooperative ownership rights to premises (by 4.0%) and the sale of premises (by 1.9%). On the other hand, the largest decrease was recorded in </w:t>
      </w:r>
      <w:r w:rsidR="00864AB5" w:rsidRPr="00947B6B">
        <w:rPr>
          <w:shd w:val="clear" w:color="auto" w:fill="FFFFFF"/>
          <w:lang w:val="en-GB"/>
        </w:rPr>
        <w:t>the number of notarial deeds concerning</w:t>
      </w:r>
      <w:r w:rsidR="00864AB5" w:rsidRPr="00947B6B">
        <w:rPr>
          <w:lang w:val="en-GB"/>
        </w:rPr>
        <w:t xml:space="preserve"> the sale of undeveloped plots (by 13.1%). </w:t>
      </w:r>
    </w:p>
    <w:p w14:paraId="5D63B2C9" w14:textId="77777777" w:rsidR="00124D5A" w:rsidRDefault="00124D5A" w:rsidP="009D2690">
      <w:pPr>
        <w:rPr>
          <w:lang w:val="en-GB"/>
        </w:rPr>
      </w:pPr>
    </w:p>
    <w:p w14:paraId="049C8BF8" w14:textId="1BA32EA8" w:rsidR="00864AB5" w:rsidRPr="00947B6B" w:rsidRDefault="00864AB5" w:rsidP="006F0E83">
      <w:pPr>
        <w:pStyle w:val="Nagwek1"/>
        <w:spacing w:before="360"/>
        <w:rPr>
          <w:rFonts w:ascii="Fira Sans" w:hAnsi="Fira Sans"/>
          <w:b/>
          <w:color w:val="auto"/>
          <w:sz w:val="20"/>
          <w:szCs w:val="20"/>
          <w:lang w:val="en-GB"/>
        </w:rPr>
      </w:pPr>
      <w:r w:rsidRPr="00947B6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04B25CB9" wp14:editId="062DFA36">
                <wp:simplePos x="0" y="0"/>
                <wp:positionH relativeFrom="rightMargin">
                  <wp:posOffset>109855</wp:posOffset>
                </wp:positionH>
                <wp:positionV relativeFrom="paragraph">
                  <wp:posOffset>299847</wp:posOffset>
                </wp:positionV>
                <wp:extent cx="1856105" cy="1463040"/>
                <wp:effectExtent l="0" t="0" r="0" b="3810"/>
                <wp:wrapTight wrapText="bothSides">
                  <wp:wrapPolygon edited="0">
                    <wp:start x="665" y="0"/>
                    <wp:lineTo x="665" y="21375"/>
                    <wp:lineTo x="20839" y="21375"/>
                    <wp:lineTo x="20839" y="0"/>
                    <wp:lineTo x="665" y="0"/>
                  </wp:wrapPolygon>
                </wp:wrapTight>
                <wp:docPr id="5" name="Pole tekstowe 5" descr="In 2023, compared to the previous year, the highest increase in the number of notarial deeds was recorded in the sale of real estate to the State Treasury &#10;or local government units (by 7.0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8762" w14:textId="0F05AE22" w:rsidR="00864AB5" w:rsidRPr="009647C1" w:rsidRDefault="00864AB5" w:rsidP="00B656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647C1"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722AF6">
                              <w:t>2023,</w:t>
                            </w:r>
                            <w:r w:rsidRPr="009647C1">
                              <w:rPr>
                                <w:lang w:val="en-US"/>
                              </w:rPr>
                              <w:t xml:space="preserve"> compared to the previous year, the highest increase in the number of notarial deeds was recorded in the sale of real estate to the State Treasury </w:t>
                            </w:r>
                            <w:r w:rsidR="007E7042">
                              <w:rPr>
                                <w:lang w:val="en-US"/>
                              </w:rPr>
                              <w:br/>
                            </w:r>
                            <w:r w:rsidRPr="009647C1">
                              <w:rPr>
                                <w:lang w:val="en-US"/>
                              </w:rPr>
                              <w:t xml:space="preserve">or local government units </w:t>
                            </w:r>
                            <w:r w:rsidR="007E7042">
                              <w:rPr>
                                <w:lang w:val="en-US"/>
                              </w:rPr>
                              <w:br/>
                            </w:r>
                            <w:r w:rsidRPr="009647C1">
                              <w:rPr>
                                <w:lang w:val="en-US"/>
                              </w:rPr>
                              <w:t>(by 7.0%)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25CB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alt="In 2023, compared to the previous year, the highest increase in the number of notarial deeds was recorded in the sale of real estate to the State Treasury &#10;or local government units (by 7.0%)&#10;" style="position:absolute;margin-left:8.65pt;margin-top:23.6pt;width:146.15pt;height:115.2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" filled="f" stroked="f">
                <v:textbox>
                  <w:txbxContent>
                    <w:p w14:paraId="3A148762" w14:textId="0F05AE22" w:rsidR="00864AB5" w:rsidRPr="009647C1" w:rsidRDefault="00864AB5" w:rsidP="00B656DD">
                      <w:pPr>
                        <w:pStyle w:val="tekstzboku"/>
                        <w:rPr>
                          <w:lang w:val="en-US"/>
                        </w:rPr>
                      </w:pPr>
                      <w:r w:rsidRPr="009647C1">
                        <w:rPr>
                          <w:lang w:val="en-US"/>
                        </w:rPr>
                        <w:t xml:space="preserve">In </w:t>
                      </w:r>
                      <w:r w:rsidRPr="00722AF6">
                        <w:t>2023,</w:t>
                      </w:r>
                      <w:r w:rsidRPr="009647C1">
                        <w:rPr>
                          <w:lang w:val="en-US"/>
                        </w:rPr>
                        <w:t xml:space="preserve"> compared to the previous year, the highest increase in the number of notarial deeds was recorded in the sale of real estate to the State Treasury </w:t>
                      </w:r>
                      <w:r w:rsidR="007E7042">
                        <w:rPr>
                          <w:lang w:val="en-US"/>
                        </w:rPr>
                        <w:br/>
                      </w:r>
                      <w:r w:rsidRPr="009647C1">
                        <w:rPr>
                          <w:lang w:val="en-US"/>
                        </w:rPr>
                        <w:t xml:space="preserve">or local government units </w:t>
                      </w:r>
                      <w:r w:rsidR="007E7042">
                        <w:rPr>
                          <w:lang w:val="en-US"/>
                        </w:rPr>
                        <w:br/>
                      </w:r>
                      <w:r w:rsidRPr="009647C1">
                        <w:rPr>
                          <w:lang w:val="en-US"/>
                        </w:rPr>
                        <w:t>(by 7.0%)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1AD4" w:rsidRPr="00947B6B">
        <w:rPr>
          <w:rFonts w:ascii="Fira Sans" w:hAnsi="Fira Sans"/>
          <w:b/>
          <w:color w:val="auto"/>
          <w:sz w:val="20"/>
          <w:szCs w:val="20"/>
          <w:lang w:val="en-GB"/>
        </w:rPr>
        <w:t>Table 1. Notarial deeds related to real estate sales concluded in 202</w:t>
      </w:r>
      <w:r w:rsidR="00E92564" w:rsidRPr="00947B6B">
        <w:rPr>
          <w:rFonts w:ascii="Fira Sans" w:hAnsi="Fira Sans"/>
          <w:b/>
          <w:color w:val="auto"/>
          <w:sz w:val="20"/>
          <w:szCs w:val="20"/>
          <w:lang w:val="en-GB"/>
        </w:rPr>
        <w:t>3</w:t>
      </w:r>
    </w:p>
    <w:tbl>
      <w:tblPr>
        <w:tblStyle w:val="Siatkatabelijasna10"/>
        <w:tblpPr w:leftFromText="141" w:rightFromText="141" w:vertAnchor="text" w:horzAnchor="margin" w:tblpXSpec="center" w:tblpY="59"/>
        <w:tblW w:w="4919" w:type="pct"/>
        <w:tblBorders>
          <w:top w:val="single" w:sz="4" w:space="0" w:color="000A81"/>
          <w:left w:val="none" w:sz="0" w:space="0" w:color="auto"/>
          <w:bottom w:val="single" w:sz="4" w:space="0" w:color="000A81"/>
          <w:right w:val="none" w:sz="0" w:space="0" w:color="auto"/>
          <w:insideH w:val="single" w:sz="4" w:space="0" w:color="000A81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Notarial deeds related to real estate sales concluded in 2023"/>
      </w:tblPr>
      <w:tblGrid>
        <w:gridCol w:w="5239"/>
        <w:gridCol w:w="1280"/>
        <w:gridCol w:w="1419"/>
      </w:tblGrid>
      <w:tr w:rsidR="00B656DD" w:rsidRPr="00947B6B" w14:paraId="7A50DE63" w14:textId="77777777" w:rsidTr="00722AF6">
        <w:trPr>
          <w:trHeight w:val="494"/>
        </w:trPr>
        <w:tc>
          <w:tcPr>
            <w:tcW w:w="3300" w:type="pct"/>
            <w:vAlign w:val="center"/>
          </w:tcPr>
          <w:p w14:paraId="307B562B" w14:textId="4924D568" w:rsidR="00B656DD" w:rsidRPr="00947B6B" w:rsidRDefault="00864AB5" w:rsidP="003B55F1">
            <w:pPr>
              <w:jc w:val="center"/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Specification</w:t>
            </w:r>
          </w:p>
        </w:tc>
        <w:tc>
          <w:tcPr>
            <w:tcW w:w="806" w:type="pct"/>
            <w:vAlign w:val="center"/>
          </w:tcPr>
          <w:p w14:paraId="06A57A7A" w14:textId="0EFD608E" w:rsidR="00B656DD" w:rsidRPr="00947B6B" w:rsidRDefault="00B656DD" w:rsidP="003B55F1">
            <w:pPr>
              <w:jc w:val="center"/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20</w:t>
            </w:r>
            <w:r w:rsidR="00624C6A" w:rsidRPr="00947B6B">
              <w:rPr>
                <w:szCs w:val="19"/>
                <w:lang w:val="en-GB"/>
              </w:rPr>
              <w:t>2</w:t>
            </w:r>
            <w:r w:rsidR="00E91E15" w:rsidRPr="00947B6B">
              <w:rPr>
                <w:szCs w:val="19"/>
                <w:lang w:val="en-GB"/>
              </w:rPr>
              <w:t>3</w:t>
            </w:r>
          </w:p>
        </w:tc>
        <w:tc>
          <w:tcPr>
            <w:tcW w:w="894" w:type="pct"/>
            <w:vAlign w:val="center"/>
          </w:tcPr>
          <w:p w14:paraId="15585F68" w14:textId="296DDD29" w:rsidR="00B656DD" w:rsidRPr="00947B6B" w:rsidRDefault="00624C6A" w:rsidP="003B55F1">
            <w:pPr>
              <w:jc w:val="center"/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20</w:t>
            </w:r>
            <w:r w:rsidR="006F317A" w:rsidRPr="00947B6B">
              <w:rPr>
                <w:szCs w:val="19"/>
                <w:lang w:val="en-GB"/>
              </w:rPr>
              <w:t>2</w:t>
            </w:r>
            <w:r w:rsidR="00E91E15" w:rsidRPr="00947B6B">
              <w:rPr>
                <w:szCs w:val="19"/>
                <w:lang w:val="en-GB"/>
              </w:rPr>
              <w:t>2</w:t>
            </w:r>
            <w:r w:rsidR="00B656DD" w:rsidRPr="00947B6B">
              <w:rPr>
                <w:szCs w:val="19"/>
                <w:lang w:val="en-GB"/>
              </w:rPr>
              <w:t>=100</w:t>
            </w:r>
          </w:p>
        </w:tc>
      </w:tr>
      <w:tr w:rsidR="000A0409" w:rsidRPr="00947B6B" w14:paraId="1BC53608" w14:textId="77777777" w:rsidTr="00722AF6">
        <w:trPr>
          <w:trHeight w:val="494"/>
        </w:trPr>
        <w:tc>
          <w:tcPr>
            <w:tcW w:w="3300" w:type="pct"/>
            <w:vAlign w:val="center"/>
          </w:tcPr>
          <w:p w14:paraId="0B70725B" w14:textId="251BD57E" w:rsidR="000A0409" w:rsidRPr="00947B6B" w:rsidRDefault="00864AB5" w:rsidP="000A040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947B6B">
              <w:rPr>
                <w:color w:val="000000" w:themeColor="text1"/>
                <w:szCs w:val="19"/>
                <w:lang w:val="en-GB"/>
              </w:rPr>
              <w:t>Total</w:t>
            </w:r>
          </w:p>
        </w:tc>
        <w:tc>
          <w:tcPr>
            <w:tcW w:w="806" w:type="pct"/>
            <w:vAlign w:val="center"/>
          </w:tcPr>
          <w:p w14:paraId="73DFC03B" w14:textId="76CA42DC" w:rsidR="000A0409" w:rsidRPr="00124D5A" w:rsidRDefault="000A0409" w:rsidP="000A0409">
            <w:pPr>
              <w:jc w:val="right"/>
              <w:rPr>
                <w:b/>
                <w:szCs w:val="19"/>
                <w:lang w:val="en-GB"/>
              </w:rPr>
            </w:pPr>
            <w:r w:rsidRPr="00124D5A">
              <w:rPr>
                <w:rFonts w:cs="Calibri"/>
                <w:b/>
                <w:color w:val="000000"/>
                <w:szCs w:val="19"/>
                <w:lang w:val="en-GB"/>
              </w:rPr>
              <w:t>510 903</w:t>
            </w:r>
          </w:p>
        </w:tc>
        <w:tc>
          <w:tcPr>
            <w:tcW w:w="894" w:type="pct"/>
            <w:vAlign w:val="center"/>
          </w:tcPr>
          <w:p w14:paraId="69DE99F5" w14:textId="247B5692" w:rsidR="000A0409" w:rsidRPr="00124D5A" w:rsidRDefault="000A0409" w:rsidP="00E92564">
            <w:pPr>
              <w:jc w:val="right"/>
              <w:rPr>
                <w:b/>
                <w:szCs w:val="19"/>
                <w:lang w:val="en-GB"/>
              </w:rPr>
            </w:pPr>
            <w:r w:rsidRPr="00124D5A">
              <w:rPr>
                <w:rFonts w:cs="Calibri"/>
                <w:b/>
                <w:color w:val="000000"/>
                <w:szCs w:val="19"/>
                <w:lang w:val="en-GB"/>
              </w:rPr>
              <w:t>96</w:t>
            </w:r>
            <w:r w:rsidR="00E92564" w:rsidRPr="00124D5A">
              <w:rPr>
                <w:rFonts w:cs="Calibri"/>
                <w:b/>
                <w:color w:val="000000"/>
                <w:szCs w:val="19"/>
                <w:lang w:val="en-GB"/>
              </w:rPr>
              <w:t>.</w:t>
            </w:r>
            <w:r w:rsidRPr="00124D5A">
              <w:rPr>
                <w:rFonts w:cs="Calibri"/>
                <w:b/>
                <w:color w:val="000000"/>
                <w:szCs w:val="19"/>
                <w:lang w:val="en-GB"/>
              </w:rPr>
              <w:t>2</w:t>
            </w:r>
          </w:p>
        </w:tc>
      </w:tr>
      <w:tr w:rsidR="000A0409" w:rsidRPr="00947B6B" w14:paraId="1D3AB39E" w14:textId="77777777" w:rsidTr="00722AF6">
        <w:trPr>
          <w:trHeight w:val="494"/>
        </w:trPr>
        <w:tc>
          <w:tcPr>
            <w:tcW w:w="3300" w:type="pct"/>
          </w:tcPr>
          <w:p w14:paraId="77B68534" w14:textId="37DA0D07" w:rsidR="000A0409" w:rsidRPr="00947B6B" w:rsidRDefault="00864AB5" w:rsidP="000A0409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Sale of premises</w:t>
            </w:r>
          </w:p>
        </w:tc>
        <w:tc>
          <w:tcPr>
            <w:tcW w:w="806" w:type="pct"/>
            <w:vAlign w:val="center"/>
          </w:tcPr>
          <w:p w14:paraId="302113DA" w14:textId="7AE4D6EE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212 004</w:t>
            </w:r>
          </w:p>
        </w:tc>
        <w:tc>
          <w:tcPr>
            <w:tcW w:w="894" w:type="pct"/>
            <w:vAlign w:val="center"/>
          </w:tcPr>
          <w:p w14:paraId="000364B2" w14:textId="5394D2EE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101.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9</w:t>
            </w:r>
          </w:p>
        </w:tc>
      </w:tr>
      <w:tr w:rsidR="000A0409" w:rsidRPr="00947B6B" w14:paraId="5D999923" w14:textId="77777777" w:rsidTr="00722AF6">
        <w:trPr>
          <w:trHeight w:val="494"/>
        </w:trPr>
        <w:tc>
          <w:tcPr>
            <w:tcW w:w="3300" w:type="pct"/>
          </w:tcPr>
          <w:p w14:paraId="70097BA7" w14:textId="0821E3E4" w:rsidR="000A0409" w:rsidRPr="00947B6B" w:rsidRDefault="00864AB5" w:rsidP="000A0409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Sale of undeveloped plots</w:t>
            </w:r>
          </w:p>
        </w:tc>
        <w:tc>
          <w:tcPr>
            <w:tcW w:w="806" w:type="pct"/>
            <w:vAlign w:val="center"/>
          </w:tcPr>
          <w:p w14:paraId="36D9B9BB" w14:textId="6E61FB75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105 984</w:t>
            </w:r>
          </w:p>
        </w:tc>
        <w:tc>
          <w:tcPr>
            <w:tcW w:w="894" w:type="pct"/>
            <w:vAlign w:val="center"/>
          </w:tcPr>
          <w:p w14:paraId="59B70722" w14:textId="1EDB8CEB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86.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9</w:t>
            </w:r>
          </w:p>
        </w:tc>
      </w:tr>
      <w:tr w:rsidR="000A0409" w:rsidRPr="00947B6B" w14:paraId="4AFC0756" w14:textId="77777777" w:rsidTr="00722AF6">
        <w:trPr>
          <w:trHeight w:val="494"/>
        </w:trPr>
        <w:tc>
          <w:tcPr>
            <w:tcW w:w="3300" w:type="pct"/>
          </w:tcPr>
          <w:p w14:paraId="6894C23B" w14:textId="1730487E" w:rsidR="000A0409" w:rsidRPr="00947B6B" w:rsidRDefault="00864AB5" w:rsidP="000A0409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Sale of agricultural real estate</w:t>
            </w:r>
          </w:p>
        </w:tc>
        <w:tc>
          <w:tcPr>
            <w:tcW w:w="806" w:type="pct"/>
            <w:vAlign w:val="center"/>
          </w:tcPr>
          <w:p w14:paraId="2DEC4E91" w14:textId="7949B13F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58 989</w:t>
            </w:r>
          </w:p>
        </w:tc>
        <w:tc>
          <w:tcPr>
            <w:tcW w:w="894" w:type="pct"/>
            <w:vAlign w:val="center"/>
          </w:tcPr>
          <w:p w14:paraId="5D8ED130" w14:textId="12DE27DB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93.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2</w:t>
            </w:r>
          </w:p>
        </w:tc>
      </w:tr>
      <w:tr w:rsidR="000A0409" w:rsidRPr="00947B6B" w14:paraId="4197AAE8" w14:textId="77777777" w:rsidTr="00722AF6">
        <w:trPr>
          <w:trHeight w:val="494"/>
        </w:trPr>
        <w:tc>
          <w:tcPr>
            <w:tcW w:w="3300" w:type="pct"/>
          </w:tcPr>
          <w:p w14:paraId="41B25378" w14:textId="63B02EC0" w:rsidR="000A0409" w:rsidRPr="00947B6B" w:rsidRDefault="00864AB5" w:rsidP="00BA5E20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 xml:space="preserve">Sale of </w:t>
            </w:r>
            <w:r w:rsidR="00BA5E20" w:rsidRPr="00947B6B">
              <w:rPr>
                <w:szCs w:val="19"/>
                <w:lang w:val="en-GB"/>
              </w:rPr>
              <w:t>plots with a residential building</w:t>
            </w:r>
          </w:p>
        </w:tc>
        <w:tc>
          <w:tcPr>
            <w:tcW w:w="806" w:type="pct"/>
            <w:vAlign w:val="center"/>
          </w:tcPr>
          <w:p w14:paraId="71390BA4" w14:textId="2DAE1FC5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49 648</w:t>
            </w:r>
          </w:p>
        </w:tc>
        <w:tc>
          <w:tcPr>
            <w:tcW w:w="894" w:type="pct"/>
            <w:vAlign w:val="center"/>
          </w:tcPr>
          <w:p w14:paraId="348085BE" w14:textId="3020E4F8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92.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7</w:t>
            </w:r>
          </w:p>
        </w:tc>
      </w:tr>
      <w:tr w:rsidR="000A0409" w:rsidRPr="00947B6B" w14:paraId="4140F5AE" w14:textId="77777777" w:rsidTr="00722AF6">
        <w:trPr>
          <w:trHeight w:val="494"/>
        </w:trPr>
        <w:tc>
          <w:tcPr>
            <w:tcW w:w="3300" w:type="pct"/>
          </w:tcPr>
          <w:p w14:paraId="72845ACC" w14:textId="3BEB61D0" w:rsidR="000A0409" w:rsidRPr="00947B6B" w:rsidRDefault="00864AB5" w:rsidP="000A0409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Sale of cooperative ownership right to premises</w:t>
            </w:r>
          </w:p>
        </w:tc>
        <w:tc>
          <w:tcPr>
            <w:tcW w:w="806" w:type="pct"/>
            <w:vAlign w:val="center"/>
          </w:tcPr>
          <w:p w14:paraId="5A9C401D" w14:textId="5022CF50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41 486</w:t>
            </w:r>
          </w:p>
        </w:tc>
        <w:tc>
          <w:tcPr>
            <w:tcW w:w="894" w:type="pct"/>
            <w:vAlign w:val="center"/>
          </w:tcPr>
          <w:p w14:paraId="37548A0D" w14:textId="5A5D6107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104.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0</w:t>
            </w:r>
          </w:p>
        </w:tc>
      </w:tr>
      <w:tr w:rsidR="000A0409" w:rsidRPr="00947B6B" w14:paraId="1602EE51" w14:textId="77777777" w:rsidTr="00722AF6">
        <w:trPr>
          <w:trHeight w:val="494"/>
        </w:trPr>
        <w:tc>
          <w:tcPr>
            <w:tcW w:w="3300" w:type="pct"/>
          </w:tcPr>
          <w:p w14:paraId="741DEFB2" w14:textId="50144373" w:rsidR="000A0409" w:rsidRPr="00947B6B" w:rsidRDefault="00864AB5" w:rsidP="000A0409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Sale of other properties</w:t>
            </w:r>
          </w:p>
        </w:tc>
        <w:tc>
          <w:tcPr>
            <w:tcW w:w="806" w:type="pct"/>
            <w:vAlign w:val="center"/>
          </w:tcPr>
          <w:p w14:paraId="3B81778D" w14:textId="2BFD45E5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18 855</w:t>
            </w:r>
          </w:p>
        </w:tc>
        <w:tc>
          <w:tcPr>
            <w:tcW w:w="894" w:type="pct"/>
            <w:vAlign w:val="center"/>
          </w:tcPr>
          <w:p w14:paraId="70D427AC" w14:textId="496E017C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92.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3</w:t>
            </w:r>
          </w:p>
        </w:tc>
      </w:tr>
      <w:tr w:rsidR="000A0409" w:rsidRPr="00947B6B" w14:paraId="324C3430" w14:textId="77777777" w:rsidTr="00722AF6">
        <w:trPr>
          <w:trHeight w:val="494"/>
        </w:trPr>
        <w:tc>
          <w:tcPr>
            <w:tcW w:w="3300" w:type="pct"/>
          </w:tcPr>
          <w:p w14:paraId="097D6495" w14:textId="40758537" w:rsidR="000A0409" w:rsidRPr="00947B6B" w:rsidRDefault="00864AB5" w:rsidP="000A0409">
            <w:pPr>
              <w:ind w:left="176" w:hanging="176"/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Sale of plots with a building for other purposes</w:t>
            </w:r>
          </w:p>
        </w:tc>
        <w:tc>
          <w:tcPr>
            <w:tcW w:w="806" w:type="pct"/>
            <w:vAlign w:val="center"/>
          </w:tcPr>
          <w:p w14:paraId="2A8862B9" w14:textId="7E97AE88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14 931</w:t>
            </w:r>
          </w:p>
        </w:tc>
        <w:tc>
          <w:tcPr>
            <w:tcW w:w="894" w:type="pct"/>
            <w:vAlign w:val="center"/>
          </w:tcPr>
          <w:p w14:paraId="4D402EB2" w14:textId="2F2E2F1B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97.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2</w:t>
            </w:r>
          </w:p>
        </w:tc>
      </w:tr>
      <w:tr w:rsidR="000A0409" w:rsidRPr="00947B6B" w14:paraId="65CC3921" w14:textId="77777777" w:rsidTr="00722AF6">
        <w:trPr>
          <w:trHeight w:val="494"/>
        </w:trPr>
        <w:tc>
          <w:tcPr>
            <w:tcW w:w="3300" w:type="pct"/>
          </w:tcPr>
          <w:p w14:paraId="307AE0E4" w14:textId="77846273" w:rsidR="000A0409" w:rsidRPr="00947B6B" w:rsidRDefault="00864AB5" w:rsidP="000A0409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Sale of perpetual usufruct rights</w:t>
            </w:r>
          </w:p>
        </w:tc>
        <w:tc>
          <w:tcPr>
            <w:tcW w:w="806" w:type="pct"/>
            <w:vAlign w:val="center"/>
          </w:tcPr>
          <w:p w14:paraId="7512614B" w14:textId="1B9B51D3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5 388</w:t>
            </w:r>
          </w:p>
        </w:tc>
        <w:tc>
          <w:tcPr>
            <w:tcW w:w="894" w:type="pct"/>
            <w:vAlign w:val="center"/>
          </w:tcPr>
          <w:p w14:paraId="5D2B6B9C" w14:textId="615F25EF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104.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7</w:t>
            </w:r>
          </w:p>
        </w:tc>
      </w:tr>
      <w:tr w:rsidR="000A0409" w:rsidRPr="00947B6B" w14:paraId="013BDD5E" w14:textId="77777777" w:rsidTr="00722AF6">
        <w:trPr>
          <w:trHeight w:val="494"/>
        </w:trPr>
        <w:tc>
          <w:tcPr>
            <w:tcW w:w="3300" w:type="pct"/>
            <w:tcBorders>
              <w:bottom w:val="single" w:sz="4" w:space="0" w:color="000A81"/>
            </w:tcBorders>
          </w:tcPr>
          <w:p w14:paraId="66B891AF" w14:textId="702D730D" w:rsidR="000A0409" w:rsidRPr="00947B6B" w:rsidRDefault="00BA5A5A" w:rsidP="000A0409">
            <w:pPr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 xml:space="preserve">Sale of real estate to the State Treasury or local </w:t>
            </w:r>
            <w:r w:rsidR="007E7042">
              <w:rPr>
                <w:szCs w:val="19"/>
                <w:lang w:val="en-GB"/>
              </w:rPr>
              <w:br/>
            </w:r>
            <w:r w:rsidRPr="00947B6B">
              <w:rPr>
                <w:szCs w:val="19"/>
                <w:lang w:val="en-GB"/>
              </w:rPr>
              <w:t>government units</w:t>
            </w:r>
          </w:p>
        </w:tc>
        <w:tc>
          <w:tcPr>
            <w:tcW w:w="806" w:type="pct"/>
            <w:tcBorders>
              <w:bottom w:val="single" w:sz="4" w:space="0" w:color="000A81"/>
            </w:tcBorders>
            <w:vAlign w:val="center"/>
          </w:tcPr>
          <w:p w14:paraId="51B9D997" w14:textId="407D2854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3 472</w:t>
            </w:r>
          </w:p>
        </w:tc>
        <w:tc>
          <w:tcPr>
            <w:tcW w:w="894" w:type="pct"/>
            <w:tcBorders>
              <w:bottom w:val="single" w:sz="4" w:space="0" w:color="000A81"/>
            </w:tcBorders>
            <w:vAlign w:val="center"/>
          </w:tcPr>
          <w:p w14:paraId="61DD48B9" w14:textId="35C7B189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107.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0</w:t>
            </w:r>
          </w:p>
        </w:tc>
      </w:tr>
      <w:tr w:rsidR="000A0409" w:rsidRPr="00947B6B" w14:paraId="0F58B287" w14:textId="77777777" w:rsidTr="00722AF6">
        <w:trPr>
          <w:trHeight w:val="494"/>
        </w:trPr>
        <w:tc>
          <w:tcPr>
            <w:tcW w:w="3300" w:type="pct"/>
            <w:tcBorders>
              <w:bottom w:val="nil"/>
            </w:tcBorders>
          </w:tcPr>
          <w:p w14:paraId="70A811CC" w14:textId="1F7ABB21" w:rsidR="000A0409" w:rsidRPr="00947B6B" w:rsidRDefault="00BA5A5A" w:rsidP="000A0409">
            <w:pPr>
              <w:ind w:left="176" w:hanging="176"/>
              <w:rPr>
                <w:szCs w:val="19"/>
                <w:lang w:val="en-GB"/>
              </w:rPr>
            </w:pPr>
            <w:r w:rsidRPr="00947B6B">
              <w:rPr>
                <w:szCs w:val="19"/>
                <w:lang w:val="en-GB"/>
              </w:rPr>
              <w:t>Granting perpetual usufruct by the State Treasury or local government units along with the sale of the building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7ABFB738" w14:textId="60E6F5C6" w:rsidR="000A0409" w:rsidRPr="00947B6B" w:rsidRDefault="000A0409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146</w:t>
            </w:r>
          </w:p>
        </w:tc>
        <w:tc>
          <w:tcPr>
            <w:tcW w:w="894" w:type="pct"/>
            <w:tcBorders>
              <w:bottom w:val="nil"/>
            </w:tcBorders>
            <w:vAlign w:val="center"/>
          </w:tcPr>
          <w:p w14:paraId="27E4CB51" w14:textId="1F163FE2" w:rsidR="000A0409" w:rsidRPr="00947B6B" w:rsidRDefault="00E92564" w:rsidP="000A0409">
            <w:pPr>
              <w:jc w:val="right"/>
              <w:rPr>
                <w:szCs w:val="19"/>
                <w:lang w:val="en-GB"/>
              </w:rPr>
            </w:pPr>
            <w:r w:rsidRPr="00947B6B">
              <w:rPr>
                <w:rFonts w:cs="Calibri"/>
                <w:color w:val="000000"/>
                <w:szCs w:val="19"/>
                <w:lang w:val="en-GB"/>
              </w:rPr>
              <w:t>98.</w:t>
            </w:r>
            <w:r w:rsidR="000A0409" w:rsidRPr="00947B6B">
              <w:rPr>
                <w:rFonts w:cs="Calibri"/>
                <w:color w:val="000000"/>
                <w:szCs w:val="19"/>
                <w:lang w:val="en-GB"/>
              </w:rPr>
              <w:t>0</w:t>
            </w:r>
          </w:p>
        </w:tc>
      </w:tr>
    </w:tbl>
    <w:p w14:paraId="2A8FDD2D" w14:textId="4FEFA55E" w:rsidR="00BA5A5A" w:rsidRPr="00947B6B" w:rsidRDefault="00BA5A5A" w:rsidP="009D3B66">
      <w:pPr>
        <w:pStyle w:val="LID"/>
        <w:rPr>
          <w:b w:val="0"/>
          <w:sz w:val="16"/>
          <w:shd w:val="clear" w:color="auto" w:fill="FFFFFF"/>
          <w:lang w:val="en-GB"/>
        </w:rPr>
      </w:pPr>
      <w:r w:rsidRPr="00947B6B">
        <w:rPr>
          <w:b w:val="0"/>
          <w:sz w:val="16"/>
          <w:shd w:val="clear" w:color="auto" w:fill="FFFFFF"/>
          <w:lang w:val="en-GB"/>
        </w:rPr>
        <w:t xml:space="preserve">Source: </w:t>
      </w:r>
      <w:r w:rsidR="00836A72" w:rsidRPr="00947B6B">
        <w:rPr>
          <w:b w:val="0"/>
          <w:sz w:val="16"/>
          <w:shd w:val="clear" w:color="auto" w:fill="FFFFFF"/>
          <w:lang w:val="en-GB"/>
        </w:rPr>
        <w:t xml:space="preserve">the </w:t>
      </w:r>
      <w:r w:rsidRPr="00947B6B">
        <w:rPr>
          <w:b w:val="0"/>
          <w:sz w:val="16"/>
          <w:shd w:val="clear" w:color="auto" w:fill="FFFFFF"/>
          <w:lang w:val="en-GB"/>
        </w:rPr>
        <w:t>Ministry of Justice data</w:t>
      </w:r>
      <w:r w:rsidR="00721351">
        <w:rPr>
          <w:b w:val="0"/>
          <w:sz w:val="16"/>
          <w:shd w:val="clear" w:color="auto" w:fill="FFFFFF"/>
          <w:lang w:val="en-GB"/>
        </w:rPr>
        <w:t>.</w:t>
      </w:r>
    </w:p>
    <w:p w14:paraId="330A83A4" w14:textId="3568EDDD" w:rsidR="00836A72" w:rsidRPr="00947B6B" w:rsidRDefault="00836A72" w:rsidP="009D3B66">
      <w:pPr>
        <w:pStyle w:val="LID"/>
        <w:rPr>
          <w:b w:val="0"/>
          <w:lang w:val="en-GB"/>
        </w:rPr>
      </w:pPr>
    </w:p>
    <w:p w14:paraId="13436BD8" w14:textId="6BF0C5EC" w:rsidR="00BA5A5A" w:rsidRPr="00947B6B" w:rsidRDefault="00AA7A99" w:rsidP="00EB7348">
      <w:pPr>
        <w:rPr>
          <w:lang w:val="en-GB"/>
        </w:rPr>
      </w:pPr>
      <w:r w:rsidRPr="00947B6B">
        <w:rPr>
          <w:lang w:val="en-GB"/>
        </w:rPr>
        <w:lastRenderedPageBreak/>
        <w:t>A</w:t>
      </w:r>
      <w:r w:rsidR="00BA5A5A" w:rsidRPr="00947B6B">
        <w:rPr>
          <w:lang w:val="en-GB"/>
        </w:rPr>
        <w:t>ccording to data from the Real Estate Price Register (RCN), 50</w:t>
      </w:r>
      <w:r w:rsidR="009647C1" w:rsidRPr="00947B6B">
        <w:rPr>
          <w:lang w:val="en-GB"/>
        </w:rPr>
        <w:t>4</w:t>
      </w:r>
      <w:r w:rsidR="00BA5A5A" w:rsidRPr="00947B6B">
        <w:rPr>
          <w:lang w:val="en-GB"/>
        </w:rPr>
        <w:t xml:space="preserve">.9 thousand real estate </w:t>
      </w:r>
      <w:r w:rsidR="00836A72" w:rsidRPr="00947B6B">
        <w:rPr>
          <w:lang w:val="en-GB"/>
        </w:rPr>
        <w:t xml:space="preserve">sale and </w:t>
      </w:r>
      <w:r w:rsidR="00BA5A5A" w:rsidRPr="00947B6B">
        <w:rPr>
          <w:lang w:val="en-GB"/>
        </w:rPr>
        <w:t xml:space="preserve">purchase transactions with a total value of </w:t>
      </w:r>
      <w:r w:rsidR="00722D87" w:rsidRPr="00947B6B">
        <w:rPr>
          <w:lang w:val="en-GB"/>
        </w:rPr>
        <w:t xml:space="preserve">PLN </w:t>
      </w:r>
      <w:r w:rsidR="00BA5A5A" w:rsidRPr="00947B6B">
        <w:rPr>
          <w:lang w:val="en-GB"/>
        </w:rPr>
        <w:t>207.3 billion were concluded</w:t>
      </w:r>
      <w:r w:rsidR="00836A72" w:rsidRPr="00947B6B">
        <w:rPr>
          <w:lang w:val="en-GB"/>
        </w:rPr>
        <w:t xml:space="preserve"> in 2023</w:t>
      </w:r>
      <w:r w:rsidR="00BA5A5A" w:rsidRPr="00947B6B">
        <w:rPr>
          <w:lang w:val="en-GB"/>
        </w:rPr>
        <w:t xml:space="preserve">. </w:t>
      </w:r>
    </w:p>
    <w:p w14:paraId="2F773846" w14:textId="4A3EEE28" w:rsidR="00BA5A5A" w:rsidRPr="00046AF5" w:rsidRDefault="00356C70" w:rsidP="00124D5A">
      <w:pPr>
        <w:pStyle w:val="LID"/>
        <w:keepNext/>
        <w:spacing w:before="360" w:line="240" w:lineRule="auto"/>
        <w:outlineLvl w:val="0"/>
        <w:rPr>
          <w:sz w:val="16"/>
          <w:szCs w:val="18"/>
          <w:lang w:val="en-GB"/>
        </w:rPr>
      </w:pPr>
      <w:r w:rsidRPr="00947B6B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08EEC859" wp14:editId="56F1835F">
                <wp:simplePos x="0" y="0"/>
                <wp:positionH relativeFrom="column">
                  <wp:posOffset>5212080</wp:posOffset>
                </wp:positionH>
                <wp:positionV relativeFrom="paragraph">
                  <wp:posOffset>223520</wp:posOffset>
                </wp:positionV>
                <wp:extent cx="1874520" cy="1402080"/>
                <wp:effectExtent l="0" t="0" r="0" b="0"/>
                <wp:wrapTight wrapText="bothSides">
                  <wp:wrapPolygon edited="0">
                    <wp:start x="659" y="0"/>
                    <wp:lineTo x="659" y="21130"/>
                    <wp:lineTo x="20854" y="21130"/>
                    <wp:lineTo x="20854" y="0"/>
                    <wp:lineTo x="659" y="0"/>
                  </wp:wrapPolygon>
                </wp:wrapTight>
                <wp:docPr id="19" name="Pole tekstowe 19" descr="In 2023, the structure of both the number and value of real estate sale and purchase transactions was dominated by the sale of premises whose shares amounted to 50.5% and 52.9%, respectivel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9E56C" w14:textId="5E4601D0" w:rsidR="00FC51AE" w:rsidRPr="009647C1" w:rsidRDefault="00BA5A5A" w:rsidP="00FC51A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647C1">
                              <w:rPr>
                                <w:lang w:val="en-US"/>
                              </w:rPr>
                              <w:t xml:space="preserve">In 2023, the structure of both the number and value of real estate </w:t>
                            </w:r>
                            <w:r w:rsidR="00836A72">
                              <w:rPr>
                                <w:lang w:val="en-US"/>
                              </w:rPr>
                              <w:t xml:space="preserve">sale and </w:t>
                            </w:r>
                            <w:r w:rsidRPr="009647C1">
                              <w:rPr>
                                <w:lang w:val="en-US"/>
                              </w:rPr>
                              <w:t xml:space="preserve">purchase transactions was dominated by the sale of </w:t>
                            </w:r>
                            <w:r w:rsidR="006A6829">
                              <w:rPr>
                                <w:lang w:val="en-US"/>
                              </w:rPr>
                              <w:t>premises</w:t>
                            </w:r>
                            <w:r w:rsidRPr="009647C1">
                              <w:rPr>
                                <w:lang w:val="en-US"/>
                              </w:rPr>
                              <w:t xml:space="preserve"> whose shares amounted to 50.5% and 52.9%, respectively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C859" id="Pole tekstowe 19" o:spid="_x0000_s1028" type="#_x0000_t202" alt="In 2023, the structure of both the number and value of real estate sale and purchase transactions was dominated by the sale of premises whose shares amounted to 50.5% and 52.9%, respectively" style="position:absolute;margin-left:410.4pt;margin-top:17.6pt;width:147.6pt;height:110.4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" filled="f" stroked="f">
                <v:textbox>
                  <w:txbxContent>
                    <w:p w14:paraId="2D49E56C" w14:textId="5E4601D0" w:rsidR="00FC51AE" w:rsidRPr="009647C1" w:rsidRDefault="00BA5A5A" w:rsidP="00FC51AE">
                      <w:pPr>
                        <w:pStyle w:val="tekstzboku"/>
                        <w:rPr>
                          <w:lang w:val="en-US"/>
                        </w:rPr>
                      </w:pPr>
                      <w:r w:rsidRPr="009647C1">
                        <w:rPr>
                          <w:lang w:val="en-US"/>
                        </w:rPr>
                        <w:t xml:space="preserve">In 2023, the structure of both the number and value of real estate </w:t>
                      </w:r>
                      <w:r w:rsidR="00836A72">
                        <w:rPr>
                          <w:lang w:val="en-US"/>
                        </w:rPr>
                        <w:t xml:space="preserve">sale and </w:t>
                      </w:r>
                      <w:r w:rsidRPr="009647C1">
                        <w:rPr>
                          <w:lang w:val="en-US"/>
                        </w:rPr>
                        <w:t xml:space="preserve">purchase transactions was dominated by the sale of </w:t>
                      </w:r>
                      <w:r w:rsidR="006A6829">
                        <w:rPr>
                          <w:lang w:val="en-US"/>
                        </w:rPr>
                        <w:t>premises</w:t>
                      </w:r>
                      <w:r w:rsidRPr="009647C1">
                        <w:rPr>
                          <w:lang w:val="en-US"/>
                        </w:rPr>
                        <w:t xml:space="preserve"> whose shares amounted to 50.5% and 52.9%, respectively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51AE" w:rsidRPr="00947B6B">
        <w:rPr>
          <w:lang w:val="en-GB"/>
        </w:rPr>
        <w:t>Tab</w:t>
      </w:r>
      <w:r w:rsidR="00BA5A5A" w:rsidRPr="00947B6B">
        <w:rPr>
          <w:lang w:val="en-GB"/>
        </w:rPr>
        <w:t xml:space="preserve">le 2. Volume of real estate </w:t>
      </w:r>
      <w:r w:rsidR="004E1163" w:rsidRPr="00947B6B">
        <w:rPr>
          <w:lang w:val="en-GB"/>
        </w:rPr>
        <w:t>sale</w:t>
      </w:r>
    </w:p>
    <w:tbl>
      <w:tblPr>
        <w:tblStyle w:val="Siatkatabelijasna2"/>
        <w:tblpPr w:leftFromText="141" w:rightFromText="141" w:vertAnchor="text" w:horzAnchor="margin" w:tblpYSpec="top"/>
        <w:tblW w:w="8080" w:type="dxa"/>
        <w:tblBorders>
          <w:top w:val="single" w:sz="4" w:space="0" w:color="001D81"/>
          <w:left w:val="none" w:sz="0" w:space="0" w:color="auto"/>
          <w:bottom w:val="single" w:sz="4" w:space="0" w:color="001D81"/>
          <w:right w:val="none" w:sz="0" w:space="0" w:color="auto"/>
          <w:insideH w:val="single" w:sz="4" w:space="0" w:color="001D81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2. Volume of real estate sale"/>
      </w:tblPr>
      <w:tblGrid>
        <w:gridCol w:w="2919"/>
        <w:gridCol w:w="869"/>
        <w:gridCol w:w="39"/>
        <w:gridCol w:w="851"/>
        <w:gridCol w:w="850"/>
        <w:gridCol w:w="850"/>
        <w:gridCol w:w="852"/>
        <w:gridCol w:w="850"/>
      </w:tblGrid>
      <w:tr w:rsidR="00E26CBD" w:rsidRPr="00947B6B" w14:paraId="5F09DBED" w14:textId="77777777" w:rsidTr="00D739F9">
        <w:trPr>
          <w:trHeight w:val="57"/>
        </w:trPr>
        <w:tc>
          <w:tcPr>
            <w:tcW w:w="2919" w:type="dxa"/>
            <w:vMerge w:val="restart"/>
            <w:vAlign w:val="center"/>
          </w:tcPr>
          <w:p w14:paraId="665ACAFA" w14:textId="0D8B7EE4" w:rsidR="00E26CBD" w:rsidRPr="00947B6B" w:rsidRDefault="00BA5A5A" w:rsidP="009D2690">
            <w:pPr>
              <w:spacing w:line="240" w:lineRule="exact"/>
              <w:jc w:val="center"/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  <w:r w:rsidRPr="00947B6B">
              <w:rPr>
                <w:szCs w:val="19"/>
                <w:lang w:val="en-GB"/>
              </w:rPr>
              <w:t>Specification</w:t>
            </w:r>
          </w:p>
        </w:tc>
        <w:tc>
          <w:tcPr>
            <w:tcW w:w="2609" w:type="dxa"/>
            <w:gridSpan w:val="4"/>
            <w:vAlign w:val="center"/>
          </w:tcPr>
          <w:p w14:paraId="4429D979" w14:textId="3B8F9F82" w:rsidR="00E26CBD" w:rsidRPr="00947B6B" w:rsidRDefault="00BA5A5A" w:rsidP="009D2690">
            <w:pPr>
              <w:spacing w:line="240" w:lineRule="exact"/>
              <w:jc w:val="center"/>
              <w:rPr>
                <w:rFonts w:eastAsia="Times New Roman" w:cs="Calibri"/>
                <w:color w:val="000000"/>
                <w:szCs w:val="19"/>
                <w:vertAlign w:val="superscript"/>
                <w:lang w:val="en-GB" w:eastAsia="pl-PL"/>
              </w:rPr>
            </w:pPr>
            <w:r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Number of transactions</w:t>
            </w:r>
          </w:p>
        </w:tc>
        <w:tc>
          <w:tcPr>
            <w:tcW w:w="2552" w:type="dxa"/>
            <w:gridSpan w:val="3"/>
            <w:vAlign w:val="center"/>
          </w:tcPr>
          <w:p w14:paraId="1488CC14" w14:textId="54062A96" w:rsidR="00E26CBD" w:rsidRPr="00947B6B" w:rsidRDefault="002F537A" w:rsidP="009D2690">
            <w:pPr>
              <w:spacing w:line="240" w:lineRule="exact"/>
              <w:jc w:val="center"/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  <w:r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Value of transactions</w:t>
            </w:r>
          </w:p>
        </w:tc>
      </w:tr>
      <w:tr w:rsidR="00E26CBD" w:rsidRPr="00947B6B" w14:paraId="5ABF93DB" w14:textId="77777777" w:rsidTr="00D739F9">
        <w:trPr>
          <w:trHeight w:val="57"/>
        </w:trPr>
        <w:tc>
          <w:tcPr>
            <w:tcW w:w="2919" w:type="dxa"/>
            <w:vMerge/>
            <w:vAlign w:val="center"/>
          </w:tcPr>
          <w:p w14:paraId="184709F0" w14:textId="77777777" w:rsidR="00E26CBD" w:rsidRPr="00947B6B" w:rsidRDefault="00E26CBD" w:rsidP="009D2690">
            <w:pPr>
              <w:spacing w:line="240" w:lineRule="exact"/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7854F2CF" w14:textId="66A6F201" w:rsidR="00E26CBD" w:rsidRPr="00947B6B" w:rsidRDefault="00E26CBD" w:rsidP="009D2690">
            <w:pPr>
              <w:spacing w:line="240" w:lineRule="exact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47B6B">
              <w:rPr>
                <w:szCs w:val="19"/>
                <w:shd w:val="clear" w:color="auto" w:fill="FFFFFF"/>
                <w:lang w:val="en-GB"/>
              </w:rPr>
              <w:t>202</w:t>
            </w:r>
            <w:r w:rsidR="00E64E13" w:rsidRPr="00947B6B"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6DF3D8FF" w14:textId="2D9EECD4" w:rsidR="00E26CBD" w:rsidRPr="00947B6B" w:rsidRDefault="00E26CBD" w:rsidP="009D2690">
            <w:pPr>
              <w:spacing w:line="240" w:lineRule="exact"/>
              <w:ind w:left="-1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47B6B">
              <w:rPr>
                <w:szCs w:val="19"/>
                <w:shd w:val="clear" w:color="auto" w:fill="FFFFFF"/>
                <w:lang w:val="en-GB"/>
              </w:rPr>
              <w:t>20</w:t>
            </w:r>
            <w:r w:rsidR="008E29EE" w:rsidRPr="00947B6B">
              <w:rPr>
                <w:szCs w:val="19"/>
                <w:shd w:val="clear" w:color="auto" w:fill="FFFFFF"/>
                <w:lang w:val="en-GB"/>
              </w:rPr>
              <w:t>2</w:t>
            </w:r>
            <w:r w:rsidR="00E64E13" w:rsidRPr="00947B6B">
              <w:rPr>
                <w:szCs w:val="19"/>
                <w:shd w:val="clear" w:color="auto" w:fill="FFFFFF"/>
                <w:lang w:val="en-GB"/>
              </w:rPr>
              <w:t>3</w:t>
            </w:r>
            <w:r w:rsidR="0037286E" w:rsidRPr="00947B6B">
              <w:rPr>
                <w:rFonts w:eastAsia="Times New Roman" w:cs="Calibri"/>
                <w:bCs/>
                <w:color w:val="000000"/>
                <w:sz w:val="18"/>
                <w:szCs w:val="19"/>
                <w:vertAlign w:val="superscript"/>
                <w:lang w:val="en-GB" w:eastAsia="pl-PL"/>
              </w:rPr>
              <w:t>a</w:t>
            </w:r>
          </w:p>
        </w:tc>
        <w:tc>
          <w:tcPr>
            <w:tcW w:w="850" w:type="dxa"/>
            <w:vAlign w:val="center"/>
          </w:tcPr>
          <w:p w14:paraId="3ED89AC2" w14:textId="44F03A09" w:rsidR="00E26CBD" w:rsidRPr="00947B6B" w:rsidRDefault="00E26CBD" w:rsidP="009D2690">
            <w:pPr>
              <w:spacing w:line="240" w:lineRule="exact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47B6B">
              <w:rPr>
                <w:szCs w:val="19"/>
                <w:shd w:val="clear" w:color="auto" w:fill="FFFFFF"/>
                <w:lang w:val="en-GB"/>
              </w:rPr>
              <w:t>2</w:t>
            </w:r>
            <w:r w:rsidR="008E29EE" w:rsidRPr="00947B6B">
              <w:rPr>
                <w:szCs w:val="19"/>
                <w:shd w:val="clear" w:color="auto" w:fill="FFFFFF"/>
                <w:lang w:val="en-GB"/>
              </w:rPr>
              <w:t>02</w:t>
            </w:r>
            <w:r w:rsidR="00E64E13" w:rsidRPr="00947B6B"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702" w:type="dxa"/>
            <w:gridSpan w:val="2"/>
            <w:vAlign w:val="center"/>
          </w:tcPr>
          <w:p w14:paraId="16B5E284" w14:textId="4EEF4DE0" w:rsidR="00E26CBD" w:rsidRPr="00947B6B" w:rsidRDefault="008E29EE" w:rsidP="009D2690">
            <w:pPr>
              <w:spacing w:line="240" w:lineRule="exact"/>
              <w:ind w:left="-10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47B6B">
              <w:rPr>
                <w:szCs w:val="19"/>
                <w:shd w:val="clear" w:color="auto" w:fill="FFFFFF"/>
                <w:lang w:val="en-GB"/>
              </w:rPr>
              <w:t>202</w:t>
            </w:r>
            <w:r w:rsidR="00E64E13" w:rsidRPr="00947B6B">
              <w:rPr>
                <w:szCs w:val="19"/>
                <w:shd w:val="clear" w:color="auto" w:fill="FFFFFF"/>
                <w:lang w:val="en-GB"/>
              </w:rPr>
              <w:t>3</w:t>
            </w:r>
            <w:r w:rsidR="0037286E" w:rsidRPr="00947B6B">
              <w:rPr>
                <w:rFonts w:eastAsia="Times New Roman" w:cs="Calibri"/>
                <w:bCs/>
                <w:color w:val="000000"/>
                <w:sz w:val="18"/>
                <w:szCs w:val="19"/>
                <w:vertAlign w:val="superscript"/>
                <w:lang w:val="en-GB" w:eastAsia="pl-PL"/>
              </w:rPr>
              <w:t>a</w:t>
            </w:r>
          </w:p>
        </w:tc>
      </w:tr>
      <w:tr w:rsidR="00E26CBD" w:rsidRPr="00947B6B" w14:paraId="21D5392E" w14:textId="77777777" w:rsidTr="00D739F9">
        <w:trPr>
          <w:trHeight w:val="57"/>
        </w:trPr>
        <w:tc>
          <w:tcPr>
            <w:tcW w:w="2919" w:type="dxa"/>
            <w:vMerge/>
            <w:vAlign w:val="center"/>
          </w:tcPr>
          <w:p w14:paraId="0298115A" w14:textId="77777777" w:rsidR="00E26CBD" w:rsidRPr="00947B6B" w:rsidRDefault="00E26CBD" w:rsidP="009D2690">
            <w:pPr>
              <w:spacing w:line="240" w:lineRule="exact"/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EDE668A" w14:textId="06628025" w:rsidR="00E26CBD" w:rsidRPr="00947B6B" w:rsidRDefault="00777E48" w:rsidP="009D2690">
            <w:pPr>
              <w:spacing w:line="240" w:lineRule="exact"/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in </w:t>
            </w:r>
            <w:r w:rsidR="00E92564" w:rsidRPr="00947B6B">
              <w:rPr>
                <w:szCs w:val="19"/>
                <w:shd w:val="clear" w:color="auto" w:fill="FFFFFF"/>
                <w:lang w:val="en-GB"/>
              </w:rPr>
              <w:t>units</w:t>
            </w:r>
          </w:p>
        </w:tc>
        <w:tc>
          <w:tcPr>
            <w:tcW w:w="850" w:type="dxa"/>
            <w:vAlign w:val="center"/>
          </w:tcPr>
          <w:p w14:paraId="5510827E" w14:textId="5366F3DA" w:rsidR="00E26CBD" w:rsidRPr="00947B6B" w:rsidRDefault="00E26CBD" w:rsidP="009D2690">
            <w:pPr>
              <w:spacing w:line="240" w:lineRule="exact"/>
              <w:ind w:left="-108" w:right="-10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47B6B">
              <w:rPr>
                <w:szCs w:val="19"/>
                <w:shd w:val="clear" w:color="auto" w:fill="FFFFFF"/>
                <w:lang w:val="en-GB"/>
              </w:rPr>
              <w:t>202</w:t>
            </w:r>
            <w:r w:rsidR="00E64E13" w:rsidRPr="00947B6B">
              <w:rPr>
                <w:szCs w:val="19"/>
                <w:shd w:val="clear" w:color="auto" w:fill="FFFFFF"/>
                <w:lang w:val="en-GB"/>
              </w:rPr>
              <w:t>2</w:t>
            </w:r>
            <w:r w:rsidRPr="00947B6B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  <w:tc>
          <w:tcPr>
            <w:tcW w:w="1702" w:type="dxa"/>
            <w:gridSpan w:val="2"/>
            <w:vAlign w:val="center"/>
          </w:tcPr>
          <w:p w14:paraId="756AFBC1" w14:textId="5108BD31" w:rsidR="00E26CBD" w:rsidRPr="00947B6B" w:rsidRDefault="002F537A" w:rsidP="009D2690">
            <w:pPr>
              <w:spacing w:line="240" w:lineRule="exact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i</w:t>
            </w:r>
            <w:r w:rsidR="00E92564"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n mi</w:t>
            </w:r>
            <w:r w:rsidR="00836A72"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l</w:t>
            </w:r>
            <w:r w:rsidR="00E92564"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lion PLN</w:t>
            </w:r>
          </w:p>
        </w:tc>
        <w:tc>
          <w:tcPr>
            <w:tcW w:w="850" w:type="dxa"/>
            <w:vAlign w:val="center"/>
          </w:tcPr>
          <w:p w14:paraId="24490F1B" w14:textId="2FA5C3F2" w:rsidR="00E26CBD" w:rsidRPr="00947B6B" w:rsidRDefault="00E26CBD" w:rsidP="009D2690">
            <w:pPr>
              <w:spacing w:line="240" w:lineRule="exact"/>
              <w:ind w:left="-108" w:right="-9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47B6B">
              <w:rPr>
                <w:szCs w:val="19"/>
                <w:shd w:val="clear" w:color="auto" w:fill="FFFFFF"/>
                <w:lang w:val="en-GB"/>
              </w:rPr>
              <w:t>202</w:t>
            </w:r>
            <w:r w:rsidR="00E64E13" w:rsidRPr="00947B6B">
              <w:rPr>
                <w:szCs w:val="19"/>
                <w:shd w:val="clear" w:color="auto" w:fill="FFFFFF"/>
                <w:lang w:val="en-GB"/>
              </w:rPr>
              <w:t>2</w:t>
            </w:r>
            <w:r w:rsidRPr="00947B6B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</w:tr>
      <w:tr w:rsidR="00C61DF5" w:rsidRPr="00947B6B" w14:paraId="2B53719B" w14:textId="77777777" w:rsidTr="00D739F9">
        <w:trPr>
          <w:trHeight w:val="57"/>
        </w:trPr>
        <w:tc>
          <w:tcPr>
            <w:tcW w:w="2919" w:type="dxa"/>
            <w:vAlign w:val="center"/>
          </w:tcPr>
          <w:p w14:paraId="0BFF604C" w14:textId="643EFCC3" w:rsidR="00C61DF5" w:rsidRPr="00124D5A" w:rsidRDefault="00BA5A5A" w:rsidP="00C61DF5">
            <w:pPr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9"/>
                <w:lang w:val="en-GB" w:eastAsia="pl-PL"/>
              </w:rPr>
            </w:pPr>
            <w:r w:rsidRPr="00124D5A">
              <w:rPr>
                <w:rFonts w:eastAsia="Times New Roman" w:cs="Calibri"/>
                <w:b/>
                <w:bCs/>
                <w:color w:val="000000"/>
                <w:szCs w:val="19"/>
                <w:lang w:val="en-GB" w:eastAsia="pl-PL"/>
              </w:rPr>
              <w:t>Total</w:t>
            </w:r>
          </w:p>
        </w:tc>
        <w:tc>
          <w:tcPr>
            <w:tcW w:w="869" w:type="dxa"/>
          </w:tcPr>
          <w:p w14:paraId="5F1DFB21" w14:textId="0BB40C20" w:rsidR="00C61DF5" w:rsidRPr="00124D5A" w:rsidRDefault="00C61DF5" w:rsidP="00C61DF5">
            <w:pPr>
              <w:ind w:left="-51" w:right="-7"/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510 760</w:t>
            </w:r>
          </w:p>
        </w:tc>
        <w:tc>
          <w:tcPr>
            <w:tcW w:w="890" w:type="dxa"/>
            <w:gridSpan w:val="2"/>
          </w:tcPr>
          <w:p w14:paraId="1C3811AF" w14:textId="15B2DD8B" w:rsidR="00C61DF5" w:rsidRPr="00124D5A" w:rsidRDefault="00C61DF5" w:rsidP="00C61DF5">
            <w:pPr>
              <w:ind w:right="-20"/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504 861</w:t>
            </w:r>
          </w:p>
        </w:tc>
        <w:tc>
          <w:tcPr>
            <w:tcW w:w="850" w:type="dxa"/>
          </w:tcPr>
          <w:p w14:paraId="2E0B213F" w14:textId="3ED95BC9" w:rsidR="00C61DF5" w:rsidRPr="00124D5A" w:rsidRDefault="00C61DF5" w:rsidP="00E92564">
            <w:pPr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98</w:t>
            </w:r>
            <w:r w:rsidR="00E92564" w:rsidRPr="00124D5A">
              <w:rPr>
                <w:b/>
                <w:lang w:val="en-GB"/>
              </w:rPr>
              <w:t>.</w:t>
            </w:r>
            <w:r w:rsidRPr="00124D5A">
              <w:rPr>
                <w:b/>
                <w:lang w:val="en-GB"/>
              </w:rPr>
              <w:t>8</w:t>
            </w:r>
          </w:p>
        </w:tc>
        <w:tc>
          <w:tcPr>
            <w:tcW w:w="850" w:type="dxa"/>
          </w:tcPr>
          <w:p w14:paraId="7C0729FA" w14:textId="44449A4B" w:rsidR="00C61DF5" w:rsidRPr="00124D5A" w:rsidRDefault="00C61DF5" w:rsidP="00124D5A">
            <w:pPr>
              <w:ind w:left="-57"/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192 685</w:t>
            </w:r>
          </w:p>
        </w:tc>
        <w:tc>
          <w:tcPr>
            <w:tcW w:w="852" w:type="dxa"/>
          </w:tcPr>
          <w:p w14:paraId="39E24F96" w14:textId="6C4446CF" w:rsidR="00C61DF5" w:rsidRPr="00124D5A" w:rsidRDefault="00C61DF5" w:rsidP="00124D5A">
            <w:pPr>
              <w:ind w:left="-57"/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207 293</w:t>
            </w:r>
          </w:p>
        </w:tc>
        <w:tc>
          <w:tcPr>
            <w:tcW w:w="850" w:type="dxa"/>
          </w:tcPr>
          <w:p w14:paraId="3A13F965" w14:textId="65B2AF96" w:rsidR="00C61DF5" w:rsidRPr="00124D5A" w:rsidRDefault="00E92564" w:rsidP="00C61DF5">
            <w:pPr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107.</w:t>
            </w:r>
            <w:r w:rsidR="00C61DF5" w:rsidRPr="00124D5A">
              <w:rPr>
                <w:b/>
                <w:lang w:val="en-GB"/>
              </w:rPr>
              <w:t>6</w:t>
            </w:r>
          </w:p>
        </w:tc>
      </w:tr>
      <w:tr w:rsidR="00C61DF5" w:rsidRPr="00947B6B" w14:paraId="1DF4D0C1" w14:textId="77777777" w:rsidTr="00D739F9">
        <w:trPr>
          <w:trHeight w:val="57"/>
        </w:trPr>
        <w:tc>
          <w:tcPr>
            <w:tcW w:w="2919" w:type="dxa"/>
            <w:vAlign w:val="center"/>
          </w:tcPr>
          <w:p w14:paraId="3B3A1FF3" w14:textId="4EF4E6F5" w:rsidR="00C61DF5" w:rsidRPr="00947B6B" w:rsidRDefault="00473D74" w:rsidP="00473D74">
            <w:pPr>
              <w:ind w:right="-68"/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  <w:r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Premises</w:t>
            </w:r>
          </w:p>
        </w:tc>
        <w:tc>
          <w:tcPr>
            <w:tcW w:w="869" w:type="dxa"/>
          </w:tcPr>
          <w:p w14:paraId="3FE8828C" w14:textId="438CB076" w:rsidR="00C61DF5" w:rsidRPr="00947B6B" w:rsidRDefault="00C61DF5" w:rsidP="00C61DF5">
            <w:pPr>
              <w:ind w:left="-51" w:right="-7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245 755</w:t>
            </w:r>
          </w:p>
        </w:tc>
        <w:tc>
          <w:tcPr>
            <w:tcW w:w="890" w:type="dxa"/>
            <w:gridSpan w:val="2"/>
          </w:tcPr>
          <w:p w14:paraId="55E50375" w14:textId="40188320" w:rsidR="00C61DF5" w:rsidRPr="00947B6B" w:rsidRDefault="00C61DF5" w:rsidP="00C61DF5">
            <w:pPr>
              <w:ind w:right="-20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254 761</w:t>
            </w:r>
          </w:p>
        </w:tc>
        <w:tc>
          <w:tcPr>
            <w:tcW w:w="850" w:type="dxa"/>
          </w:tcPr>
          <w:p w14:paraId="4DC28E19" w14:textId="104BF647" w:rsidR="00C61DF5" w:rsidRPr="00947B6B" w:rsidRDefault="00E92564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103.</w:t>
            </w:r>
            <w:r w:rsidR="00C61DF5" w:rsidRPr="00947B6B">
              <w:rPr>
                <w:lang w:val="en-GB"/>
              </w:rPr>
              <w:t>7</w:t>
            </w:r>
          </w:p>
        </w:tc>
        <w:tc>
          <w:tcPr>
            <w:tcW w:w="850" w:type="dxa"/>
          </w:tcPr>
          <w:p w14:paraId="3BD232D1" w14:textId="3EF59AAA" w:rsidR="00C61DF5" w:rsidRPr="00947B6B" w:rsidRDefault="00C61DF5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95 806</w:t>
            </w:r>
          </w:p>
        </w:tc>
        <w:tc>
          <w:tcPr>
            <w:tcW w:w="852" w:type="dxa"/>
          </w:tcPr>
          <w:p w14:paraId="09F45EAF" w14:textId="6C2332B5" w:rsidR="00C61DF5" w:rsidRPr="00947B6B" w:rsidRDefault="00C61DF5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109 645</w:t>
            </w:r>
          </w:p>
        </w:tc>
        <w:tc>
          <w:tcPr>
            <w:tcW w:w="850" w:type="dxa"/>
          </w:tcPr>
          <w:p w14:paraId="7EE1227B" w14:textId="46DA2906" w:rsidR="00C61DF5" w:rsidRPr="00947B6B" w:rsidRDefault="00E92564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114.</w:t>
            </w:r>
            <w:r w:rsidR="00C61DF5" w:rsidRPr="00947B6B">
              <w:rPr>
                <w:lang w:val="en-GB"/>
              </w:rPr>
              <w:t>4</w:t>
            </w:r>
          </w:p>
        </w:tc>
      </w:tr>
      <w:tr w:rsidR="00C61DF5" w:rsidRPr="00947B6B" w14:paraId="2081E3F6" w14:textId="77777777" w:rsidTr="00D739F9">
        <w:trPr>
          <w:trHeight w:val="57"/>
        </w:trPr>
        <w:tc>
          <w:tcPr>
            <w:tcW w:w="2919" w:type="dxa"/>
            <w:tcBorders>
              <w:bottom w:val="single" w:sz="4" w:space="0" w:color="001D81"/>
            </w:tcBorders>
            <w:vAlign w:val="center"/>
          </w:tcPr>
          <w:p w14:paraId="53F9508E" w14:textId="582BD54F" w:rsidR="00C61DF5" w:rsidRPr="00947B6B" w:rsidRDefault="00473D74" w:rsidP="00C61DF5">
            <w:pPr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  <w:r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 xml:space="preserve">Built-up </w:t>
            </w:r>
            <w:proofErr w:type="spellStart"/>
            <w:r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properties</w:t>
            </w:r>
            <w:r w:rsidR="0037286E" w:rsidRPr="00947B6B">
              <w:rPr>
                <w:rFonts w:eastAsia="Times New Roman" w:cs="Calibri"/>
                <w:color w:val="000000"/>
                <w:szCs w:val="19"/>
                <w:vertAlign w:val="superscript"/>
                <w:lang w:val="en-GB" w:eastAsia="pl-PL"/>
              </w:rPr>
              <w:t>b</w:t>
            </w:r>
            <w:proofErr w:type="spellEnd"/>
          </w:p>
        </w:tc>
        <w:tc>
          <w:tcPr>
            <w:tcW w:w="869" w:type="dxa"/>
            <w:tcBorders>
              <w:bottom w:val="single" w:sz="4" w:space="0" w:color="001D81"/>
            </w:tcBorders>
          </w:tcPr>
          <w:p w14:paraId="1E944CA0" w14:textId="1ACA2B2D" w:rsidR="00C61DF5" w:rsidRPr="00947B6B" w:rsidRDefault="00C61DF5" w:rsidP="00C61DF5">
            <w:pPr>
              <w:ind w:left="-51" w:right="-7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82 894</w:t>
            </w:r>
          </w:p>
        </w:tc>
        <w:tc>
          <w:tcPr>
            <w:tcW w:w="890" w:type="dxa"/>
            <w:gridSpan w:val="2"/>
            <w:tcBorders>
              <w:bottom w:val="single" w:sz="4" w:space="0" w:color="001D81"/>
            </w:tcBorders>
          </w:tcPr>
          <w:p w14:paraId="3A4C6553" w14:textId="493BEC68" w:rsidR="00C61DF5" w:rsidRPr="00947B6B" w:rsidRDefault="00C61DF5" w:rsidP="00C61DF5">
            <w:pPr>
              <w:ind w:right="-20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78 854</w:t>
            </w:r>
          </w:p>
        </w:tc>
        <w:tc>
          <w:tcPr>
            <w:tcW w:w="850" w:type="dxa"/>
            <w:tcBorders>
              <w:bottom w:val="single" w:sz="4" w:space="0" w:color="001D81"/>
            </w:tcBorders>
          </w:tcPr>
          <w:p w14:paraId="1FD7FAC5" w14:textId="55F43043" w:rsidR="00C61DF5" w:rsidRPr="00947B6B" w:rsidRDefault="00E92564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95.</w:t>
            </w:r>
            <w:r w:rsidR="00C61DF5" w:rsidRPr="00947B6B">
              <w:rPr>
                <w:lang w:val="en-GB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1D81"/>
            </w:tcBorders>
          </w:tcPr>
          <w:p w14:paraId="3BBC1455" w14:textId="1CDD77E2" w:rsidR="00C61DF5" w:rsidRPr="00947B6B" w:rsidRDefault="00C61DF5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56 822</w:t>
            </w:r>
          </w:p>
        </w:tc>
        <w:tc>
          <w:tcPr>
            <w:tcW w:w="852" w:type="dxa"/>
            <w:tcBorders>
              <w:bottom w:val="single" w:sz="4" w:space="0" w:color="001D81"/>
            </w:tcBorders>
          </w:tcPr>
          <w:p w14:paraId="3964E6A2" w14:textId="0695E440" w:rsidR="00C61DF5" w:rsidRPr="00947B6B" w:rsidRDefault="00C61DF5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56 639</w:t>
            </w:r>
          </w:p>
        </w:tc>
        <w:tc>
          <w:tcPr>
            <w:tcW w:w="850" w:type="dxa"/>
            <w:tcBorders>
              <w:bottom w:val="single" w:sz="4" w:space="0" w:color="001D81"/>
            </w:tcBorders>
          </w:tcPr>
          <w:p w14:paraId="6EF0A1F3" w14:textId="16AE68EC" w:rsidR="00C61DF5" w:rsidRPr="00947B6B" w:rsidRDefault="00E92564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99.</w:t>
            </w:r>
            <w:r w:rsidR="00C61DF5" w:rsidRPr="00947B6B">
              <w:rPr>
                <w:lang w:val="en-GB"/>
              </w:rPr>
              <w:t>7</w:t>
            </w:r>
          </w:p>
        </w:tc>
      </w:tr>
      <w:tr w:rsidR="00C61DF5" w:rsidRPr="00947B6B" w14:paraId="4F085A2C" w14:textId="77777777" w:rsidTr="00D739F9">
        <w:trPr>
          <w:trHeight w:val="57"/>
        </w:trPr>
        <w:tc>
          <w:tcPr>
            <w:tcW w:w="2919" w:type="dxa"/>
            <w:tcBorders>
              <w:bottom w:val="nil"/>
            </w:tcBorders>
            <w:vAlign w:val="center"/>
          </w:tcPr>
          <w:p w14:paraId="3213116F" w14:textId="2B09EFB2" w:rsidR="00C61DF5" w:rsidRPr="00947B6B" w:rsidRDefault="00BA5A5A" w:rsidP="00E47CC1">
            <w:pPr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  <w:r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 xml:space="preserve">Undeveloped </w:t>
            </w:r>
            <w:r w:rsidR="00E47CC1" w:rsidRPr="00947B6B">
              <w:rPr>
                <w:rFonts w:eastAsia="Times New Roman" w:cs="Calibri"/>
                <w:color w:val="000000"/>
                <w:szCs w:val="19"/>
                <w:lang w:val="en-GB" w:eastAsia="pl-PL"/>
              </w:rPr>
              <w:t>properties</w:t>
            </w:r>
          </w:p>
        </w:tc>
        <w:tc>
          <w:tcPr>
            <w:tcW w:w="869" w:type="dxa"/>
            <w:tcBorders>
              <w:bottom w:val="nil"/>
            </w:tcBorders>
          </w:tcPr>
          <w:p w14:paraId="2090AA97" w14:textId="3E9CBCF9" w:rsidR="00C61DF5" w:rsidRPr="00947B6B" w:rsidRDefault="00C61DF5" w:rsidP="00C61DF5">
            <w:pPr>
              <w:ind w:left="-51" w:right="-7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182 111</w:t>
            </w:r>
          </w:p>
        </w:tc>
        <w:tc>
          <w:tcPr>
            <w:tcW w:w="890" w:type="dxa"/>
            <w:gridSpan w:val="2"/>
            <w:tcBorders>
              <w:bottom w:val="nil"/>
            </w:tcBorders>
          </w:tcPr>
          <w:p w14:paraId="68ED1F78" w14:textId="0F819E58" w:rsidR="00C61DF5" w:rsidRPr="00947B6B" w:rsidRDefault="00C61DF5" w:rsidP="00C61DF5">
            <w:pPr>
              <w:ind w:right="-20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171 246</w:t>
            </w:r>
          </w:p>
        </w:tc>
        <w:tc>
          <w:tcPr>
            <w:tcW w:w="850" w:type="dxa"/>
            <w:tcBorders>
              <w:bottom w:val="nil"/>
            </w:tcBorders>
          </w:tcPr>
          <w:p w14:paraId="6BDD3CC5" w14:textId="6B6665E4" w:rsidR="00C61DF5" w:rsidRPr="00947B6B" w:rsidRDefault="00E92564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94.</w:t>
            </w:r>
            <w:r w:rsidR="00C61DF5" w:rsidRPr="00947B6B">
              <w:rPr>
                <w:lang w:val="en-GB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21714D46" w14:textId="252C4D39" w:rsidR="00C61DF5" w:rsidRPr="00947B6B" w:rsidRDefault="00C61DF5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40 055</w:t>
            </w:r>
          </w:p>
        </w:tc>
        <w:tc>
          <w:tcPr>
            <w:tcW w:w="852" w:type="dxa"/>
            <w:tcBorders>
              <w:bottom w:val="nil"/>
            </w:tcBorders>
          </w:tcPr>
          <w:p w14:paraId="12AE4C13" w14:textId="6A7B9153" w:rsidR="00C61DF5" w:rsidRPr="00947B6B" w:rsidRDefault="00C61DF5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41 009</w:t>
            </w:r>
          </w:p>
        </w:tc>
        <w:tc>
          <w:tcPr>
            <w:tcW w:w="850" w:type="dxa"/>
            <w:tcBorders>
              <w:bottom w:val="nil"/>
            </w:tcBorders>
          </w:tcPr>
          <w:p w14:paraId="43A93FFB" w14:textId="3FF0EE74" w:rsidR="00C61DF5" w:rsidRPr="00947B6B" w:rsidRDefault="00E92564" w:rsidP="00C61DF5">
            <w:pPr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102.</w:t>
            </w:r>
            <w:r w:rsidR="00C61DF5" w:rsidRPr="00947B6B">
              <w:rPr>
                <w:lang w:val="en-GB"/>
              </w:rPr>
              <w:t>4</w:t>
            </w:r>
          </w:p>
        </w:tc>
      </w:tr>
    </w:tbl>
    <w:p w14:paraId="0E782999" w14:textId="636338AD" w:rsidR="004A0769" w:rsidRPr="00947B6B" w:rsidRDefault="0037286E" w:rsidP="00CD4BCD">
      <w:pPr>
        <w:pStyle w:val="Tekstprzypisudolnego"/>
        <w:ind w:right="-13"/>
        <w:rPr>
          <w:sz w:val="16"/>
          <w:szCs w:val="18"/>
          <w:lang w:val="en-GB"/>
        </w:rPr>
      </w:pPr>
      <w:r w:rsidRPr="009A7401">
        <w:rPr>
          <w:sz w:val="16"/>
          <w:szCs w:val="18"/>
          <w:lang w:val="en-GB"/>
        </w:rPr>
        <w:t xml:space="preserve">a </w:t>
      </w:r>
      <w:r w:rsidRPr="00947B6B">
        <w:rPr>
          <w:sz w:val="16"/>
          <w:szCs w:val="18"/>
          <w:vertAlign w:val="superscript"/>
          <w:lang w:val="en-GB"/>
        </w:rPr>
        <w:t xml:space="preserve"> </w:t>
      </w:r>
      <w:r w:rsidR="00BA5A5A" w:rsidRPr="00947B6B">
        <w:rPr>
          <w:sz w:val="16"/>
          <w:szCs w:val="18"/>
          <w:lang w:val="en-GB"/>
        </w:rPr>
        <w:t xml:space="preserve">Preliminary data. </w:t>
      </w:r>
    </w:p>
    <w:p w14:paraId="32E07D5E" w14:textId="3485A726" w:rsidR="004A0769" w:rsidRPr="00947B6B" w:rsidRDefault="0037286E" w:rsidP="004A0769">
      <w:pPr>
        <w:pStyle w:val="Tekstprzypisudolnego"/>
        <w:rPr>
          <w:sz w:val="16"/>
          <w:szCs w:val="18"/>
          <w:lang w:val="en-GB"/>
        </w:rPr>
      </w:pPr>
      <w:r w:rsidRPr="009A7401">
        <w:rPr>
          <w:sz w:val="16"/>
          <w:szCs w:val="18"/>
          <w:lang w:val="en-GB"/>
        </w:rPr>
        <w:t xml:space="preserve">b </w:t>
      </w:r>
      <w:r w:rsidR="00BA5A5A" w:rsidRPr="00947B6B">
        <w:rPr>
          <w:sz w:val="16"/>
          <w:szCs w:val="18"/>
          <w:lang w:val="en-GB"/>
        </w:rPr>
        <w:t xml:space="preserve">It includes real estate with residential buildings, developed agricultural real estate, real estate developed with buildings performing functions other than </w:t>
      </w:r>
      <w:r w:rsidR="006A6829" w:rsidRPr="00947B6B">
        <w:rPr>
          <w:sz w:val="16"/>
          <w:szCs w:val="18"/>
          <w:lang w:val="en-GB"/>
        </w:rPr>
        <w:t xml:space="preserve">agricultural </w:t>
      </w:r>
      <w:r w:rsidR="00BA5A5A" w:rsidRPr="00947B6B">
        <w:rPr>
          <w:sz w:val="16"/>
          <w:szCs w:val="18"/>
          <w:lang w:val="en-GB"/>
        </w:rPr>
        <w:t>and residential and building real estate.</w:t>
      </w:r>
    </w:p>
    <w:p w14:paraId="12EC1924" w14:textId="47EA92A6" w:rsidR="0092738A" w:rsidRDefault="00BA5A5A" w:rsidP="00025A9D">
      <w:pPr>
        <w:rPr>
          <w:lang w:val="en-GB"/>
        </w:rPr>
      </w:pPr>
      <w:r w:rsidRPr="00947B6B">
        <w:rPr>
          <w:lang w:val="en-GB"/>
        </w:rPr>
        <w:t xml:space="preserve">In </w:t>
      </w:r>
      <w:r w:rsidR="00836A72" w:rsidRPr="00947B6B">
        <w:rPr>
          <w:lang w:val="en-GB"/>
        </w:rPr>
        <w:t>the majority of</w:t>
      </w:r>
      <w:r w:rsidRPr="00947B6B">
        <w:rPr>
          <w:lang w:val="en-GB"/>
        </w:rPr>
        <w:t xml:space="preserve"> voivodships, the structure of the number of real estate </w:t>
      </w:r>
      <w:r w:rsidR="00836A72" w:rsidRPr="00947B6B">
        <w:rPr>
          <w:lang w:val="en-GB"/>
        </w:rPr>
        <w:t xml:space="preserve">sale and </w:t>
      </w:r>
      <w:r w:rsidRPr="00947B6B">
        <w:rPr>
          <w:lang w:val="en-GB"/>
        </w:rPr>
        <w:t xml:space="preserve">purchase transactions by type was dominated by transactions concerning </w:t>
      </w:r>
      <w:r w:rsidR="006A6829" w:rsidRPr="00947B6B">
        <w:rPr>
          <w:lang w:val="en-GB"/>
        </w:rPr>
        <w:t>premises</w:t>
      </w:r>
      <w:r w:rsidRPr="00947B6B">
        <w:rPr>
          <w:lang w:val="en-GB"/>
        </w:rPr>
        <w:t xml:space="preserve">. The highest share of this type of </w:t>
      </w:r>
      <w:r w:rsidR="00836A72" w:rsidRPr="00947B6B">
        <w:rPr>
          <w:lang w:val="en-GB"/>
        </w:rPr>
        <w:t>transactions</w:t>
      </w:r>
      <w:r w:rsidRPr="00947B6B">
        <w:rPr>
          <w:lang w:val="en-GB"/>
        </w:rPr>
        <w:t xml:space="preserve"> was </w:t>
      </w:r>
      <w:r w:rsidR="00836A72" w:rsidRPr="00947B6B">
        <w:rPr>
          <w:lang w:val="en-GB"/>
        </w:rPr>
        <w:t>noted in</w:t>
      </w:r>
      <w:r w:rsidRPr="00947B6B">
        <w:rPr>
          <w:lang w:val="en-GB"/>
        </w:rPr>
        <w:t xml:space="preserve"> </w:t>
      </w:r>
      <w:proofErr w:type="spellStart"/>
      <w:r w:rsidRPr="00947B6B">
        <w:rPr>
          <w:lang w:val="en-GB"/>
        </w:rPr>
        <w:t>Dolnośląskie</w:t>
      </w:r>
      <w:proofErr w:type="spellEnd"/>
      <w:r w:rsidRPr="00947B6B">
        <w:rPr>
          <w:lang w:val="en-GB"/>
        </w:rPr>
        <w:t xml:space="preserve"> (64.9%), </w:t>
      </w:r>
      <w:proofErr w:type="spellStart"/>
      <w:r w:rsidRPr="00947B6B">
        <w:rPr>
          <w:lang w:val="en-GB"/>
        </w:rPr>
        <w:t>Pomorskie</w:t>
      </w:r>
      <w:proofErr w:type="spellEnd"/>
      <w:r w:rsidRPr="00947B6B">
        <w:rPr>
          <w:lang w:val="en-GB"/>
        </w:rPr>
        <w:t xml:space="preserve"> (61.8%) and </w:t>
      </w:r>
      <w:r w:rsidR="00230EBC">
        <w:rPr>
          <w:lang w:val="en-GB"/>
        </w:rPr>
        <w:br/>
      </w:r>
      <w:proofErr w:type="spellStart"/>
      <w:r w:rsidRPr="00947B6B">
        <w:rPr>
          <w:lang w:val="en-GB"/>
        </w:rPr>
        <w:t>Mazowieckie</w:t>
      </w:r>
      <w:proofErr w:type="spellEnd"/>
      <w:r w:rsidRPr="00947B6B">
        <w:rPr>
          <w:lang w:val="en-GB"/>
        </w:rPr>
        <w:t xml:space="preserve"> (56.2%) voivodships. Only in four voivodships the largest share of the number </w:t>
      </w:r>
      <w:r w:rsidR="00230EBC">
        <w:rPr>
          <w:lang w:val="en-GB"/>
        </w:rPr>
        <w:br/>
      </w:r>
      <w:r w:rsidRPr="00947B6B">
        <w:rPr>
          <w:lang w:val="en-GB"/>
        </w:rPr>
        <w:t xml:space="preserve">of transactions was </w:t>
      </w:r>
      <w:r w:rsidR="00F41C5A" w:rsidRPr="00947B6B">
        <w:rPr>
          <w:lang w:val="en-GB"/>
        </w:rPr>
        <w:t xml:space="preserve">observed </w:t>
      </w:r>
      <w:r w:rsidRPr="00947B6B">
        <w:rPr>
          <w:lang w:val="en-GB"/>
        </w:rPr>
        <w:t xml:space="preserve">for another type of real estate </w:t>
      </w:r>
      <w:r w:rsidR="00230EBC">
        <w:rPr>
          <w:lang w:val="en-GB"/>
        </w:rPr>
        <w:t>–</w:t>
      </w:r>
      <w:r w:rsidRPr="00947B6B">
        <w:rPr>
          <w:lang w:val="en-GB"/>
        </w:rPr>
        <w:t xml:space="preserve"> undeveloped properties. Transactions related to this category of real estate accounted for more than </w:t>
      </w:r>
      <w:r w:rsidR="00F41C5A" w:rsidRPr="00947B6B">
        <w:rPr>
          <w:lang w:val="en-GB"/>
        </w:rPr>
        <w:t xml:space="preserve">a </w:t>
      </w:r>
      <w:r w:rsidRPr="00947B6B">
        <w:rPr>
          <w:lang w:val="en-GB"/>
        </w:rPr>
        <w:t xml:space="preserve">half of all </w:t>
      </w:r>
      <w:r w:rsidR="00230EBC">
        <w:rPr>
          <w:lang w:val="en-GB"/>
        </w:rPr>
        <w:br/>
      </w:r>
      <w:r w:rsidRPr="00947B6B">
        <w:rPr>
          <w:lang w:val="en-GB"/>
        </w:rPr>
        <w:t xml:space="preserve">registered contracts in </w:t>
      </w:r>
      <w:proofErr w:type="spellStart"/>
      <w:r w:rsidRPr="00947B6B">
        <w:rPr>
          <w:lang w:val="en-GB"/>
        </w:rPr>
        <w:t>Podkarpackie</w:t>
      </w:r>
      <w:proofErr w:type="spellEnd"/>
      <w:r w:rsidRPr="00947B6B">
        <w:rPr>
          <w:lang w:val="en-GB"/>
        </w:rPr>
        <w:t xml:space="preserve"> and </w:t>
      </w:r>
      <w:proofErr w:type="spellStart"/>
      <w:r w:rsidRPr="00947B6B">
        <w:rPr>
          <w:lang w:val="en-GB"/>
        </w:rPr>
        <w:t>Świętokrzyskie</w:t>
      </w:r>
      <w:proofErr w:type="spellEnd"/>
      <w:r w:rsidRPr="00947B6B">
        <w:rPr>
          <w:lang w:val="en-GB"/>
        </w:rPr>
        <w:t xml:space="preserve"> voivodships (55.1% and 52.0%, </w:t>
      </w:r>
      <w:r w:rsidR="00230EBC">
        <w:rPr>
          <w:lang w:val="en-GB"/>
        </w:rPr>
        <w:br/>
      </w:r>
      <w:r w:rsidRPr="00947B6B">
        <w:rPr>
          <w:lang w:val="en-GB"/>
        </w:rPr>
        <w:t>respectively).</w:t>
      </w:r>
      <w:r w:rsidR="008079BB" w:rsidRPr="00947B6B">
        <w:rPr>
          <w:lang w:val="en-GB"/>
        </w:rPr>
        <w:t xml:space="preserve"> </w:t>
      </w:r>
    </w:p>
    <w:p w14:paraId="4904F82A" w14:textId="08132ED8" w:rsidR="00B9693F" w:rsidRDefault="00B9693F" w:rsidP="00025A9D">
      <w:pPr>
        <w:spacing w:before="360" w:line="240" w:lineRule="auto"/>
        <w:ind w:left="680" w:hanging="680"/>
        <w:rPr>
          <w:b/>
          <w:szCs w:val="19"/>
          <w:shd w:val="clear" w:color="auto" w:fill="FFFFFF"/>
          <w:lang w:val="en-GB"/>
        </w:rPr>
      </w:pPr>
      <w:r w:rsidRPr="00947B6B">
        <w:rPr>
          <w:b/>
          <w:szCs w:val="19"/>
          <w:lang w:val="en-GB"/>
        </w:rPr>
        <w:t>Chart 1.</w:t>
      </w:r>
      <w:r w:rsidRPr="00947B6B">
        <w:rPr>
          <w:b/>
          <w:szCs w:val="19"/>
          <w:shd w:val="clear" w:color="auto" w:fill="FFFFFF"/>
          <w:lang w:val="en-GB"/>
        </w:rPr>
        <w:t xml:space="preserve"> Structure of the number of real estate sale and purchase transactions by type </w:t>
      </w:r>
      <w:r w:rsidR="00025A9D">
        <w:rPr>
          <w:b/>
          <w:szCs w:val="19"/>
          <w:shd w:val="clear" w:color="auto" w:fill="FFFFFF"/>
          <w:lang w:val="en-GB"/>
        </w:rPr>
        <w:br/>
      </w:r>
      <w:r w:rsidRPr="00947B6B">
        <w:rPr>
          <w:b/>
          <w:szCs w:val="19"/>
          <w:shd w:val="clear" w:color="auto" w:fill="FFFFFF"/>
          <w:lang w:val="en-GB"/>
        </w:rPr>
        <w:t>in 2023</w:t>
      </w:r>
    </w:p>
    <w:p w14:paraId="20B9C098" w14:textId="1BC9086C" w:rsidR="00B9693F" w:rsidRPr="00947B6B" w:rsidRDefault="007246D2" w:rsidP="00B9693F">
      <w:pPr>
        <w:pStyle w:val="brakstylu"/>
      </w:pPr>
      <w:r>
        <w:rPr>
          <w:noProof/>
          <w:lang w:val="pl-PL" w:eastAsia="pl-PL"/>
        </w:rPr>
        <w:drawing>
          <wp:inline distT="0" distB="0" distL="0" distR="0" wp14:anchorId="0A54D162" wp14:editId="3843703E">
            <wp:extent cx="4764034" cy="3232411"/>
            <wp:effectExtent l="0" t="0" r="0" b="6350"/>
            <wp:docPr id="12" name="Obraz 12" descr="Chart described in the text." title="Chart 1 (stacked bar chart), presents the structure of the number of real estate sale and purchase transactions by voivodships, divided into premises, built-up properties and undeveloped properties in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4034" cy="323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5C0C" w14:textId="7E6DE2A9" w:rsidR="00BA5A5A" w:rsidRPr="00947B6B" w:rsidRDefault="00BA5A5A" w:rsidP="00124D5A">
      <w:pPr>
        <w:keepNext/>
        <w:spacing w:before="360" w:line="240" w:lineRule="auto"/>
        <w:outlineLvl w:val="0"/>
        <w:rPr>
          <w:b/>
          <w:spacing w:val="-2"/>
          <w:szCs w:val="19"/>
          <w:shd w:val="clear" w:color="auto" w:fill="FFFFFF"/>
          <w:lang w:val="en-GB"/>
        </w:rPr>
      </w:pPr>
      <w:r w:rsidRPr="00947B6B">
        <w:rPr>
          <w:b/>
          <w:spacing w:val="-2"/>
          <w:szCs w:val="19"/>
          <w:shd w:val="clear" w:color="auto" w:fill="FFFFFF"/>
          <w:lang w:val="en-GB"/>
        </w:rPr>
        <w:lastRenderedPageBreak/>
        <w:t>Table 3. Price indices of residential premises in 2023</w:t>
      </w:r>
    </w:p>
    <w:tbl>
      <w:tblPr>
        <w:tblStyle w:val="Siatkatabelijasna11"/>
        <w:tblW w:w="7763" w:type="dxa"/>
        <w:tblBorders>
          <w:top w:val="single" w:sz="4" w:space="0" w:color="001D81"/>
          <w:left w:val="none" w:sz="0" w:space="0" w:color="auto"/>
          <w:bottom w:val="single" w:sz="4" w:space="0" w:color="001D81"/>
          <w:right w:val="none" w:sz="0" w:space="0" w:color="auto"/>
          <w:insideH w:val="single" w:sz="4" w:space="0" w:color="001D81"/>
          <w:insideV w:val="single" w:sz="4" w:space="0" w:color="001D81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3. Price indices of residential premises in 2023"/>
      </w:tblPr>
      <w:tblGrid>
        <w:gridCol w:w="3331"/>
        <w:gridCol w:w="2306"/>
        <w:gridCol w:w="2126"/>
      </w:tblGrid>
      <w:tr w:rsidR="00FC51AE" w:rsidRPr="00947B6B" w14:paraId="43CCAB41" w14:textId="77777777" w:rsidTr="0049257D">
        <w:trPr>
          <w:trHeight w:val="113"/>
        </w:trPr>
        <w:tc>
          <w:tcPr>
            <w:tcW w:w="3331" w:type="dxa"/>
            <w:vMerge w:val="restart"/>
            <w:vAlign w:val="center"/>
          </w:tcPr>
          <w:p w14:paraId="65131DAA" w14:textId="2BEDC80C" w:rsidR="00FC51AE" w:rsidRPr="00947B6B" w:rsidRDefault="00BA5A5A" w:rsidP="00A94EC0">
            <w:pPr>
              <w:spacing w:before="80" w:after="80" w:line="240" w:lineRule="exact"/>
              <w:jc w:val="center"/>
              <w:rPr>
                <w:lang w:val="en-GB" w:eastAsia="pl-PL"/>
              </w:rPr>
            </w:pPr>
            <w:r w:rsidRPr="00947B6B">
              <w:rPr>
                <w:lang w:val="en-GB" w:eastAsia="pl-PL"/>
              </w:rPr>
              <w:t>Specification</w:t>
            </w:r>
          </w:p>
        </w:tc>
        <w:tc>
          <w:tcPr>
            <w:tcW w:w="4432" w:type="dxa"/>
            <w:gridSpan w:val="2"/>
            <w:vAlign w:val="center"/>
          </w:tcPr>
          <w:p w14:paraId="2965DC99" w14:textId="4572AFA5" w:rsidR="00FC51AE" w:rsidRPr="00947B6B" w:rsidRDefault="0004372E" w:rsidP="00A94EC0">
            <w:pPr>
              <w:keepNext/>
              <w:keepLines/>
              <w:spacing w:before="80" w:after="80" w:line="240" w:lineRule="exact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</w:pPr>
            <w:r w:rsidRPr="00947B6B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202</w:t>
            </w:r>
            <w:r w:rsidR="00AE2A55" w:rsidRPr="00947B6B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3</w:t>
            </w:r>
          </w:p>
        </w:tc>
      </w:tr>
      <w:tr w:rsidR="00FC51AE" w:rsidRPr="00947B6B" w14:paraId="47A78AA6" w14:textId="77777777" w:rsidTr="0049257D">
        <w:trPr>
          <w:trHeight w:val="113"/>
        </w:trPr>
        <w:tc>
          <w:tcPr>
            <w:tcW w:w="3331" w:type="dxa"/>
            <w:vMerge/>
            <w:vAlign w:val="center"/>
          </w:tcPr>
          <w:p w14:paraId="1DD2B601" w14:textId="77777777" w:rsidR="00FC51AE" w:rsidRPr="00947B6B" w:rsidRDefault="00FC51AE" w:rsidP="00A94EC0">
            <w:pPr>
              <w:keepNext/>
              <w:tabs>
                <w:tab w:val="right" w:leader="dot" w:pos="4139"/>
              </w:tabs>
              <w:spacing w:before="80" w:after="80" w:line="240" w:lineRule="exact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val="en-GB" w:eastAsia="pl-PL"/>
              </w:rPr>
            </w:pPr>
          </w:p>
        </w:tc>
        <w:tc>
          <w:tcPr>
            <w:tcW w:w="2306" w:type="dxa"/>
            <w:vAlign w:val="center"/>
          </w:tcPr>
          <w:p w14:paraId="379D1297" w14:textId="5BC93876" w:rsidR="00FC51AE" w:rsidRPr="00947B6B" w:rsidRDefault="0004372E" w:rsidP="00A94EC0">
            <w:pPr>
              <w:spacing w:before="80" w:after="80" w:line="240" w:lineRule="exact"/>
              <w:jc w:val="center"/>
              <w:rPr>
                <w:color w:val="000000" w:themeColor="text1"/>
                <w:szCs w:val="19"/>
                <w:lang w:val="en-GB"/>
              </w:rPr>
            </w:pPr>
            <w:r w:rsidRPr="00947B6B">
              <w:rPr>
                <w:color w:val="000000" w:themeColor="text1"/>
                <w:szCs w:val="19"/>
                <w:lang w:val="en-GB"/>
              </w:rPr>
              <w:t>202</w:t>
            </w:r>
            <w:r w:rsidR="00AE2A55" w:rsidRPr="00947B6B">
              <w:rPr>
                <w:color w:val="000000" w:themeColor="text1"/>
                <w:szCs w:val="19"/>
                <w:lang w:val="en-GB"/>
              </w:rPr>
              <w:t>2</w:t>
            </w:r>
            <w:r w:rsidR="00FC51AE" w:rsidRPr="00947B6B">
              <w:rPr>
                <w:color w:val="000000" w:themeColor="text1"/>
                <w:szCs w:val="19"/>
                <w:lang w:val="en-GB"/>
              </w:rPr>
              <w:t>=100</w:t>
            </w:r>
          </w:p>
        </w:tc>
        <w:tc>
          <w:tcPr>
            <w:tcW w:w="2126" w:type="dxa"/>
            <w:vAlign w:val="center"/>
          </w:tcPr>
          <w:p w14:paraId="1FDEF69C" w14:textId="77777777" w:rsidR="00FC51AE" w:rsidRPr="00947B6B" w:rsidRDefault="00FC51AE" w:rsidP="00A94EC0">
            <w:pPr>
              <w:spacing w:before="80" w:after="80" w:line="240" w:lineRule="exact"/>
              <w:jc w:val="center"/>
              <w:rPr>
                <w:color w:val="000000" w:themeColor="text1"/>
                <w:szCs w:val="19"/>
                <w:lang w:val="en-GB"/>
              </w:rPr>
            </w:pPr>
            <w:r w:rsidRPr="00947B6B">
              <w:rPr>
                <w:color w:val="000000" w:themeColor="text1"/>
                <w:szCs w:val="19"/>
                <w:lang w:val="en-GB"/>
              </w:rPr>
              <w:t>2015=100</w:t>
            </w:r>
          </w:p>
        </w:tc>
      </w:tr>
      <w:tr w:rsidR="0015020E" w:rsidRPr="00947B6B" w14:paraId="5E28EEFF" w14:textId="77777777" w:rsidTr="0049257D">
        <w:trPr>
          <w:trHeight w:val="113"/>
        </w:trPr>
        <w:tc>
          <w:tcPr>
            <w:tcW w:w="3331" w:type="dxa"/>
            <w:vAlign w:val="center"/>
          </w:tcPr>
          <w:p w14:paraId="017EE331" w14:textId="5C204CEC" w:rsidR="0015020E" w:rsidRPr="00124D5A" w:rsidRDefault="00BA5A5A" w:rsidP="00A94EC0">
            <w:pPr>
              <w:spacing w:before="80" w:after="80" w:line="240" w:lineRule="exac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Total</w:t>
            </w:r>
          </w:p>
        </w:tc>
        <w:tc>
          <w:tcPr>
            <w:tcW w:w="2306" w:type="dxa"/>
            <w:shd w:val="clear" w:color="auto" w:fill="auto"/>
          </w:tcPr>
          <w:p w14:paraId="7BDE7CF4" w14:textId="50F63EAC" w:rsidR="0015020E" w:rsidRPr="00124D5A" w:rsidRDefault="00E22912" w:rsidP="00A94EC0">
            <w:pPr>
              <w:spacing w:before="80" w:after="80" w:line="240" w:lineRule="exact"/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108</w:t>
            </w:r>
            <w:r w:rsidR="009647C1" w:rsidRPr="00124D5A">
              <w:rPr>
                <w:b/>
                <w:lang w:val="en-GB"/>
              </w:rPr>
              <w:t>.</w:t>
            </w:r>
            <w:r w:rsidRPr="00124D5A">
              <w:rPr>
                <w:b/>
                <w:lang w:val="en-GB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216C98A6" w14:textId="55C14202" w:rsidR="0015020E" w:rsidRPr="00124D5A" w:rsidRDefault="00E22912" w:rsidP="00A94EC0">
            <w:pPr>
              <w:spacing w:before="80" w:after="80" w:line="240" w:lineRule="exact"/>
              <w:jc w:val="right"/>
              <w:rPr>
                <w:b/>
                <w:lang w:val="en-GB"/>
              </w:rPr>
            </w:pPr>
            <w:r w:rsidRPr="00124D5A">
              <w:rPr>
                <w:b/>
                <w:lang w:val="en-GB"/>
              </w:rPr>
              <w:t>179</w:t>
            </w:r>
            <w:r w:rsidR="009647C1" w:rsidRPr="00124D5A">
              <w:rPr>
                <w:b/>
                <w:lang w:val="en-GB"/>
              </w:rPr>
              <w:t>.</w:t>
            </w:r>
            <w:r w:rsidRPr="00124D5A">
              <w:rPr>
                <w:b/>
                <w:lang w:val="en-GB"/>
              </w:rPr>
              <w:t>8</w:t>
            </w:r>
          </w:p>
        </w:tc>
      </w:tr>
      <w:tr w:rsidR="0015020E" w:rsidRPr="00947B6B" w14:paraId="31EB8C69" w14:textId="77777777" w:rsidTr="00FC2731">
        <w:trPr>
          <w:trHeight w:val="113"/>
        </w:trPr>
        <w:tc>
          <w:tcPr>
            <w:tcW w:w="3331" w:type="dxa"/>
            <w:tcBorders>
              <w:bottom w:val="single" w:sz="4" w:space="0" w:color="001D81"/>
            </w:tcBorders>
            <w:vAlign w:val="center"/>
          </w:tcPr>
          <w:p w14:paraId="63658C8B" w14:textId="5E33EE65" w:rsidR="0015020E" w:rsidRPr="00947B6B" w:rsidRDefault="00BA5A5A" w:rsidP="00A94EC0">
            <w:pPr>
              <w:spacing w:before="80" w:after="80" w:line="240" w:lineRule="exact"/>
              <w:rPr>
                <w:lang w:val="en-GB"/>
              </w:rPr>
            </w:pPr>
            <w:r w:rsidRPr="00947B6B">
              <w:rPr>
                <w:lang w:val="en-GB"/>
              </w:rPr>
              <w:t>Primary market</w:t>
            </w:r>
          </w:p>
        </w:tc>
        <w:tc>
          <w:tcPr>
            <w:tcW w:w="2306" w:type="dxa"/>
            <w:tcBorders>
              <w:bottom w:val="single" w:sz="4" w:space="0" w:color="001D81"/>
            </w:tcBorders>
            <w:shd w:val="clear" w:color="auto" w:fill="auto"/>
          </w:tcPr>
          <w:p w14:paraId="49CD9D84" w14:textId="44D5677B" w:rsidR="0015020E" w:rsidRPr="00947B6B" w:rsidRDefault="00E22912" w:rsidP="00A94EC0">
            <w:pPr>
              <w:spacing w:before="80" w:after="80" w:line="240" w:lineRule="exact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110</w:t>
            </w:r>
            <w:r w:rsidR="009647C1" w:rsidRPr="00947B6B">
              <w:rPr>
                <w:lang w:val="en-GB"/>
              </w:rPr>
              <w:t>.</w:t>
            </w:r>
            <w:r w:rsidRPr="00947B6B">
              <w:rPr>
                <w:lang w:val="en-GB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001D81"/>
            </w:tcBorders>
            <w:shd w:val="clear" w:color="auto" w:fill="auto"/>
          </w:tcPr>
          <w:p w14:paraId="7020B5CE" w14:textId="6EB880AE" w:rsidR="0015020E" w:rsidRPr="00947B6B" w:rsidRDefault="00E22912" w:rsidP="00A94EC0">
            <w:pPr>
              <w:spacing w:before="80" w:after="80" w:line="240" w:lineRule="exact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168</w:t>
            </w:r>
            <w:r w:rsidR="009647C1" w:rsidRPr="00947B6B">
              <w:rPr>
                <w:lang w:val="en-GB"/>
              </w:rPr>
              <w:t>.</w:t>
            </w:r>
            <w:r w:rsidRPr="00947B6B">
              <w:rPr>
                <w:lang w:val="en-GB"/>
              </w:rPr>
              <w:t>0</w:t>
            </w:r>
          </w:p>
        </w:tc>
      </w:tr>
      <w:tr w:rsidR="0015020E" w:rsidRPr="00947B6B" w14:paraId="6005E263" w14:textId="77777777" w:rsidTr="00FC2731">
        <w:trPr>
          <w:trHeight w:val="113"/>
        </w:trPr>
        <w:tc>
          <w:tcPr>
            <w:tcW w:w="3331" w:type="dxa"/>
            <w:tcBorders>
              <w:bottom w:val="nil"/>
            </w:tcBorders>
            <w:vAlign w:val="center"/>
          </w:tcPr>
          <w:p w14:paraId="34765344" w14:textId="7D11FAF0" w:rsidR="0015020E" w:rsidRPr="00947B6B" w:rsidRDefault="009647C1" w:rsidP="00A94EC0">
            <w:pPr>
              <w:spacing w:before="80" w:after="80" w:line="240" w:lineRule="exact"/>
              <w:rPr>
                <w:lang w:val="en-GB"/>
              </w:rPr>
            </w:pPr>
            <w:r w:rsidRPr="00947B6B">
              <w:rPr>
                <w:lang w:val="en-GB"/>
              </w:rPr>
              <w:t xml:space="preserve">Secondary </w:t>
            </w:r>
            <w:r w:rsidR="00BA5A5A" w:rsidRPr="00947B6B">
              <w:rPr>
                <w:lang w:val="en-GB"/>
              </w:rPr>
              <w:t>market</w:t>
            </w:r>
          </w:p>
        </w:tc>
        <w:tc>
          <w:tcPr>
            <w:tcW w:w="2306" w:type="dxa"/>
            <w:tcBorders>
              <w:bottom w:val="nil"/>
            </w:tcBorders>
            <w:shd w:val="clear" w:color="auto" w:fill="auto"/>
          </w:tcPr>
          <w:p w14:paraId="3A65173E" w14:textId="0A14E0E2" w:rsidR="0015020E" w:rsidRPr="00947B6B" w:rsidRDefault="00E22912" w:rsidP="00A94EC0">
            <w:pPr>
              <w:spacing w:before="80" w:after="80" w:line="240" w:lineRule="exact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107</w:t>
            </w:r>
            <w:r w:rsidR="009647C1" w:rsidRPr="00947B6B">
              <w:rPr>
                <w:lang w:val="en-GB"/>
              </w:rPr>
              <w:t>.</w:t>
            </w:r>
            <w:r w:rsidRPr="00947B6B">
              <w:rPr>
                <w:lang w:val="en-GB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5339808F" w14:textId="66B746B5" w:rsidR="0015020E" w:rsidRPr="00947B6B" w:rsidRDefault="00E22912" w:rsidP="00A94EC0">
            <w:pPr>
              <w:spacing w:before="80" w:after="80" w:line="240" w:lineRule="exact"/>
              <w:jc w:val="right"/>
              <w:rPr>
                <w:lang w:val="en-GB"/>
              </w:rPr>
            </w:pPr>
            <w:r w:rsidRPr="00947B6B">
              <w:rPr>
                <w:lang w:val="en-GB"/>
              </w:rPr>
              <w:t>189</w:t>
            </w:r>
            <w:r w:rsidR="009647C1" w:rsidRPr="00947B6B">
              <w:rPr>
                <w:lang w:val="en-GB"/>
              </w:rPr>
              <w:t>.</w:t>
            </w:r>
            <w:r w:rsidRPr="00947B6B">
              <w:rPr>
                <w:lang w:val="en-GB"/>
              </w:rPr>
              <w:t>6</w:t>
            </w:r>
          </w:p>
        </w:tc>
      </w:tr>
    </w:tbl>
    <w:p w14:paraId="65351F9E" w14:textId="7659D2CD" w:rsidR="00BA5A5A" w:rsidRDefault="00BA5A5A" w:rsidP="0018113A">
      <w:pPr>
        <w:spacing w:before="240" w:line="240" w:lineRule="auto"/>
        <w:rPr>
          <w:b/>
          <w:szCs w:val="19"/>
          <w:lang w:val="en-GB"/>
        </w:rPr>
      </w:pPr>
      <w:r w:rsidRPr="00947B6B">
        <w:rPr>
          <w:b/>
          <w:szCs w:val="19"/>
          <w:lang w:val="en-GB"/>
        </w:rPr>
        <w:t xml:space="preserve">Chart 2. Changes in </w:t>
      </w:r>
      <w:r w:rsidR="00AD7FC1" w:rsidRPr="00947B6B">
        <w:rPr>
          <w:b/>
          <w:szCs w:val="19"/>
          <w:lang w:val="en-GB"/>
        </w:rPr>
        <w:t xml:space="preserve">prices of residential premises </w:t>
      </w:r>
      <w:r w:rsidRPr="00947B6B">
        <w:rPr>
          <w:b/>
          <w:szCs w:val="19"/>
          <w:lang w:val="en-GB"/>
        </w:rPr>
        <w:t>compared to the previous year</w:t>
      </w:r>
    </w:p>
    <w:p w14:paraId="20534055" w14:textId="6EF90213" w:rsidR="0044250C" w:rsidRPr="00947B6B" w:rsidRDefault="00331A77" w:rsidP="007246D2">
      <w:pPr>
        <w:pStyle w:val="brakstylu"/>
      </w:pPr>
      <w:r w:rsidRPr="00947B6B">
        <w:rPr>
          <w:b w:val="0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0FAC8B11" wp14:editId="5A80C6B5">
                <wp:simplePos x="0" y="0"/>
                <wp:positionH relativeFrom="column">
                  <wp:posOffset>5229007</wp:posOffset>
                </wp:positionH>
                <wp:positionV relativeFrom="paragraph">
                  <wp:posOffset>149993</wp:posOffset>
                </wp:positionV>
                <wp:extent cx="1874520" cy="1111885"/>
                <wp:effectExtent l="0" t="0" r="0" b="0"/>
                <wp:wrapTight wrapText="bothSides">
                  <wp:wrapPolygon edited="0">
                    <wp:start x="659" y="0"/>
                    <wp:lineTo x="659" y="21094"/>
                    <wp:lineTo x="20854" y="21094"/>
                    <wp:lineTo x="20854" y="0"/>
                    <wp:lineTo x="659" y="0"/>
                  </wp:wrapPolygon>
                </wp:wrapTight>
                <wp:docPr id="17" name="Pole tekstowe 17" descr="Prices of residential premises in 2023, compared to 2022, increased by 8.8% (of which 10.5% on the primary market and 7.3% on the secondary market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CA06" w14:textId="257BE40E" w:rsidR="00FC51AE" w:rsidRPr="00A94EC0" w:rsidRDefault="00BA5A5A" w:rsidP="00A94EC0">
                            <w:pPr>
                              <w:pStyle w:val="tekstzboku"/>
                            </w:pPr>
                            <w:bookmarkStart w:id="0" w:name="_GoBack"/>
                            <w:proofErr w:type="spellStart"/>
                            <w:r w:rsidRPr="00A94EC0">
                              <w:t>Prices</w:t>
                            </w:r>
                            <w:proofErr w:type="spellEnd"/>
                            <w:r w:rsidRPr="00A94EC0">
                              <w:t xml:space="preserve"> of residential </w:t>
                            </w:r>
                            <w:proofErr w:type="spellStart"/>
                            <w:r w:rsidR="00F41C5A" w:rsidRPr="00A94EC0">
                              <w:t>premises</w:t>
                            </w:r>
                            <w:proofErr w:type="spellEnd"/>
                            <w:r w:rsidRPr="00A94EC0">
                              <w:t xml:space="preserve"> </w:t>
                            </w:r>
                            <w:r w:rsidR="00A94EC0">
                              <w:br/>
                            </w:r>
                            <w:r w:rsidRPr="00A94EC0">
                              <w:t>in 2023</w:t>
                            </w:r>
                            <w:r w:rsidR="00F41C5A" w:rsidRPr="00A94EC0">
                              <w:t>,</w:t>
                            </w:r>
                            <w:r w:rsidRPr="00A94EC0">
                              <w:t xml:space="preserve"> </w:t>
                            </w:r>
                            <w:proofErr w:type="spellStart"/>
                            <w:r w:rsidRPr="00A94EC0">
                              <w:t>compared</w:t>
                            </w:r>
                            <w:proofErr w:type="spellEnd"/>
                            <w:r w:rsidRPr="00A94EC0">
                              <w:t xml:space="preserve"> to 2022</w:t>
                            </w:r>
                            <w:r w:rsidR="00F41C5A" w:rsidRPr="00A94EC0">
                              <w:t>,</w:t>
                            </w:r>
                            <w:r w:rsidRPr="00A94EC0">
                              <w:t xml:space="preserve"> </w:t>
                            </w:r>
                            <w:r w:rsidR="00230EBC">
                              <w:br/>
                            </w:r>
                            <w:proofErr w:type="spellStart"/>
                            <w:r w:rsidRPr="00A94EC0">
                              <w:t>increased</w:t>
                            </w:r>
                            <w:proofErr w:type="spellEnd"/>
                            <w:r w:rsidRPr="00A94EC0">
                              <w:t xml:space="preserve"> by 8.8% (of </w:t>
                            </w:r>
                            <w:proofErr w:type="spellStart"/>
                            <w:r w:rsidRPr="00A94EC0">
                              <w:t>which</w:t>
                            </w:r>
                            <w:proofErr w:type="spellEnd"/>
                            <w:r w:rsidRPr="00A94EC0">
                              <w:t xml:space="preserve"> 10.5% on the </w:t>
                            </w:r>
                            <w:proofErr w:type="spellStart"/>
                            <w:r w:rsidRPr="00A94EC0">
                              <w:t>primary</w:t>
                            </w:r>
                            <w:proofErr w:type="spellEnd"/>
                            <w:r w:rsidRPr="00A94EC0">
                              <w:t xml:space="preserve"> market and 7.3% on the </w:t>
                            </w:r>
                            <w:proofErr w:type="spellStart"/>
                            <w:r w:rsidRPr="00A94EC0">
                              <w:t>secondary</w:t>
                            </w:r>
                            <w:proofErr w:type="spellEnd"/>
                            <w:r w:rsidRPr="00A94EC0">
                              <w:t xml:space="preserve"> </w:t>
                            </w:r>
                            <w:r w:rsidR="00230EBC">
                              <w:br/>
                            </w:r>
                            <w:r w:rsidRPr="00A94EC0">
                              <w:t>market)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C8B11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9" type="#_x0000_t202" alt="Prices of residential premises in 2023, compared to 2022, increased by 8.8% (of which 10.5% on the primary market and 7.3% on the secondary market)&#10;" style="position:absolute;margin-left:411.75pt;margin-top:11.8pt;width:147.6pt;height:87.5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" filled="f" stroked="f">
                <v:textbox>
                  <w:txbxContent>
                    <w:p w14:paraId="3ADCCA06" w14:textId="257BE40E" w:rsidR="00FC51AE" w:rsidRPr="00A94EC0" w:rsidRDefault="00BA5A5A" w:rsidP="00A94EC0">
                      <w:pPr>
                        <w:pStyle w:val="tekstzboku"/>
                      </w:pPr>
                      <w:bookmarkStart w:id="1" w:name="_GoBack"/>
                      <w:proofErr w:type="spellStart"/>
                      <w:r w:rsidRPr="00A94EC0">
                        <w:t>Prices</w:t>
                      </w:r>
                      <w:proofErr w:type="spellEnd"/>
                      <w:r w:rsidRPr="00A94EC0">
                        <w:t xml:space="preserve"> of residential </w:t>
                      </w:r>
                      <w:proofErr w:type="spellStart"/>
                      <w:r w:rsidR="00F41C5A" w:rsidRPr="00A94EC0">
                        <w:t>premises</w:t>
                      </w:r>
                      <w:proofErr w:type="spellEnd"/>
                      <w:r w:rsidRPr="00A94EC0">
                        <w:t xml:space="preserve"> </w:t>
                      </w:r>
                      <w:r w:rsidR="00A94EC0">
                        <w:br/>
                      </w:r>
                      <w:r w:rsidRPr="00A94EC0">
                        <w:t>in 2023</w:t>
                      </w:r>
                      <w:r w:rsidR="00F41C5A" w:rsidRPr="00A94EC0">
                        <w:t>,</w:t>
                      </w:r>
                      <w:r w:rsidRPr="00A94EC0">
                        <w:t xml:space="preserve"> </w:t>
                      </w:r>
                      <w:proofErr w:type="spellStart"/>
                      <w:r w:rsidRPr="00A94EC0">
                        <w:t>compared</w:t>
                      </w:r>
                      <w:proofErr w:type="spellEnd"/>
                      <w:r w:rsidRPr="00A94EC0">
                        <w:t xml:space="preserve"> to 2022</w:t>
                      </w:r>
                      <w:r w:rsidR="00F41C5A" w:rsidRPr="00A94EC0">
                        <w:t>,</w:t>
                      </w:r>
                      <w:r w:rsidRPr="00A94EC0">
                        <w:t xml:space="preserve"> </w:t>
                      </w:r>
                      <w:r w:rsidR="00230EBC">
                        <w:br/>
                      </w:r>
                      <w:proofErr w:type="spellStart"/>
                      <w:r w:rsidRPr="00A94EC0">
                        <w:t>increased</w:t>
                      </w:r>
                      <w:proofErr w:type="spellEnd"/>
                      <w:r w:rsidRPr="00A94EC0">
                        <w:t xml:space="preserve"> by 8.8% (of </w:t>
                      </w:r>
                      <w:proofErr w:type="spellStart"/>
                      <w:r w:rsidRPr="00A94EC0">
                        <w:t>which</w:t>
                      </w:r>
                      <w:proofErr w:type="spellEnd"/>
                      <w:r w:rsidRPr="00A94EC0">
                        <w:t xml:space="preserve"> 10.5% on the </w:t>
                      </w:r>
                      <w:proofErr w:type="spellStart"/>
                      <w:r w:rsidRPr="00A94EC0">
                        <w:t>primary</w:t>
                      </w:r>
                      <w:proofErr w:type="spellEnd"/>
                      <w:r w:rsidRPr="00A94EC0">
                        <w:t xml:space="preserve"> market and 7.3% on the </w:t>
                      </w:r>
                      <w:proofErr w:type="spellStart"/>
                      <w:r w:rsidRPr="00A94EC0">
                        <w:t>secondary</w:t>
                      </w:r>
                      <w:proofErr w:type="spellEnd"/>
                      <w:r w:rsidRPr="00A94EC0">
                        <w:t xml:space="preserve"> </w:t>
                      </w:r>
                      <w:r w:rsidR="00230EBC">
                        <w:br/>
                      </w:r>
                      <w:r w:rsidRPr="00A94EC0">
                        <w:t>market)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7246D2">
        <w:rPr>
          <w:noProof/>
          <w:lang w:val="pl-PL" w:eastAsia="pl-PL"/>
        </w:rPr>
        <w:drawing>
          <wp:inline distT="0" distB="0" distL="0" distR="0" wp14:anchorId="4E5464BB" wp14:editId="62948C5B">
            <wp:extent cx="4898146" cy="2880366"/>
            <wp:effectExtent l="0" t="0" r="0" b="0"/>
            <wp:docPr id="13" name="Obraz 13" descr="In 2023 prices of residential premises compared to 2022, increased by 8.8%, of which 10.5% on the primary market and 7.3% on the secondary market." title="Chart 2 (line chart), presents changes in the prices of residential premises compared to the previous year on the total market, on the primary market and on the secondary market in 2011-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8146" cy="288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AEE8" w14:textId="6B6955DE" w:rsidR="00BA5A5A" w:rsidRDefault="00BA5A5A" w:rsidP="00124D5A">
      <w:pPr>
        <w:spacing w:before="360" w:line="240" w:lineRule="auto"/>
        <w:rPr>
          <w:b/>
          <w:szCs w:val="19"/>
          <w:lang w:val="en-GB"/>
        </w:rPr>
      </w:pPr>
      <w:r w:rsidRPr="00947B6B">
        <w:rPr>
          <w:b/>
          <w:szCs w:val="19"/>
          <w:lang w:val="en-GB"/>
        </w:rPr>
        <w:t>Chart 3</w:t>
      </w:r>
      <w:r w:rsidR="0011647D" w:rsidRPr="00947B6B">
        <w:rPr>
          <w:b/>
          <w:szCs w:val="19"/>
          <w:lang w:val="en-GB"/>
        </w:rPr>
        <w:t>. C</w:t>
      </w:r>
      <w:r w:rsidRPr="00947B6B">
        <w:rPr>
          <w:b/>
          <w:szCs w:val="19"/>
          <w:lang w:val="en-GB"/>
        </w:rPr>
        <w:t xml:space="preserve">hanges in </w:t>
      </w:r>
      <w:r w:rsidR="00AD7FC1" w:rsidRPr="00947B6B">
        <w:rPr>
          <w:b/>
          <w:szCs w:val="19"/>
          <w:lang w:val="en-GB"/>
        </w:rPr>
        <w:t>prices of residential premises compared to 2015</w:t>
      </w:r>
    </w:p>
    <w:p w14:paraId="766555A0" w14:textId="3025FFF2" w:rsidR="007246D2" w:rsidRDefault="007246D2" w:rsidP="0018113A">
      <w:r>
        <w:rPr>
          <w:noProof/>
          <w:lang w:eastAsia="pl-PL"/>
        </w:rPr>
        <w:drawing>
          <wp:inline distT="0" distB="0" distL="0" distR="0" wp14:anchorId="3CD8C6BF" wp14:editId="27C5AF72">
            <wp:extent cx="4998730" cy="3066294"/>
            <wp:effectExtent l="0" t="0" r="0" b="1270"/>
            <wp:docPr id="18" name="Obraz 18" descr="In 2023 prices of residential premises compared to 2015, increased by 79.8%, of which 68.0% on the primary market and 89.6% on the secondary market." title="Chart 3 (line chart), presents changes in prices of residential premises compared to 2015 on the total market, on the primary market and on the secondary market in 2010-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8730" cy="306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E4CF4" w14:textId="77777777" w:rsidR="0018113A" w:rsidRDefault="0018113A" w:rsidP="0018113A"/>
    <w:p w14:paraId="47EAA28B" w14:textId="550007E3" w:rsidR="0011647D" w:rsidRPr="00947B6B" w:rsidRDefault="00523E00" w:rsidP="00EB7348">
      <w:pPr>
        <w:rPr>
          <w:b/>
          <w:sz w:val="18"/>
          <w:szCs w:val="18"/>
          <w:shd w:val="clear" w:color="auto" w:fill="FFFFFF"/>
          <w:lang w:val="en-GB"/>
        </w:rPr>
      </w:pPr>
      <w:r w:rsidRPr="00947B6B">
        <w:rPr>
          <w:lang w:val="en-GB"/>
        </w:rPr>
        <w:t xml:space="preserve">When </w:t>
      </w:r>
      <w:r w:rsidR="00152C3C" w:rsidRPr="00947B6B">
        <w:rPr>
          <w:lang w:val="en-GB"/>
        </w:rPr>
        <w:t>quoting Statistics Poland data, please provide</w:t>
      </w:r>
      <w:r w:rsidRPr="00947B6B">
        <w:rPr>
          <w:lang w:val="en-GB"/>
        </w:rPr>
        <w:t xml:space="preserve"> the</w:t>
      </w:r>
      <w:r w:rsidR="00152C3C" w:rsidRPr="00947B6B">
        <w:rPr>
          <w:lang w:val="en-GB"/>
        </w:rPr>
        <w:t xml:space="preserve"> information: “Source of data: Statistics Poland”, and </w:t>
      </w:r>
      <w:r w:rsidRPr="00947B6B">
        <w:rPr>
          <w:lang w:val="en-GB"/>
        </w:rPr>
        <w:t>when</w:t>
      </w:r>
      <w:r w:rsidR="00152C3C" w:rsidRPr="00947B6B">
        <w:rPr>
          <w:lang w:val="en-GB"/>
        </w:rPr>
        <w:t xml:space="preserve"> publishing calculations </w:t>
      </w:r>
      <w:r w:rsidRPr="00947B6B">
        <w:rPr>
          <w:lang w:val="en-GB"/>
        </w:rPr>
        <w:t>based</w:t>
      </w:r>
      <w:r w:rsidR="00152C3C" w:rsidRPr="00947B6B">
        <w:rPr>
          <w:lang w:val="en-GB"/>
        </w:rPr>
        <w:t xml:space="preserve"> on Statistics Poland</w:t>
      </w:r>
      <w:r w:rsidRPr="00947B6B">
        <w:rPr>
          <w:lang w:val="en-GB"/>
        </w:rPr>
        <w:t xml:space="preserve"> data</w:t>
      </w:r>
      <w:r w:rsidR="00152C3C" w:rsidRPr="00947B6B">
        <w:rPr>
          <w:lang w:val="en-GB"/>
        </w:rPr>
        <w:t xml:space="preserve">, please </w:t>
      </w:r>
      <w:r w:rsidR="00722AF6">
        <w:rPr>
          <w:lang w:val="en-GB"/>
        </w:rPr>
        <w:br/>
      </w:r>
      <w:r w:rsidR="00152C3C" w:rsidRPr="00947B6B">
        <w:rPr>
          <w:lang w:val="en-GB"/>
        </w:rPr>
        <w:t xml:space="preserve">include the following </w:t>
      </w:r>
      <w:r w:rsidRPr="00947B6B">
        <w:rPr>
          <w:lang w:val="en-GB"/>
        </w:rPr>
        <w:t>information</w:t>
      </w:r>
      <w:r w:rsidR="00152C3C" w:rsidRPr="00947B6B">
        <w:rPr>
          <w:lang w:val="en-GB"/>
        </w:rPr>
        <w:t xml:space="preserve">: “Own </w:t>
      </w:r>
      <w:r w:rsidRPr="00947B6B">
        <w:rPr>
          <w:lang w:val="en-GB"/>
        </w:rPr>
        <w:t>work</w:t>
      </w:r>
      <w:r w:rsidR="00152C3C" w:rsidRPr="00947B6B">
        <w:rPr>
          <w:lang w:val="en-GB"/>
        </w:rPr>
        <w:t xml:space="preserve"> based on </w:t>
      </w:r>
      <w:r w:rsidRPr="00947B6B">
        <w:rPr>
          <w:lang w:val="en-GB"/>
        </w:rPr>
        <w:t>Statistics Poland data</w:t>
      </w:r>
      <w:r w:rsidR="00152C3C" w:rsidRPr="00947B6B">
        <w:rPr>
          <w:lang w:val="en-GB"/>
        </w:rPr>
        <w:t xml:space="preserve">”. </w:t>
      </w:r>
    </w:p>
    <w:p w14:paraId="173EB8D2" w14:textId="77777777" w:rsidR="0059548E" w:rsidRPr="00947B6B" w:rsidRDefault="0059548E" w:rsidP="0035791A">
      <w:pPr>
        <w:ind w:right="129"/>
        <w:rPr>
          <w:sz w:val="18"/>
          <w:lang w:val="en-GB"/>
        </w:rPr>
        <w:sectPr w:rsidR="0059548E" w:rsidRPr="00947B6B" w:rsidSect="007A2F5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7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866" w:type="dxa"/>
        <w:tblLook w:val="04A0" w:firstRow="1" w:lastRow="0" w:firstColumn="1" w:lastColumn="0" w:noHBand="0" w:noVBand="1"/>
      </w:tblPr>
      <w:tblGrid>
        <w:gridCol w:w="5088"/>
        <w:gridCol w:w="5778"/>
      </w:tblGrid>
      <w:tr w:rsidR="006A68CE" w:rsidRPr="00777E48" w14:paraId="0DE7DF12" w14:textId="77777777" w:rsidTr="00E42879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7C6569FC" w14:textId="10CE802F" w:rsidR="00F66AED" w:rsidRPr="00947B6B" w:rsidRDefault="008079BB" w:rsidP="0046381B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947B6B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F66AED" w:rsidRPr="00947B6B">
              <w:rPr>
                <w:rFonts w:cs="Arial"/>
                <w:sz w:val="20"/>
                <w:lang w:val="en-GB"/>
              </w:rPr>
              <w:t>:</w:t>
            </w:r>
          </w:p>
          <w:p w14:paraId="599FF3EA" w14:textId="77777777" w:rsidR="00F66AED" w:rsidRPr="00947B6B" w:rsidRDefault="00F66AED" w:rsidP="0046381B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47B6B"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Szczecin</w:t>
            </w:r>
          </w:p>
          <w:p w14:paraId="685D2C26" w14:textId="10DD69E7" w:rsidR="00F66AED" w:rsidRPr="00947B6B" w:rsidRDefault="00F66AED" w:rsidP="0046381B">
            <w:pPr>
              <w:spacing w:before="0" w:after="0" w:line="276" w:lineRule="auto"/>
              <w:rPr>
                <w:b/>
                <w:lang w:val="en-GB"/>
              </w:rPr>
            </w:pPr>
            <w:r w:rsidRPr="00947B6B">
              <w:rPr>
                <w:b/>
                <w:lang w:val="en-GB"/>
              </w:rPr>
              <w:t xml:space="preserve">Deputy Director Katarzyna </w:t>
            </w:r>
            <w:proofErr w:type="spellStart"/>
            <w:r w:rsidRPr="00947B6B">
              <w:rPr>
                <w:b/>
                <w:lang w:val="en-GB"/>
              </w:rPr>
              <w:t>Dmitr</w:t>
            </w:r>
            <w:r w:rsidR="009647C1" w:rsidRPr="00947B6B">
              <w:rPr>
                <w:b/>
                <w:lang w:val="en-GB"/>
              </w:rPr>
              <w:t>o</w:t>
            </w:r>
            <w:r w:rsidRPr="00947B6B">
              <w:rPr>
                <w:b/>
                <w:lang w:val="en-GB"/>
              </w:rPr>
              <w:t>wicz-Życka</w:t>
            </w:r>
            <w:proofErr w:type="spellEnd"/>
          </w:p>
          <w:p w14:paraId="447F5087" w14:textId="3862FD49" w:rsidR="006A68CE" w:rsidRPr="00947B6B" w:rsidRDefault="00F66AED" w:rsidP="00585B16">
            <w:pPr>
              <w:spacing w:before="0"/>
              <w:rPr>
                <w:sz w:val="18"/>
                <w:lang w:val="en-GB"/>
              </w:rPr>
            </w:pPr>
            <w:r w:rsidRPr="00947B6B">
              <w:rPr>
                <w:rFonts w:cs="Arial"/>
                <w:color w:val="000000" w:themeColor="text1"/>
                <w:sz w:val="20"/>
                <w:lang w:val="en-GB"/>
              </w:rPr>
              <w:t>Phone: 91 459 77 00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B34C9B2" w14:textId="77777777" w:rsidR="008A72CE" w:rsidRPr="005653EE" w:rsidRDefault="008A72CE" w:rsidP="008A72CE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732A83B5" w14:textId="77777777" w:rsidR="008A72CE" w:rsidRPr="005653EE" w:rsidRDefault="008A72CE" w:rsidP="008A72CE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410BB2FC" w14:textId="77777777" w:rsidR="008A72CE" w:rsidRDefault="008A72CE" w:rsidP="008A72CE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8DE4DAD" w14:textId="77777777" w:rsidR="008A72CE" w:rsidRPr="005653EE" w:rsidRDefault="008A72CE" w:rsidP="008A72CE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0356E7C7" w14:textId="77777777" w:rsidR="008A72CE" w:rsidRPr="00AE54DC" w:rsidRDefault="008A72CE" w:rsidP="008A72CE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25F16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F25F16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3A6B7D9" w14:textId="0E9E9071" w:rsidR="00CC2BE8" w:rsidRPr="00CC2BE8" w:rsidRDefault="00CC2BE8" w:rsidP="00CC2BE8">
            <w:pPr>
              <w:rPr>
                <w:lang w:val="en-GB"/>
              </w:rPr>
            </w:pPr>
          </w:p>
        </w:tc>
      </w:tr>
      <w:tr w:rsidR="00FA58B4" w:rsidRPr="00947B6B" w14:paraId="7C859A80" w14:textId="77777777" w:rsidTr="00E42879">
        <w:tc>
          <w:tcPr>
            <w:tcW w:w="5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D6A90" w14:textId="78A060B9" w:rsidR="00FA58B4" w:rsidRPr="00947B6B" w:rsidRDefault="00FA58B4" w:rsidP="00FA58B4">
            <w:pPr>
              <w:rPr>
                <w:sz w:val="18"/>
                <w:lang w:val="en-GB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CAB0" w14:textId="7C0781FB" w:rsidR="00FA58B4" w:rsidRPr="00947B6B" w:rsidRDefault="000E78EC" w:rsidP="00FA58B4">
            <w:pPr>
              <w:ind w:left="820"/>
              <w:rPr>
                <w:sz w:val="18"/>
                <w:lang w:val="en-GB"/>
              </w:rPr>
            </w:pPr>
            <w:hyperlink r:id="rId16" w:tooltip="strona internetowa GUS" w:history="1">
              <w:r w:rsidR="00FA58B4" w:rsidRPr="00865043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drawing>
                  <wp:anchor distT="0" distB="0" distL="114300" distR="114300" simplePos="0" relativeHeight="251837440" behindDoc="0" locked="0" layoutInCell="1" allowOverlap="1" wp14:anchorId="471286AD" wp14:editId="5FE96253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Websit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FA58B4" w:rsidRPr="00865043">
                <w:rPr>
                  <w:rStyle w:val="Hipercze"/>
                  <w:color w:val="000000" w:themeColor="text1"/>
                  <w:sz w:val="20"/>
                </w:rPr>
                <w:t>stat.gov.pl</w:t>
              </w:r>
            </w:hyperlink>
          </w:p>
        </w:tc>
      </w:tr>
      <w:tr w:rsidR="00FA58B4" w:rsidRPr="00947B6B" w14:paraId="27734AEA" w14:textId="77777777" w:rsidTr="00E42879">
        <w:tc>
          <w:tcPr>
            <w:tcW w:w="50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5152A" w14:textId="77777777" w:rsidR="00FA58B4" w:rsidRPr="00947B6B" w:rsidRDefault="00FA58B4" w:rsidP="00FA58B4">
            <w:pPr>
              <w:rPr>
                <w:sz w:val="18"/>
                <w:lang w:val="en-GB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9BF0F" w14:textId="37E9C2AE" w:rsidR="00FA58B4" w:rsidRPr="00947B6B" w:rsidRDefault="00FA58B4" w:rsidP="00FA58B4">
            <w:pPr>
              <w:ind w:left="820"/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8464" behindDoc="0" locked="0" layoutInCell="1" allowOverlap="1" wp14:anchorId="1DDE573E" wp14:editId="176E037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8" name="Obraz 8" descr="Statistics Poland on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tooltip="twitter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@GUS_STAT</w:t>
              </w:r>
            </w:hyperlink>
            <w:r w:rsidRPr="003C6A2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58B4" w:rsidRPr="00947B6B" w14:paraId="4014036C" w14:textId="77777777" w:rsidTr="00E42879">
        <w:tc>
          <w:tcPr>
            <w:tcW w:w="50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DA9C9" w14:textId="77777777" w:rsidR="00FA58B4" w:rsidRPr="00947B6B" w:rsidRDefault="00FA58B4" w:rsidP="00FA58B4">
            <w:pPr>
              <w:rPr>
                <w:sz w:val="18"/>
                <w:lang w:val="en-GB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0372F07" w14:textId="7FD84C37" w:rsidR="00FA58B4" w:rsidRPr="00947B6B" w:rsidRDefault="00FA58B4" w:rsidP="00FA58B4">
            <w:pPr>
              <w:ind w:left="820"/>
              <w:rPr>
                <w:sz w:val="18"/>
                <w:lang w:val="en-GB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39488" behindDoc="0" locked="0" layoutInCell="1" allowOverlap="1" wp14:anchorId="27F0E832" wp14:editId="2316CC1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tooltip="facebook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@</w:t>
              </w:r>
              <w:proofErr w:type="spellStart"/>
              <w:r w:rsidRPr="003C6A24">
                <w:rPr>
                  <w:rStyle w:val="Hipercze"/>
                  <w:color w:val="000000" w:themeColor="text1"/>
                  <w:sz w:val="20"/>
                </w:rPr>
                <w:t>GlownyUrzadStatystyczny</w:t>
              </w:r>
              <w:proofErr w:type="spellEnd"/>
            </w:hyperlink>
            <w:r w:rsidRPr="003C6A2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58B4" w:rsidRPr="00947B6B" w14:paraId="0F1DA5B0" w14:textId="77777777" w:rsidTr="00E42879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5AD424F1" w14:textId="77777777" w:rsidR="00FA58B4" w:rsidRPr="00947B6B" w:rsidRDefault="00FA58B4" w:rsidP="00FA58B4">
            <w:pPr>
              <w:rPr>
                <w:sz w:val="18"/>
                <w:lang w:val="en-GB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9A222C" w14:textId="165EA038" w:rsidR="00FA58B4" w:rsidRPr="00947B6B" w:rsidRDefault="00FA58B4" w:rsidP="00FA58B4">
            <w:pPr>
              <w:ind w:left="820"/>
              <w:rPr>
                <w:sz w:val="20"/>
                <w:lang w:val="en-GB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40512" behindDoc="0" locked="0" layoutInCell="1" allowOverlap="1" wp14:anchorId="47354A7A" wp14:editId="3CA195D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9" name="Obraz 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intagram GUS" w:history="1">
              <w:proofErr w:type="spellStart"/>
              <w:r w:rsidRPr="003C6A24">
                <w:rPr>
                  <w:rStyle w:val="Hipercze"/>
                  <w:color w:val="000000" w:themeColor="text1"/>
                  <w:sz w:val="20"/>
                </w:rPr>
                <w:t>gus_stat</w:t>
              </w:r>
              <w:proofErr w:type="spellEnd"/>
            </w:hyperlink>
          </w:p>
        </w:tc>
      </w:tr>
      <w:tr w:rsidR="00FA58B4" w:rsidRPr="00947B6B" w14:paraId="3D2C9783" w14:textId="77777777" w:rsidTr="00E42879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7F6A1126" w14:textId="77777777" w:rsidR="00FA58B4" w:rsidRPr="00947B6B" w:rsidRDefault="00FA58B4" w:rsidP="00FA58B4">
            <w:pPr>
              <w:rPr>
                <w:sz w:val="18"/>
                <w:lang w:val="en-GB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320D232" w14:textId="5D236530" w:rsidR="00FA58B4" w:rsidRPr="00947B6B" w:rsidRDefault="00FA58B4" w:rsidP="00FA58B4">
            <w:pPr>
              <w:ind w:left="820"/>
              <w:rPr>
                <w:sz w:val="20"/>
                <w:lang w:val="en-GB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41536" behindDoc="0" locked="0" layoutInCell="1" allowOverlap="1" wp14:anchorId="31EDDA06" wp14:editId="1DFECF2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youtube GUS" w:history="1">
              <w:proofErr w:type="spellStart"/>
              <w:r w:rsidRPr="003C6A24">
                <w:rPr>
                  <w:rStyle w:val="Hipercze"/>
                  <w:color w:val="000000" w:themeColor="text1"/>
                  <w:sz w:val="20"/>
                </w:rPr>
                <w:t>glownyurzadstatystycznygus</w:t>
              </w:r>
              <w:proofErr w:type="spellEnd"/>
            </w:hyperlink>
          </w:p>
        </w:tc>
      </w:tr>
      <w:tr w:rsidR="00FA58B4" w:rsidRPr="00947B6B" w14:paraId="7373B0AB" w14:textId="77777777" w:rsidTr="0011601C">
        <w:trPr>
          <w:trHeight w:val="85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6561EEA2" w14:textId="60ACFC0F" w:rsidR="00FA58B4" w:rsidRPr="00947B6B" w:rsidRDefault="00FA58B4" w:rsidP="00FA58B4">
            <w:pPr>
              <w:rPr>
                <w:sz w:val="18"/>
                <w:lang w:val="en-GB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90C99C2" w14:textId="2AC6C17D" w:rsidR="00FA58B4" w:rsidRPr="00947B6B" w:rsidRDefault="000E78EC" w:rsidP="00FA58B4">
            <w:pPr>
              <w:ind w:left="820"/>
              <w:rPr>
                <w:noProof/>
                <w:sz w:val="20"/>
                <w:lang w:val="en-GB" w:eastAsia="pl-PL"/>
              </w:rPr>
            </w:pPr>
            <w:hyperlink r:id="rId26" w:tooltip="linkedin GUS" w:history="1">
              <w:r w:rsidR="00FA58B4" w:rsidRPr="003C6A24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t>glownyurzadstatystyczny</w:t>
              </w:r>
              <w:r w:rsidR="00FA58B4" w:rsidRPr="003C6A24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drawing>
                  <wp:anchor distT="0" distB="0" distL="114300" distR="114300" simplePos="0" relativeHeight="251842560" behindDoc="0" locked="0" layoutInCell="1" allowOverlap="1" wp14:anchorId="25F9933B" wp14:editId="535E91F1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6A68CE" w:rsidRPr="00947B6B" w14:paraId="7AAE7EEB" w14:textId="77777777" w:rsidTr="00E42879">
        <w:trPr>
          <w:trHeight w:val="6038"/>
        </w:trPr>
        <w:tc>
          <w:tcPr>
            <w:tcW w:w="10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010BA" w14:textId="12C9AEF1" w:rsidR="006A68CE" w:rsidRPr="00947B6B" w:rsidRDefault="0092738A" w:rsidP="00585B16">
            <w:pPr>
              <w:spacing w:before="0" w:after="0"/>
              <w:rPr>
                <w:sz w:val="18"/>
                <w:lang w:val="en-GB"/>
              </w:rPr>
            </w:pPr>
            <w:r w:rsidRPr="00947B6B"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02B50A95" wp14:editId="382F6349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6742430" cy="3990975"/>
                      <wp:effectExtent l="0" t="0" r="20320" b="28575"/>
                      <wp:wrapSquare wrapText="bothSides"/>
                      <wp:docPr id="15" name="Pole tekstowe 2" descr="Link to the publication: Price indices of residential premises by voivodship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430" cy="399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68E0F" w14:textId="77777777" w:rsidR="0092738A" w:rsidRPr="00C2775E" w:rsidRDefault="0092738A" w:rsidP="00250A48">
                                  <w:pPr>
                                    <w:spacing w:before="36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C2775E">
                                    <w:rPr>
                                      <w:b/>
                                      <w:lang w:val="en-US"/>
                                    </w:rPr>
                                    <w:t>Related information</w:t>
                                  </w:r>
                                </w:p>
                                <w:p w14:paraId="01A49212" w14:textId="77777777" w:rsidR="0092738A" w:rsidRPr="00BF2C03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986367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>HYPERLINK "https://stat.gov.pl/en/latest-statistical-news/communications-and-announcements/8,2023,category.html" \o "Link to release: Price indices of residential premises by voivodships"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Price indices of residential premises by voivodship</w:t>
                                  </w:r>
                                  <w:r w:rsidRPr="00BF2C03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</w:p>
                                <w:p w14:paraId="21846DFE" w14:textId="77777777" w:rsidR="0092738A" w:rsidRPr="00BF2C03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986367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>HYPERLINK "https://stat.gov.pl/en/latest-statistical-news/communications-and-announcements/list-of-communiques-and-announcements/price-of-one-square-meter-of-usable-floor-space-of-a-residential-building-in-the-first-quarter-of-2023,270,40.html" \o "Link to release: Price of one square meter of usable floor space of a residential building"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Price of one square meter of usable floor space of a residential building</w:t>
                                  </w:r>
                                </w:p>
                                <w:p w14:paraId="707C7E9E" w14:textId="70E90FCD" w:rsidR="0092738A" w:rsidRPr="00562D12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"https://stat.gov.pl/en/topics/municipal-infrastructure/municipal-infrastructure/real-estate-sales-in-2021,2,14.html" \o "Link to the publication: Real estate sales in 2021"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sales in 202</w:t>
                                  </w:r>
                                  <w:r w:rsidR="00281FF7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</w:p>
                                <w:p w14:paraId="213F5264" w14:textId="04A50174" w:rsidR="0092738A" w:rsidRPr="004802D4" w:rsidRDefault="0092738A" w:rsidP="00250A48">
                                  <w:pPr>
                                    <w:spacing w:before="360"/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Data available in databases</w:t>
                                  </w:r>
                                </w:p>
                                <w:p w14:paraId="1548953B" w14:textId="77777777" w:rsidR="0092738A" w:rsidRPr="00562D12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 xml:space="preserve"> HYPERLINK "http://swaid.stat.gov.pl/EN/SitePagesDBW/Ceny.aspx" \o "Link to the Knowledge Databases (DBW) Prices" 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Knowledge Databases (DBW) Prices</w:t>
                                  </w:r>
                                </w:p>
                                <w:p w14:paraId="1C91B62D" w14:textId="77777777" w:rsidR="0092738A" w:rsidRPr="00562D12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1133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"https://bdl.stat.gov.pl/bdl/dane/podgrup/temat" \o "Link to the Local Data Bank – Real Estate Market"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Local Data Bank – Real Estate Market</w:t>
                                  </w:r>
                                </w:p>
                                <w:p w14:paraId="23A536D7" w14:textId="4935801A" w:rsidR="0092738A" w:rsidRPr="004802D4" w:rsidRDefault="0092738A" w:rsidP="00250A48">
                                  <w:pPr>
                                    <w:spacing w:before="360"/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rms used in official statistics</w:t>
                                  </w:r>
                                </w:p>
                                <w:p w14:paraId="14358AEF" w14:textId="77777777" w:rsidR="0092738A" w:rsidRPr="00601C2F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"https://stat.gov.pl/en/metainformation/glossary/terms-used-in-official-statistics/966,term.html" \o "Link to the term: Real estate turnover"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turnover</w:t>
                                  </w:r>
                                </w:p>
                                <w:p w14:paraId="651FA879" w14:textId="77777777" w:rsidR="0092738A" w:rsidRPr="00601C2F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"https://stat.gov.pl/en/metainformation/glossary/terms-used-in-official-statistics/4491,term.html" \o "Link to the term: Real estate Price Register"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Price Register</w:t>
                                  </w:r>
                                </w:p>
                                <w:p w14:paraId="0A8F05E6" w14:textId="77777777" w:rsidR="0092738A" w:rsidRPr="00601C2F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 xml:space="preserve"> HYPERLINK "https://stat.gov.pl/en/metainformation/glossary/terms-used-in-official-statistics/1984,term.html" \o "Link to the term: Premises" 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Premises</w:t>
                                  </w:r>
                                </w:p>
                                <w:p w14:paraId="2BE1F729" w14:textId="77777777" w:rsidR="0092738A" w:rsidRDefault="0092738A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hyperlink r:id="rId28" w:tooltip="Link to the term: Price indices of residential premises" w:history="1">
                                    <w:r w:rsidRPr="00601C2F">
                                      <w:rPr>
                                        <w:rStyle w:val="Hipercze"/>
                                        <w:rFonts w:cstheme="minorBidi"/>
                                        <w:sz w:val="18"/>
                                        <w:szCs w:val="18"/>
                                        <w:lang w:val="en-US"/>
                                      </w:rPr>
                                      <w:t>Price indices of residential premises</w:t>
                                    </w:r>
                                  </w:hyperlink>
                                </w:p>
                                <w:p w14:paraId="16D3B8FD" w14:textId="77777777" w:rsidR="0092738A" w:rsidRPr="00562D12" w:rsidRDefault="000E78EC" w:rsidP="0092738A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29" w:tooltip="Link to the term: Real estate transaction" w:history="1">
                                    <w:r w:rsidR="0092738A" w:rsidRPr="00B55112">
                                      <w:rPr>
                                        <w:rStyle w:val="Hipercze"/>
                                        <w:rFonts w:cstheme="minorBidi"/>
                                        <w:sz w:val="18"/>
                                        <w:szCs w:val="18"/>
                                        <w:lang w:val="en-US"/>
                                      </w:rPr>
                                      <w:t>Real estate transaction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50A95" id="_x0000_s1030" type="#_x0000_t202" alt="Link to the publication: Price indices of residential premises by voivodships" style="position:absolute;margin-left:-5.1pt;margin-top:0;width:530.9pt;height:314.2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" fillcolor="#f2f2f2 [3052]" strokecolor="white [3212]">
                      <v:textbox>
                        <w:txbxContent>
                          <w:p w14:paraId="25A68E0F" w14:textId="77777777" w:rsidR="0092738A" w:rsidRPr="00C2775E" w:rsidRDefault="0092738A" w:rsidP="00250A48">
                            <w:pPr>
                              <w:spacing w:before="360"/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01A49212" w14:textId="77777777" w:rsidR="0092738A" w:rsidRPr="00BF2C03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986367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"https://stat.gov.pl/en/latest-statistical-news/communications-and-announcements/8,2023,category.html" \o "Link to release: Price indices of residential premises by voivodships"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Price indices of residential premises by voivodship</w:t>
                            </w:r>
                            <w:r w:rsidRPr="00BF2C03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</w:p>
                          <w:p w14:paraId="21846DFE" w14:textId="77777777" w:rsidR="0092738A" w:rsidRPr="00BF2C03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986367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"https://stat.gov.pl/en/latest-statistical-news/communications-and-announcements/list-of-communiques-and-announcements/price-of-one-square-meter-of-usable-floor-space-of-a-residential-building-in-the-first-quarter-of-2023,270,40.html" \o "Link to release: Price of one square meter of usable floor space of a residential building"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Price of one square meter of usable floor space of a residential building</w:t>
                            </w:r>
                          </w:p>
                          <w:p w14:paraId="707C7E9E" w14:textId="70E90FCD" w:rsidR="0092738A" w:rsidRPr="00562D12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"https://stat.gov.pl/en/topics/municipal-infrastructure/municipal-infrastructure/real-estate-sales-in-2021,2,14.html" \o "Link to the publication: Real estate sales in 2021"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estate sales in 202</w:t>
                            </w:r>
                            <w:r w:rsidR="00281FF7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213F5264" w14:textId="04A50174" w:rsidR="0092738A" w:rsidRPr="004802D4" w:rsidRDefault="0092738A" w:rsidP="00250A48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1548953B" w14:textId="77777777" w:rsidR="0092738A" w:rsidRPr="00562D12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 xml:space="preserve"> HYPERLINK "http://swaid.stat.gov.pl/EN/SitePagesDBW/Ceny.aspx" \o "Link to the Knowledge Databases (DBW) Prices" 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Knowledge Databases (DBW) Prices</w:t>
                            </w:r>
                          </w:p>
                          <w:p w14:paraId="1C91B62D" w14:textId="77777777" w:rsidR="0092738A" w:rsidRPr="00562D12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1133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"https://bdl.stat.gov.pl/bdl/dane/podgrup/temat" \o "Link to the Local Data Bank – Real Estate Market"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Local Data Bank – Real Estate Market</w:t>
                            </w:r>
                          </w:p>
                          <w:p w14:paraId="23A536D7" w14:textId="4935801A" w:rsidR="0092738A" w:rsidRPr="004802D4" w:rsidRDefault="0092738A" w:rsidP="00250A48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14:paraId="14358AEF" w14:textId="77777777" w:rsidR="0092738A" w:rsidRPr="00601C2F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"https://stat.gov.pl/en/metainformation/glossary/terms-used-in-official-statistics/966,term.html" \o "Link to the term: Real estate turnover"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estate turnover</w:t>
                            </w:r>
                          </w:p>
                          <w:p w14:paraId="651FA879" w14:textId="77777777" w:rsidR="0092738A" w:rsidRPr="00601C2F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"https://stat.gov.pl/en/metainformation/glossary/terms-used-in-official-statistics/4491,term.html" \o "Link to the term: Real estate Price Register"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estate Price Register</w:t>
                            </w:r>
                          </w:p>
                          <w:p w14:paraId="0A8F05E6" w14:textId="77777777" w:rsidR="0092738A" w:rsidRPr="00601C2F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"https://stat.gov.pl/en/metainformation/glossary/terms-used-in-official-statistics/1984,term.html" \o "Link to the term: Premises" 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Premises</w:t>
                            </w:r>
                          </w:p>
                          <w:p w14:paraId="2BE1F729" w14:textId="77777777" w:rsidR="0092738A" w:rsidRDefault="0092738A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32" w:tooltip="Link to the term: Price indices of residential premises" w:history="1">
                              <w:r w:rsidRPr="00601C2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  <w:p w14:paraId="16D3B8FD" w14:textId="77777777" w:rsidR="0092738A" w:rsidRPr="00562D12" w:rsidRDefault="00DD4B55" w:rsidP="0092738A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3" w:tooltip="Link to the term: Real estate transaction" w:history="1">
                              <w:r w:rsidR="0092738A" w:rsidRPr="00B55112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Real estate transaction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347E4ED" w14:textId="77777777" w:rsidR="00D261A2" w:rsidRDefault="00D261A2" w:rsidP="00E42879">
      <w:pPr>
        <w:rPr>
          <w:sz w:val="18"/>
          <w:lang w:val="en-GB"/>
        </w:rPr>
      </w:pPr>
    </w:p>
    <w:sectPr w:rsidR="00D261A2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E0619" w14:textId="77777777" w:rsidR="000E78EC" w:rsidRDefault="000E78EC" w:rsidP="000662E2">
      <w:pPr>
        <w:spacing w:after="0" w:line="240" w:lineRule="auto"/>
      </w:pPr>
      <w:r>
        <w:separator/>
      </w:r>
    </w:p>
  </w:endnote>
  <w:endnote w:type="continuationSeparator" w:id="0">
    <w:p w14:paraId="0DFD3FBD" w14:textId="77777777" w:rsidR="000E78EC" w:rsidRDefault="000E78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CFB6BBF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1A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633714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1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D955936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1A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790D5" w14:textId="77777777" w:rsidR="000E78EC" w:rsidRDefault="000E78EC" w:rsidP="000662E2">
      <w:pPr>
        <w:spacing w:after="0" w:line="240" w:lineRule="auto"/>
      </w:pPr>
      <w:r>
        <w:separator/>
      </w:r>
    </w:p>
  </w:footnote>
  <w:footnote w:type="continuationSeparator" w:id="0">
    <w:p w14:paraId="2B9C96C2" w14:textId="77777777" w:rsidR="000E78EC" w:rsidRDefault="000E78E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92FE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66E879" wp14:editId="54F12ED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47751C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7D45E" w14:textId="69871FFF" w:rsidR="009A7401" w:rsidRDefault="009A7401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4624" behindDoc="0" locked="0" layoutInCell="1" allowOverlap="1" wp14:anchorId="4C5BD608" wp14:editId="21F53E2D">
          <wp:simplePos x="0" y="0"/>
          <wp:positionH relativeFrom="column">
            <wp:posOffset>0</wp:posOffset>
          </wp:positionH>
          <wp:positionV relativeFrom="paragraph">
            <wp:posOffset>7068</wp:posOffset>
          </wp:positionV>
          <wp:extent cx="1838325" cy="696595"/>
          <wp:effectExtent l="0" t="0" r="9525" b="0"/>
          <wp:wrapSquare wrapText="bothSides"/>
          <wp:docPr id="10" name="Obraz 10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18ADF15" w14:textId="52B0F3D5" w:rsidR="009A7401" w:rsidRDefault="009A7401">
    <w:pPr>
      <w:pStyle w:val="Nagwek"/>
      <w:rPr>
        <w:noProof/>
        <w:lang w:eastAsia="pl-PL"/>
      </w:rPr>
    </w:pPr>
  </w:p>
  <w:p w14:paraId="2AF49C05" w14:textId="259FC60D" w:rsidR="00F22BD7" w:rsidRDefault="009A740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3CC78B5" wp14:editId="4D180361">
              <wp:simplePos x="0" y="0"/>
              <wp:positionH relativeFrom="column">
                <wp:posOffset>5220031</wp:posOffset>
              </wp:positionH>
              <wp:positionV relativeFrom="paragraph">
                <wp:posOffset>542925</wp:posOffset>
              </wp:positionV>
              <wp:extent cx="1871980" cy="23676665"/>
              <wp:effectExtent l="0" t="0" r="0" b="254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367666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B7796" id="Prostokąt 10" o:spid="_x0000_s1026" style="position:absolute;margin-left:411.05pt;margin-top:42.75pt;width:147.4pt;height:1864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  <w:r w:rsidR="00046AF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0DD8D2" wp14:editId="086A2006">
              <wp:simplePos x="0" y="0"/>
              <wp:positionH relativeFrom="column">
                <wp:posOffset>4957637</wp:posOffset>
              </wp:positionH>
              <wp:positionV relativeFrom="paragraph">
                <wp:posOffset>185420</wp:posOffset>
              </wp:positionV>
              <wp:extent cx="2134373" cy="357505"/>
              <wp:effectExtent l="0" t="0" r="0" b="4445"/>
              <wp:wrapNone/>
              <wp:docPr id="22" name="Schemat blokowy: opóźnienie 6" descr="Text: 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134373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DC30C3" w14:textId="77777777" w:rsidR="0092738A" w:rsidRPr="003C6C8D" w:rsidRDefault="0092738A" w:rsidP="0092738A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DD8D2" id="Schemat blokowy: opóźnienie 6" o:spid="_x0000_s1031" alt="Text: News releases" style="position:absolute;margin-left:390.35pt;margin-top:14.6pt;width:168.05pt;height:28.1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949155,0;2134373,178753;1949155,357505;0,357505;0,0" o:connectangles="0,0,0,0,0,0" textboxrect="0,0,3527018,612140"/>
              <v:textbox>
                <w:txbxContent>
                  <w:p w14:paraId="5DDC30C3" w14:textId="77777777" w:rsidR="0092738A" w:rsidRPr="003C6C8D" w:rsidRDefault="0092738A" w:rsidP="0092738A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E940F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39DEA7E" wp14:editId="6EF41E5C">
              <wp:simplePos x="0" y="0"/>
              <wp:positionH relativeFrom="column">
                <wp:posOffset>5219700</wp:posOffset>
              </wp:positionH>
              <wp:positionV relativeFrom="paragraph">
                <wp:posOffset>791210</wp:posOffset>
              </wp:positionV>
              <wp:extent cx="1431290" cy="336550"/>
              <wp:effectExtent l="0" t="0" r="0" b="6350"/>
              <wp:wrapNone/>
              <wp:docPr id="4" name="Pole tekstowe 2" descr="Data publikacji: 08.07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8A979" w14:textId="5093B219" w:rsidR="00FB16F3" w:rsidRPr="00C97596" w:rsidRDefault="009647C1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</w:t>
                          </w:r>
                          <w:r w:rsidR="00B4363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C4844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B16F3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4248E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DEA7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publikacji: 08.07.2024" style="position:absolute;margin-left:411pt;margin-top:62.3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" filled="f" stroked="f">
              <v:textbox>
                <w:txbxContent>
                  <w:p w14:paraId="4EA8A979" w14:textId="5093B219" w:rsidR="00FB16F3" w:rsidRPr="00C97596" w:rsidRDefault="009647C1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</w:t>
                    </w:r>
                    <w:r w:rsidR="00B4363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C4844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B16F3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4248E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DFC53" w14:textId="77777777" w:rsidR="00F22BD7" w:rsidRDefault="00F22BD7">
    <w:pPr>
      <w:pStyle w:val="Nagwek"/>
    </w:pPr>
  </w:p>
  <w:p w14:paraId="6D75D0D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1.45pt;height:121.95pt;visibility:visible;mso-wrap-style:square" o:bullet="t">
        <v:imagedata r:id="rId1" o:title=""/>
      </v:shape>
    </w:pict>
  </w:numPicBullet>
  <w:numPicBullet w:numPicBulletId="1">
    <w:pict>
      <v:shape id="_x0000_i1081" type="#_x0000_t75" style="width:121.95pt;height:121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5BF5"/>
    <w:rsid w:val="0000709F"/>
    <w:rsid w:val="000108B8"/>
    <w:rsid w:val="00015039"/>
    <w:rsid w:val="000152F5"/>
    <w:rsid w:val="0002375B"/>
    <w:rsid w:val="0002593D"/>
    <w:rsid w:val="00025A9D"/>
    <w:rsid w:val="000303A9"/>
    <w:rsid w:val="00032582"/>
    <w:rsid w:val="00033383"/>
    <w:rsid w:val="000359A8"/>
    <w:rsid w:val="000361EC"/>
    <w:rsid w:val="00043692"/>
    <w:rsid w:val="0004372E"/>
    <w:rsid w:val="00044459"/>
    <w:rsid w:val="0004582E"/>
    <w:rsid w:val="00046AF5"/>
    <w:rsid w:val="000470AA"/>
    <w:rsid w:val="00053CA1"/>
    <w:rsid w:val="000577AB"/>
    <w:rsid w:val="00057CA1"/>
    <w:rsid w:val="00057DB8"/>
    <w:rsid w:val="000631B8"/>
    <w:rsid w:val="000648F2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0409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527F"/>
    <w:rsid w:val="000D6F7D"/>
    <w:rsid w:val="000E0158"/>
    <w:rsid w:val="000E0918"/>
    <w:rsid w:val="000E27C8"/>
    <w:rsid w:val="000E50CD"/>
    <w:rsid w:val="000E78EC"/>
    <w:rsid w:val="000F34F3"/>
    <w:rsid w:val="000F4033"/>
    <w:rsid w:val="000F6D5A"/>
    <w:rsid w:val="001011C3"/>
    <w:rsid w:val="001034CE"/>
    <w:rsid w:val="001047D3"/>
    <w:rsid w:val="0010505F"/>
    <w:rsid w:val="00110D87"/>
    <w:rsid w:val="00114DB9"/>
    <w:rsid w:val="0011601C"/>
    <w:rsid w:val="00116087"/>
    <w:rsid w:val="0011628A"/>
    <w:rsid w:val="0011647D"/>
    <w:rsid w:val="00116B3F"/>
    <w:rsid w:val="00117A64"/>
    <w:rsid w:val="001235A5"/>
    <w:rsid w:val="00124D5A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47E6A"/>
    <w:rsid w:val="0015020E"/>
    <w:rsid w:val="00152C3C"/>
    <w:rsid w:val="0015664B"/>
    <w:rsid w:val="00162325"/>
    <w:rsid w:val="00171C8A"/>
    <w:rsid w:val="00177074"/>
    <w:rsid w:val="00177518"/>
    <w:rsid w:val="001775F2"/>
    <w:rsid w:val="00180FF7"/>
    <w:rsid w:val="0018113A"/>
    <w:rsid w:val="001829BB"/>
    <w:rsid w:val="0018393E"/>
    <w:rsid w:val="001951DA"/>
    <w:rsid w:val="001A297A"/>
    <w:rsid w:val="001A3839"/>
    <w:rsid w:val="001B12D0"/>
    <w:rsid w:val="001B6BCF"/>
    <w:rsid w:val="001C3269"/>
    <w:rsid w:val="001C4B0F"/>
    <w:rsid w:val="001C6A8D"/>
    <w:rsid w:val="001D1DB4"/>
    <w:rsid w:val="001E05F2"/>
    <w:rsid w:val="001E1388"/>
    <w:rsid w:val="001E4EDE"/>
    <w:rsid w:val="001F043B"/>
    <w:rsid w:val="001F32F0"/>
    <w:rsid w:val="001F4522"/>
    <w:rsid w:val="001F4FD0"/>
    <w:rsid w:val="002021D2"/>
    <w:rsid w:val="00204445"/>
    <w:rsid w:val="00211688"/>
    <w:rsid w:val="00213227"/>
    <w:rsid w:val="0021361D"/>
    <w:rsid w:val="002240B0"/>
    <w:rsid w:val="00227A6B"/>
    <w:rsid w:val="00230EBC"/>
    <w:rsid w:val="00233ED1"/>
    <w:rsid w:val="00241DC5"/>
    <w:rsid w:val="00241FAA"/>
    <w:rsid w:val="00250A48"/>
    <w:rsid w:val="0025161B"/>
    <w:rsid w:val="002535A3"/>
    <w:rsid w:val="0025568B"/>
    <w:rsid w:val="002574F1"/>
    <w:rsid w:val="002574F9"/>
    <w:rsid w:val="00262B61"/>
    <w:rsid w:val="00266F56"/>
    <w:rsid w:val="00276811"/>
    <w:rsid w:val="00281FF7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0922"/>
    <w:rsid w:val="002F0D33"/>
    <w:rsid w:val="002F537A"/>
    <w:rsid w:val="002F5A84"/>
    <w:rsid w:val="002F5DCE"/>
    <w:rsid w:val="002F77C8"/>
    <w:rsid w:val="00302288"/>
    <w:rsid w:val="0030246A"/>
    <w:rsid w:val="00304F22"/>
    <w:rsid w:val="0030567E"/>
    <w:rsid w:val="00306C7C"/>
    <w:rsid w:val="00322EDD"/>
    <w:rsid w:val="00331A77"/>
    <w:rsid w:val="00331BFE"/>
    <w:rsid w:val="00332320"/>
    <w:rsid w:val="00333542"/>
    <w:rsid w:val="00344C07"/>
    <w:rsid w:val="00347D72"/>
    <w:rsid w:val="003563F6"/>
    <w:rsid w:val="00356C70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286E"/>
    <w:rsid w:val="00373882"/>
    <w:rsid w:val="00375B98"/>
    <w:rsid w:val="003843DB"/>
    <w:rsid w:val="00393761"/>
    <w:rsid w:val="003971EE"/>
    <w:rsid w:val="00397D18"/>
    <w:rsid w:val="003A04BD"/>
    <w:rsid w:val="003A1B36"/>
    <w:rsid w:val="003B1454"/>
    <w:rsid w:val="003B18B6"/>
    <w:rsid w:val="003B46F7"/>
    <w:rsid w:val="003B55F1"/>
    <w:rsid w:val="003B56C8"/>
    <w:rsid w:val="003C59E0"/>
    <w:rsid w:val="003C6C8D"/>
    <w:rsid w:val="003D4F95"/>
    <w:rsid w:val="003D5F42"/>
    <w:rsid w:val="003D60A9"/>
    <w:rsid w:val="003D6185"/>
    <w:rsid w:val="003E2113"/>
    <w:rsid w:val="003F29A4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3071"/>
    <w:rsid w:val="0042446D"/>
    <w:rsid w:val="00427BF8"/>
    <w:rsid w:val="004313A1"/>
    <w:rsid w:val="00431C02"/>
    <w:rsid w:val="00431FFC"/>
    <w:rsid w:val="00437162"/>
    <w:rsid w:val="00437395"/>
    <w:rsid w:val="00437A70"/>
    <w:rsid w:val="0044250C"/>
    <w:rsid w:val="00445047"/>
    <w:rsid w:val="00446B4F"/>
    <w:rsid w:val="0046113F"/>
    <w:rsid w:val="00462BE1"/>
    <w:rsid w:val="00463E39"/>
    <w:rsid w:val="004657FC"/>
    <w:rsid w:val="00471400"/>
    <w:rsid w:val="004733F6"/>
    <w:rsid w:val="00473D74"/>
    <w:rsid w:val="00474E69"/>
    <w:rsid w:val="00480C23"/>
    <w:rsid w:val="004922E6"/>
    <w:rsid w:val="0049257D"/>
    <w:rsid w:val="0049621B"/>
    <w:rsid w:val="004A0769"/>
    <w:rsid w:val="004A2309"/>
    <w:rsid w:val="004A3D09"/>
    <w:rsid w:val="004A5625"/>
    <w:rsid w:val="004C03B9"/>
    <w:rsid w:val="004C1895"/>
    <w:rsid w:val="004C4F6A"/>
    <w:rsid w:val="004C6A44"/>
    <w:rsid w:val="004C6D40"/>
    <w:rsid w:val="004D4137"/>
    <w:rsid w:val="004D435D"/>
    <w:rsid w:val="004D4E8A"/>
    <w:rsid w:val="004E0406"/>
    <w:rsid w:val="004E0A1B"/>
    <w:rsid w:val="004E1163"/>
    <w:rsid w:val="004E6AB7"/>
    <w:rsid w:val="004F0C3C"/>
    <w:rsid w:val="004F1692"/>
    <w:rsid w:val="004F407F"/>
    <w:rsid w:val="004F48D2"/>
    <w:rsid w:val="004F5944"/>
    <w:rsid w:val="004F63FC"/>
    <w:rsid w:val="004F7947"/>
    <w:rsid w:val="0050168A"/>
    <w:rsid w:val="00505A92"/>
    <w:rsid w:val="00516876"/>
    <w:rsid w:val="0051704F"/>
    <w:rsid w:val="005203F1"/>
    <w:rsid w:val="00521BC3"/>
    <w:rsid w:val="00522E01"/>
    <w:rsid w:val="00523E00"/>
    <w:rsid w:val="00525655"/>
    <w:rsid w:val="00531FB4"/>
    <w:rsid w:val="005326DA"/>
    <w:rsid w:val="00533632"/>
    <w:rsid w:val="00537A87"/>
    <w:rsid w:val="00540250"/>
    <w:rsid w:val="00541E6E"/>
    <w:rsid w:val="0054251F"/>
    <w:rsid w:val="00544C28"/>
    <w:rsid w:val="00546D08"/>
    <w:rsid w:val="0055059C"/>
    <w:rsid w:val="005520D8"/>
    <w:rsid w:val="005537CD"/>
    <w:rsid w:val="00556CF1"/>
    <w:rsid w:val="00562CA5"/>
    <w:rsid w:val="00563A09"/>
    <w:rsid w:val="005649A4"/>
    <w:rsid w:val="00573E8B"/>
    <w:rsid w:val="00574B3E"/>
    <w:rsid w:val="00575628"/>
    <w:rsid w:val="005762A7"/>
    <w:rsid w:val="005767A1"/>
    <w:rsid w:val="00577E69"/>
    <w:rsid w:val="00584789"/>
    <w:rsid w:val="005916D7"/>
    <w:rsid w:val="00591D64"/>
    <w:rsid w:val="0059548E"/>
    <w:rsid w:val="005A172A"/>
    <w:rsid w:val="005A45AB"/>
    <w:rsid w:val="005A4B04"/>
    <w:rsid w:val="005A698C"/>
    <w:rsid w:val="005A7651"/>
    <w:rsid w:val="005B370F"/>
    <w:rsid w:val="005B4788"/>
    <w:rsid w:val="005C0760"/>
    <w:rsid w:val="005C3317"/>
    <w:rsid w:val="005D03A6"/>
    <w:rsid w:val="005D4FBE"/>
    <w:rsid w:val="005E0799"/>
    <w:rsid w:val="005E16C5"/>
    <w:rsid w:val="005E2468"/>
    <w:rsid w:val="005E3B8D"/>
    <w:rsid w:val="005F5A80"/>
    <w:rsid w:val="005F65FB"/>
    <w:rsid w:val="005F746D"/>
    <w:rsid w:val="0060175C"/>
    <w:rsid w:val="006044FF"/>
    <w:rsid w:val="00607CC5"/>
    <w:rsid w:val="00611B9A"/>
    <w:rsid w:val="0061228C"/>
    <w:rsid w:val="0061700A"/>
    <w:rsid w:val="006214C4"/>
    <w:rsid w:val="00624C6A"/>
    <w:rsid w:val="006254B7"/>
    <w:rsid w:val="00633014"/>
    <w:rsid w:val="0063437B"/>
    <w:rsid w:val="00634382"/>
    <w:rsid w:val="0064699F"/>
    <w:rsid w:val="00652B3E"/>
    <w:rsid w:val="00652F27"/>
    <w:rsid w:val="00653B61"/>
    <w:rsid w:val="00662CA4"/>
    <w:rsid w:val="00663083"/>
    <w:rsid w:val="00664112"/>
    <w:rsid w:val="00666E74"/>
    <w:rsid w:val="006673CA"/>
    <w:rsid w:val="00672450"/>
    <w:rsid w:val="00673C26"/>
    <w:rsid w:val="00674C69"/>
    <w:rsid w:val="006755C8"/>
    <w:rsid w:val="006812AF"/>
    <w:rsid w:val="0068327D"/>
    <w:rsid w:val="00687D91"/>
    <w:rsid w:val="00694AF0"/>
    <w:rsid w:val="006A014C"/>
    <w:rsid w:val="006A2B3A"/>
    <w:rsid w:val="006A2E32"/>
    <w:rsid w:val="006A4686"/>
    <w:rsid w:val="006A6829"/>
    <w:rsid w:val="006A68CE"/>
    <w:rsid w:val="006B0714"/>
    <w:rsid w:val="006B0E9E"/>
    <w:rsid w:val="006B20B0"/>
    <w:rsid w:val="006B220B"/>
    <w:rsid w:val="006B326F"/>
    <w:rsid w:val="006B5AE4"/>
    <w:rsid w:val="006C24D2"/>
    <w:rsid w:val="006C768B"/>
    <w:rsid w:val="006D1507"/>
    <w:rsid w:val="006D245B"/>
    <w:rsid w:val="006D2B55"/>
    <w:rsid w:val="006D4054"/>
    <w:rsid w:val="006E01B6"/>
    <w:rsid w:val="006E02EC"/>
    <w:rsid w:val="006E095C"/>
    <w:rsid w:val="006E6B15"/>
    <w:rsid w:val="006F2F4D"/>
    <w:rsid w:val="006F317A"/>
    <w:rsid w:val="006F46FF"/>
    <w:rsid w:val="006F47D9"/>
    <w:rsid w:val="006F57E5"/>
    <w:rsid w:val="0070110C"/>
    <w:rsid w:val="00705D93"/>
    <w:rsid w:val="007068CE"/>
    <w:rsid w:val="00706967"/>
    <w:rsid w:val="007077A0"/>
    <w:rsid w:val="00712005"/>
    <w:rsid w:val="00713D6B"/>
    <w:rsid w:val="007211B1"/>
    <w:rsid w:val="00721227"/>
    <w:rsid w:val="00721351"/>
    <w:rsid w:val="0072213E"/>
    <w:rsid w:val="00722AF6"/>
    <w:rsid w:val="00722D87"/>
    <w:rsid w:val="00723E94"/>
    <w:rsid w:val="007246D2"/>
    <w:rsid w:val="007306DB"/>
    <w:rsid w:val="0073274E"/>
    <w:rsid w:val="007343FA"/>
    <w:rsid w:val="007347BF"/>
    <w:rsid w:val="0074184B"/>
    <w:rsid w:val="00741F37"/>
    <w:rsid w:val="00743605"/>
    <w:rsid w:val="00746187"/>
    <w:rsid w:val="00746E58"/>
    <w:rsid w:val="00747143"/>
    <w:rsid w:val="00755AF9"/>
    <w:rsid w:val="00761E18"/>
    <w:rsid w:val="0076254F"/>
    <w:rsid w:val="00763D1B"/>
    <w:rsid w:val="00773275"/>
    <w:rsid w:val="00773983"/>
    <w:rsid w:val="00777E48"/>
    <w:rsid w:val="007801F5"/>
    <w:rsid w:val="00780E46"/>
    <w:rsid w:val="0078261D"/>
    <w:rsid w:val="00783415"/>
    <w:rsid w:val="00783CA4"/>
    <w:rsid w:val="007842FB"/>
    <w:rsid w:val="00784C6A"/>
    <w:rsid w:val="00785DE5"/>
    <w:rsid w:val="007860B9"/>
    <w:rsid w:val="00786124"/>
    <w:rsid w:val="00790F2C"/>
    <w:rsid w:val="00791AD4"/>
    <w:rsid w:val="00793B6E"/>
    <w:rsid w:val="0079514B"/>
    <w:rsid w:val="007A2DC1"/>
    <w:rsid w:val="007A2F5D"/>
    <w:rsid w:val="007B0DC0"/>
    <w:rsid w:val="007B0E88"/>
    <w:rsid w:val="007C059F"/>
    <w:rsid w:val="007C36C0"/>
    <w:rsid w:val="007C3B76"/>
    <w:rsid w:val="007C4E57"/>
    <w:rsid w:val="007C617E"/>
    <w:rsid w:val="007D1F9C"/>
    <w:rsid w:val="007D3319"/>
    <w:rsid w:val="007D335D"/>
    <w:rsid w:val="007E2C09"/>
    <w:rsid w:val="007E3314"/>
    <w:rsid w:val="007E4B03"/>
    <w:rsid w:val="007E7042"/>
    <w:rsid w:val="007F324B"/>
    <w:rsid w:val="0080553C"/>
    <w:rsid w:val="00805B46"/>
    <w:rsid w:val="008079BB"/>
    <w:rsid w:val="008115B1"/>
    <w:rsid w:val="00816B15"/>
    <w:rsid w:val="00816F43"/>
    <w:rsid w:val="0081720D"/>
    <w:rsid w:val="0082084A"/>
    <w:rsid w:val="0082214F"/>
    <w:rsid w:val="00822E10"/>
    <w:rsid w:val="00825DC2"/>
    <w:rsid w:val="00832823"/>
    <w:rsid w:val="00834AD3"/>
    <w:rsid w:val="00836A72"/>
    <w:rsid w:val="00836A8E"/>
    <w:rsid w:val="00841A4C"/>
    <w:rsid w:val="00841D7A"/>
    <w:rsid w:val="00843795"/>
    <w:rsid w:val="008464A2"/>
    <w:rsid w:val="008468D8"/>
    <w:rsid w:val="00847F0F"/>
    <w:rsid w:val="00852448"/>
    <w:rsid w:val="00854874"/>
    <w:rsid w:val="00855753"/>
    <w:rsid w:val="0086036A"/>
    <w:rsid w:val="00860B98"/>
    <w:rsid w:val="00864AB5"/>
    <w:rsid w:val="0087115A"/>
    <w:rsid w:val="00874689"/>
    <w:rsid w:val="0088088D"/>
    <w:rsid w:val="0088258A"/>
    <w:rsid w:val="0088490C"/>
    <w:rsid w:val="00884A82"/>
    <w:rsid w:val="00885566"/>
    <w:rsid w:val="00886332"/>
    <w:rsid w:val="008916D9"/>
    <w:rsid w:val="00891A93"/>
    <w:rsid w:val="008A080B"/>
    <w:rsid w:val="008A26D9"/>
    <w:rsid w:val="008A6DEF"/>
    <w:rsid w:val="008A72CE"/>
    <w:rsid w:val="008B15C2"/>
    <w:rsid w:val="008B5D9F"/>
    <w:rsid w:val="008B63C3"/>
    <w:rsid w:val="008B6C72"/>
    <w:rsid w:val="008C0C29"/>
    <w:rsid w:val="008C3AD3"/>
    <w:rsid w:val="008D058D"/>
    <w:rsid w:val="008D0769"/>
    <w:rsid w:val="008D1A46"/>
    <w:rsid w:val="008E29EE"/>
    <w:rsid w:val="008F3638"/>
    <w:rsid w:val="008F4441"/>
    <w:rsid w:val="008F6F31"/>
    <w:rsid w:val="008F74DF"/>
    <w:rsid w:val="00903059"/>
    <w:rsid w:val="0090392A"/>
    <w:rsid w:val="00907E1E"/>
    <w:rsid w:val="009127BA"/>
    <w:rsid w:val="00914BE5"/>
    <w:rsid w:val="00921153"/>
    <w:rsid w:val="009227A6"/>
    <w:rsid w:val="00923C49"/>
    <w:rsid w:val="00925DF7"/>
    <w:rsid w:val="0092672A"/>
    <w:rsid w:val="0092738A"/>
    <w:rsid w:val="00933917"/>
    <w:rsid w:val="00933EC1"/>
    <w:rsid w:val="00936E45"/>
    <w:rsid w:val="00941485"/>
    <w:rsid w:val="00947B6B"/>
    <w:rsid w:val="009530DB"/>
    <w:rsid w:val="00953676"/>
    <w:rsid w:val="00953D80"/>
    <w:rsid w:val="009647C1"/>
    <w:rsid w:val="00964F91"/>
    <w:rsid w:val="0096551C"/>
    <w:rsid w:val="009676CA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A7401"/>
    <w:rsid w:val="009B16D2"/>
    <w:rsid w:val="009B1C88"/>
    <w:rsid w:val="009B3519"/>
    <w:rsid w:val="009C1335"/>
    <w:rsid w:val="009C1AB2"/>
    <w:rsid w:val="009C2EB1"/>
    <w:rsid w:val="009C53EB"/>
    <w:rsid w:val="009C7251"/>
    <w:rsid w:val="009D205D"/>
    <w:rsid w:val="009D2690"/>
    <w:rsid w:val="009D3957"/>
    <w:rsid w:val="009D7EA7"/>
    <w:rsid w:val="009E09D9"/>
    <w:rsid w:val="009E181A"/>
    <w:rsid w:val="009E2E91"/>
    <w:rsid w:val="009F1C47"/>
    <w:rsid w:val="009F6FF1"/>
    <w:rsid w:val="009F7474"/>
    <w:rsid w:val="009F7E34"/>
    <w:rsid w:val="00A1305E"/>
    <w:rsid w:val="00A139F5"/>
    <w:rsid w:val="00A17109"/>
    <w:rsid w:val="00A26E57"/>
    <w:rsid w:val="00A32458"/>
    <w:rsid w:val="00A365F4"/>
    <w:rsid w:val="00A36A68"/>
    <w:rsid w:val="00A42229"/>
    <w:rsid w:val="00A4248E"/>
    <w:rsid w:val="00A42636"/>
    <w:rsid w:val="00A42BEF"/>
    <w:rsid w:val="00A47D37"/>
    <w:rsid w:val="00A47D80"/>
    <w:rsid w:val="00A512FC"/>
    <w:rsid w:val="00A5235A"/>
    <w:rsid w:val="00A53132"/>
    <w:rsid w:val="00A55A03"/>
    <w:rsid w:val="00A563F2"/>
    <w:rsid w:val="00A566E8"/>
    <w:rsid w:val="00A56866"/>
    <w:rsid w:val="00A6355F"/>
    <w:rsid w:val="00A639D0"/>
    <w:rsid w:val="00A665AD"/>
    <w:rsid w:val="00A66CBC"/>
    <w:rsid w:val="00A71C78"/>
    <w:rsid w:val="00A7751E"/>
    <w:rsid w:val="00A775BE"/>
    <w:rsid w:val="00A810F9"/>
    <w:rsid w:val="00A86ECC"/>
    <w:rsid w:val="00A86FCC"/>
    <w:rsid w:val="00A94EC0"/>
    <w:rsid w:val="00AA35E5"/>
    <w:rsid w:val="00AA4336"/>
    <w:rsid w:val="00AA6B32"/>
    <w:rsid w:val="00AA710D"/>
    <w:rsid w:val="00AA7A99"/>
    <w:rsid w:val="00AB1D28"/>
    <w:rsid w:val="00AB2FF4"/>
    <w:rsid w:val="00AB6D25"/>
    <w:rsid w:val="00AB70C0"/>
    <w:rsid w:val="00AC33D3"/>
    <w:rsid w:val="00AD13BB"/>
    <w:rsid w:val="00AD25B8"/>
    <w:rsid w:val="00AD3EDF"/>
    <w:rsid w:val="00AD70D1"/>
    <w:rsid w:val="00AD7FC1"/>
    <w:rsid w:val="00AE2A55"/>
    <w:rsid w:val="00AE2D4B"/>
    <w:rsid w:val="00AE3070"/>
    <w:rsid w:val="00AE4F99"/>
    <w:rsid w:val="00AF0F7A"/>
    <w:rsid w:val="00AF2A58"/>
    <w:rsid w:val="00AF3B89"/>
    <w:rsid w:val="00AF4493"/>
    <w:rsid w:val="00B003FF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2F77"/>
    <w:rsid w:val="00B4363A"/>
    <w:rsid w:val="00B47A49"/>
    <w:rsid w:val="00B51CB3"/>
    <w:rsid w:val="00B523E7"/>
    <w:rsid w:val="00B653AB"/>
    <w:rsid w:val="00B656DD"/>
    <w:rsid w:val="00B65F9E"/>
    <w:rsid w:val="00B66B19"/>
    <w:rsid w:val="00B73097"/>
    <w:rsid w:val="00B73D10"/>
    <w:rsid w:val="00B76A98"/>
    <w:rsid w:val="00B7755D"/>
    <w:rsid w:val="00B77F13"/>
    <w:rsid w:val="00B813D6"/>
    <w:rsid w:val="00B83B95"/>
    <w:rsid w:val="00B86DF8"/>
    <w:rsid w:val="00B870B3"/>
    <w:rsid w:val="00B914E9"/>
    <w:rsid w:val="00B93B29"/>
    <w:rsid w:val="00B94D3E"/>
    <w:rsid w:val="00B956EE"/>
    <w:rsid w:val="00B9693F"/>
    <w:rsid w:val="00BA00F2"/>
    <w:rsid w:val="00BA2BA1"/>
    <w:rsid w:val="00BA3562"/>
    <w:rsid w:val="00BA4294"/>
    <w:rsid w:val="00BA474D"/>
    <w:rsid w:val="00BA5A5A"/>
    <w:rsid w:val="00BA5E20"/>
    <w:rsid w:val="00BA6018"/>
    <w:rsid w:val="00BB2630"/>
    <w:rsid w:val="00BB4F09"/>
    <w:rsid w:val="00BB5809"/>
    <w:rsid w:val="00BC370E"/>
    <w:rsid w:val="00BC3CBA"/>
    <w:rsid w:val="00BC4844"/>
    <w:rsid w:val="00BC7A84"/>
    <w:rsid w:val="00BD4E33"/>
    <w:rsid w:val="00BD5E55"/>
    <w:rsid w:val="00BE6E48"/>
    <w:rsid w:val="00BF0C5F"/>
    <w:rsid w:val="00BF5920"/>
    <w:rsid w:val="00C02346"/>
    <w:rsid w:val="00C030DE"/>
    <w:rsid w:val="00C04132"/>
    <w:rsid w:val="00C073C5"/>
    <w:rsid w:val="00C135F6"/>
    <w:rsid w:val="00C1695A"/>
    <w:rsid w:val="00C2022E"/>
    <w:rsid w:val="00C22105"/>
    <w:rsid w:val="00C244B6"/>
    <w:rsid w:val="00C25A0A"/>
    <w:rsid w:val="00C277EB"/>
    <w:rsid w:val="00C3032C"/>
    <w:rsid w:val="00C33B6A"/>
    <w:rsid w:val="00C356C0"/>
    <w:rsid w:val="00C35C37"/>
    <w:rsid w:val="00C366D2"/>
    <w:rsid w:val="00C3702F"/>
    <w:rsid w:val="00C44EB3"/>
    <w:rsid w:val="00C4500A"/>
    <w:rsid w:val="00C454D0"/>
    <w:rsid w:val="00C45AAB"/>
    <w:rsid w:val="00C47C55"/>
    <w:rsid w:val="00C47F04"/>
    <w:rsid w:val="00C539BA"/>
    <w:rsid w:val="00C61DF5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2D1"/>
    <w:rsid w:val="00C945FE"/>
    <w:rsid w:val="00C96FAA"/>
    <w:rsid w:val="00C97A04"/>
    <w:rsid w:val="00CA107B"/>
    <w:rsid w:val="00CA1832"/>
    <w:rsid w:val="00CA46FF"/>
    <w:rsid w:val="00CA484D"/>
    <w:rsid w:val="00CA4FB6"/>
    <w:rsid w:val="00CA7351"/>
    <w:rsid w:val="00CC20A6"/>
    <w:rsid w:val="00CC2BE8"/>
    <w:rsid w:val="00CC739E"/>
    <w:rsid w:val="00CC7C9C"/>
    <w:rsid w:val="00CD1D82"/>
    <w:rsid w:val="00CD4BCD"/>
    <w:rsid w:val="00CD5410"/>
    <w:rsid w:val="00CD58B7"/>
    <w:rsid w:val="00CD75A6"/>
    <w:rsid w:val="00CE0575"/>
    <w:rsid w:val="00CE4556"/>
    <w:rsid w:val="00CE5833"/>
    <w:rsid w:val="00CE744C"/>
    <w:rsid w:val="00CF3D9C"/>
    <w:rsid w:val="00CF4099"/>
    <w:rsid w:val="00D00796"/>
    <w:rsid w:val="00D01AE9"/>
    <w:rsid w:val="00D04E46"/>
    <w:rsid w:val="00D1473C"/>
    <w:rsid w:val="00D17E99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3F23"/>
    <w:rsid w:val="00D44661"/>
    <w:rsid w:val="00D4742E"/>
    <w:rsid w:val="00D50D9F"/>
    <w:rsid w:val="00D6161E"/>
    <w:rsid w:val="00D616D2"/>
    <w:rsid w:val="00D62095"/>
    <w:rsid w:val="00D63B5F"/>
    <w:rsid w:val="00D70EF7"/>
    <w:rsid w:val="00D723E9"/>
    <w:rsid w:val="00D739F9"/>
    <w:rsid w:val="00D74B00"/>
    <w:rsid w:val="00D8397C"/>
    <w:rsid w:val="00D84AB9"/>
    <w:rsid w:val="00D9167F"/>
    <w:rsid w:val="00D94EED"/>
    <w:rsid w:val="00D96026"/>
    <w:rsid w:val="00DA399D"/>
    <w:rsid w:val="00DA5F40"/>
    <w:rsid w:val="00DA7A12"/>
    <w:rsid w:val="00DA7C1C"/>
    <w:rsid w:val="00DB147A"/>
    <w:rsid w:val="00DB1B7A"/>
    <w:rsid w:val="00DC1228"/>
    <w:rsid w:val="00DC6708"/>
    <w:rsid w:val="00DD4B55"/>
    <w:rsid w:val="00DE0F55"/>
    <w:rsid w:val="00DE4567"/>
    <w:rsid w:val="00DE5CD1"/>
    <w:rsid w:val="00DF664F"/>
    <w:rsid w:val="00E0048A"/>
    <w:rsid w:val="00E01393"/>
    <w:rsid w:val="00E01436"/>
    <w:rsid w:val="00E025F8"/>
    <w:rsid w:val="00E045BD"/>
    <w:rsid w:val="00E07DBA"/>
    <w:rsid w:val="00E17B77"/>
    <w:rsid w:val="00E22912"/>
    <w:rsid w:val="00E23337"/>
    <w:rsid w:val="00E23584"/>
    <w:rsid w:val="00E23D84"/>
    <w:rsid w:val="00E259EA"/>
    <w:rsid w:val="00E26CBD"/>
    <w:rsid w:val="00E32061"/>
    <w:rsid w:val="00E33AFB"/>
    <w:rsid w:val="00E34475"/>
    <w:rsid w:val="00E36553"/>
    <w:rsid w:val="00E42879"/>
    <w:rsid w:val="00E42FF9"/>
    <w:rsid w:val="00E43A8F"/>
    <w:rsid w:val="00E4613A"/>
    <w:rsid w:val="00E465DD"/>
    <w:rsid w:val="00E4714C"/>
    <w:rsid w:val="00E47437"/>
    <w:rsid w:val="00E47CC1"/>
    <w:rsid w:val="00E51AEB"/>
    <w:rsid w:val="00E522A7"/>
    <w:rsid w:val="00E54452"/>
    <w:rsid w:val="00E56DF4"/>
    <w:rsid w:val="00E6054E"/>
    <w:rsid w:val="00E61BB6"/>
    <w:rsid w:val="00E64E13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4F6F"/>
    <w:rsid w:val="00E866C0"/>
    <w:rsid w:val="00E91E15"/>
    <w:rsid w:val="00E92564"/>
    <w:rsid w:val="00E9407E"/>
    <w:rsid w:val="00E940FD"/>
    <w:rsid w:val="00E945B7"/>
    <w:rsid w:val="00E970BA"/>
    <w:rsid w:val="00EA11F2"/>
    <w:rsid w:val="00EA2F45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348"/>
    <w:rsid w:val="00EB780E"/>
    <w:rsid w:val="00EB7EE4"/>
    <w:rsid w:val="00EC1EE7"/>
    <w:rsid w:val="00EC6A81"/>
    <w:rsid w:val="00ED5044"/>
    <w:rsid w:val="00ED55C0"/>
    <w:rsid w:val="00ED682B"/>
    <w:rsid w:val="00EE41D5"/>
    <w:rsid w:val="00EE456A"/>
    <w:rsid w:val="00EE4611"/>
    <w:rsid w:val="00EE565D"/>
    <w:rsid w:val="00EF3DC7"/>
    <w:rsid w:val="00EF4CB9"/>
    <w:rsid w:val="00F037A4"/>
    <w:rsid w:val="00F111EF"/>
    <w:rsid w:val="00F11DE6"/>
    <w:rsid w:val="00F140E4"/>
    <w:rsid w:val="00F22BD7"/>
    <w:rsid w:val="00F2381E"/>
    <w:rsid w:val="00F23AC0"/>
    <w:rsid w:val="00F27C8F"/>
    <w:rsid w:val="00F31DFD"/>
    <w:rsid w:val="00F32749"/>
    <w:rsid w:val="00F352F0"/>
    <w:rsid w:val="00F364DD"/>
    <w:rsid w:val="00F37172"/>
    <w:rsid w:val="00F413E7"/>
    <w:rsid w:val="00F41C5A"/>
    <w:rsid w:val="00F4477E"/>
    <w:rsid w:val="00F45BAA"/>
    <w:rsid w:val="00F52823"/>
    <w:rsid w:val="00F52BA1"/>
    <w:rsid w:val="00F626FF"/>
    <w:rsid w:val="00F63B01"/>
    <w:rsid w:val="00F655C8"/>
    <w:rsid w:val="00F6670A"/>
    <w:rsid w:val="00F66AED"/>
    <w:rsid w:val="00F67D8F"/>
    <w:rsid w:val="00F70A90"/>
    <w:rsid w:val="00F7145A"/>
    <w:rsid w:val="00F73A03"/>
    <w:rsid w:val="00F777C1"/>
    <w:rsid w:val="00F802BE"/>
    <w:rsid w:val="00F80E93"/>
    <w:rsid w:val="00F81081"/>
    <w:rsid w:val="00F81885"/>
    <w:rsid w:val="00F83BF4"/>
    <w:rsid w:val="00F83F80"/>
    <w:rsid w:val="00F86024"/>
    <w:rsid w:val="00F8611A"/>
    <w:rsid w:val="00F94B6A"/>
    <w:rsid w:val="00F95B4F"/>
    <w:rsid w:val="00F9662C"/>
    <w:rsid w:val="00FA5128"/>
    <w:rsid w:val="00FA58B4"/>
    <w:rsid w:val="00FA6812"/>
    <w:rsid w:val="00FA7E22"/>
    <w:rsid w:val="00FB16F3"/>
    <w:rsid w:val="00FB42D4"/>
    <w:rsid w:val="00FB5906"/>
    <w:rsid w:val="00FB762F"/>
    <w:rsid w:val="00FC2731"/>
    <w:rsid w:val="00FC2AED"/>
    <w:rsid w:val="00FC370E"/>
    <w:rsid w:val="00FC3B75"/>
    <w:rsid w:val="00FC4E4F"/>
    <w:rsid w:val="00FC5121"/>
    <w:rsid w:val="00FC51AE"/>
    <w:rsid w:val="00FC6D3E"/>
    <w:rsid w:val="00FD22C1"/>
    <w:rsid w:val="00FD2D95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6A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25A9D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9A7401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6C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6CA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942D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942D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942D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942D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942D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942D1"/>
    <w:rPr>
      <w:rFonts w:ascii="Fira Sans" w:hAnsi="Fira Sans"/>
      <w:color w:val="FFFFFF" w:themeColor="background1"/>
      <w:sz w:val="20"/>
    </w:rPr>
  </w:style>
  <w:style w:type="paragraph" w:customStyle="1" w:styleId="brakstylu">
    <w:name w:val="brak stylu"/>
    <w:basedOn w:val="Normalny"/>
    <w:qFormat/>
    <w:rsid w:val="00B9693F"/>
    <w:pPr>
      <w:spacing w:before="360" w:line="240" w:lineRule="auto"/>
    </w:pPr>
    <w:rPr>
      <w:b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26" Type="http://schemas.openxmlformats.org/officeDocument/2006/relationships/hyperlink" Target="https://pl.linkedin.com/company/glownyurzadstatystyczny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www.facebook.com/GlownyUrzadStatystyczny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www.youtube.com/channel/UC0wiQMElFgYszpAoYgTnXtg/featured" TargetMode="External"/><Relationship Id="rId33" Type="http://schemas.openxmlformats.org/officeDocument/2006/relationships/hyperlink" Target="https://stat.gov.pl/en/metainformation/glossary/terms-used-in-official-statistics/3878,term.html" TargetMode="Externa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3878,term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4103,term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www.instagram.com/gus_stat/" TargetMode="External"/><Relationship Id="rId28" Type="http://schemas.openxmlformats.org/officeDocument/2006/relationships/hyperlink" Target="https://stat.gov.pl/en/metainformation/glossary/terms-used-in-official-statistics/4103,term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twitter.com/GUS_ST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2.png"/><Relationship Id="rId35" Type="http://schemas.openxmlformats.org/officeDocument/2006/relationships/footer" Target="footer3.xml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0x00FF83991E4BDC4E4FA0720441E2B88E6D</ContentTypeId>
    <TemplateUrl xmlns="http://schemas.microsoft.com/sharepoint/v3" xsi:nil="true"/>
    <NazwaPliku xmlns="1E9983FF-DC4B-4F4E-A072-0441E2B88E6D">Real_estate sales_in_2023_news_release.docx.docx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STAT\CZARNECKAK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E6461F-6DC9-49F5-B188-8EEC8972A2DE}"/>
</file>

<file path=customXml/itemProps2.xml><?xml version="1.0" encoding="utf-8"?>
<ds:datastoreItem xmlns:ds="http://schemas.openxmlformats.org/officeDocument/2006/customXml" ds:itemID="{07F6197D-858D-4359-B278-08ED90D88277}"/>
</file>

<file path=customXml/itemProps3.xml><?xml version="1.0" encoding="utf-8"?>
<ds:datastoreItem xmlns:ds="http://schemas.openxmlformats.org/officeDocument/2006/customXml" ds:itemID="{6AF0B382-C0B8-44E4-8258-9CDD1AFA7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3774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2024-07-01T06:28:00Z</dcterms:created>
  <dcterms:modified xsi:type="dcterms:W3CDTF">2024-07-01T06:28:00Z</dcterms:modified>
</cp:coreProperties>
</file>