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7D39" w:rsidR="00393761" w:rsidP="00F049AB" w:rsidRDefault="001A2431" w14:paraId="66008B5C" w14:textId="6AB2E0FD">
      <w:pPr>
        <w:pStyle w:val="Tytuinfomacjisygnalnej"/>
        <w:rPr>
          <w:lang w:val="en-GB"/>
        </w:rPr>
      </w:pPr>
      <w:r>
        <w:rPr>
          <w:lang w:val="en-GB"/>
        </w:rPr>
        <w:t>Changes in d</w:t>
      </w:r>
      <w:r w:rsidRPr="00257D39" w:rsidR="00E74B38">
        <w:rPr>
          <w:lang w:val="en-GB"/>
        </w:rPr>
        <w:t xml:space="preserve">emand for services in </w:t>
      </w:r>
      <w:r w:rsidR="007259DB">
        <w:rPr>
          <w:lang w:val="en-GB"/>
        </w:rPr>
        <w:t xml:space="preserve">2015 and </w:t>
      </w:r>
      <w:r w:rsidRPr="00257D39" w:rsidR="00E74B38">
        <w:rPr>
          <w:lang w:val="en-GB"/>
        </w:rPr>
        <w:t>2020</w:t>
      </w:r>
      <w:r w:rsidRPr="00257D39" w:rsidR="00364AF9">
        <w:rPr>
          <w:sz w:val="32"/>
          <w:lang w:val="en-GB"/>
        </w:rPr>
        <w:tab/>
      </w:r>
    </w:p>
    <w:p w:rsidRPr="00257D39" w:rsidR="00AA5026" w:rsidP="00F049AB" w:rsidRDefault="00731D27" w14:paraId="7AB65194" w14:textId="0F8566CD">
      <w:pPr>
        <w:pStyle w:val="Lead"/>
        <w:rPr>
          <w:lang w:val="en-GB"/>
        </w:rPr>
      </w:pPr>
      <w:r w:rsidRPr="00587CEE">
        <w:rPr>
          <w:color w:val="001D77"/>
        </w:rPr>
        <mc:AlternateContent>
          <mc:Choice Requires="wps">
            <w:drawing>
              <wp:anchor distT="45720" distB="45720" distL="114300" distR="114300" simplePos="0" relativeHeight="251738112" behindDoc="0" locked="0" layoutInCell="1" allowOverlap="1" wp14:editId="151D0C9B" wp14:anchorId="2FC13F97">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Costs of services purchase index year to year  " title="Costs of services purchase index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Pr="00257D39" w:rsidR="00D57770" w:rsidP="00CB6AD4" w:rsidRDefault="00D57770" w14:paraId="30951E30" w14:textId="7F360E9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257D39">
                              <w:rPr>
                                <w:rFonts w:ascii="Fira Sans SemiBold" w:hAnsi="Fira Sans SemiBold"/>
                                <w:color w:val="FFFFFF" w:themeColor="background1"/>
                                <w:sz w:val="60"/>
                                <w:szCs w:val="60"/>
                                <w:lang w:val="en-GB"/>
                              </w:rPr>
                              <w:t xml:space="preserve"> </w:t>
                            </w:r>
                            <w:r w:rsidRPr="00257D39">
                              <w:rPr>
                                <w:rStyle w:val="WartowskanikaZnak"/>
                                <w:lang w:val="en-GB"/>
                              </w:rPr>
                              <w:t>153.4</w:t>
                            </w:r>
                          </w:p>
                          <w:p w:rsidRPr="00257D39" w:rsidR="00D57770" w:rsidP="00F049AB" w:rsidRDefault="00D57770" w14:paraId="63B3F253" w14:textId="6334B4B8">
                            <w:pPr>
                              <w:pStyle w:val="Opiswskanika"/>
                              <w:rPr>
                                <w:sz w:val="18"/>
                                <w:szCs w:val="20"/>
                                <w:lang w:val="en-GB"/>
                              </w:rPr>
                            </w:pPr>
                            <w:r w:rsidRPr="00257D39">
                              <w:rPr>
                                <w:lang w:val="en-GB"/>
                              </w:rPr>
                              <w:t xml:space="preserve">Costs of </w:t>
                            </w:r>
                            <w:r w:rsidR="002C1682">
                              <w:rPr>
                                <w:lang w:val="en-GB"/>
                              </w:rPr>
                              <w:t xml:space="preserve">external </w:t>
                            </w:r>
                            <w:r w:rsidRPr="00257D39">
                              <w:rPr>
                                <w:lang w:val="en-GB"/>
                              </w:rPr>
                              <w:t>services purchase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Tytuł: Costs of services purchase index year to year — opis: Costs of services purchase index year to year  " o:spid="_x0000_s1026" fillcolor="#001d77" stroked="f" arcsize="10923f" w14:anchorId="2FC13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">
                <v:stroke joinstyle="miter"/>
                <v:textbox>
                  <w:txbxContent>
                    <w:p w:rsidRPr="00257D39" w:rsidR="00D57770" w:rsidP="00CB6AD4" w:rsidRDefault="00D57770" w14:paraId="30951E30" w14:textId="7F360E9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257D39">
                        <w:rPr>
                          <w:rFonts w:ascii="Fira Sans SemiBold" w:hAnsi="Fira Sans SemiBold"/>
                          <w:color w:val="FFFFFF" w:themeColor="background1"/>
                          <w:sz w:val="60"/>
                          <w:szCs w:val="60"/>
                          <w:lang w:val="en-GB"/>
                        </w:rPr>
                        <w:t xml:space="preserve"> </w:t>
                      </w:r>
                      <w:r w:rsidRPr="00257D39">
                        <w:rPr>
                          <w:rStyle w:val="WartowskanikaZnak"/>
                          <w:lang w:val="en-GB"/>
                        </w:rPr>
                        <w:t>153.4</w:t>
                      </w:r>
                    </w:p>
                    <w:p w:rsidRPr="00257D39" w:rsidR="00D57770" w:rsidP="00F049AB" w:rsidRDefault="00D57770" w14:paraId="63B3F253" w14:textId="6334B4B8">
                      <w:pPr>
                        <w:pStyle w:val="Opiswskanika"/>
                        <w:rPr>
                          <w:sz w:val="18"/>
                          <w:szCs w:val="20"/>
                          <w:lang w:val="en-GB"/>
                        </w:rPr>
                      </w:pPr>
                      <w:r w:rsidRPr="00257D39">
                        <w:rPr>
                          <w:lang w:val="en-GB"/>
                        </w:rPr>
                        <w:t xml:space="preserve">Costs of </w:t>
                      </w:r>
                      <w:r w:rsidR="002C1682">
                        <w:rPr>
                          <w:lang w:val="en-GB"/>
                        </w:rPr>
                        <w:t xml:space="preserve">external </w:t>
                      </w:r>
                      <w:r w:rsidRPr="00257D39">
                        <w:rPr>
                          <w:lang w:val="en-GB"/>
                        </w:rPr>
                        <w:t>services purchase index y/y</w:t>
                      </w:r>
                    </w:p>
                  </w:txbxContent>
                </v:textbox>
                <w10:wrap type="square" anchorx="margin"/>
              </v:roundrect>
            </w:pict>
          </mc:Fallback>
        </mc:AlternateContent>
      </w:r>
      <w:r w:rsidRPr="00257D39" w:rsidR="00074DD8">
        <w:rPr>
          <w:color w:val="001D77"/>
          <w:lang w:val="en-GB"/>
        </w:rPr>
        <w:t xml:space="preserve"> </w:t>
      </w:r>
      <w:r w:rsidRPr="00257D39" w:rsidR="00A90A6D">
        <w:rPr>
          <w:lang w:val="en-GB"/>
        </w:rPr>
        <w:br/>
      </w:r>
      <w:r w:rsidRPr="00257D39" w:rsidR="00AA5026">
        <w:rPr>
          <w:lang w:val="en-GB"/>
        </w:rPr>
        <w:t>In 2020 the value of costs incurred by enterprises</w:t>
      </w:r>
      <w:bookmarkStart w:name="_Ref109378710" w:id="0"/>
      <w:r w:rsidR="00694D61">
        <w:rPr>
          <w:rStyle w:val="Odwoanieprzypisudolnego"/>
        </w:rPr>
        <w:footnoteReference w:id="1"/>
      </w:r>
      <w:bookmarkEnd w:id="0"/>
      <w:r w:rsidRPr="00257D39" w:rsidR="00AA5026">
        <w:rPr>
          <w:lang w:val="en-GB"/>
        </w:rPr>
        <w:t xml:space="preserve"> for the purchase of external services accounted for </w:t>
      </w:r>
      <w:r w:rsidRPr="00257D39" w:rsidR="004F3A76">
        <w:rPr>
          <w:lang w:val="en-GB"/>
        </w:rPr>
        <w:t>PLN 526.1 billion</w:t>
      </w:r>
      <w:r w:rsidRPr="00257D39" w:rsidR="00DE6B58">
        <w:rPr>
          <w:lang w:val="en-GB"/>
        </w:rPr>
        <w:t>.</w:t>
      </w:r>
      <w:r w:rsidRPr="00257D39" w:rsidR="004F3A76">
        <w:rPr>
          <w:lang w:val="en-GB"/>
        </w:rPr>
        <w:t xml:space="preserve"> The costs of services purchase index increased by 22.0 pp compared to the corresponding index in 2015. </w:t>
      </w:r>
    </w:p>
    <w:p w:rsidRPr="00257D39" w:rsidR="00E95B8E" w:rsidP="004F3A76" w:rsidRDefault="00DE6B58" w14:paraId="3DB10F9F" w14:textId="1E5D6EEB">
      <w:pPr>
        <w:pStyle w:val="Nagwek1"/>
        <w:rPr>
          <w:rFonts w:ascii="Fira Sans" w:hAnsi="Fira Sans"/>
          <w:b/>
          <w:szCs w:val="19"/>
          <w:lang w:val="en-GB"/>
        </w:rPr>
      </w:pPr>
      <w:r w:rsidRPr="00257D39">
        <w:rPr>
          <w:lang w:val="en-GB"/>
        </w:rPr>
        <w:t xml:space="preserve"> </w:t>
      </w:r>
      <w:r w:rsidRPr="00823593" w:rsidR="000647A9">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editId="695D9579" wp14:anchorId="6367A9BC">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Entities engaged in industrial processing activities acqui-red external services worth PLN 156.2 billion"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Pr="00257D39" w:rsidR="00D57770" w:rsidP="005F45EE" w:rsidRDefault="00D57770" w14:paraId="66113316" w14:textId="1FE7D1C4">
                            <w:pPr>
                              <w:pStyle w:val="tekstzboku"/>
                              <w:rPr>
                                <w:bCs w:val="0"/>
                                <w:lang w:val="en-GB"/>
                              </w:rPr>
                            </w:pPr>
                            <w:r w:rsidRPr="00257D39">
                              <w:rPr>
                                <w:lang w:val="en-GB"/>
                              </w:rPr>
                              <w:t>Entities engaged in industrial processing activities acquired external services worth PLN 156.2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67A9BC">
                <v:stroke joinstyle="miter"/>
                <v:path gradientshapeok="t" o:connecttype="rect"/>
              </v:shapetype>
              <v:shape id="_x0000_s1027"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ytuł: Key information — opis: Entities engaged in industrial processing activities acqui-red external services worth PLN 156.2 billion"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">
                <v:textbox>
                  <w:txbxContent>
                    <w:p w:rsidRPr="00E95B8E" w:rsidR="00D57770" w:rsidP="005F45EE" w:rsidRDefault="00D57770" w14:paraId="66113316" w14:textId="1FE7D1C4">
                      <w:pPr>
                        <w:pStyle w:val="tekstzboku"/>
                        <w:rPr>
                          <w:bCs w:val="0"/>
                        </w:rPr>
                      </w:pPr>
                      <w:proofErr w:type="spellStart"/>
                      <w:r>
                        <w:t>Entities</w:t>
                      </w:r>
                      <w:proofErr w:type="spellEnd"/>
                      <w:r>
                        <w:t xml:space="preserve"> </w:t>
                      </w:r>
                      <w:proofErr w:type="spellStart"/>
                      <w:r>
                        <w:t>engaged</w:t>
                      </w:r>
                      <w:proofErr w:type="spellEnd"/>
                      <w:r>
                        <w:t xml:space="preserve"> in </w:t>
                      </w:r>
                      <w:proofErr w:type="spellStart"/>
                      <w:r>
                        <w:t>industrial</w:t>
                      </w:r>
                      <w:proofErr w:type="spellEnd"/>
                      <w:r>
                        <w:t xml:space="preserve"> </w:t>
                      </w:r>
                      <w:proofErr w:type="spellStart"/>
                      <w:r>
                        <w:t>processing</w:t>
                      </w:r>
                      <w:proofErr w:type="spellEnd"/>
                      <w:r>
                        <w:t xml:space="preserve"> </w:t>
                      </w:r>
                      <w:proofErr w:type="spellStart"/>
                      <w:r>
                        <w:t>activities</w:t>
                      </w:r>
                      <w:proofErr w:type="spellEnd"/>
                      <w:r>
                        <w:t xml:space="preserve"> </w:t>
                      </w:r>
                      <w:proofErr w:type="spellStart"/>
                      <w:r>
                        <w:t>acquired</w:t>
                      </w:r>
                      <w:proofErr w:type="spellEnd"/>
                      <w:r>
                        <w:t xml:space="preserve"> </w:t>
                      </w:r>
                      <w:proofErr w:type="spellStart"/>
                      <w:r>
                        <w:t>external</w:t>
                      </w:r>
                      <w:proofErr w:type="spellEnd"/>
                      <w:r>
                        <w:t xml:space="preserve"> services </w:t>
                      </w:r>
                      <w:proofErr w:type="spellStart"/>
                      <w:r>
                        <w:t>worth</w:t>
                      </w:r>
                      <w:proofErr w:type="spellEnd"/>
                      <w:r>
                        <w:t xml:space="preserve"> PLN 156.2 </w:t>
                      </w:r>
                      <w:proofErr w:type="spellStart"/>
                      <w:r>
                        <w:t>billion</w:t>
                      </w:r>
                      <w:proofErr w:type="spellEnd"/>
                    </w:p>
                  </w:txbxContent>
                </v:textbox>
                <w10:wrap type="tight"/>
              </v:shape>
            </w:pict>
          </mc:Fallback>
        </mc:AlternateContent>
      </w:r>
      <w:r w:rsidRPr="00257D39" w:rsidR="00CB6AD4">
        <w:rPr>
          <w:shd w:val="clear" w:color="auto" w:fill="FFFFFF"/>
          <w:lang w:val="en-GB"/>
        </w:rPr>
        <w:br/>
      </w:r>
      <w:r w:rsidRPr="00257D39" w:rsidR="004F3A76">
        <w:rPr>
          <w:rFonts w:ascii="Fira Sans" w:hAnsi="Fira Sans"/>
          <w:b/>
          <w:szCs w:val="19"/>
          <w:lang w:val="en-GB"/>
        </w:rPr>
        <w:t>Demand for services</w:t>
      </w:r>
    </w:p>
    <w:p w:rsidRPr="00257D39" w:rsidR="00DE6B58" w:rsidP="003929FE" w:rsidRDefault="003929FE" w14:paraId="6189446F" w14:textId="34A9B92D">
      <w:pPr>
        <w:spacing w:line="288" w:lineRule="auto"/>
        <w:rPr>
          <w:rFonts w:eastAsia="Times New Roman" w:cs="Times New Roman"/>
          <w:szCs w:val="19"/>
          <w:lang w:val="en-GB" w:eastAsia="pl-PL"/>
        </w:rPr>
      </w:pPr>
      <w:r w:rsidRPr="00257D39">
        <w:rPr>
          <w:rFonts w:eastAsia="Times New Roman" w:cs="Times New Roman"/>
          <w:szCs w:val="19"/>
          <w:lang w:val="en-GB" w:eastAsia="pl-PL"/>
        </w:rPr>
        <w:t>In 2020 enterprises with the number of persons employed 50 and more purchased from other entities services worth PLN 526.1 billion</w:t>
      </w:r>
      <w:r w:rsidRPr="00257D39" w:rsidR="00D972F6">
        <w:rPr>
          <w:rFonts w:eastAsia="Times New Roman" w:cs="Times New Roman"/>
          <w:szCs w:val="19"/>
          <w:lang w:val="en-GB" w:eastAsia="pl-PL"/>
        </w:rPr>
        <w:t xml:space="preserve"> </w:t>
      </w:r>
      <w:r w:rsidRPr="00257D39" w:rsidR="0088787E">
        <w:rPr>
          <w:rFonts w:eastAsia="Times New Roman" w:cs="Times New Roman"/>
          <w:szCs w:val="19"/>
          <w:lang w:val="en-GB" w:eastAsia="pl-PL"/>
        </w:rPr>
        <w:t xml:space="preserve">(a growth of 53.4% in comparison to 2015). </w:t>
      </w:r>
      <w:r w:rsidR="002C1682">
        <w:rPr>
          <w:rFonts w:eastAsia="Times New Roman" w:cs="Times New Roman"/>
          <w:szCs w:val="19"/>
          <w:lang w:val="en-GB" w:eastAsia="pl-PL"/>
        </w:rPr>
        <w:t>The highest costs for the purchase of services were recorded for e</w:t>
      </w:r>
      <w:r w:rsidRPr="00257D39" w:rsidR="0088787E">
        <w:rPr>
          <w:rFonts w:eastAsia="Times New Roman" w:cs="Times New Roman"/>
          <w:szCs w:val="19"/>
          <w:lang w:val="en-GB" w:eastAsia="pl-PL"/>
        </w:rPr>
        <w:t>ntities carrying out activities classified to section C „Manufacturing”</w:t>
      </w:r>
      <w:r w:rsidR="002C1682">
        <w:rPr>
          <w:rFonts w:eastAsia="Times New Roman" w:cs="Times New Roman"/>
          <w:szCs w:val="19"/>
          <w:lang w:val="en-GB" w:eastAsia="pl-PL"/>
        </w:rPr>
        <w:t xml:space="preserve"> with the share in total external services purchased by surveyed enterprises accounted for 29.7%</w:t>
      </w:r>
      <w:r w:rsidRPr="00257D39" w:rsidR="0088787E">
        <w:rPr>
          <w:rFonts w:eastAsia="Times New Roman" w:cs="Times New Roman"/>
          <w:szCs w:val="19"/>
          <w:lang w:val="en-GB" w:eastAsia="pl-PL"/>
        </w:rPr>
        <w:t xml:space="preserve"> </w:t>
      </w:r>
      <w:r w:rsidR="002C1682">
        <w:rPr>
          <w:rFonts w:eastAsia="Times New Roman" w:cs="Times New Roman"/>
          <w:szCs w:val="19"/>
          <w:lang w:val="en-GB" w:eastAsia="pl-PL"/>
        </w:rPr>
        <w:t>(</w:t>
      </w:r>
      <w:r w:rsidRPr="00257D39" w:rsidR="0088787E">
        <w:rPr>
          <w:rFonts w:eastAsia="Times New Roman" w:cs="Times New Roman"/>
          <w:szCs w:val="19"/>
          <w:lang w:val="en-GB" w:eastAsia="pl-PL"/>
        </w:rPr>
        <w:t>a decrease of 1.3 pp compared to 2015). This was followed by entities carrying ou</w:t>
      </w:r>
      <w:r w:rsidRPr="00257D39" w:rsidR="00533989">
        <w:rPr>
          <w:rFonts w:eastAsia="Times New Roman" w:cs="Times New Roman"/>
          <w:szCs w:val="19"/>
          <w:lang w:val="en-GB" w:eastAsia="pl-PL"/>
        </w:rPr>
        <w:t>t activities</w:t>
      </w:r>
      <w:r w:rsidRPr="00257D39" w:rsidR="0088787E">
        <w:rPr>
          <w:rFonts w:eastAsia="Times New Roman" w:cs="Times New Roman"/>
          <w:szCs w:val="19"/>
          <w:lang w:val="en-GB" w:eastAsia="pl-PL"/>
        </w:rPr>
        <w:t xml:space="preserve"> related to </w:t>
      </w:r>
      <w:r w:rsidRPr="00257D39" w:rsidR="00694D61">
        <w:rPr>
          <w:rFonts w:eastAsia="Times New Roman" w:cs="Times New Roman"/>
          <w:szCs w:val="19"/>
          <w:lang w:val="en-GB" w:eastAsia="pl-PL"/>
        </w:rPr>
        <w:t>wholesale and retail trade; repair of motor vehicle and motorcycles (Section G) and activities related to transportation and storage (Section H). Their shares were respectively 17.2% (an increase of 0.9 pp in comparison to 2015) and 16.3% (an increase of 4.5 pp).</w:t>
      </w:r>
    </w:p>
    <w:p w:rsidRPr="007C76FD" w:rsidR="00694D61" w:rsidP="00694D61" w:rsidRDefault="00694D61" w14:paraId="532D8AB3" w14:textId="36F463D6">
      <w:pPr>
        <w:ind w:left="708" w:hanging="708"/>
        <w:rPr>
          <w:lang w:val="en-US" w:eastAsia="pl-PL"/>
        </w:rPr>
      </w:pPr>
      <w:r w:rsidRPr="007C76FD">
        <w:rPr>
          <w:b/>
          <w:sz w:val="18"/>
          <w:szCs w:val="18"/>
          <w:lang w:val="en-US"/>
        </w:rPr>
        <w:t xml:space="preserve">Chart </w:t>
      </w:r>
      <w:r>
        <w:rPr>
          <w:b/>
          <w:sz w:val="18"/>
          <w:szCs w:val="18"/>
          <w:lang w:val="en-US"/>
        </w:rPr>
        <w:t>1</w:t>
      </w:r>
      <w:r w:rsidRPr="007C76FD">
        <w:rPr>
          <w:b/>
          <w:sz w:val="18"/>
          <w:szCs w:val="18"/>
          <w:lang w:val="en-US"/>
        </w:rPr>
        <w:t>.</w:t>
      </w:r>
      <w:r w:rsidRPr="007C76FD">
        <w:rPr>
          <w:b/>
          <w:sz w:val="18"/>
          <w:szCs w:val="18"/>
          <w:shd w:val="clear" w:color="auto" w:fill="FFFFFF"/>
          <w:lang w:val="en-US"/>
        </w:rPr>
        <w:t xml:space="preserve"> S</w:t>
      </w:r>
      <w:r w:rsidR="006C4A7C">
        <w:rPr>
          <w:b/>
          <w:sz w:val="18"/>
          <w:szCs w:val="18"/>
          <w:shd w:val="clear" w:color="auto" w:fill="FFFFFF"/>
          <w:lang w:val="en-US"/>
        </w:rPr>
        <w:t xml:space="preserve">hare of </w:t>
      </w:r>
      <w:r w:rsidR="00F63B47">
        <w:rPr>
          <w:b/>
          <w:sz w:val="18"/>
          <w:szCs w:val="18"/>
          <w:shd w:val="clear" w:color="auto" w:fill="FFFFFF"/>
          <w:lang w:val="en-US"/>
        </w:rPr>
        <w:t xml:space="preserve">purchased service </w:t>
      </w:r>
      <w:r>
        <w:rPr>
          <w:b/>
          <w:sz w:val="18"/>
          <w:szCs w:val="18"/>
          <w:shd w:val="clear" w:color="auto" w:fill="FFFFFF"/>
          <w:lang w:val="en-US"/>
        </w:rPr>
        <w:t xml:space="preserve">costs </w:t>
      </w:r>
      <w:r w:rsidR="00F63B47">
        <w:rPr>
          <w:b/>
          <w:sz w:val="18"/>
          <w:szCs w:val="18"/>
          <w:shd w:val="clear" w:color="auto" w:fill="FFFFFF"/>
          <w:lang w:val="en-US"/>
        </w:rPr>
        <w:t xml:space="preserve">in total external services for surveyed </w:t>
      </w:r>
      <w:r>
        <w:rPr>
          <w:b/>
          <w:sz w:val="18"/>
          <w:szCs w:val="18"/>
          <w:shd w:val="clear" w:color="auto" w:fill="FFFFFF"/>
          <w:lang w:val="en-US"/>
        </w:rPr>
        <w:t>activit</w:t>
      </w:r>
      <w:bookmarkStart w:name="_Ref109384269" w:id="1"/>
      <w:r w:rsidR="00F63B47">
        <w:rPr>
          <w:b/>
          <w:sz w:val="18"/>
          <w:szCs w:val="18"/>
          <w:shd w:val="clear" w:color="auto" w:fill="FFFFFF"/>
          <w:lang w:val="en-US"/>
        </w:rPr>
        <w:t>ies</w:t>
      </w:r>
      <w:r w:rsidR="00CA4B35">
        <w:rPr>
          <w:rStyle w:val="Odwoanieprzypisudolnego"/>
          <w:b/>
          <w:sz w:val="18"/>
          <w:szCs w:val="18"/>
          <w:shd w:val="clear" w:color="auto" w:fill="FFFFFF"/>
          <w:lang w:val="en-US"/>
        </w:rPr>
        <w:footnoteReference w:id="2"/>
      </w:r>
      <w:bookmarkEnd w:id="1"/>
      <w:r>
        <w:rPr>
          <w:b/>
          <w:sz w:val="18"/>
          <w:szCs w:val="18"/>
          <w:shd w:val="clear" w:color="auto" w:fill="FFFFFF"/>
          <w:lang w:val="en-US"/>
        </w:rPr>
        <w:t xml:space="preserve"> in </w:t>
      </w:r>
      <w:r w:rsidR="001A2431">
        <w:rPr>
          <w:b/>
          <w:sz w:val="18"/>
          <w:szCs w:val="18"/>
          <w:shd w:val="clear" w:color="auto" w:fill="FFFFFF"/>
          <w:lang w:val="en-US"/>
        </w:rPr>
        <w:t xml:space="preserve">2015 and </w:t>
      </w:r>
      <w:r>
        <w:rPr>
          <w:b/>
          <w:sz w:val="18"/>
          <w:szCs w:val="18"/>
          <w:shd w:val="clear" w:color="auto" w:fill="FFFFFF"/>
          <w:lang w:val="en-US"/>
        </w:rPr>
        <w:t xml:space="preserve">2020 </w:t>
      </w:r>
    </w:p>
    <w:p w:rsidR="00694D61" w:rsidP="003929FE" w:rsidRDefault="00CB39E7" w14:paraId="3526E4E8" w14:textId="2F937865">
      <w:pPr>
        <w:spacing w:line="288" w:lineRule="auto"/>
        <w:rPr>
          <w:rFonts w:eastAsia="Times New Roman" w:cs="Times New Roman"/>
          <w:szCs w:val="19"/>
          <w:lang w:eastAsia="pl-PL"/>
        </w:rPr>
      </w:pPr>
      <w:r>
        <w:rPr>
          <w:rFonts w:eastAsia="Times New Roman" w:cs="Times New Roman"/>
          <w:noProof/>
          <w:szCs w:val="19"/>
          <w:lang w:eastAsia="pl-PL"/>
        </w:rPr>
        <w:drawing>
          <wp:inline distT="0" distB="0" distL="0" distR="0" wp14:anchorId="477E8745" wp14:editId="3A715E86">
            <wp:extent cx="5088255" cy="3228975"/>
            <wp:effectExtent l="0" t="0" r="0" b="0"/>
            <wp:docPr id="15" name="Wykres 15" descr="Chart 1 shows structure of costs of services purchase by kind of activity in 2020" title="Chart 1 Strukture of costs of services purchase by kind of activity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4D61" w:rsidP="003929FE" w:rsidRDefault="00694D61" w14:paraId="30285AF8" w14:textId="77777777">
      <w:pPr>
        <w:spacing w:line="288" w:lineRule="auto"/>
        <w:rPr>
          <w:rFonts w:eastAsia="Times New Roman" w:cs="Times New Roman"/>
          <w:szCs w:val="19"/>
          <w:lang w:eastAsia="pl-PL"/>
        </w:rPr>
      </w:pPr>
    </w:p>
    <w:p w:rsidRPr="00257D39" w:rsidR="00694D61" w:rsidP="003929FE" w:rsidRDefault="00D354E7" w14:paraId="1736A8E6" w14:textId="117DD676">
      <w:pPr>
        <w:spacing w:line="288" w:lineRule="auto"/>
        <w:rPr>
          <w:rFonts w:eastAsia="Times New Roman" w:cs="Times New Roman"/>
          <w:szCs w:val="19"/>
          <w:lang w:val="en-GB" w:eastAsia="pl-PL"/>
        </w:rPr>
      </w:pPr>
      <w:r w:rsidRPr="00257D39">
        <w:rPr>
          <w:rFonts w:eastAsia="Times New Roman" w:cs="Times New Roman"/>
          <w:szCs w:val="19"/>
          <w:lang w:val="en-GB" w:eastAsia="pl-PL"/>
        </w:rPr>
        <w:t xml:space="preserve">The largest share of total costs of external services constituted services related to transportation and storage (23.3%; an increase of 3.5 pp compared to 2015), followed by other services (18.8%; a decrease of 3.6 pp) and other services related to business </w:t>
      </w:r>
      <w:r w:rsidRPr="00257D39" w:rsidR="0053504D">
        <w:rPr>
          <w:rFonts w:eastAsia="Times New Roman" w:cs="Times New Roman"/>
          <w:szCs w:val="19"/>
          <w:lang w:val="en-GB" w:eastAsia="pl-PL"/>
        </w:rPr>
        <w:t xml:space="preserve">support </w:t>
      </w:r>
      <w:r w:rsidRPr="00257D39">
        <w:rPr>
          <w:rFonts w:eastAsia="Times New Roman" w:cs="Times New Roman"/>
          <w:szCs w:val="19"/>
          <w:lang w:val="en-GB" w:eastAsia="pl-PL"/>
        </w:rPr>
        <w:t>services (13.0%; an increase of 1.9 pp).</w:t>
      </w:r>
    </w:p>
    <w:p w:rsidRPr="00257D39" w:rsidR="00694D61" w:rsidP="00DF061A" w:rsidRDefault="000F6EC0" w14:paraId="26FA3A00" w14:textId="732B1E2F">
      <w:pPr>
        <w:spacing w:line="288" w:lineRule="auto"/>
        <w:ind w:left="709" w:hanging="709"/>
        <w:rPr>
          <w:rFonts w:eastAsia="Times New Roman" w:cs="Times New Roman"/>
          <w:szCs w:val="19"/>
          <w:lang w:val="en-GB" w:eastAsia="pl-PL"/>
        </w:rPr>
      </w:pPr>
      <w:r w:rsidRPr="000F6EC0">
        <w:rPr>
          <w:b/>
          <w:sz w:val="18"/>
          <w:szCs w:val="18"/>
          <w:lang w:val="en-US"/>
        </w:rPr>
        <w:t xml:space="preserve">Chart </w:t>
      </w:r>
      <w:r>
        <w:rPr>
          <w:b/>
          <w:sz w:val="18"/>
          <w:szCs w:val="18"/>
          <w:lang w:val="en-US"/>
        </w:rPr>
        <w:t>2</w:t>
      </w:r>
      <w:r w:rsidRPr="000F6EC0">
        <w:rPr>
          <w:b/>
          <w:sz w:val="18"/>
          <w:szCs w:val="18"/>
          <w:lang w:val="en-US"/>
        </w:rPr>
        <w:t>.</w:t>
      </w:r>
      <w:r>
        <w:rPr>
          <w:b/>
          <w:sz w:val="18"/>
          <w:szCs w:val="18"/>
          <w:shd w:val="clear" w:color="auto" w:fill="FFFFFF"/>
          <w:lang w:val="en-US"/>
        </w:rPr>
        <w:t xml:space="preserve"> S</w:t>
      </w:r>
      <w:r w:rsidR="00DF061A">
        <w:rPr>
          <w:b/>
          <w:sz w:val="18"/>
          <w:szCs w:val="18"/>
          <w:shd w:val="clear" w:color="auto" w:fill="FFFFFF"/>
          <w:lang w:val="en-US"/>
        </w:rPr>
        <w:t>hare</w:t>
      </w:r>
      <w:r>
        <w:rPr>
          <w:b/>
          <w:sz w:val="18"/>
          <w:szCs w:val="18"/>
          <w:shd w:val="clear" w:color="auto" w:fill="FFFFFF"/>
          <w:lang w:val="en-US"/>
        </w:rPr>
        <w:t xml:space="preserve"> of </w:t>
      </w:r>
      <w:r w:rsidR="00DF061A">
        <w:rPr>
          <w:b/>
          <w:sz w:val="18"/>
          <w:szCs w:val="18"/>
          <w:shd w:val="clear" w:color="auto" w:fill="FFFFFF"/>
          <w:lang w:val="en-US"/>
        </w:rPr>
        <w:t xml:space="preserve">individual types </w:t>
      </w:r>
      <w:r w:rsidR="004510DE">
        <w:rPr>
          <w:b/>
          <w:sz w:val="18"/>
          <w:szCs w:val="18"/>
          <w:shd w:val="clear" w:color="auto" w:fill="FFFFFF"/>
          <w:lang w:val="en-US"/>
        </w:rPr>
        <w:t xml:space="preserve">of services </w:t>
      </w:r>
      <w:r w:rsidR="00DF061A">
        <w:rPr>
          <w:b/>
          <w:sz w:val="18"/>
          <w:szCs w:val="18"/>
          <w:shd w:val="clear" w:color="auto" w:fill="FFFFFF"/>
          <w:lang w:val="en-US"/>
        </w:rPr>
        <w:t xml:space="preserve">in total </w:t>
      </w:r>
      <w:r>
        <w:rPr>
          <w:b/>
          <w:sz w:val="18"/>
          <w:szCs w:val="18"/>
          <w:shd w:val="clear" w:color="auto" w:fill="FFFFFF"/>
          <w:lang w:val="en-US"/>
        </w:rPr>
        <w:t xml:space="preserve">external </w:t>
      </w:r>
      <w:r w:rsidRPr="000F6EC0">
        <w:rPr>
          <w:b/>
          <w:sz w:val="18"/>
          <w:szCs w:val="18"/>
          <w:shd w:val="clear" w:color="auto" w:fill="FFFFFF"/>
          <w:lang w:val="en-US"/>
        </w:rPr>
        <w:t>services purchase</w:t>
      </w:r>
      <w:r>
        <w:rPr>
          <w:b/>
          <w:sz w:val="18"/>
          <w:szCs w:val="18"/>
          <w:shd w:val="clear" w:color="auto" w:fill="FFFFFF"/>
          <w:lang w:val="en-US"/>
        </w:rPr>
        <w:t>d</w:t>
      </w:r>
      <w:r w:rsidRPr="000F6EC0">
        <w:rPr>
          <w:b/>
          <w:sz w:val="18"/>
          <w:szCs w:val="18"/>
          <w:shd w:val="clear" w:color="auto" w:fill="FFFFFF"/>
          <w:lang w:val="en-US"/>
        </w:rPr>
        <w:t xml:space="preserve"> by </w:t>
      </w:r>
      <w:r w:rsidR="00DF061A">
        <w:rPr>
          <w:b/>
          <w:sz w:val="18"/>
          <w:szCs w:val="18"/>
          <w:shd w:val="clear" w:color="auto" w:fill="FFFFFF"/>
          <w:lang w:val="en-US"/>
        </w:rPr>
        <w:t xml:space="preserve">surveyed </w:t>
      </w:r>
      <w:r>
        <w:rPr>
          <w:b/>
          <w:sz w:val="18"/>
          <w:szCs w:val="18"/>
          <w:shd w:val="clear" w:color="auto" w:fill="FFFFFF"/>
          <w:lang w:val="en-US"/>
        </w:rPr>
        <w:t>enterprises</w:t>
      </w:r>
      <w:r w:rsidRPr="000F6EC0">
        <w:rPr>
          <w:b/>
          <w:sz w:val="18"/>
          <w:szCs w:val="18"/>
          <w:shd w:val="clear" w:color="auto" w:fill="FFFFFF"/>
          <w:vertAlign w:val="superscript"/>
          <w:lang w:val="en-US"/>
        </w:rPr>
        <w:fldChar w:fldCharType="begin"/>
      </w:r>
      <w:r w:rsidRPr="000F6EC0">
        <w:rPr>
          <w:b/>
          <w:sz w:val="18"/>
          <w:szCs w:val="18"/>
          <w:shd w:val="clear" w:color="auto" w:fill="FFFFFF"/>
          <w:vertAlign w:val="superscript"/>
          <w:lang w:val="en-US"/>
        </w:rPr>
        <w:instrText xml:space="preserve"> NOTEREF _Ref109378710 \h </w:instrText>
      </w:r>
      <w:r>
        <w:rPr>
          <w:b/>
          <w:sz w:val="18"/>
          <w:szCs w:val="18"/>
          <w:shd w:val="clear" w:color="auto" w:fill="FFFFFF"/>
          <w:vertAlign w:val="superscript"/>
          <w:lang w:val="en-US"/>
        </w:rPr>
        <w:instrText xml:space="preserve"> \* MERGEFORMAT </w:instrText>
      </w:r>
      <w:r w:rsidRPr="000F6EC0">
        <w:rPr>
          <w:b/>
          <w:sz w:val="18"/>
          <w:szCs w:val="18"/>
          <w:shd w:val="clear" w:color="auto" w:fill="FFFFFF"/>
          <w:vertAlign w:val="superscript"/>
          <w:lang w:val="en-US"/>
        </w:rPr>
      </w:r>
      <w:r w:rsidRPr="000F6EC0">
        <w:rPr>
          <w:b/>
          <w:sz w:val="18"/>
          <w:szCs w:val="18"/>
          <w:shd w:val="clear" w:color="auto" w:fill="FFFFFF"/>
          <w:vertAlign w:val="superscript"/>
          <w:lang w:val="en-US"/>
        </w:rPr>
        <w:fldChar w:fldCharType="separate"/>
      </w:r>
      <w:r w:rsidR="006B1E23">
        <w:rPr>
          <w:b/>
          <w:sz w:val="18"/>
          <w:szCs w:val="18"/>
          <w:shd w:val="clear" w:color="auto" w:fill="FFFFFF"/>
          <w:vertAlign w:val="superscript"/>
          <w:lang w:val="en-US"/>
        </w:rPr>
        <w:t>1</w:t>
      </w:r>
      <w:r w:rsidRPr="000F6EC0">
        <w:rPr>
          <w:b/>
          <w:sz w:val="18"/>
          <w:szCs w:val="18"/>
          <w:shd w:val="clear" w:color="auto" w:fill="FFFFFF"/>
          <w:vertAlign w:val="superscript"/>
          <w:lang w:val="en-US"/>
        </w:rPr>
        <w:fldChar w:fldCharType="end"/>
      </w:r>
      <w:r w:rsidRPr="000F6EC0">
        <w:rPr>
          <w:b/>
          <w:sz w:val="18"/>
          <w:szCs w:val="18"/>
          <w:shd w:val="clear" w:color="auto" w:fill="FFFFFF"/>
          <w:lang w:val="en-US"/>
        </w:rPr>
        <w:t xml:space="preserve"> in</w:t>
      </w:r>
      <w:r>
        <w:rPr>
          <w:b/>
          <w:sz w:val="18"/>
          <w:szCs w:val="18"/>
          <w:shd w:val="clear" w:color="auto" w:fill="FFFFFF"/>
          <w:lang w:val="en-US"/>
        </w:rPr>
        <w:t xml:space="preserve"> </w:t>
      </w:r>
      <w:r w:rsidR="001F3532">
        <w:rPr>
          <w:b/>
          <w:sz w:val="18"/>
          <w:szCs w:val="18"/>
          <w:shd w:val="clear" w:color="auto" w:fill="FFFFFF"/>
          <w:lang w:val="en-US"/>
        </w:rPr>
        <w:t xml:space="preserve">2015 and </w:t>
      </w:r>
      <w:r>
        <w:rPr>
          <w:b/>
          <w:sz w:val="18"/>
          <w:szCs w:val="18"/>
          <w:shd w:val="clear" w:color="auto" w:fill="FFFFFF"/>
          <w:lang w:val="en-US"/>
        </w:rPr>
        <w:t>2020</w:t>
      </w:r>
    </w:p>
    <w:p w:rsidR="00694D61" w:rsidP="003929FE" w:rsidRDefault="00852910" w14:paraId="688FDF8C" w14:textId="1A930332">
      <w:pPr>
        <w:spacing w:line="288" w:lineRule="auto"/>
        <w:rPr>
          <w:rFonts w:eastAsia="Times New Roman" w:cs="Times New Roman"/>
          <w:szCs w:val="19"/>
          <w:lang w:eastAsia="pl-PL"/>
        </w:rPr>
      </w:pPr>
      <w:r>
        <w:rPr>
          <w:rFonts w:eastAsia="Times New Roman" w:cs="Times New Roman"/>
          <w:noProof/>
          <w:szCs w:val="19"/>
          <w:lang w:eastAsia="pl-PL"/>
        </w:rPr>
        <w:drawing>
          <wp:inline distT="0" distB="0" distL="0" distR="0" wp14:anchorId="14EE48A5" wp14:editId="44BC18F1">
            <wp:extent cx="5096510" cy="7975158"/>
            <wp:effectExtent l="0" t="0" r="8890" b="6985"/>
            <wp:docPr id="4" name="Wykres 4" descr="Chart 2 shows structure of external services purchased by enterprises in 2020" title="Chart 2 Structure of external services purchased by enterpris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257D39" w:rsidR="00364E47" w:rsidP="00364E47" w:rsidRDefault="00364E47" w14:paraId="4AE1D12E" w14:textId="5FCC6B57">
      <w:pPr>
        <w:spacing w:line="288" w:lineRule="auto"/>
        <w:rPr>
          <w:noProof/>
          <w:lang w:val="en-GB" w:eastAsia="pl-PL"/>
        </w:rPr>
      </w:pPr>
      <w:r w:rsidRPr="00257D39">
        <w:rPr>
          <w:noProof/>
          <w:lang w:val="en-GB" w:eastAsia="pl-PL"/>
        </w:rPr>
        <w:lastRenderedPageBreak/>
        <w:t>For 60.1% of entities</w:t>
      </w:r>
      <w:r w:rsidRPr="00364E47">
        <w:rPr>
          <w:noProof/>
          <w:vertAlign w:val="superscript"/>
          <w:lang w:eastAsia="pl-PL"/>
        </w:rPr>
        <w:fldChar w:fldCharType="begin"/>
      </w:r>
      <w:r w:rsidRPr="00257D39">
        <w:rPr>
          <w:noProof/>
          <w:vertAlign w:val="superscript"/>
          <w:lang w:val="en-GB" w:eastAsia="pl-PL"/>
        </w:rPr>
        <w:instrText xml:space="preserve"> NOTEREF _Ref109378710 \h  \* MERGEFORMAT </w:instrText>
      </w:r>
      <w:r w:rsidRPr="00364E47">
        <w:rPr>
          <w:noProof/>
          <w:vertAlign w:val="superscript"/>
          <w:lang w:eastAsia="pl-PL"/>
        </w:rPr>
      </w:r>
      <w:r w:rsidRPr="00364E47">
        <w:rPr>
          <w:noProof/>
          <w:vertAlign w:val="superscript"/>
          <w:lang w:eastAsia="pl-PL"/>
        </w:rPr>
        <w:fldChar w:fldCharType="separate"/>
      </w:r>
      <w:r w:rsidR="006B1E23">
        <w:rPr>
          <w:noProof/>
          <w:vertAlign w:val="superscript"/>
          <w:lang w:val="en-GB" w:eastAsia="pl-PL"/>
        </w:rPr>
        <w:t>1</w:t>
      </w:r>
      <w:r w:rsidRPr="00364E47">
        <w:rPr>
          <w:noProof/>
          <w:vertAlign w:val="superscript"/>
          <w:lang w:eastAsia="pl-PL"/>
        </w:rPr>
        <w:fldChar w:fldCharType="end"/>
      </w:r>
      <w:r w:rsidRPr="00257D39">
        <w:rPr>
          <w:noProof/>
          <w:lang w:val="en-GB" w:eastAsia="pl-PL"/>
        </w:rPr>
        <w:t xml:space="preserve"> (an icrease of 6.7 pp compared to 2015) services were acquired from another company on the basis of a permanent contract, while 24.8% (a decrease of 5.2 pp) – from another contractor on the basis of a one-time contract.</w:t>
      </w:r>
      <w:r w:rsidRPr="00257D39" w:rsidR="00B83196">
        <w:rPr>
          <w:noProof/>
          <w:lang w:val="en-GB" w:eastAsia="pl-PL"/>
        </w:rPr>
        <w:t xml:space="preserve"> Enterprises that sourced services internally accounted for </w:t>
      </w:r>
      <w:r w:rsidR="00B83987">
        <w:rPr>
          <w:noProof/>
          <w:lang w:val="en-GB" w:eastAsia="pl-PL"/>
        </w:rPr>
        <w:t>10</w:t>
      </w:r>
      <w:r w:rsidRPr="00257D39" w:rsidR="00B83196">
        <w:rPr>
          <w:noProof/>
          <w:lang w:val="en-GB" w:eastAsia="pl-PL"/>
        </w:rPr>
        <w:t>.</w:t>
      </w:r>
      <w:r w:rsidR="00B83987">
        <w:rPr>
          <w:noProof/>
          <w:lang w:val="en-GB" w:eastAsia="pl-PL"/>
        </w:rPr>
        <w:t>2</w:t>
      </w:r>
      <w:r w:rsidRPr="00257D39">
        <w:rPr>
          <w:noProof/>
          <w:lang w:val="en-GB" w:eastAsia="pl-PL"/>
        </w:rPr>
        <w:t>% (</w:t>
      </w:r>
      <w:r w:rsidRPr="00257D39" w:rsidR="00B83196">
        <w:rPr>
          <w:noProof/>
          <w:lang w:val="en-GB" w:eastAsia="pl-PL"/>
        </w:rPr>
        <w:t xml:space="preserve">a decrease of </w:t>
      </w:r>
      <w:r w:rsidRPr="00257D39">
        <w:rPr>
          <w:noProof/>
          <w:lang w:val="en-GB" w:eastAsia="pl-PL"/>
        </w:rPr>
        <w:t>2</w:t>
      </w:r>
      <w:r w:rsidRPr="00257D39" w:rsidR="00B83196">
        <w:rPr>
          <w:noProof/>
          <w:lang w:val="en-GB" w:eastAsia="pl-PL"/>
        </w:rPr>
        <w:t>.</w:t>
      </w:r>
      <w:r w:rsidRPr="00257D39">
        <w:rPr>
          <w:noProof/>
          <w:lang w:val="en-GB" w:eastAsia="pl-PL"/>
        </w:rPr>
        <w:t>1 pp)</w:t>
      </w:r>
      <w:r w:rsidRPr="00257D39" w:rsidR="00B83196">
        <w:rPr>
          <w:noProof/>
          <w:lang w:val="en-GB" w:eastAsia="pl-PL"/>
        </w:rPr>
        <w:t xml:space="preserve"> of total entities</w:t>
      </w:r>
      <w:r w:rsidRPr="00257D39">
        <w:rPr>
          <w:noProof/>
          <w:lang w:val="en-GB" w:eastAsia="pl-PL"/>
        </w:rPr>
        <w:t>, 4</w:t>
      </w:r>
      <w:r w:rsidRPr="00257D39" w:rsidR="00B83196">
        <w:rPr>
          <w:noProof/>
          <w:lang w:val="en-GB" w:eastAsia="pl-PL"/>
        </w:rPr>
        <w:t>.</w:t>
      </w:r>
      <w:r w:rsidR="00B83987">
        <w:rPr>
          <w:noProof/>
          <w:lang w:val="en-GB" w:eastAsia="pl-PL"/>
        </w:rPr>
        <w:t>9</w:t>
      </w:r>
      <w:r w:rsidRPr="00257D39">
        <w:rPr>
          <w:noProof/>
          <w:lang w:val="en-GB" w:eastAsia="pl-PL"/>
        </w:rPr>
        <w:t>% (</w:t>
      </w:r>
      <w:r w:rsidRPr="00257D39" w:rsidR="00B83196">
        <w:rPr>
          <w:noProof/>
          <w:lang w:val="en-GB" w:eastAsia="pl-PL"/>
        </w:rPr>
        <w:t>an increase of 0.</w:t>
      </w:r>
      <w:r w:rsidRPr="00257D39">
        <w:rPr>
          <w:noProof/>
          <w:lang w:val="en-GB" w:eastAsia="pl-PL"/>
        </w:rPr>
        <w:t xml:space="preserve">6 pp) </w:t>
      </w:r>
      <w:r w:rsidRPr="00257D39" w:rsidR="00B83196">
        <w:rPr>
          <w:noProof/>
          <w:lang w:val="en-GB" w:eastAsia="pl-PL"/>
        </w:rPr>
        <w:t>–</w:t>
      </w:r>
      <w:r w:rsidRPr="00257D39">
        <w:rPr>
          <w:noProof/>
          <w:lang w:val="en-GB" w:eastAsia="pl-PL"/>
        </w:rPr>
        <w:t xml:space="preserve"> w</w:t>
      </w:r>
      <w:r w:rsidRPr="00257D39" w:rsidR="00B83196">
        <w:rPr>
          <w:noProof/>
          <w:lang w:val="en-GB" w:eastAsia="pl-PL"/>
        </w:rPr>
        <w:t>ithin a group of entities.</w:t>
      </w:r>
    </w:p>
    <w:p w:rsidRPr="00257D39" w:rsidR="00B83196" w:rsidP="00364E47" w:rsidRDefault="00B83196" w14:paraId="385E4A36" w14:textId="7098148C">
      <w:pPr>
        <w:spacing w:line="288" w:lineRule="auto"/>
        <w:rPr>
          <w:noProof/>
          <w:lang w:val="en-GB" w:eastAsia="pl-PL"/>
        </w:rPr>
      </w:pPr>
      <w:r w:rsidRPr="00257D39">
        <w:rPr>
          <w:noProof/>
          <w:lang w:val="en-GB" w:eastAsia="pl-PL"/>
        </w:rPr>
        <w:t>In 2020, entities</w:t>
      </w:r>
      <w:r w:rsidRPr="0021267B" w:rsidR="0021267B">
        <w:rPr>
          <w:noProof/>
          <w:vertAlign w:val="superscript"/>
          <w:lang w:eastAsia="pl-PL"/>
        </w:rPr>
        <w:fldChar w:fldCharType="begin"/>
      </w:r>
      <w:r w:rsidRPr="00257D39" w:rsidR="0021267B">
        <w:rPr>
          <w:noProof/>
          <w:vertAlign w:val="superscript"/>
          <w:lang w:val="en-GB" w:eastAsia="pl-PL"/>
        </w:rPr>
        <w:instrText xml:space="preserve"> NOTEREF _Ref109378710 \h  \* MERGEFORMAT </w:instrText>
      </w:r>
      <w:r w:rsidRPr="0021267B" w:rsidR="0021267B">
        <w:rPr>
          <w:noProof/>
          <w:vertAlign w:val="superscript"/>
          <w:lang w:eastAsia="pl-PL"/>
        </w:rPr>
      </w:r>
      <w:r w:rsidRPr="0021267B" w:rsidR="0021267B">
        <w:rPr>
          <w:noProof/>
          <w:vertAlign w:val="superscript"/>
          <w:lang w:eastAsia="pl-PL"/>
        </w:rPr>
        <w:fldChar w:fldCharType="separate"/>
      </w:r>
      <w:r w:rsidR="006B1E23">
        <w:rPr>
          <w:noProof/>
          <w:vertAlign w:val="superscript"/>
          <w:lang w:val="en-GB" w:eastAsia="pl-PL"/>
        </w:rPr>
        <w:t>1</w:t>
      </w:r>
      <w:r w:rsidRPr="0021267B" w:rsidR="0021267B">
        <w:rPr>
          <w:noProof/>
          <w:vertAlign w:val="superscript"/>
          <w:lang w:eastAsia="pl-PL"/>
        </w:rPr>
        <w:fldChar w:fldCharType="end"/>
      </w:r>
      <w:r w:rsidRPr="00257D39">
        <w:rPr>
          <w:noProof/>
          <w:lang w:val="en-GB" w:eastAsia="pl-PL"/>
        </w:rPr>
        <w:t xml:space="preserve"> with the number of persons employed 50 and more acquired services from domestic contractors located in the same voivodeship (58.1%; a decrease of 2.9 pp compared to 2015) and for </w:t>
      </w:r>
      <w:r w:rsidRPr="00257D39" w:rsidR="00D57770">
        <w:rPr>
          <w:noProof/>
          <w:lang w:val="en-GB" w:eastAsia="pl-PL"/>
        </w:rPr>
        <w:t>35.4</w:t>
      </w:r>
      <w:r w:rsidRPr="00257D39">
        <w:rPr>
          <w:noProof/>
          <w:lang w:val="en-GB" w:eastAsia="pl-PL"/>
        </w:rPr>
        <w:t>% (an increase of 2.</w:t>
      </w:r>
      <w:r w:rsidRPr="00257D39" w:rsidR="00D57770">
        <w:rPr>
          <w:noProof/>
          <w:lang w:val="en-GB" w:eastAsia="pl-PL"/>
        </w:rPr>
        <w:t>1</w:t>
      </w:r>
      <w:r w:rsidRPr="00257D39">
        <w:rPr>
          <w:noProof/>
          <w:lang w:val="en-GB" w:eastAsia="pl-PL"/>
        </w:rPr>
        <w:t xml:space="preserve"> pp)- domestic contractors but located in another voivodeship. Entities showed much less int</w:t>
      </w:r>
      <w:bookmarkStart w:name="_GoBack" w:id="2"/>
      <w:bookmarkEnd w:id="2"/>
      <w:r w:rsidRPr="00257D39">
        <w:rPr>
          <w:noProof/>
          <w:lang w:val="en-GB" w:eastAsia="pl-PL"/>
        </w:rPr>
        <w:t>erest in purchasing services abroa</w:t>
      </w:r>
      <w:r w:rsidR="00406189">
        <w:rPr>
          <w:noProof/>
          <w:lang w:val="en-GB" w:eastAsia="pl-PL"/>
        </w:rPr>
        <w:t>d – 5.6</w:t>
      </w:r>
      <w:r w:rsidRPr="00257D39" w:rsidR="00D57770">
        <w:rPr>
          <w:noProof/>
          <w:lang w:val="en-GB" w:eastAsia="pl-PL"/>
        </w:rPr>
        <w:t xml:space="preserve">% </w:t>
      </w:r>
      <w:r w:rsidRPr="00257D39">
        <w:rPr>
          <w:noProof/>
          <w:lang w:val="en-GB" w:eastAsia="pl-PL"/>
        </w:rPr>
        <w:t xml:space="preserve">of acquired services came from European Union countries </w:t>
      </w:r>
      <w:r w:rsidRPr="00257D39" w:rsidR="00D57770">
        <w:rPr>
          <w:noProof/>
          <w:lang w:val="en-GB" w:eastAsia="pl-PL"/>
        </w:rPr>
        <w:t>(an increase of 0.6 pp) and only 0</w:t>
      </w:r>
      <w:r w:rsidRPr="00257D39">
        <w:rPr>
          <w:noProof/>
          <w:lang w:val="en-GB" w:eastAsia="pl-PL"/>
        </w:rPr>
        <w:t>.</w:t>
      </w:r>
      <w:r w:rsidR="00406189">
        <w:rPr>
          <w:noProof/>
          <w:lang w:val="en-GB" w:eastAsia="pl-PL"/>
        </w:rPr>
        <w:t>9</w:t>
      </w:r>
      <w:r w:rsidRPr="00257D39" w:rsidR="00D57770">
        <w:rPr>
          <w:noProof/>
          <w:lang w:val="en-GB" w:eastAsia="pl-PL"/>
        </w:rPr>
        <w:t>% (an increase of 0</w:t>
      </w:r>
      <w:r w:rsidRPr="00257D39">
        <w:rPr>
          <w:noProof/>
          <w:lang w:val="en-GB" w:eastAsia="pl-PL"/>
        </w:rPr>
        <w:t>.</w:t>
      </w:r>
      <w:r w:rsidRPr="00257D39" w:rsidR="00D57770">
        <w:rPr>
          <w:noProof/>
          <w:lang w:val="en-GB" w:eastAsia="pl-PL"/>
        </w:rPr>
        <w:t>2</w:t>
      </w:r>
      <w:r w:rsidRPr="00257D39">
        <w:rPr>
          <w:noProof/>
          <w:lang w:val="en-GB" w:eastAsia="pl-PL"/>
        </w:rPr>
        <w:t xml:space="preserve"> pp) from outside the European Union.</w:t>
      </w:r>
    </w:p>
    <w:p w:rsidRPr="00257D39" w:rsidR="0021267B" w:rsidP="00364E47" w:rsidRDefault="0021267B" w14:paraId="21377578" w14:textId="7D47E279">
      <w:pPr>
        <w:spacing w:line="288" w:lineRule="auto"/>
        <w:rPr>
          <w:noProof/>
          <w:lang w:val="en-GB" w:eastAsia="pl-PL"/>
        </w:rPr>
      </w:pPr>
      <w:r w:rsidRPr="00257D39">
        <w:rPr>
          <w:noProof/>
          <w:lang w:val="en-GB" w:eastAsia="pl-PL"/>
        </w:rPr>
        <w:t>More than half of surveyed entities</w:t>
      </w:r>
      <w:r w:rsidRPr="0021267B">
        <w:rPr>
          <w:noProof/>
          <w:vertAlign w:val="superscript"/>
          <w:lang w:eastAsia="pl-PL"/>
        </w:rPr>
        <w:fldChar w:fldCharType="begin"/>
      </w:r>
      <w:r w:rsidRPr="00257D39">
        <w:rPr>
          <w:noProof/>
          <w:vertAlign w:val="superscript"/>
          <w:lang w:val="en-GB" w:eastAsia="pl-PL"/>
        </w:rPr>
        <w:instrText xml:space="preserve"> NOTEREF _Ref109378710 \h  \* MERGEFORMAT </w:instrText>
      </w:r>
      <w:r w:rsidRPr="0021267B">
        <w:rPr>
          <w:noProof/>
          <w:vertAlign w:val="superscript"/>
          <w:lang w:eastAsia="pl-PL"/>
        </w:rPr>
      </w:r>
      <w:r w:rsidRPr="0021267B">
        <w:rPr>
          <w:noProof/>
          <w:vertAlign w:val="superscript"/>
          <w:lang w:eastAsia="pl-PL"/>
        </w:rPr>
        <w:fldChar w:fldCharType="separate"/>
      </w:r>
      <w:r w:rsidR="006B1E23">
        <w:rPr>
          <w:noProof/>
          <w:vertAlign w:val="superscript"/>
          <w:lang w:val="en-GB" w:eastAsia="pl-PL"/>
        </w:rPr>
        <w:t>1</w:t>
      </w:r>
      <w:r w:rsidRPr="0021267B">
        <w:rPr>
          <w:noProof/>
          <w:vertAlign w:val="superscript"/>
          <w:lang w:eastAsia="pl-PL"/>
        </w:rPr>
        <w:fldChar w:fldCharType="end"/>
      </w:r>
      <w:r w:rsidRPr="00257D39">
        <w:rPr>
          <w:noProof/>
          <w:lang w:val="en-GB" w:eastAsia="pl-PL"/>
        </w:rPr>
        <w:t xml:space="preserve"> (55.4%; in comparison to 2015 an </w:t>
      </w:r>
      <w:r w:rsidR="002C1682">
        <w:rPr>
          <w:noProof/>
          <w:lang w:val="en-GB" w:eastAsia="pl-PL"/>
        </w:rPr>
        <w:t>increase of 4.8 pp) did not declare any</w:t>
      </w:r>
      <w:r w:rsidRPr="00257D39">
        <w:rPr>
          <w:noProof/>
          <w:lang w:val="en-GB" w:eastAsia="pl-PL"/>
        </w:rPr>
        <w:t xml:space="preserve"> barriers related to the purchase of services from non-residents</w:t>
      </w:r>
      <w:bookmarkStart w:name="_Ref109639774" w:id="3"/>
      <w:r>
        <w:rPr>
          <w:rStyle w:val="Odwoanieprzypisudolnego"/>
          <w:noProof/>
          <w:lang w:eastAsia="pl-PL"/>
        </w:rPr>
        <w:footnoteReference w:id="3"/>
      </w:r>
      <w:bookmarkEnd w:id="3"/>
      <w:r w:rsidRPr="00257D39">
        <w:rPr>
          <w:noProof/>
          <w:lang w:val="en-GB" w:eastAsia="pl-PL"/>
        </w:rPr>
        <w:t>. Location of a service provider was a difficulty in outsourcing services for 1</w:t>
      </w:r>
      <w:r w:rsidRPr="00257D39" w:rsidR="00263CBF">
        <w:rPr>
          <w:noProof/>
          <w:lang w:val="en-GB" w:eastAsia="pl-PL"/>
        </w:rPr>
        <w:t>3</w:t>
      </w:r>
      <w:r w:rsidRPr="00257D39">
        <w:rPr>
          <w:noProof/>
          <w:lang w:val="en-GB" w:eastAsia="pl-PL"/>
        </w:rPr>
        <w:t>.</w:t>
      </w:r>
      <w:r w:rsidRPr="00257D39" w:rsidR="00263CBF">
        <w:rPr>
          <w:noProof/>
          <w:lang w:val="en-GB" w:eastAsia="pl-PL"/>
        </w:rPr>
        <w:t>1</w:t>
      </w:r>
      <w:r w:rsidRPr="00257D39">
        <w:rPr>
          <w:noProof/>
          <w:lang w:val="en-GB" w:eastAsia="pl-PL"/>
        </w:rPr>
        <w:t xml:space="preserve">% entities (a decrease of </w:t>
      </w:r>
      <w:r w:rsidRPr="00257D39" w:rsidR="00263CBF">
        <w:rPr>
          <w:noProof/>
          <w:lang w:val="en-GB" w:eastAsia="pl-PL"/>
        </w:rPr>
        <w:t>2.4</w:t>
      </w:r>
      <w:r w:rsidRPr="00257D39">
        <w:rPr>
          <w:noProof/>
          <w:lang w:val="en-GB" w:eastAsia="pl-PL"/>
        </w:rPr>
        <w:t xml:space="preserve"> pp), while </w:t>
      </w:r>
      <w:r w:rsidRPr="00257D39" w:rsidR="00263CBF">
        <w:rPr>
          <w:noProof/>
          <w:lang w:val="en-GB" w:eastAsia="pl-PL"/>
        </w:rPr>
        <w:t>9.4</w:t>
      </w:r>
      <w:r w:rsidRPr="00257D39">
        <w:rPr>
          <w:noProof/>
          <w:lang w:val="en-GB" w:eastAsia="pl-PL"/>
        </w:rPr>
        <w:t xml:space="preserve">% of enterprises (a </w:t>
      </w:r>
      <w:r w:rsidRPr="00257D39" w:rsidR="00263CBF">
        <w:rPr>
          <w:noProof/>
          <w:lang w:val="en-GB" w:eastAsia="pl-PL"/>
        </w:rPr>
        <w:t>decr</w:t>
      </w:r>
      <w:r w:rsidRPr="00257D39">
        <w:rPr>
          <w:noProof/>
          <w:lang w:val="en-GB" w:eastAsia="pl-PL"/>
        </w:rPr>
        <w:t xml:space="preserve">ease of 1.3 pp) indicated </w:t>
      </w:r>
      <w:r w:rsidRPr="00257D39" w:rsidR="00263CBF">
        <w:rPr>
          <w:noProof/>
          <w:lang w:val="en-GB" w:eastAsia="pl-PL"/>
        </w:rPr>
        <w:t>economic barriers, i.e. related to higher costs of services purchased from foreign providers</w:t>
      </w:r>
      <w:r w:rsidRPr="00257D39">
        <w:rPr>
          <w:noProof/>
          <w:lang w:val="en-GB" w:eastAsia="pl-PL"/>
        </w:rPr>
        <w:t>.</w:t>
      </w:r>
    </w:p>
    <w:p w:rsidRPr="00257D39" w:rsidR="00DA331D" w:rsidP="00C60061" w:rsidRDefault="00DE6DD7" w14:paraId="3C222B0C" w14:textId="2F8AD62D">
      <w:pPr>
        <w:spacing w:line="288" w:lineRule="auto"/>
        <w:rPr>
          <w:noProof/>
          <w:lang w:val="en-GB" w:eastAsia="pl-PL"/>
        </w:rPr>
      </w:pPr>
      <w:r>
        <w:rPr>
          <w:noProof/>
          <w:sz w:val="18"/>
          <w:lang w:eastAsia="pl-PL"/>
        </w:rPr>
        <w:drawing>
          <wp:anchor distT="0" distB="0" distL="114300" distR="114300" simplePos="0" relativeHeight="251758592" behindDoc="0" locked="0" layoutInCell="1" allowOverlap="1" wp14:editId="34C0F56B" wp14:anchorId="654BA728">
            <wp:simplePos x="0" y="0"/>
            <wp:positionH relativeFrom="column">
              <wp:posOffset>19685</wp:posOffset>
            </wp:positionH>
            <wp:positionV relativeFrom="paragraph">
              <wp:posOffset>193040</wp:posOffset>
            </wp:positionV>
            <wp:extent cx="5067300" cy="3665220"/>
            <wp:effectExtent l="0" t="0" r="0" b="0"/>
            <wp:wrapSquare wrapText="bothSides"/>
            <wp:docPr id="16" name="Wykres 16" descr="Chart 2 shows barriers related to the purchase of services from non-residents  in 2020" title="Chart 2 Barriers related to the purchase of services from non-resident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0F6EC0" w:rsidR="00263CBF">
        <w:rPr>
          <w:b/>
          <w:sz w:val="18"/>
          <w:szCs w:val="18"/>
          <w:lang w:val="en-US"/>
        </w:rPr>
        <w:t xml:space="preserve">Chart </w:t>
      </w:r>
      <w:r w:rsidR="00263CBF">
        <w:rPr>
          <w:b/>
          <w:sz w:val="18"/>
          <w:szCs w:val="18"/>
          <w:lang w:val="en-US"/>
        </w:rPr>
        <w:t>2</w:t>
      </w:r>
      <w:r w:rsidRPr="000F6EC0" w:rsidR="00263CBF">
        <w:rPr>
          <w:b/>
          <w:sz w:val="18"/>
          <w:szCs w:val="18"/>
          <w:lang w:val="en-US"/>
        </w:rPr>
        <w:t>.</w:t>
      </w:r>
      <w:r w:rsidR="00263CBF">
        <w:rPr>
          <w:b/>
          <w:sz w:val="18"/>
          <w:szCs w:val="18"/>
          <w:shd w:val="clear" w:color="auto" w:fill="FFFFFF"/>
          <w:lang w:val="en-US"/>
        </w:rPr>
        <w:t xml:space="preserve"> Barriers related to the purchase of services from non-residents</w:t>
      </w:r>
      <w:r w:rsidRPr="00263CBF" w:rsidR="00263CBF">
        <w:rPr>
          <w:b/>
          <w:sz w:val="18"/>
          <w:szCs w:val="18"/>
          <w:shd w:val="clear" w:color="auto" w:fill="FFFFFF"/>
          <w:vertAlign w:val="superscript"/>
          <w:lang w:val="en-US"/>
        </w:rPr>
        <w:fldChar w:fldCharType="begin"/>
      </w:r>
      <w:r w:rsidRPr="00263CBF" w:rsidR="00263CBF">
        <w:rPr>
          <w:b/>
          <w:sz w:val="18"/>
          <w:szCs w:val="18"/>
          <w:shd w:val="clear" w:color="auto" w:fill="FFFFFF"/>
          <w:vertAlign w:val="superscript"/>
          <w:lang w:val="en-US"/>
        </w:rPr>
        <w:instrText xml:space="preserve"> NOTEREF _Ref109639774 \h </w:instrText>
      </w:r>
      <w:r w:rsidR="00263CBF">
        <w:rPr>
          <w:b/>
          <w:sz w:val="18"/>
          <w:szCs w:val="18"/>
          <w:shd w:val="clear" w:color="auto" w:fill="FFFFFF"/>
          <w:vertAlign w:val="superscript"/>
          <w:lang w:val="en-US"/>
        </w:rPr>
        <w:instrText xml:space="preserve"> \* MERGEFORMAT </w:instrText>
      </w:r>
      <w:r w:rsidRPr="00263CBF" w:rsidR="00263CBF">
        <w:rPr>
          <w:b/>
          <w:sz w:val="18"/>
          <w:szCs w:val="18"/>
          <w:shd w:val="clear" w:color="auto" w:fill="FFFFFF"/>
          <w:vertAlign w:val="superscript"/>
          <w:lang w:val="en-US"/>
        </w:rPr>
      </w:r>
      <w:r w:rsidRPr="00263CBF" w:rsidR="00263CBF">
        <w:rPr>
          <w:b/>
          <w:sz w:val="18"/>
          <w:szCs w:val="18"/>
          <w:shd w:val="clear" w:color="auto" w:fill="FFFFFF"/>
          <w:vertAlign w:val="superscript"/>
          <w:lang w:val="en-US"/>
        </w:rPr>
        <w:fldChar w:fldCharType="separate"/>
      </w:r>
      <w:r w:rsidR="006B1E23">
        <w:rPr>
          <w:b/>
          <w:sz w:val="18"/>
          <w:szCs w:val="18"/>
          <w:shd w:val="clear" w:color="auto" w:fill="FFFFFF"/>
          <w:vertAlign w:val="superscript"/>
          <w:lang w:val="en-US"/>
        </w:rPr>
        <w:t>3</w:t>
      </w:r>
      <w:r w:rsidRPr="00263CBF" w:rsidR="00263CBF">
        <w:rPr>
          <w:b/>
          <w:sz w:val="18"/>
          <w:szCs w:val="18"/>
          <w:shd w:val="clear" w:color="auto" w:fill="FFFFFF"/>
          <w:vertAlign w:val="superscript"/>
          <w:lang w:val="en-US"/>
        </w:rPr>
        <w:fldChar w:fldCharType="end"/>
      </w:r>
      <w:r w:rsidR="00263CBF">
        <w:rPr>
          <w:b/>
          <w:sz w:val="18"/>
          <w:szCs w:val="18"/>
          <w:shd w:val="clear" w:color="auto" w:fill="FFFFFF"/>
          <w:vertAlign w:val="superscript"/>
          <w:lang w:val="en-US"/>
        </w:rPr>
        <w:t xml:space="preserve"> </w:t>
      </w:r>
      <w:r w:rsidR="00C60061">
        <w:rPr>
          <w:b/>
          <w:sz w:val="18"/>
          <w:szCs w:val="18"/>
          <w:shd w:val="clear" w:color="auto" w:fill="FFFFFF"/>
          <w:vertAlign w:val="superscript"/>
          <w:lang w:val="en-US"/>
        </w:rPr>
        <w:t xml:space="preserve"> </w:t>
      </w:r>
      <w:r w:rsidR="00263CBF">
        <w:rPr>
          <w:b/>
          <w:sz w:val="18"/>
          <w:szCs w:val="18"/>
          <w:shd w:val="clear" w:color="auto" w:fill="FFFFFF"/>
          <w:lang w:val="en-US"/>
        </w:rPr>
        <w:t xml:space="preserve">in </w:t>
      </w:r>
      <w:r w:rsidR="00032C10">
        <w:rPr>
          <w:b/>
          <w:sz w:val="18"/>
          <w:szCs w:val="18"/>
          <w:shd w:val="clear" w:color="auto" w:fill="FFFFFF"/>
          <w:lang w:val="en-US"/>
        </w:rPr>
        <w:t xml:space="preserve">2015 and </w:t>
      </w:r>
      <w:r w:rsidR="00263CBF">
        <w:rPr>
          <w:b/>
          <w:sz w:val="18"/>
          <w:szCs w:val="18"/>
          <w:shd w:val="clear" w:color="auto" w:fill="FFFFFF"/>
          <w:lang w:val="en-US"/>
        </w:rPr>
        <w:t>2020</w:t>
      </w:r>
    </w:p>
    <w:p w:rsidRPr="00257D39" w:rsidR="00AC1697" w:rsidP="00AC1697" w:rsidRDefault="00C60061" w14:paraId="3EA4113F" w14:textId="7A9AB945">
      <w:pPr>
        <w:spacing w:line="288" w:lineRule="auto"/>
        <w:rPr>
          <w:szCs w:val="19"/>
          <w:lang w:val="en-GB"/>
        </w:rPr>
      </w:pPr>
      <w:r w:rsidRPr="00257D39">
        <w:rPr>
          <w:szCs w:val="19"/>
          <w:lang w:val="en-GB"/>
        </w:rPr>
        <w:t>In 2020, 68.5% of entities</w:t>
      </w:r>
      <w:r w:rsidRPr="00AC1697">
        <w:rPr>
          <w:szCs w:val="19"/>
          <w:vertAlign w:val="superscript"/>
        </w:rPr>
        <w:fldChar w:fldCharType="begin"/>
      </w:r>
      <w:r w:rsidRPr="00257D39">
        <w:rPr>
          <w:szCs w:val="19"/>
          <w:vertAlign w:val="superscript"/>
          <w:lang w:val="en-GB"/>
        </w:rPr>
        <w:instrText xml:space="preserve"> NOTEREF _Ref109378710 \h  \* MERGEFORMAT </w:instrText>
      </w:r>
      <w:r w:rsidRPr="00AC1697">
        <w:rPr>
          <w:szCs w:val="19"/>
          <w:vertAlign w:val="superscript"/>
        </w:rPr>
      </w:r>
      <w:r w:rsidRPr="00AC1697">
        <w:rPr>
          <w:szCs w:val="19"/>
          <w:vertAlign w:val="superscript"/>
        </w:rPr>
        <w:fldChar w:fldCharType="separate"/>
      </w:r>
      <w:r w:rsidR="006B1E23">
        <w:rPr>
          <w:szCs w:val="19"/>
          <w:vertAlign w:val="superscript"/>
          <w:lang w:val="en-GB"/>
        </w:rPr>
        <w:t>1</w:t>
      </w:r>
      <w:r w:rsidRPr="00AC1697">
        <w:rPr>
          <w:szCs w:val="19"/>
          <w:vertAlign w:val="superscript"/>
        </w:rPr>
        <w:fldChar w:fldCharType="end"/>
      </w:r>
      <w:r w:rsidRPr="00257D39">
        <w:rPr>
          <w:szCs w:val="19"/>
          <w:lang w:val="en-GB"/>
        </w:rPr>
        <w:t xml:space="preserve"> (an increase of 1.7 pp) declared to leave the same level of service outsourcing in the next two years. An increase of that level was planned by 26.8% (an increase of 1.8 pp) enterprises, while 4.7% declared its decrease (a decrease of 3.5 pp in comparison to 2015).</w:t>
      </w:r>
    </w:p>
    <w:p w:rsidRPr="00257D39" w:rsidR="00AC1697" w:rsidP="00AC1697" w:rsidRDefault="00AC1697" w14:paraId="53FBB6A5" w14:textId="77777777">
      <w:pPr>
        <w:pStyle w:val="Nagwek1"/>
        <w:rPr>
          <w:rFonts w:ascii="Fira Sans" w:hAnsi="Fira Sans"/>
          <w:b/>
          <w:szCs w:val="19"/>
          <w:lang w:val="en-GB"/>
        </w:rPr>
      </w:pPr>
      <w:r w:rsidRPr="00257D39">
        <w:rPr>
          <w:rFonts w:ascii="Fira Sans" w:hAnsi="Fira Sans"/>
          <w:b/>
          <w:szCs w:val="19"/>
          <w:lang w:val="en-GB"/>
        </w:rPr>
        <w:lastRenderedPageBreak/>
        <w:t>Methodological note</w:t>
      </w:r>
    </w:p>
    <w:p w:rsidRPr="00257D39" w:rsidR="00AC1697" w:rsidP="00AC1697" w:rsidRDefault="00AC1697" w14:paraId="011257E9" w14:textId="7470E0F6">
      <w:pPr>
        <w:spacing w:line="288" w:lineRule="auto"/>
        <w:rPr>
          <w:sz w:val="18"/>
          <w:lang w:val="en-GB"/>
        </w:rPr>
      </w:pPr>
      <w:r w:rsidRPr="00257D39">
        <w:rPr>
          <w:szCs w:val="19"/>
          <w:lang w:val="en-GB"/>
        </w:rPr>
        <w:t>The outcomes of “Demand for services” survey for 2020 were the source of data on a enter-pris</w:t>
      </w:r>
      <w:r w:rsidRPr="00257D39" w:rsidR="00042449">
        <w:rPr>
          <w:szCs w:val="19"/>
          <w:lang w:val="en-GB"/>
        </w:rPr>
        <w:t xml:space="preserve">es demand for external </w:t>
      </w:r>
      <w:r w:rsidRPr="00257D39">
        <w:rPr>
          <w:szCs w:val="19"/>
          <w:lang w:val="en-GB"/>
        </w:rPr>
        <w:t>services, direct</w:t>
      </w:r>
      <w:r w:rsidRPr="00257D39" w:rsidR="00042449">
        <w:rPr>
          <w:szCs w:val="19"/>
          <w:lang w:val="en-GB"/>
        </w:rPr>
        <w:t>ion of service purchases (domes</w:t>
      </w:r>
      <w:r w:rsidRPr="00257D39">
        <w:rPr>
          <w:szCs w:val="19"/>
          <w:lang w:val="en-GB"/>
        </w:rPr>
        <w:t xml:space="preserve">tic/foreign), barriers to purchase of services and enterprises plans in the scope of external service acquiring. </w:t>
      </w:r>
      <w:r w:rsidRPr="00257D39" w:rsidR="00042449">
        <w:rPr>
          <w:szCs w:val="19"/>
          <w:lang w:val="en-GB"/>
        </w:rPr>
        <w:t xml:space="preserve">According to Statistical survey program of official statistics </w:t>
      </w:r>
      <w:r w:rsidRPr="00257D39" w:rsidR="002151E5">
        <w:rPr>
          <w:szCs w:val="19"/>
          <w:lang w:val="en-GB"/>
        </w:rPr>
        <w:t>, t</w:t>
      </w:r>
      <w:r w:rsidRPr="00257D39">
        <w:rPr>
          <w:szCs w:val="19"/>
          <w:lang w:val="en-GB"/>
        </w:rPr>
        <w:t xml:space="preserve">he </w:t>
      </w:r>
      <w:r w:rsidRPr="00257D39" w:rsidR="002151E5">
        <w:rPr>
          <w:szCs w:val="19"/>
          <w:lang w:val="en-GB"/>
        </w:rPr>
        <w:t>survey is conducted every 5 years. Surveyed entities cover all national economy entities with the num</w:t>
      </w:r>
      <w:r w:rsidRPr="00257D39">
        <w:rPr>
          <w:szCs w:val="19"/>
          <w:lang w:val="en-GB"/>
        </w:rPr>
        <w:t xml:space="preserve">ber of persons employed 50 and more which carry out activities classified, according to NACE Rev. 2.0, to sections:  </w:t>
      </w:r>
      <w:r w:rsidRPr="00257D39" w:rsidR="002151E5">
        <w:rPr>
          <w:szCs w:val="19"/>
          <w:lang w:val="en-GB"/>
        </w:rPr>
        <w:t>C „Manufacturing”, F „Construction”, G „Wholesale and retail trade; repair of motor vehicle and motorcycles”, H „Transportation and storage”, I „Accom</w:t>
      </w:r>
      <w:r w:rsidR="008038C4">
        <w:rPr>
          <w:szCs w:val="19"/>
          <w:lang w:val="en-GB"/>
        </w:rPr>
        <w:t>m</w:t>
      </w:r>
      <w:r w:rsidRPr="00257D39" w:rsidR="002151E5">
        <w:rPr>
          <w:szCs w:val="19"/>
          <w:lang w:val="en-GB"/>
        </w:rPr>
        <w:t xml:space="preserve">odation and food service activities”, K „Financial and insurance activities”, L „Real estate activities”, M „Professional, scientific and technical activities”, N “Administrative and support service activities” and to selected divisions of section J: 58 „Publishing activities”, 61 „Telecommunication”, 62 „Computer programming, consultancy and related activities” and 63 „Information service activities”. </w:t>
      </w:r>
    </w:p>
    <w:p w:rsidRPr="00257D39" w:rsidR="00AC1697" w:rsidP="00AC1697" w:rsidRDefault="00AC1697" w14:paraId="71A3BDB1" w14:textId="25F76349">
      <w:pPr>
        <w:rPr>
          <w:sz w:val="18"/>
          <w:lang w:val="en-GB"/>
        </w:rPr>
      </w:pPr>
    </w:p>
    <w:p w:rsidRPr="00257D39" w:rsidR="00B83196" w:rsidP="00AC1697" w:rsidRDefault="00B83196" w14:paraId="1EA89FF1" w14:textId="77777777">
      <w:pPr>
        <w:rPr>
          <w:sz w:val="18"/>
          <w:lang w:val="en-GB"/>
        </w:rPr>
        <w:sectPr w:rsidRPr="00257D39" w:rsidR="00B83196"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00DE2400" w:rsidTr="009E7D31" w14:paraId="196D0BDA" w14:textId="77777777">
        <w:trPr>
          <w:trHeight w:val="1626"/>
        </w:trPr>
        <w:tc>
          <w:tcPr>
            <w:tcW w:w="4926" w:type="dxa"/>
          </w:tcPr>
          <w:p w:rsidRPr="00257D39" w:rsidR="00DE2400" w:rsidP="00DE2400" w:rsidRDefault="00C60504" w14:paraId="05DA311F" w14:textId="094CF4F7">
            <w:pPr>
              <w:spacing w:before="0" w:after="0" w:line="276" w:lineRule="auto"/>
              <w:rPr>
                <w:rFonts w:cs="Arial"/>
                <w:sz w:val="20"/>
                <w:lang w:val="en-GB"/>
              </w:rPr>
            </w:pPr>
            <w:r w:rsidRPr="00257D39">
              <w:rPr>
                <w:rFonts w:cs="Arial"/>
                <w:sz w:val="20"/>
                <w:lang w:val="en-GB"/>
              </w:rPr>
              <w:lastRenderedPageBreak/>
              <w:t>Prepared by</w:t>
            </w:r>
            <w:r w:rsidRPr="00257D39" w:rsidR="00DE2400">
              <w:rPr>
                <w:rFonts w:cs="Arial"/>
                <w:sz w:val="20"/>
                <w:lang w:val="en-GB"/>
              </w:rPr>
              <w:t>:</w:t>
            </w:r>
          </w:p>
          <w:p w:rsidRPr="00257D39" w:rsidR="00DE2400" w:rsidP="00DE2400" w:rsidRDefault="008036A7" w14:paraId="1E9B29DC" w14:textId="337BD504">
            <w:pPr>
              <w:spacing w:before="0" w:line="276" w:lineRule="auto"/>
              <w:rPr>
                <w:rFonts w:cs="Arial"/>
                <w:b/>
                <w:color w:val="000000" w:themeColor="text1"/>
                <w:sz w:val="20"/>
                <w:lang w:val="en-GB"/>
              </w:rPr>
            </w:pPr>
            <w:r w:rsidRPr="00257D39">
              <w:rPr>
                <w:rFonts w:cs="Arial"/>
                <w:b/>
                <w:color w:val="000000" w:themeColor="text1"/>
                <w:sz w:val="20"/>
                <w:lang w:val="en-GB"/>
              </w:rPr>
              <w:t xml:space="preserve">Trade and Services </w:t>
            </w:r>
            <w:r w:rsidRPr="00257D39" w:rsidR="00DE2400">
              <w:rPr>
                <w:rFonts w:cs="Arial"/>
                <w:b/>
                <w:color w:val="000000" w:themeColor="text1"/>
                <w:sz w:val="20"/>
                <w:lang w:val="en-GB"/>
              </w:rPr>
              <w:t>Department</w:t>
            </w:r>
          </w:p>
          <w:p w:rsidRPr="00DE2400" w:rsidR="00DE2400" w:rsidP="003A6D96" w:rsidRDefault="00DE2400" w14:paraId="41A1AE38" w14:textId="5D5AB083">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8036A7">
              <w:rPr>
                <w:b/>
                <w:lang w:val="fi-FI"/>
              </w:rPr>
              <w:t>Ewa Adach-Stankiewicz</w:t>
            </w:r>
          </w:p>
          <w:p w:rsidRPr="00AB24E4" w:rsidR="00DE2400" w:rsidP="00EC50DD" w:rsidRDefault="006C197A" w14:paraId="5425F0B4" w14:textId="702500C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sidR="00DE2400">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Pr="008F3638" w:rsidR="00DE2400">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Pr="008F3638" w:rsidR="00DE2400">
              <w:rPr>
                <w:rFonts w:ascii="Fira Sans" w:hAnsi="Fira Sans" w:cs="Arial"/>
                <w:color w:val="000000" w:themeColor="text1"/>
                <w:sz w:val="20"/>
                <w:lang w:val="fi-FI"/>
              </w:rPr>
              <w:t> </w:t>
            </w:r>
            <w:r w:rsidR="00EC50DD">
              <w:rPr>
                <w:rFonts w:ascii="Fira Sans" w:hAnsi="Fira Sans" w:cs="Arial"/>
                <w:color w:val="000000" w:themeColor="text1"/>
                <w:sz w:val="20"/>
                <w:lang w:val="fi-FI"/>
              </w:rPr>
              <w:t>608 31 24</w:t>
            </w:r>
          </w:p>
        </w:tc>
        <w:tc>
          <w:tcPr>
            <w:tcW w:w="4927" w:type="dxa"/>
          </w:tcPr>
          <w:p w:rsidRPr="00257D39" w:rsidR="00DE2400" w:rsidP="00DE2400" w:rsidRDefault="006C197A" w14:paraId="4E8FFA16" w14:textId="216C4512">
            <w:pPr>
              <w:spacing w:before="0" w:line="276" w:lineRule="auto"/>
              <w:rPr>
                <w:rFonts w:cs="Arial"/>
                <w:b/>
                <w:sz w:val="20"/>
                <w:lang w:val="en-GB"/>
              </w:rPr>
            </w:pPr>
            <w:r w:rsidRPr="00257D39">
              <w:rPr>
                <w:rFonts w:cs="Arial"/>
                <w:sz w:val="20"/>
                <w:lang w:val="en-GB"/>
              </w:rPr>
              <w:t>Issued by</w:t>
            </w:r>
            <w:r w:rsidRPr="00257D39" w:rsidR="00DE2400">
              <w:rPr>
                <w:rFonts w:cs="Arial"/>
                <w:sz w:val="20"/>
                <w:lang w:val="en-GB"/>
              </w:rPr>
              <w:t>:</w:t>
            </w:r>
            <w:r w:rsidRPr="00257D39" w:rsidR="00DE2400">
              <w:rPr>
                <w:rFonts w:cs="Arial"/>
                <w:sz w:val="20"/>
                <w:lang w:val="en-GB"/>
              </w:rPr>
              <w:br/>
            </w:r>
            <w:r w:rsidRPr="00257D39">
              <w:rPr>
                <w:rFonts w:cs="Arial"/>
                <w:b/>
                <w:sz w:val="20"/>
                <w:lang w:val="en-GB"/>
              </w:rPr>
              <w:t>The Spokesperson for the President</w:t>
            </w:r>
            <w:r w:rsidRPr="00257D39" w:rsidR="00FA4D6D">
              <w:rPr>
                <w:rFonts w:cs="Arial"/>
                <w:b/>
                <w:sz w:val="20"/>
                <w:lang w:val="en-GB"/>
              </w:rPr>
              <w:br/>
            </w:r>
            <w:r w:rsidRPr="00257D39">
              <w:rPr>
                <w:rFonts w:cs="Arial"/>
                <w:b/>
                <w:sz w:val="20"/>
                <w:lang w:val="en-GB"/>
              </w:rPr>
              <w:t>of Statistics Poland</w:t>
            </w:r>
          </w:p>
          <w:p w:rsidRPr="004A1D19" w:rsidR="00DE2400" w:rsidP="003A6D96" w:rsidRDefault="00DE2400" w14:paraId="047A0FE3" w14:textId="77777777">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Pr="004A1D19" w:rsidR="00DE2400" w:rsidP="003A6D96" w:rsidRDefault="006C197A" w14:paraId="59C02E89" w14:textId="4B34711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sidR="00DE2400">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Pr="004A1D19" w:rsidR="00DE2400">
              <w:rPr>
                <w:rFonts w:ascii="Fira Sans" w:hAnsi="Fira Sans" w:cs="Arial"/>
                <w:color w:val="auto"/>
                <w:sz w:val="20"/>
                <w:lang w:val="fi-FI"/>
              </w:rPr>
              <w:t>695 255</w:t>
            </w:r>
            <w:r w:rsidR="00DE2400">
              <w:rPr>
                <w:rFonts w:ascii="Fira Sans" w:hAnsi="Fira Sans" w:cs="Arial"/>
                <w:color w:val="auto"/>
                <w:sz w:val="20"/>
                <w:lang w:val="fi-FI"/>
              </w:rPr>
              <w:t> </w:t>
            </w:r>
            <w:r w:rsidRPr="004A1D19" w:rsidR="00DE2400">
              <w:rPr>
                <w:rFonts w:ascii="Fira Sans" w:hAnsi="Fira Sans" w:cs="Arial"/>
                <w:color w:val="auto"/>
                <w:sz w:val="20"/>
                <w:lang w:val="fi-FI"/>
              </w:rPr>
              <w:t>011</w:t>
            </w:r>
          </w:p>
          <w:p w:rsidR="00DE2400" w:rsidP="003A6D96" w:rsidRDefault="00DE2400" w14:paraId="3CC62B04" w14:textId="77777777">
            <w:pPr>
              <w:rPr>
                <w:sz w:val="18"/>
              </w:rPr>
            </w:pPr>
          </w:p>
        </w:tc>
      </w:tr>
      <w:tr w:rsidRPr="00EC0CED" w:rsidR="00DE2400" w:rsidTr="009E7D31" w14:paraId="28647E7C" w14:textId="77777777">
        <w:trPr>
          <w:trHeight w:val="418"/>
        </w:trPr>
        <w:tc>
          <w:tcPr>
            <w:tcW w:w="4926" w:type="dxa"/>
            <w:vMerge w:val="restart"/>
          </w:tcPr>
          <w:p w:rsidRPr="00257D39" w:rsidR="00DE2400" w:rsidP="003A6D96" w:rsidRDefault="002021A6" w14:paraId="076C640B" w14:textId="7E42948F">
            <w:pPr>
              <w:rPr>
                <w:b/>
                <w:sz w:val="20"/>
                <w:lang w:val="en-GB"/>
              </w:rPr>
            </w:pPr>
            <w:r w:rsidRPr="00257D39">
              <w:rPr>
                <w:b/>
                <w:sz w:val="20"/>
                <w:lang w:val="en-GB"/>
              </w:rPr>
              <w:t>Press Office</w:t>
            </w:r>
            <w:r w:rsidRPr="00257D39" w:rsidR="00DE2400">
              <w:rPr>
                <w:b/>
                <w:sz w:val="20"/>
                <w:lang w:val="en-GB"/>
              </w:rPr>
              <w:t xml:space="preserve"> </w:t>
            </w:r>
          </w:p>
          <w:p w:rsidRPr="00257D39" w:rsidR="00DE2400" w:rsidP="003A6D96" w:rsidRDefault="002021A6" w14:paraId="6446B629" w14:textId="73966755">
            <w:pPr>
              <w:rPr>
                <w:sz w:val="20"/>
                <w:lang w:val="en-GB"/>
              </w:rPr>
            </w:pPr>
            <w:r w:rsidRPr="00257D39">
              <w:rPr>
                <w:sz w:val="20"/>
                <w:lang w:val="en-GB"/>
              </w:rPr>
              <w:t>Phone</w:t>
            </w:r>
            <w:r w:rsidRPr="00257D39" w:rsidR="00DE2400">
              <w:rPr>
                <w:sz w:val="20"/>
                <w:lang w:val="en-GB"/>
              </w:rPr>
              <w:t xml:space="preserve">: </w:t>
            </w:r>
            <w:r w:rsidRPr="00257D39" w:rsidR="00FA4D6D">
              <w:rPr>
                <w:sz w:val="20"/>
                <w:lang w:val="en-GB"/>
              </w:rPr>
              <w:t xml:space="preserve">(+48 </w:t>
            </w:r>
            <w:r w:rsidRPr="00257D39" w:rsidR="00DE2400">
              <w:rPr>
                <w:sz w:val="20"/>
                <w:lang w:val="en-GB"/>
              </w:rPr>
              <w:t>22</w:t>
            </w:r>
            <w:r w:rsidRPr="00257D39" w:rsidR="00FA4D6D">
              <w:rPr>
                <w:sz w:val="20"/>
                <w:lang w:val="en-GB"/>
              </w:rPr>
              <w:t>)</w:t>
            </w:r>
            <w:r w:rsidRPr="00257D39" w:rsidR="00DE2400">
              <w:rPr>
                <w:sz w:val="20"/>
                <w:lang w:val="en-GB"/>
              </w:rPr>
              <w:t xml:space="preserve"> 608 3</w:t>
            </w:r>
            <w:r w:rsidRPr="00257D39" w:rsidR="00E95036">
              <w:rPr>
                <w:sz w:val="20"/>
                <w:lang w:val="en-GB"/>
              </w:rPr>
              <w:t>8 04</w:t>
            </w:r>
            <w:r w:rsidRPr="00257D39" w:rsidR="00DE2400">
              <w:rPr>
                <w:sz w:val="20"/>
                <w:lang w:val="en-GB"/>
              </w:rPr>
              <w:t xml:space="preserve"> </w:t>
            </w:r>
          </w:p>
          <w:p w:rsidRPr="00F05FC7" w:rsidR="00DE2400" w:rsidP="003A6D96" w:rsidRDefault="00DE2400" w14:paraId="07C73DA1" w14:textId="77777777">
            <w:pPr>
              <w:rPr>
                <w:sz w:val="18"/>
                <w:lang w:val="en-US"/>
              </w:rPr>
            </w:pPr>
            <w:r w:rsidRPr="00A82D31">
              <w:rPr>
                <w:b/>
                <w:sz w:val="20"/>
                <w:lang w:val="en-GB"/>
              </w:rPr>
              <w:t>e-mail:</w:t>
            </w:r>
            <w:r w:rsidRPr="00A82D31">
              <w:rPr>
                <w:sz w:val="20"/>
                <w:lang w:val="en-GB"/>
              </w:rPr>
              <w:t xml:space="preserve"> </w:t>
            </w:r>
            <w:hyperlink w:history="1" r:id="rId17">
              <w:r w:rsidRPr="00394E26">
                <w:rPr>
                  <w:rStyle w:val="Hipercze"/>
                  <w:rFonts w:cs="Arial" w:eastAsiaTheme="majorEastAsia"/>
                  <w:b/>
                  <w:color w:val="auto"/>
                  <w:sz w:val="20"/>
                  <w:szCs w:val="20"/>
                  <w:lang w:val="en-US"/>
                </w:rPr>
                <w:t>obslugaprasowa@stat.gov.pl</w:t>
              </w:r>
            </w:hyperlink>
          </w:p>
        </w:tc>
        <w:tc>
          <w:tcPr>
            <w:tcW w:w="4927" w:type="dxa"/>
            <w:vAlign w:val="center"/>
          </w:tcPr>
          <w:p w:rsidRPr="00257D39" w:rsidR="00DE2400" w:rsidP="003A6D96" w:rsidRDefault="00DE2400" w14:paraId="01941133" w14:textId="55654176">
            <w:pPr>
              <w:ind w:firstLine="680"/>
              <w:rPr>
                <w:sz w:val="18"/>
                <w:lang w:val="en-US"/>
              </w:rPr>
            </w:pPr>
            <w:r>
              <w:rPr>
                <w:noProof/>
                <w:sz w:val="20"/>
                <w:lang w:eastAsia="pl-PL"/>
              </w:rPr>
              <w:drawing>
                <wp:anchor distT="0" distB="0" distL="114300" distR="114300" simplePos="0" relativeHeight="251744256" behindDoc="0" locked="0" layoutInCell="1" allowOverlap="1" wp14:editId="01A3229C" wp14:anchorId="5018E5A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57D39">
              <w:rPr>
                <w:sz w:val="20"/>
                <w:lang w:val="en-US"/>
              </w:rPr>
              <w:t>www.stat.gov.pl</w:t>
            </w:r>
            <w:r w:rsidRPr="00257D39" w:rsidR="002021A6">
              <w:rPr>
                <w:sz w:val="20"/>
                <w:lang w:val="en-US"/>
              </w:rPr>
              <w:t>/en/</w:t>
            </w:r>
            <w:r w:rsidRPr="00257D39">
              <w:rPr>
                <w:sz w:val="18"/>
                <w:lang w:val="en-US"/>
              </w:rPr>
              <w:t xml:space="preserve">     </w:t>
            </w:r>
          </w:p>
        </w:tc>
      </w:tr>
      <w:tr w:rsidR="00DE1D0A" w:rsidTr="009E7D31" w14:paraId="36A99721" w14:textId="77777777">
        <w:trPr>
          <w:trHeight w:val="418"/>
        </w:trPr>
        <w:tc>
          <w:tcPr>
            <w:tcW w:w="4926" w:type="dxa"/>
            <w:vMerge/>
          </w:tcPr>
          <w:p w:rsidRPr="00257D39" w:rsidR="00DE1D0A" w:rsidP="00DE1D0A" w:rsidRDefault="00DE1D0A" w14:paraId="3255344A" w14:textId="77777777">
            <w:pPr>
              <w:rPr>
                <w:b/>
                <w:sz w:val="20"/>
                <w:lang w:val="en-US"/>
              </w:rPr>
            </w:pPr>
          </w:p>
        </w:tc>
        <w:tc>
          <w:tcPr>
            <w:tcW w:w="4927" w:type="dxa"/>
            <w:vAlign w:val="center"/>
          </w:tcPr>
          <w:p w:rsidR="00DE1D0A" w:rsidP="00DE1D0A" w:rsidRDefault="00DE1D0A" w14:paraId="09C3C6AD" w14:textId="796F9F20">
            <w:pPr>
              <w:ind w:firstLine="680"/>
              <w:rPr>
                <w:sz w:val="18"/>
              </w:rPr>
            </w:pPr>
            <w:r>
              <w:rPr>
                <w:noProof/>
                <w:sz w:val="20"/>
                <w:lang w:eastAsia="pl-PL"/>
              </w:rPr>
              <w:drawing>
                <wp:anchor distT="0" distB="0" distL="114300" distR="114300" simplePos="0" relativeHeight="251753472" behindDoc="0" locked="0" layoutInCell="1" allowOverlap="1" wp14:editId="04DB9F4F" wp14:anchorId="2A52F6BA">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14:paraId="549C3B1C" w14:textId="77777777">
        <w:trPr>
          <w:trHeight w:val="480"/>
        </w:trPr>
        <w:tc>
          <w:tcPr>
            <w:tcW w:w="4926" w:type="dxa"/>
            <w:vMerge/>
          </w:tcPr>
          <w:p w:rsidRPr="00C91687" w:rsidR="00DE1D0A" w:rsidP="00DE1D0A" w:rsidRDefault="00DE1D0A" w14:paraId="231798A1" w14:textId="77777777">
            <w:pPr>
              <w:rPr>
                <w:b/>
                <w:sz w:val="20"/>
              </w:rPr>
            </w:pPr>
          </w:p>
        </w:tc>
        <w:tc>
          <w:tcPr>
            <w:tcW w:w="4927" w:type="dxa"/>
          </w:tcPr>
          <w:p w:rsidR="00DE1D0A" w:rsidP="00DE1D0A" w:rsidRDefault="00DE1D0A" w14:paraId="5B472D28" w14:textId="60C69F96">
            <w:pPr>
              <w:ind w:firstLine="680"/>
              <w:rPr>
                <w:sz w:val="18"/>
              </w:rPr>
            </w:pPr>
            <w:r>
              <w:rPr>
                <w:noProof/>
                <w:sz w:val="20"/>
                <w:lang w:eastAsia="pl-PL"/>
              </w:rPr>
              <w:drawing>
                <wp:anchor distT="0" distB="0" distL="114300" distR="114300" simplePos="0" relativeHeight="251754496" behindDoc="0" locked="0" layoutInCell="1" allowOverlap="1" wp14:editId="56497573" wp14:anchorId="3EE52BA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14:paraId="06D97269" w14:textId="77777777">
        <w:trPr>
          <w:trHeight w:val="480"/>
        </w:trPr>
        <w:tc>
          <w:tcPr>
            <w:tcW w:w="4926" w:type="dxa"/>
          </w:tcPr>
          <w:p w:rsidRPr="00C91687" w:rsidR="00DE1D0A" w:rsidP="00DE1D0A" w:rsidRDefault="00DE1D0A" w14:paraId="0DD5A4BE" w14:textId="77777777">
            <w:pPr>
              <w:rPr>
                <w:b/>
                <w:sz w:val="20"/>
              </w:rPr>
            </w:pPr>
          </w:p>
        </w:tc>
        <w:tc>
          <w:tcPr>
            <w:tcW w:w="4927" w:type="dxa"/>
          </w:tcPr>
          <w:p w:rsidRPr="003D5F42" w:rsidR="00DE1D0A" w:rsidP="00DE1D0A" w:rsidRDefault="00DE1D0A" w14:paraId="581DB5EF" w14:textId="0374BF4E">
            <w:pPr>
              <w:ind w:firstLine="680"/>
              <w:rPr>
                <w:sz w:val="20"/>
              </w:rPr>
            </w:pPr>
            <w:r>
              <w:rPr>
                <w:noProof/>
                <w:sz w:val="20"/>
                <w:lang w:eastAsia="pl-PL"/>
              </w:rPr>
              <w:drawing>
                <wp:anchor distT="0" distB="0" distL="114300" distR="114300" simplePos="0" relativeHeight="251755520" behindDoc="0" locked="0" layoutInCell="1" allowOverlap="1" wp14:editId="5E0746E2" wp14:anchorId="3FB8FF3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14:paraId="2B34FEF8" w14:textId="77777777">
        <w:trPr>
          <w:trHeight w:val="480"/>
        </w:trPr>
        <w:tc>
          <w:tcPr>
            <w:tcW w:w="4926" w:type="dxa"/>
          </w:tcPr>
          <w:p w:rsidRPr="00C91687" w:rsidR="00DE1D0A" w:rsidP="00DE1D0A" w:rsidRDefault="00DE1D0A" w14:paraId="327B582C" w14:textId="77777777">
            <w:pPr>
              <w:rPr>
                <w:b/>
                <w:sz w:val="20"/>
              </w:rPr>
            </w:pPr>
          </w:p>
        </w:tc>
        <w:tc>
          <w:tcPr>
            <w:tcW w:w="4927" w:type="dxa"/>
          </w:tcPr>
          <w:p w:rsidRPr="003D5F42" w:rsidR="00DE1D0A" w:rsidP="00DE1D0A" w:rsidRDefault="00DE1D0A" w14:paraId="40F251B2" w14:textId="699BCE57">
            <w:pPr>
              <w:ind w:firstLine="680"/>
              <w:rPr>
                <w:sz w:val="20"/>
              </w:rPr>
            </w:pPr>
            <w:r>
              <w:rPr>
                <w:noProof/>
                <w:sz w:val="20"/>
                <w:lang w:eastAsia="pl-PL"/>
              </w:rPr>
              <w:drawing>
                <wp:anchor distT="0" distB="0" distL="114300" distR="114300" simplePos="0" relativeHeight="251756544" behindDoc="0" locked="0" layoutInCell="1" allowOverlap="1" wp14:editId="7AD70266" wp14:anchorId="1947C96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14:paraId="16A5698A" w14:textId="77777777">
        <w:trPr>
          <w:trHeight w:val="953"/>
        </w:trPr>
        <w:tc>
          <w:tcPr>
            <w:tcW w:w="4926" w:type="dxa"/>
          </w:tcPr>
          <w:p w:rsidRPr="00C91687" w:rsidR="00DE1D0A" w:rsidP="00DE1D0A" w:rsidRDefault="00DE1D0A" w14:paraId="3605F212" w14:textId="77777777">
            <w:pPr>
              <w:rPr>
                <w:b/>
                <w:sz w:val="20"/>
              </w:rPr>
            </w:pPr>
          </w:p>
        </w:tc>
        <w:tc>
          <w:tcPr>
            <w:tcW w:w="4927" w:type="dxa"/>
          </w:tcPr>
          <w:p w:rsidRPr="003D5F42" w:rsidR="00DE1D0A" w:rsidP="00DE1D0A" w:rsidRDefault="00DE1D0A" w14:paraId="1D245A35" w14:textId="79B26C1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editId="5FD5664F" wp14:anchorId="4CE9A62A">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257D39" w:rsidR="00DE2400" w:rsidTr="009E7D31" w14:paraId="385E56CC" w14:textId="77777777">
        <w:trPr>
          <w:trHeight w:val="4114"/>
        </w:trPr>
        <w:tc>
          <w:tcPr>
            <w:tcW w:w="9853" w:type="dxa"/>
            <w:gridSpan w:val="2"/>
            <w:shd w:val="clear" w:color="auto" w:fill="D9D9D9" w:themeFill="background1" w:themeFillShade="D9"/>
          </w:tcPr>
          <w:p w:rsidRPr="00257D39" w:rsidR="00DE2400" w:rsidP="003A6D96" w:rsidRDefault="00CA784C" w14:paraId="08948A60" w14:textId="558D4766">
            <w:pPr>
              <w:shd w:val="clear" w:color="auto" w:fill="D9D9D9" w:themeFill="background1" w:themeFillShade="D9"/>
              <w:rPr>
                <w:b/>
                <w:lang w:val="en-GB"/>
              </w:rPr>
            </w:pPr>
            <w:r w:rsidRPr="00257D39">
              <w:rPr>
                <w:b/>
                <w:lang w:val="en-GB"/>
              </w:rPr>
              <w:t>Related information</w:t>
            </w:r>
          </w:p>
          <w:p w:rsidRPr="00257D39" w:rsidR="00DE2400" w:rsidP="003A6D96" w:rsidRDefault="00CF18EE" w14:paraId="458D3940" w14:textId="3F07E614">
            <w:pPr>
              <w:rPr>
                <w:rStyle w:val="Hipercze"/>
                <w:lang w:val="en-GB"/>
              </w:rPr>
            </w:pPr>
            <w:r>
              <w:rPr>
                <w:rFonts w:cs="Times New Roman"/>
              </w:rPr>
              <w:fldChar w:fldCharType="begin"/>
            </w:r>
            <w:r w:rsidRPr="00EC0CED" w:rsidR="00D75A3D">
              <w:rPr>
                <w:rFonts w:cs="Times New Roman"/>
                <w:lang w:val="en-GB"/>
              </w:rPr>
              <w:instrText>HYPERLINK "https://stat.gov.pl/en/topics/prices-trade/trade/business-services-in-2020,13,7.html" \o "Related information : Business services in 2020"</w:instrText>
            </w:r>
            <w:r>
              <w:rPr>
                <w:rFonts w:cs="Times New Roman"/>
              </w:rPr>
              <w:fldChar w:fldCharType="separate"/>
            </w:r>
            <w:r w:rsidR="007E5D70">
              <w:rPr>
                <w:rStyle w:val="Hipercze"/>
                <w:lang w:val="en-GB"/>
              </w:rPr>
              <w:t>Business</w:t>
            </w:r>
            <w:r w:rsidRPr="00257D39" w:rsidR="00DE2400">
              <w:rPr>
                <w:rStyle w:val="Hipercze"/>
                <w:lang w:val="en-GB"/>
              </w:rPr>
              <w:t xml:space="preserve"> </w:t>
            </w:r>
            <w:r w:rsidR="007E5D70">
              <w:rPr>
                <w:rStyle w:val="Hipercze"/>
                <w:lang w:val="en-GB"/>
              </w:rPr>
              <w:t>services</w:t>
            </w:r>
            <w:r w:rsidR="00EC0CED">
              <w:rPr>
                <w:rStyle w:val="Hipercze"/>
                <w:lang w:val="en-GB"/>
              </w:rPr>
              <w:t xml:space="preserve"> in 2020</w:t>
            </w:r>
          </w:p>
          <w:p w:rsidRPr="00257D39" w:rsidR="007E5D70" w:rsidP="007E5D70" w:rsidRDefault="00CF18EE" w14:paraId="7D9034BF" w14:textId="10293A9D">
            <w:pPr>
              <w:rPr>
                <w:b/>
                <w:color w:val="000000" w:themeColor="text1"/>
                <w:szCs w:val="24"/>
                <w:lang w:val="en-GB"/>
              </w:rPr>
            </w:pPr>
            <w:r>
              <w:rPr>
                <w:rFonts w:cs="Times New Roman"/>
              </w:rPr>
              <w:fldChar w:fldCharType="end"/>
            </w:r>
            <w:r w:rsidRPr="00257D39" w:rsidR="007E5D70">
              <w:rPr>
                <w:b/>
                <w:color w:val="000000" w:themeColor="text1"/>
                <w:szCs w:val="24"/>
                <w:lang w:val="en-GB"/>
              </w:rPr>
              <w:t xml:space="preserve"> </w:t>
            </w:r>
          </w:p>
          <w:p w:rsidRPr="00257D39" w:rsidR="007E5D70" w:rsidP="007E5D70" w:rsidRDefault="007E5D70" w14:paraId="55DA24D0" w14:textId="063B8BE0">
            <w:pPr>
              <w:shd w:val="clear" w:color="auto" w:fill="D9D9D9" w:themeFill="background1" w:themeFillShade="D9"/>
              <w:spacing w:before="360"/>
              <w:rPr>
                <w:b/>
                <w:color w:val="000000" w:themeColor="text1"/>
                <w:szCs w:val="24"/>
                <w:lang w:val="en-GB"/>
              </w:rPr>
            </w:pPr>
          </w:p>
          <w:p w:rsidRPr="00257D39" w:rsidR="00B16871" w:rsidP="00B16871" w:rsidRDefault="00CA784C" w14:paraId="6EC7A51E" w14:textId="2D642341">
            <w:pPr>
              <w:shd w:val="clear" w:color="auto" w:fill="D9D9D9" w:themeFill="background1" w:themeFillShade="D9"/>
              <w:spacing w:before="360"/>
              <w:rPr>
                <w:b/>
                <w:color w:val="000000" w:themeColor="text1"/>
                <w:szCs w:val="24"/>
                <w:lang w:val="en-GB"/>
              </w:rPr>
            </w:pPr>
            <w:r w:rsidRPr="00257D39">
              <w:rPr>
                <w:b/>
                <w:color w:val="000000" w:themeColor="text1"/>
                <w:szCs w:val="24"/>
                <w:lang w:val="en-GB"/>
              </w:rPr>
              <w:t>Terms used inn official statistics</w:t>
            </w:r>
          </w:p>
          <w:p w:rsidRPr="00257D39" w:rsidR="00B16871" w:rsidP="00B16871" w:rsidRDefault="006B1E23" w14:paraId="7C166DC6" w14:textId="7CF5EE2F">
            <w:pPr>
              <w:rPr>
                <w:rStyle w:val="Hipercze"/>
                <w:rFonts w:cstheme="minorBidi"/>
                <w:color w:val="auto"/>
                <w:u w:val="none"/>
                <w:lang w:val="en-GB"/>
              </w:rPr>
            </w:pPr>
            <w:hyperlink w:tooltip="Term used in official statistics: Services" w:history="1" r:id="rId24">
              <w:r w:rsidR="004A5D7F">
                <w:rPr>
                  <w:rStyle w:val="Hipercze"/>
                  <w:lang w:val="en-GB"/>
                </w:rPr>
                <w:t>s</w:t>
              </w:r>
              <w:r w:rsidRPr="00257D39" w:rsidR="00257D39">
                <w:rPr>
                  <w:rStyle w:val="Hipercze"/>
                  <w:lang w:val="en-GB"/>
                </w:rPr>
                <w:t>ervices</w:t>
              </w:r>
            </w:hyperlink>
          </w:p>
          <w:p w:rsidRPr="00257D39" w:rsidR="00B16871" w:rsidP="00B16871" w:rsidRDefault="00CF18EE" w14:paraId="037E4B21" w14:textId="2C6A601F">
            <w:pPr>
              <w:rPr>
                <w:rStyle w:val="Hipercze"/>
                <w:rFonts w:cstheme="minorBidi"/>
                <w:lang w:val="en-GB"/>
              </w:rPr>
            </w:pPr>
            <w:r>
              <w:rPr>
                <w:rFonts w:cs="Times New Roman"/>
              </w:rPr>
              <w:fldChar w:fldCharType="begin"/>
            </w:r>
            <w:r w:rsidR="007E5D70">
              <w:rPr>
                <w:rFonts w:cs="Times New Roman"/>
              </w:rPr>
              <w:instrText>HYPERLINK "https://stat.gov.pl/en/metainformation/glossary/terms-used-in-official-statistics/313,term.html" \o "Term used in official statistics: Demand"</w:instrText>
            </w:r>
            <w:r>
              <w:rPr>
                <w:rFonts w:cs="Times New Roman"/>
              </w:rPr>
              <w:fldChar w:fldCharType="separate"/>
            </w:r>
            <w:r w:rsidR="004A5D7F">
              <w:rPr>
                <w:rStyle w:val="Hipercze"/>
                <w:lang w:val="en-GB"/>
              </w:rPr>
              <w:t>d</w:t>
            </w:r>
            <w:r w:rsidR="007E5D70">
              <w:rPr>
                <w:rStyle w:val="Hipercze"/>
                <w:lang w:val="en-GB"/>
              </w:rPr>
              <w:t>emand</w:t>
            </w:r>
            <w:r w:rsidRPr="00257D39" w:rsidR="00B16871">
              <w:rPr>
                <w:rStyle w:val="Hipercze"/>
                <w:lang w:val="en-GB"/>
              </w:rPr>
              <w:t xml:space="preserve"> </w:t>
            </w:r>
          </w:p>
          <w:p w:rsidRPr="007E5D70" w:rsidR="00DE2400" w:rsidP="003A6D96" w:rsidRDefault="00CF18EE" w14:paraId="74120B68" w14:textId="29525772">
            <w:pPr>
              <w:rPr>
                <w:rFonts w:cs="Times New Roman"/>
                <w:color w:val="0000FF"/>
                <w:u w:val="single"/>
                <w:lang w:val="en-GB"/>
              </w:rPr>
            </w:pPr>
            <w:r>
              <w:rPr>
                <w:rFonts w:cs="Times New Roman"/>
              </w:rPr>
              <w:fldChar w:fldCharType="end"/>
            </w:r>
            <w:r w:rsidRPr="00257D39" w:rsidR="007E5D70">
              <w:rPr>
                <w:rStyle w:val="Hipercze"/>
                <w:lang w:val="en-GB"/>
              </w:rPr>
              <w:t xml:space="preserve"> </w:t>
            </w:r>
          </w:p>
          <w:p w:rsidR="00DE2400" w:rsidP="003A6D96" w:rsidRDefault="00DE2400" w14:paraId="734C8732" w14:textId="77777777">
            <w:pPr>
              <w:rPr>
                <w:b/>
                <w:color w:val="000000" w:themeColor="text1"/>
                <w:szCs w:val="24"/>
                <w:lang w:val="en-GB"/>
              </w:rPr>
            </w:pPr>
          </w:p>
          <w:p w:rsidRPr="00876479" w:rsidR="00DE2400" w:rsidP="003A6D96" w:rsidRDefault="00DE2400" w14:paraId="59EB7117" w14:textId="77777777">
            <w:pPr>
              <w:rPr>
                <w:b/>
                <w:color w:val="000000" w:themeColor="text1"/>
                <w:szCs w:val="24"/>
                <w:lang w:val="en-GB"/>
              </w:rPr>
            </w:pPr>
          </w:p>
        </w:tc>
      </w:tr>
    </w:tbl>
    <w:p w:rsidRPr="00257D39" w:rsidR="000470AA" w:rsidP="000470AA" w:rsidRDefault="000470AA" w14:paraId="1634A8FA" w14:textId="77777777">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Pr="00257D39" w:rsidR="000470AA" w:rsidTr="00E23337" w14:paraId="366352B6" w14:textId="77777777">
        <w:trPr>
          <w:trHeight w:val="1912"/>
        </w:trPr>
        <w:tc>
          <w:tcPr>
            <w:tcW w:w="4379" w:type="dxa"/>
          </w:tcPr>
          <w:p w:rsidRPr="004A1D19" w:rsidR="000470AA" w:rsidP="00D00796" w:rsidRDefault="000470AA" w14:paraId="7D4342A1" w14:textId="77777777">
            <w:pPr>
              <w:pStyle w:val="Nagwek3"/>
              <w:spacing w:before="0" w:line="240" w:lineRule="auto"/>
              <w:rPr>
                <w:rFonts w:ascii="Fira Sans" w:hAnsi="Fira Sans"/>
                <w:color w:val="auto"/>
                <w:lang w:val="fi-FI"/>
              </w:rPr>
            </w:pPr>
          </w:p>
        </w:tc>
        <w:tc>
          <w:tcPr>
            <w:tcW w:w="3942" w:type="dxa"/>
          </w:tcPr>
          <w:p w:rsidRPr="004A1D19" w:rsidR="000470AA" w:rsidP="00D00796" w:rsidRDefault="000470AA" w14:paraId="18600317" w14:textId="77777777">
            <w:pPr>
              <w:pStyle w:val="Nagwek3"/>
              <w:spacing w:before="0" w:line="240" w:lineRule="auto"/>
              <w:rPr>
                <w:rFonts w:ascii="Fira Sans" w:hAnsi="Fira Sans" w:cs="Arial"/>
                <w:color w:val="auto"/>
                <w:sz w:val="20"/>
                <w:szCs w:val="20"/>
                <w:lang w:val="en-US"/>
              </w:rPr>
            </w:pPr>
          </w:p>
        </w:tc>
      </w:tr>
    </w:tbl>
    <w:p w:rsidRPr="00257D39" w:rsidR="000470AA" w:rsidP="000470AA" w:rsidRDefault="000470AA" w14:paraId="1B68E34A" w14:textId="77777777">
      <w:pPr>
        <w:rPr>
          <w:sz w:val="20"/>
          <w:lang w:val="en-GB"/>
        </w:rPr>
      </w:pPr>
    </w:p>
    <w:p w:rsidRPr="00257D39" w:rsidR="000470AA" w:rsidP="000470AA" w:rsidRDefault="000470AA" w14:paraId="21E45930" w14:textId="77777777">
      <w:pPr>
        <w:rPr>
          <w:sz w:val="18"/>
          <w:lang w:val="en-GB"/>
        </w:rPr>
      </w:pPr>
    </w:p>
    <w:p w:rsidRPr="00257D39" w:rsidR="00D261A2" w:rsidP="00AD0E56" w:rsidRDefault="00D261A2" w14:paraId="7C19EFAE" w14:textId="2A60F608">
      <w:pPr>
        <w:rPr>
          <w:sz w:val="18"/>
          <w:lang w:val="en-GB"/>
        </w:rPr>
      </w:pPr>
    </w:p>
    <w:sectPr w:rsidRPr="00257D39" w:rsidR="00D261A2"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2C53" w14:textId="77777777" w:rsidR="00D57770" w:rsidRDefault="00D57770" w:rsidP="000662E2">
      <w:pPr>
        <w:spacing w:after="0" w:line="240" w:lineRule="auto"/>
      </w:pPr>
      <w:r>
        <w:separator/>
      </w:r>
    </w:p>
  </w:endnote>
  <w:endnote w:type="continuationSeparator" w:id="0">
    <w:p w14:paraId="4E71FD4A" w14:textId="77777777" w:rsidR="00D57770" w:rsidRDefault="00D5777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76F4D8D-B4E7-4AFB-A7A5-70F7DD88971D}"/>
    <w:embedBold r:id="rId2" w:fontKey="{573325FC-5753-448F-A143-9FEFF0F22C50}"/>
  </w:font>
  <w:font w:name="Fira Sans Light">
    <w:panose1 w:val="020B0403050000020004"/>
    <w:charset w:val="EE"/>
    <w:family w:val="swiss"/>
    <w:pitch w:val="variable"/>
    <w:sig w:usb0="600002FF" w:usb1="02000001" w:usb2="00000000" w:usb3="00000000" w:csb0="0000019F" w:csb1="00000000"/>
    <w:embedRegular r:id="rId3" w:fontKey="{6CE4AAAB-2AB6-4756-97C9-6D2D231591E2}"/>
    <w:embedBold r:id="rId4" w:fontKey="{6C90D5AB-11F3-42E7-A09F-3D57DED9AAE9}"/>
  </w:font>
  <w:font w:name="Fira Sans SemiBold">
    <w:panose1 w:val="020B0603050000020004"/>
    <w:charset w:val="EE"/>
    <w:family w:val="swiss"/>
    <w:pitch w:val="variable"/>
    <w:sig w:usb0="600002FF" w:usb1="02000001" w:usb2="00000000" w:usb3="00000000" w:csb0="0000019F" w:csb1="00000000"/>
    <w:embedRegular r:id="rId5" w:fontKey="{1AB60BE4-A4A9-45E7-9F2A-78AA4D30C1D9}"/>
    <w:embedBold r:id="rId6" w:fontKey="{B54A57FD-C9F5-4607-A75F-7F78A789C594}"/>
  </w:font>
  <w:font w:name="Fira Sans Medium">
    <w:panose1 w:val="020B0603050000020004"/>
    <w:charset w:val="EE"/>
    <w:family w:val="swiss"/>
    <w:pitch w:val="variable"/>
    <w:sig w:usb0="600002FF" w:usb1="02000001" w:usb2="00000000" w:usb3="00000000" w:csb0="0000019F" w:csb1="00000000"/>
    <w:embedRegular r:id="rId7" w:fontKey="{300CE9F0-34D5-4F3C-8CD9-84001639D364}"/>
    <w:embedItalic r:id="rId8" w:fontKey="{7FCAAB1B-DC10-4A03-8810-F9E9FD281DCA}"/>
  </w:font>
  <w:font w:name="Segoe UI">
    <w:panose1 w:val="020B0502040204020203"/>
    <w:charset w:val="EE"/>
    <w:family w:val="swiss"/>
    <w:pitch w:val="variable"/>
    <w:sig w:usb0="E4002EFF" w:usb1="C000E47F" w:usb2="00000009" w:usb3="00000000" w:csb0="000001FF" w:csb1="00000000"/>
    <w:embedRegular r:id="rId9" w:fontKey="{8C430F09-44FF-4787-B855-667B96461129}"/>
  </w:font>
  <w:font w:name="Fira Sans Extra Condensed SemiB">
    <w:panose1 w:val="020B0603050000020004"/>
    <w:charset w:val="EE"/>
    <w:family w:val="swiss"/>
    <w:pitch w:val="variable"/>
    <w:sig w:usb0="600002FF" w:usb1="00000001" w:usb2="00000000" w:usb3="00000000" w:csb0="0000019F" w:csb1="00000000"/>
    <w:embedRegular r:id="rId10" w:fontKey="{5A1C7A0E-E3ED-420F-9853-0E2D9686A1E6}"/>
  </w:font>
  <w:font w:name="Calibri">
    <w:panose1 w:val="020F0502020204030204"/>
    <w:charset w:val="EE"/>
    <w:family w:val="swiss"/>
    <w:pitch w:val="variable"/>
    <w:sig w:usb0="E4002EFF" w:usb1="C000247B" w:usb2="00000009" w:usb3="00000000" w:csb0="000001FF" w:csb1="00000000"/>
    <w:embedRegular r:id="rId11" w:fontKey="{FAE9826D-8923-480C-A75A-6ACF2958FB6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D57770" w:rsidRDefault="00D57770" w:rsidP="003B18B6">
        <w:pPr>
          <w:pStyle w:val="Stopka"/>
          <w:jc w:val="center"/>
        </w:pPr>
        <w:r>
          <w:fldChar w:fldCharType="begin"/>
        </w:r>
        <w:r>
          <w:instrText>PAGE   \* MERGEFORMAT</w:instrText>
        </w:r>
        <w:r>
          <w:fldChar w:fldCharType="separate"/>
        </w:r>
        <w:r w:rsidR="006B1E2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D57770" w:rsidRDefault="00D57770" w:rsidP="003B18B6">
        <w:pPr>
          <w:pStyle w:val="Stopka"/>
          <w:jc w:val="center"/>
        </w:pPr>
        <w:r>
          <w:fldChar w:fldCharType="begin"/>
        </w:r>
        <w:r>
          <w:instrText>PAGE   \* MERGEFORMAT</w:instrText>
        </w:r>
        <w:r>
          <w:fldChar w:fldCharType="separate"/>
        </w:r>
        <w:r w:rsidR="006B1E2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D57770" w:rsidRDefault="00D57770" w:rsidP="003B18B6">
        <w:pPr>
          <w:pStyle w:val="Stopka"/>
          <w:jc w:val="center"/>
        </w:pPr>
        <w:r>
          <w:fldChar w:fldCharType="begin"/>
        </w:r>
        <w:r>
          <w:instrText>PAGE   \* MERGEFORMAT</w:instrText>
        </w:r>
        <w:r>
          <w:fldChar w:fldCharType="separate"/>
        </w:r>
        <w:r w:rsidR="006B1E23">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339C7" w14:textId="77777777" w:rsidR="00D57770" w:rsidRDefault="00D57770" w:rsidP="000662E2">
      <w:pPr>
        <w:spacing w:after="0" w:line="240" w:lineRule="auto"/>
      </w:pPr>
      <w:r>
        <w:separator/>
      </w:r>
    </w:p>
  </w:footnote>
  <w:footnote w:type="continuationSeparator" w:id="0">
    <w:p w14:paraId="1125D2FF" w14:textId="77777777" w:rsidR="00D57770" w:rsidRDefault="00D57770" w:rsidP="000662E2">
      <w:pPr>
        <w:spacing w:after="0" w:line="240" w:lineRule="auto"/>
      </w:pPr>
      <w:r>
        <w:continuationSeparator/>
      </w:r>
    </w:p>
  </w:footnote>
  <w:footnote w:id="1">
    <w:p w14:paraId="0BC57754" w14:textId="6C950248" w:rsidR="00D57770" w:rsidRPr="00257D39" w:rsidRDefault="00D57770">
      <w:pPr>
        <w:pStyle w:val="Tekstprzypisudolnego"/>
        <w:rPr>
          <w:sz w:val="16"/>
          <w:szCs w:val="16"/>
          <w:lang w:val="en-GB"/>
        </w:rPr>
      </w:pPr>
      <w:r>
        <w:rPr>
          <w:rStyle w:val="Odwoanieprzypisudolnego"/>
        </w:rPr>
        <w:footnoteRef/>
      </w:r>
      <w:r w:rsidRPr="00257D39">
        <w:rPr>
          <w:lang w:val="en-GB"/>
        </w:rPr>
        <w:t xml:space="preserve"> </w:t>
      </w:r>
      <w:r w:rsidRPr="00257D39">
        <w:rPr>
          <w:sz w:val="16"/>
          <w:szCs w:val="16"/>
          <w:lang w:val="en-GB"/>
        </w:rPr>
        <w:t>Applies to national economic entites with the number of persons employed 50 and more conducting activi</w:t>
      </w:r>
      <w:r w:rsidR="008E7F6C" w:rsidRPr="00257D39">
        <w:rPr>
          <w:sz w:val="16"/>
          <w:szCs w:val="16"/>
          <w:lang w:val="en-GB"/>
        </w:rPr>
        <w:t>ties classified according to NACE</w:t>
      </w:r>
      <w:r w:rsidRPr="00257D39">
        <w:rPr>
          <w:sz w:val="16"/>
          <w:szCs w:val="16"/>
          <w:lang w:val="en-GB"/>
        </w:rPr>
        <w:t xml:space="preserve"> to sections: C „Manufacturing”, F „Construction”, G „Wholesale and retail trade; repair of motor vehicle</w:t>
      </w:r>
      <w:r w:rsidR="008E7F6C" w:rsidRPr="00257D39">
        <w:rPr>
          <w:sz w:val="16"/>
          <w:szCs w:val="16"/>
          <w:lang w:val="en-GB"/>
        </w:rPr>
        <w:t>s</w:t>
      </w:r>
      <w:r w:rsidRPr="00257D39">
        <w:rPr>
          <w:sz w:val="16"/>
          <w:szCs w:val="16"/>
          <w:lang w:val="en-GB"/>
        </w:rPr>
        <w:t xml:space="preserve"> and motorcycles”, H „Transportation and storage”, I „Accomodation and food service activities”, K „Financial and insurance activities”, L „Real estate activities”, M „Professional, scientific and technical activities”, N “Administrative and support service activities” and to selected divisions of section J: 58 „Publishing activities”, 61 „Telecommunication”, 62 „Computer programming, consultancy and related activities” and 63 „Information service activities”.</w:t>
      </w:r>
    </w:p>
  </w:footnote>
  <w:footnote w:id="2">
    <w:p w14:paraId="51D48708" w14:textId="6B69A37E" w:rsidR="00D57770" w:rsidRPr="00257D39" w:rsidRDefault="00D57770">
      <w:pPr>
        <w:pStyle w:val="Tekstprzypisudolnego"/>
        <w:rPr>
          <w:sz w:val="16"/>
          <w:szCs w:val="16"/>
          <w:lang w:val="en-GB"/>
        </w:rPr>
      </w:pPr>
      <w:r>
        <w:rPr>
          <w:rStyle w:val="Odwoanieprzypisudolnego"/>
        </w:rPr>
        <w:footnoteRef/>
      </w:r>
      <w:r w:rsidRPr="00257D39">
        <w:rPr>
          <w:lang w:val="en-GB"/>
        </w:rPr>
        <w:t xml:space="preserve"> </w:t>
      </w:r>
      <w:r w:rsidRPr="00257D39">
        <w:rPr>
          <w:sz w:val="16"/>
          <w:szCs w:val="16"/>
          <w:lang w:val="en-GB"/>
        </w:rPr>
        <w:t>Names of activities</w:t>
      </w:r>
      <w:r w:rsidR="008E7F6C" w:rsidRPr="00257D39">
        <w:rPr>
          <w:sz w:val="16"/>
          <w:szCs w:val="16"/>
          <w:lang w:val="en-GB"/>
        </w:rPr>
        <w:t>’</w:t>
      </w:r>
      <w:r w:rsidRPr="00257D39">
        <w:rPr>
          <w:sz w:val="16"/>
          <w:szCs w:val="16"/>
          <w:lang w:val="en-GB"/>
        </w:rPr>
        <w:t xml:space="preserve"> groupings according to Statistical Classification of Economic Activities in the European Comm</w:t>
      </w:r>
      <w:r w:rsidR="00032C10">
        <w:rPr>
          <w:sz w:val="16"/>
          <w:szCs w:val="16"/>
          <w:lang w:val="en-GB"/>
        </w:rPr>
        <w:t>unity (NACE Rev. 2) – see page 4</w:t>
      </w:r>
      <w:r w:rsidRPr="00257D39">
        <w:rPr>
          <w:sz w:val="16"/>
          <w:szCs w:val="16"/>
          <w:lang w:val="en-GB"/>
        </w:rPr>
        <w:t>.</w:t>
      </w:r>
    </w:p>
  </w:footnote>
  <w:footnote w:id="3">
    <w:p w14:paraId="70360C38" w14:textId="77777777" w:rsidR="0021267B" w:rsidRPr="00257D39" w:rsidRDefault="0021267B" w:rsidP="0021267B">
      <w:pPr>
        <w:pStyle w:val="Tekstprzypisudolnego"/>
        <w:spacing w:before="0"/>
        <w:rPr>
          <w:sz w:val="16"/>
          <w:lang w:val="en-GB"/>
        </w:rPr>
      </w:pPr>
      <w:r>
        <w:rPr>
          <w:rStyle w:val="Odwoanieprzypisudolnego"/>
        </w:rPr>
        <w:footnoteRef/>
      </w:r>
      <w:r w:rsidRPr="00257D39">
        <w:rPr>
          <w:lang w:val="en-GB"/>
        </w:rPr>
        <w:t xml:space="preserve"> </w:t>
      </w:r>
      <w:r w:rsidRPr="00257D39">
        <w:rPr>
          <w:sz w:val="16"/>
          <w:lang w:val="en-GB"/>
        </w:rPr>
        <w:t>Pursuant to the Act of 27 July 2002, The Law on Foreign Exchange, non-residents are:</w:t>
      </w:r>
    </w:p>
    <w:p w14:paraId="647FC1E5" w14:textId="521C5B9A" w:rsidR="0021267B" w:rsidRPr="00257D39" w:rsidRDefault="0021267B" w:rsidP="0021267B">
      <w:pPr>
        <w:pStyle w:val="Tekstprzypisudolnego"/>
        <w:numPr>
          <w:ilvl w:val="0"/>
          <w:numId w:val="7"/>
        </w:numPr>
        <w:spacing w:before="0"/>
        <w:rPr>
          <w:sz w:val="16"/>
          <w:lang w:val="en-GB"/>
        </w:rPr>
      </w:pPr>
      <w:r w:rsidRPr="00257D39">
        <w:rPr>
          <w:sz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40FC0945" w14:textId="51DF8A34" w:rsidR="0021267B" w:rsidRPr="00257D39" w:rsidRDefault="0021267B" w:rsidP="0021267B">
      <w:pPr>
        <w:pStyle w:val="Tekstprzypisudolnego"/>
        <w:numPr>
          <w:ilvl w:val="0"/>
          <w:numId w:val="7"/>
        </w:numPr>
        <w:spacing w:before="0"/>
        <w:rPr>
          <w:sz w:val="16"/>
          <w:lang w:val="en-GB"/>
        </w:rPr>
      </w:pPr>
      <w:r w:rsidRPr="00257D39">
        <w:rPr>
          <w:sz w:val="16"/>
          <w:lang w:val="en-GB"/>
        </w:rPr>
        <w:t>foreign diplomatic representation offices, consular offices and other foreign representation offices and special missions which enjoy diplomatic or consular immunities and privileges.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D57770" w:rsidRDefault="00D57770">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D57770" w:rsidRDefault="00D5777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D57770" w:rsidRDefault="00D57770">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558A975">
          <wp:simplePos x="0" y="0"/>
          <wp:positionH relativeFrom="column">
            <wp:posOffset>8890</wp:posOffset>
          </wp:positionH>
          <wp:positionV relativeFrom="paragraph">
            <wp:posOffset>42545</wp:posOffset>
          </wp:positionV>
          <wp:extent cx="1838325" cy="696595"/>
          <wp:effectExtent l="0" t="0" r="9525" b="0"/>
          <wp:wrapSquare wrapText="bothSides"/>
          <wp:docPr id="13" name="Obraz 13"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4F75A38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D57770" w:rsidRPr="003C6C8D" w:rsidRDefault="00D5777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D57770" w:rsidRPr="003C6C8D" w:rsidRDefault="00D5777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D57770" w:rsidRDefault="00D57770">
    <w:pPr>
      <w:pStyle w:val="Nagwek"/>
      <w:rPr>
        <w:noProof/>
        <w:lang w:eastAsia="pl-PL"/>
      </w:rPr>
    </w:pPr>
  </w:p>
  <w:p w14:paraId="45C1A999" w14:textId="77777777" w:rsidR="00D57770" w:rsidRDefault="00D57770">
    <w:pPr>
      <w:pStyle w:val="Nagwek"/>
      <w:rPr>
        <w:noProof/>
        <w:lang w:eastAsia="pl-PL"/>
      </w:rPr>
    </w:pPr>
  </w:p>
  <w:p w14:paraId="3194277A" w14:textId="5E6F66AE" w:rsidR="00D57770" w:rsidRDefault="00D57770">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BD1C90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2" title="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196A97E" w:rsidR="00D57770" w:rsidRPr="00A01B40" w:rsidRDefault="001A2431" w:rsidP="00F049AB">
                          <w:pPr>
                            <w:pStyle w:val="Datainformacjisygnalnej"/>
                          </w:pPr>
                          <w:r>
                            <w:t>15.02.2023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Tytuł: Publication Date — opis: Publication Date September 15th,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QoPD/jgCAABFBAAADgAAAAAAAAAA&#10;AAAAAAAuAgAAZHJzL2Uyb0RvYy54bWxQSwECLQAUAAYACAAAACEAtMlX394AAAAKAQAADwAAAAAA&#10;AAAAAAAAAACSBAAAZHJzL2Rvd25yZXYueG1sUEsFBgAAAAAEAAQA8wAAAJ0FAAAAAA==&#10;" filled="f" stroked="f">
              <v:textbox>
                <w:txbxContent>
                  <w:p w14:paraId="71967FEA" w14:textId="3196A97E" w:rsidR="00D57770" w:rsidRPr="00A01B40" w:rsidRDefault="001A2431" w:rsidP="00F049AB">
                    <w:pPr>
                      <w:pStyle w:val="Datainformacjisygnalnej"/>
                    </w:pPr>
                    <w:r>
                      <w:t>15.02.2023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D57770" w:rsidRDefault="00D57770">
    <w:pPr>
      <w:pStyle w:val="Nagwek"/>
    </w:pPr>
  </w:p>
  <w:p w14:paraId="0738E4E9" w14:textId="77777777" w:rsidR="00D57770" w:rsidRDefault="00D5777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3.95pt;height:125.2pt;visibility:visible;mso-wrap-style:square" o:bullet="t">
        <v:imagedata r:id="rId1" o:title=""/>
      </v:shape>
    </w:pict>
  </w:numPicBullet>
  <w:numPicBullet w:numPicBulletId="1">
    <w:pict>
      <v:shape id="_x0000_i1039" type="#_x0000_t75" style="width:123.9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4F2186D"/>
    <w:multiLevelType w:val="hybridMultilevel"/>
    <w:tmpl w:val="D6BA343E"/>
    <w:lvl w:ilvl="0" w:tplc="DD92CD9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2C10"/>
    <w:rsid w:val="00042449"/>
    <w:rsid w:val="0004582E"/>
    <w:rsid w:val="000470AA"/>
    <w:rsid w:val="00057CA1"/>
    <w:rsid w:val="000647A9"/>
    <w:rsid w:val="000662E2"/>
    <w:rsid w:val="00066883"/>
    <w:rsid w:val="00071B39"/>
    <w:rsid w:val="00074DD8"/>
    <w:rsid w:val="00075759"/>
    <w:rsid w:val="000806F7"/>
    <w:rsid w:val="00097840"/>
    <w:rsid w:val="000B0727"/>
    <w:rsid w:val="000C135D"/>
    <w:rsid w:val="000D1D43"/>
    <w:rsid w:val="000D225C"/>
    <w:rsid w:val="000D2A5C"/>
    <w:rsid w:val="000D39F0"/>
    <w:rsid w:val="000E0918"/>
    <w:rsid w:val="000E79A9"/>
    <w:rsid w:val="000F569C"/>
    <w:rsid w:val="000F6EC0"/>
    <w:rsid w:val="001011C3"/>
    <w:rsid w:val="00106DA3"/>
    <w:rsid w:val="00110214"/>
    <w:rsid w:val="00110D87"/>
    <w:rsid w:val="00112399"/>
    <w:rsid w:val="00114DB9"/>
    <w:rsid w:val="00116087"/>
    <w:rsid w:val="00117711"/>
    <w:rsid w:val="00130296"/>
    <w:rsid w:val="00130F9C"/>
    <w:rsid w:val="00134145"/>
    <w:rsid w:val="00136736"/>
    <w:rsid w:val="00136740"/>
    <w:rsid w:val="00136D67"/>
    <w:rsid w:val="001423B6"/>
    <w:rsid w:val="001448A7"/>
    <w:rsid w:val="00146621"/>
    <w:rsid w:val="00156F04"/>
    <w:rsid w:val="001617E3"/>
    <w:rsid w:val="00162325"/>
    <w:rsid w:val="001951DA"/>
    <w:rsid w:val="001A2431"/>
    <w:rsid w:val="001B053D"/>
    <w:rsid w:val="001C3269"/>
    <w:rsid w:val="001D19B6"/>
    <w:rsid w:val="001D1DB4"/>
    <w:rsid w:val="001D23F1"/>
    <w:rsid w:val="001D25F9"/>
    <w:rsid w:val="001D61ED"/>
    <w:rsid w:val="001E5B2D"/>
    <w:rsid w:val="001F3532"/>
    <w:rsid w:val="0020156C"/>
    <w:rsid w:val="002021A6"/>
    <w:rsid w:val="0021267B"/>
    <w:rsid w:val="002151E5"/>
    <w:rsid w:val="00216634"/>
    <w:rsid w:val="00242D31"/>
    <w:rsid w:val="0025481E"/>
    <w:rsid w:val="002574F9"/>
    <w:rsid w:val="00257D39"/>
    <w:rsid w:val="00260F7D"/>
    <w:rsid w:val="00262B61"/>
    <w:rsid w:val="00262CC6"/>
    <w:rsid w:val="00263CBF"/>
    <w:rsid w:val="00263E08"/>
    <w:rsid w:val="00266145"/>
    <w:rsid w:val="00276811"/>
    <w:rsid w:val="00282699"/>
    <w:rsid w:val="002926DF"/>
    <w:rsid w:val="00296697"/>
    <w:rsid w:val="002B0472"/>
    <w:rsid w:val="002B6B12"/>
    <w:rsid w:val="002C1682"/>
    <w:rsid w:val="002C21F0"/>
    <w:rsid w:val="002D01DF"/>
    <w:rsid w:val="002E2973"/>
    <w:rsid w:val="002E3EB3"/>
    <w:rsid w:val="002E6140"/>
    <w:rsid w:val="002E6985"/>
    <w:rsid w:val="002E71B6"/>
    <w:rsid w:val="002F35F6"/>
    <w:rsid w:val="002F77C8"/>
    <w:rsid w:val="002F7889"/>
    <w:rsid w:val="00304F22"/>
    <w:rsid w:val="00306C7C"/>
    <w:rsid w:val="003112D5"/>
    <w:rsid w:val="00314F86"/>
    <w:rsid w:val="00317F4D"/>
    <w:rsid w:val="00322EDD"/>
    <w:rsid w:val="003309FA"/>
    <w:rsid w:val="00332320"/>
    <w:rsid w:val="00347D72"/>
    <w:rsid w:val="00353F45"/>
    <w:rsid w:val="00357611"/>
    <w:rsid w:val="0036432A"/>
    <w:rsid w:val="00364AF9"/>
    <w:rsid w:val="00364E47"/>
    <w:rsid w:val="00367237"/>
    <w:rsid w:val="0037077F"/>
    <w:rsid w:val="00372411"/>
    <w:rsid w:val="00373882"/>
    <w:rsid w:val="003843DB"/>
    <w:rsid w:val="003929FE"/>
    <w:rsid w:val="00393761"/>
    <w:rsid w:val="003949F3"/>
    <w:rsid w:val="00394E26"/>
    <w:rsid w:val="00396691"/>
    <w:rsid w:val="00397AA2"/>
    <w:rsid w:val="00397D18"/>
    <w:rsid w:val="003A1B36"/>
    <w:rsid w:val="003A6D96"/>
    <w:rsid w:val="003B1454"/>
    <w:rsid w:val="003B18B6"/>
    <w:rsid w:val="003C161B"/>
    <w:rsid w:val="003C59E0"/>
    <w:rsid w:val="003C6C8D"/>
    <w:rsid w:val="003D2656"/>
    <w:rsid w:val="003D4F95"/>
    <w:rsid w:val="003D5F42"/>
    <w:rsid w:val="003D60A9"/>
    <w:rsid w:val="003F4C97"/>
    <w:rsid w:val="003F666D"/>
    <w:rsid w:val="003F7FE6"/>
    <w:rsid w:val="00400193"/>
    <w:rsid w:val="00406189"/>
    <w:rsid w:val="00416EAF"/>
    <w:rsid w:val="004212E7"/>
    <w:rsid w:val="00423C88"/>
    <w:rsid w:val="0042446D"/>
    <w:rsid w:val="00427BF8"/>
    <w:rsid w:val="00431C02"/>
    <w:rsid w:val="00437395"/>
    <w:rsid w:val="00445047"/>
    <w:rsid w:val="00446749"/>
    <w:rsid w:val="004510DE"/>
    <w:rsid w:val="00453EB7"/>
    <w:rsid w:val="00463E39"/>
    <w:rsid w:val="004657FC"/>
    <w:rsid w:val="00470357"/>
    <w:rsid w:val="004733F6"/>
    <w:rsid w:val="00474E69"/>
    <w:rsid w:val="00483E9F"/>
    <w:rsid w:val="00485A2C"/>
    <w:rsid w:val="0049621B"/>
    <w:rsid w:val="004A1D19"/>
    <w:rsid w:val="004A5D7F"/>
    <w:rsid w:val="004C1895"/>
    <w:rsid w:val="004C6D40"/>
    <w:rsid w:val="004E6AA8"/>
    <w:rsid w:val="004F0C3C"/>
    <w:rsid w:val="004F2280"/>
    <w:rsid w:val="004F23BB"/>
    <w:rsid w:val="004F3A76"/>
    <w:rsid w:val="004F63FC"/>
    <w:rsid w:val="00505A92"/>
    <w:rsid w:val="005203F1"/>
    <w:rsid w:val="00521BC3"/>
    <w:rsid w:val="00533632"/>
    <w:rsid w:val="00533989"/>
    <w:rsid w:val="00534013"/>
    <w:rsid w:val="0053504D"/>
    <w:rsid w:val="00540C5C"/>
    <w:rsid w:val="00541E6E"/>
    <w:rsid w:val="0054251F"/>
    <w:rsid w:val="005520D8"/>
    <w:rsid w:val="00555CFB"/>
    <w:rsid w:val="00556CF1"/>
    <w:rsid w:val="00560BB7"/>
    <w:rsid w:val="005762A7"/>
    <w:rsid w:val="00587CEE"/>
    <w:rsid w:val="005916D7"/>
    <w:rsid w:val="0059427F"/>
    <w:rsid w:val="005A698C"/>
    <w:rsid w:val="005C0CAC"/>
    <w:rsid w:val="005C2776"/>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73CA"/>
    <w:rsid w:val="00673C26"/>
    <w:rsid w:val="00674DE5"/>
    <w:rsid w:val="00677ACA"/>
    <w:rsid w:val="006812AF"/>
    <w:rsid w:val="0068327D"/>
    <w:rsid w:val="00691278"/>
    <w:rsid w:val="00691534"/>
    <w:rsid w:val="00693880"/>
    <w:rsid w:val="00694AF0"/>
    <w:rsid w:val="00694D61"/>
    <w:rsid w:val="006A4686"/>
    <w:rsid w:val="006B0E9E"/>
    <w:rsid w:val="006B1E23"/>
    <w:rsid w:val="006B486D"/>
    <w:rsid w:val="006B5AE4"/>
    <w:rsid w:val="006C197A"/>
    <w:rsid w:val="006C2007"/>
    <w:rsid w:val="006C4A7C"/>
    <w:rsid w:val="006D1507"/>
    <w:rsid w:val="006D4054"/>
    <w:rsid w:val="006E02EC"/>
    <w:rsid w:val="006E3C4F"/>
    <w:rsid w:val="006E6F41"/>
    <w:rsid w:val="006E73E6"/>
    <w:rsid w:val="007211B1"/>
    <w:rsid w:val="007259DB"/>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E5D70"/>
    <w:rsid w:val="007F324B"/>
    <w:rsid w:val="00803031"/>
    <w:rsid w:val="008036A7"/>
    <w:rsid w:val="008038C4"/>
    <w:rsid w:val="0080553C"/>
    <w:rsid w:val="00805B46"/>
    <w:rsid w:val="00805DB4"/>
    <w:rsid w:val="00823593"/>
    <w:rsid w:val="00825DC2"/>
    <w:rsid w:val="00834AD3"/>
    <w:rsid w:val="00843795"/>
    <w:rsid w:val="00847F0F"/>
    <w:rsid w:val="00850B7B"/>
    <w:rsid w:val="00852448"/>
    <w:rsid w:val="00852910"/>
    <w:rsid w:val="0086179C"/>
    <w:rsid w:val="00877F6C"/>
    <w:rsid w:val="0088258A"/>
    <w:rsid w:val="00886332"/>
    <w:rsid w:val="0088787E"/>
    <w:rsid w:val="008925F0"/>
    <w:rsid w:val="0089448A"/>
    <w:rsid w:val="00894C23"/>
    <w:rsid w:val="00897877"/>
    <w:rsid w:val="008A26D9"/>
    <w:rsid w:val="008A7B5B"/>
    <w:rsid w:val="008B12D2"/>
    <w:rsid w:val="008C0C29"/>
    <w:rsid w:val="008D02DA"/>
    <w:rsid w:val="008D76BC"/>
    <w:rsid w:val="008E7DBA"/>
    <w:rsid w:val="008E7F6C"/>
    <w:rsid w:val="008F0829"/>
    <w:rsid w:val="008F3638"/>
    <w:rsid w:val="008F4441"/>
    <w:rsid w:val="008F6B20"/>
    <w:rsid w:val="008F6F31"/>
    <w:rsid w:val="008F74DF"/>
    <w:rsid w:val="00900DFA"/>
    <w:rsid w:val="00902274"/>
    <w:rsid w:val="009054B4"/>
    <w:rsid w:val="009127BA"/>
    <w:rsid w:val="00920AAE"/>
    <w:rsid w:val="009227A6"/>
    <w:rsid w:val="00930126"/>
    <w:rsid w:val="00933EC1"/>
    <w:rsid w:val="009446AD"/>
    <w:rsid w:val="009530DB"/>
    <w:rsid w:val="00953676"/>
    <w:rsid w:val="00956F30"/>
    <w:rsid w:val="00962474"/>
    <w:rsid w:val="00962B00"/>
    <w:rsid w:val="00966C9A"/>
    <w:rsid w:val="0096796E"/>
    <w:rsid w:val="009705EE"/>
    <w:rsid w:val="00977927"/>
    <w:rsid w:val="0098135C"/>
    <w:rsid w:val="0098156A"/>
    <w:rsid w:val="00991BAC"/>
    <w:rsid w:val="009A6EA0"/>
    <w:rsid w:val="009C1335"/>
    <w:rsid w:val="009C1AB2"/>
    <w:rsid w:val="009C7251"/>
    <w:rsid w:val="009E2E91"/>
    <w:rsid w:val="009E7D31"/>
    <w:rsid w:val="00A01B40"/>
    <w:rsid w:val="00A139F5"/>
    <w:rsid w:val="00A32E16"/>
    <w:rsid w:val="00A365F4"/>
    <w:rsid w:val="00A47D80"/>
    <w:rsid w:val="00A5298E"/>
    <w:rsid w:val="00A53132"/>
    <w:rsid w:val="00A563F2"/>
    <w:rsid w:val="00A566E8"/>
    <w:rsid w:val="00A567CE"/>
    <w:rsid w:val="00A66347"/>
    <w:rsid w:val="00A7392B"/>
    <w:rsid w:val="00A810F9"/>
    <w:rsid w:val="00A82D31"/>
    <w:rsid w:val="00A8492D"/>
    <w:rsid w:val="00A85E7E"/>
    <w:rsid w:val="00A86ECC"/>
    <w:rsid w:val="00A86FCC"/>
    <w:rsid w:val="00A90A6D"/>
    <w:rsid w:val="00A91617"/>
    <w:rsid w:val="00A971E5"/>
    <w:rsid w:val="00AA5026"/>
    <w:rsid w:val="00AA710D"/>
    <w:rsid w:val="00AB64F3"/>
    <w:rsid w:val="00AB6D25"/>
    <w:rsid w:val="00AC1697"/>
    <w:rsid w:val="00AD0E56"/>
    <w:rsid w:val="00AE229B"/>
    <w:rsid w:val="00AE2D4B"/>
    <w:rsid w:val="00AE4F99"/>
    <w:rsid w:val="00B06727"/>
    <w:rsid w:val="00B11B69"/>
    <w:rsid w:val="00B14952"/>
    <w:rsid w:val="00B16871"/>
    <w:rsid w:val="00B25B45"/>
    <w:rsid w:val="00B31E5A"/>
    <w:rsid w:val="00B428CF"/>
    <w:rsid w:val="00B47359"/>
    <w:rsid w:val="00B653AB"/>
    <w:rsid w:val="00B65F9E"/>
    <w:rsid w:val="00B66B19"/>
    <w:rsid w:val="00B83196"/>
    <w:rsid w:val="00B83987"/>
    <w:rsid w:val="00B914E9"/>
    <w:rsid w:val="00B923BF"/>
    <w:rsid w:val="00B956EE"/>
    <w:rsid w:val="00BA2BA1"/>
    <w:rsid w:val="00BA3447"/>
    <w:rsid w:val="00BA3562"/>
    <w:rsid w:val="00BB4F09"/>
    <w:rsid w:val="00BB54B5"/>
    <w:rsid w:val="00BD4E33"/>
    <w:rsid w:val="00C030DE"/>
    <w:rsid w:val="00C051A8"/>
    <w:rsid w:val="00C22105"/>
    <w:rsid w:val="00C244B6"/>
    <w:rsid w:val="00C27BF1"/>
    <w:rsid w:val="00C3702F"/>
    <w:rsid w:val="00C4500A"/>
    <w:rsid w:val="00C60061"/>
    <w:rsid w:val="00C60504"/>
    <w:rsid w:val="00C62238"/>
    <w:rsid w:val="00C6240A"/>
    <w:rsid w:val="00C647A8"/>
    <w:rsid w:val="00C64A37"/>
    <w:rsid w:val="00C7158E"/>
    <w:rsid w:val="00C7250B"/>
    <w:rsid w:val="00C7346B"/>
    <w:rsid w:val="00C77C0E"/>
    <w:rsid w:val="00C91687"/>
    <w:rsid w:val="00C924A8"/>
    <w:rsid w:val="00C945FE"/>
    <w:rsid w:val="00C96FAA"/>
    <w:rsid w:val="00C97A04"/>
    <w:rsid w:val="00CA107B"/>
    <w:rsid w:val="00CA484D"/>
    <w:rsid w:val="00CA4B35"/>
    <w:rsid w:val="00CA4FB6"/>
    <w:rsid w:val="00CA784C"/>
    <w:rsid w:val="00CB2F90"/>
    <w:rsid w:val="00CB39E7"/>
    <w:rsid w:val="00CB6AD4"/>
    <w:rsid w:val="00CC739E"/>
    <w:rsid w:val="00CD1EBB"/>
    <w:rsid w:val="00CD28CF"/>
    <w:rsid w:val="00CD58B7"/>
    <w:rsid w:val="00CD7967"/>
    <w:rsid w:val="00CF18EE"/>
    <w:rsid w:val="00CF30BD"/>
    <w:rsid w:val="00CF4099"/>
    <w:rsid w:val="00D00796"/>
    <w:rsid w:val="00D261A2"/>
    <w:rsid w:val="00D354E7"/>
    <w:rsid w:val="00D57770"/>
    <w:rsid w:val="00D616D2"/>
    <w:rsid w:val="00D63B5F"/>
    <w:rsid w:val="00D70EF7"/>
    <w:rsid w:val="00D75A3D"/>
    <w:rsid w:val="00D8397C"/>
    <w:rsid w:val="00D94EED"/>
    <w:rsid w:val="00D96026"/>
    <w:rsid w:val="00D972F6"/>
    <w:rsid w:val="00DA331D"/>
    <w:rsid w:val="00DA7C1C"/>
    <w:rsid w:val="00DB147A"/>
    <w:rsid w:val="00DB1B7A"/>
    <w:rsid w:val="00DB38DC"/>
    <w:rsid w:val="00DB57E2"/>
    <w:rsid w:val="00DB706E"/>
    <w:rsid w:val="00DC6708"/>
    <w:rsid w:val="00DD011A"/>
    <w:rsid w:val="00DE1D0A"/>
    <w:rsid w:val="00DE2400"/>
    <w:rsid w:val="00DE58F1"/>
    <w:rsid w:val="00DE6B58"/>
    <w:rsid w:val="00DE6DD7"/>
    <w:rsid w:val="00DF061A"/>
    <w:rsid w:val="00DF5E32"/>
    <w:rsid w:val="00E01436"/>
    <w:rsid w:val="00E03E79"/>
    <w:rsid w:val="00E045BD"/>
    <w:rsid w:val="00E04D6C"/>
    <w:rsid w:val="00E17B77"/>
    <w:rsid w:val="00E231AB"/>
    <w:rsid w:val="00E23337"/>
    <w:rsid w:val="00E259EA"/>
    <w:rsid w:val="00E25D33"/>
    <w:rsid w:val="00E26495"/>
    <w:rsid w:val="00E32061"/>
    <w:rsid w:val="00E33F48"/>
    <w:rsid w:val="00E42FF9"/>
    <w:rsid w:val="00E44790"/>
    <w:rsid w:val="00E4714C"/>
    <w:rsid w:val="00E5178D"/>
    <w:rsid w:val="00E51AEB"/>
    <w:rsid w:val="00E522A7"/>
    <w:rsid w:val="00E5349E"/>
    <w:rsid w:val="00E54452"/>
    <w:rsid w:val="00E54E54"/>
    <w:rsid w:val="00E5638C"/>
    <w:rsid w:val="00E63B0C"/>
    <w:rsid w:val="00E664C5"/>
    <w:rsid w:val="00E671A2"/>
    <w:rsid w:val="00E74B38"/>
    <w:rsid w:val="00E76D26"/>
    <w:rsid w:val="00E76EE5"/>
    <w:rsid w:val="00E95036"/>
    <w:rsid w:val="00E95B8E"/>
    <w:rsid w:val="00EB1390"/>
    <w:rsid w:val="00EB2C71"/>
    <w:rsid w:val="00EB3333"/>
    <w:rsid w:val="00EB4340"/>
    <w:rsid w:val="00EB556D"/>
    <w:rsid w:val="00EB5A7D"/>
    <w:rsid w:val="00EC0CED"/>
    <w:rsid w:val="00EC50DD"/>
    <w:rsid w:val="00ED55C0"/>
    <w:rsid w:val="00ED682B"/>
    <w:rsid w:val="00EE41D5"/>
    <w:rsid w:val="00F0166F"/>
    <w:rsid w:val="00F037A4"/>
    <w:rsid w:val="00F049AB"/>
    <w:rsid w:val="00F142DB"/>
    <w:rsid w:val="00F27C8F"/>
    <w:rsid w:val="00F32749"/>
    <w:rsid w:val="00F37172"/>
    <w:rsid w:val="00F4477E"/>
    <w:rsid w:val="00F46269"/>
    <w:rsid w:val="00F60BA8"/>
    <w:rsid w:val="00F63B47"/>
    <w:rsid w:val="00F67D8F"/>
    <w:rsid w:val="00F802BE"/>
    <w:rsid w:val="00F80E93"/>
    <w:rsid w:val="00F86024"/>
    <w:rsid w:val="00F8611A"/>
    <w:rsid w:val="00FA4D6D"/>
    <w:rsid w:val="00FA5128"/>
    <w:rsid w:val="00FB42D4"/>
    <w:rsid w:val="00FB5906"/>
    <w:rsid w:val="00FB762F"/>
    <w:rsid w:val="00FC2AED"/>
    <w:rsid w:val="00FC3421"/>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6C20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metainformation/glossary/terms-used-in-official-statistics/3750,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13143700541741"/>
          <c:y val="3.3947578160770091E-2"/>
          <c:w val="0.75600593916775016"/>
          <c:h val="0.8021719960884286"/>
        </c:manualLayout>
      </c:layout>
      <c:barChart>
        <c:barDir val="bar"/>
        <c:grouping val="clustered"/>
        <c:varyColors val="0"/>
        <c:ser>
          <c:idx val="0"/>
          <c:order val="0"/>
          <c:tx>
            <c:strRef>
              <c:f>Arkusz1!$B$1</c:f>
              <c:strCache>
                <c:ptCount val="1"/>
                <c:pt idx="0">
                  <c:v>2020</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dPt>
            <c:idx val="8"/>
            <c:invertIfNegative val="0"/>
            <c:bubble3D val="0"/>
            <c:spPr>
              <a:solidFill>
                <a:srgbClr val="001D77"/>
              </a:solidFill>
              <a:ln w="19050">
                <a:solidFill>
                  <a:schemeClr val="lt1"/>
                </a:solidFill>
              </a:ln>
              <a:effectLst/>
            </c:spPr>
          </c:dPt>
          <c:dPt>
            <c:idx val="9"/>
            <c:invertIfNegative val="0"/>
            <c:bubble3D val="0"/>
            <c:spPr>
              <a:solidFill>
                <a:srgbClr val="001D77"/>
              </a:solidFill>
              <a:ln w="19050">
                <a:solidFill>
                  <a:schemeClr val="lt1"/>
                </a:solidFill>
              </a:ln>
              <a:effectLst/>
            </c:spPr>
          </c:dPt>
          <c:cat>
            <c:strRef>
              <c:f>Arkusz1!$A$2:$A$11</c:f>
              <c:strCache>
                <c:ptCount val="10"/>
                <c:pt idx="0">
                  <c:v>Section C</c:v>
                </c:pt>
                <c:pt idx="1">
                  <c:v>Section G</c:v>
                </c:pt>
                <c:pt idx="2">
                  <c:v>Section H</c:v>
                </c:pt>
                <c:pt idx="3">
                  <c:v>Section F</c:v>
                </c:pt>
                <c:pt idx="4">
                  <c:v>Section J 
divisions 58, 61-63</c:v>
                </c:pt>
                <c:pt idx="5">
                  <c:v>Section K</c:v>
                </c:pt>
                <c:pt idx="6">
                  <c:v>Section M</c:v>
                </c:pt>
                <c:pt idx="7">
                  <c:v>Section N</c:v>
                </c:pt>
                <c:pt idx="8">
                  <c:v>Section L</c:v>
                </c:pt>
                <c:pt idx="9">
                  <c:v>Section I</c:v>
                </c:pt>
              </c:strCache>
            </c:strRef>
          </c:cat>
          <c:val>
            <c:numRef>
              <c:f>Arkusz1!$B$2:$B$11</c:f>
              <c:numCache>
                <c:formatCode>0.0%</c:formatCode>
                <c:ptCount val="10"/>
                <c:pt idx="0">
                  <c:v>0.29699999999999999</c:v>
                </c:pt>
                <c:pt idx="1">
                  <c:v>0.17199999999999999</c:v>
                </c:pt>
                <c:pt idx="2">
                  <c:v>0.16300000000000001</c:v>
                </c:pt>
                <c:pt idx="3">
                  <c:v>0.14399999999999999</c:v>
                </c:pt>
                <c:pt idx="4">
                  <c:v>7.1999999999999995E-2</c:v>
                </c:pt>
                <c:pt idx="5">
                  <c:v>4.7E-2</c:v>
                </c:pt>
                <c:pt idx="6">
                  <c:v>4.5999999999999999E-2</c:v>
                </c:pt>
                <c:pt idx="7">
                  <c:v>3.9E-2</c:v>
                </c:pt>
                <c:pt idx="8">
                  <c:v>1.0999999999999999E-2</c:v>
                </c:pt>
                <c:pt idx="9">
                  <c:v>8.9999999999999993E-3</c:v>
                </c:pt>
              </c:numCache>
            </c:numRef>
          </c:val>
        </c:ser>
        <c:ser>
          <c:idx val="1"/>
          <c:order val="1"/>
          <c:tx>
            <c:strRef>
              <c:f>Arkusz1!$C$1</c:f>
              <c:strCache>
                <c:ptCount val="1"/>
                <c:pt idx="0">
                  <c:v>2015</c:v>
                </c:pt>
              </c:strCache>
            </c:strRef>
          </c:tx>
          <c:spPr>
            <a:solidFill>
              <a:srgbClr val="99A4C8"/>
            </a:solidFill>
            <a:ln w="19050">
              <a:solidFill>
                <a:schemeClr val="lt1"/>
              </a:solidFill>
            </a:ln>
            <a:effectLst/>
          </c:spPr>
          <c:invertIfNegative val="0"/>
          <c:cat>
            <c:strRef>
              <c:f>Arkusz1!$A$2:$A$11</c:f>
              <c:strCache>
                <c:ptCount val="10"/>
                <c:pt idx="0">
                  <c:v>Section C</c:v>
                </c:pt>
                <c:pt idx="1">
                  <c:v>Section G</c:v>
                </c:pt>
                <c:pt idx="2">
                  <c:v>Section H</c:v>
                </c:pt>
                <c:pt idx="3">
                  <c:v>Section F</c:v>
                </c:pt>
                <c:pt idx="4">
                  <c:v>Section J 
divisions 58, 61-63</c:v>
                </c:pt>
                <c:pt idx="5">
                  <c:v>Section K</c:v>
                </c:pt>
                <c:pt idx="6">
                  <c:v>Section M</c:v>
                </c:pt>
                <c:pt idx="7">
                  <c:v>Section N</c:v>
                </c:pt>
                <c:pt idx="8">
                  <c:v>Section L</c:v>
                </c:pt>
                <c:pt idx="9">
                  <c:v>Section I</c:v>
                </c:pt>
              </c:strCache>
            </c:strRef>
          </c:cat>
          <c:val>
            <c:numRef>
              <c:f>Arkusz1!$C$2:$C$11</c:f>
              <c:numCache>
                <c:formatCode>0.0%</c:formatCode>
                <c:ptCount val="10"/>
                <c:pt idx="0">
                  <c:v>0.31</c:v>
                </c:pt>
                <c:pt idx="1">
                  <c:v>0.16300000000000001</c:v>
                </c:pt>
                <c:pt idx="2">
                  <c:v>0.11799999999999999</c:v>
                </c:pt>
                <c:pt idx="3">
                  <c:v>0.14299999999999999</c:v>
                </c:pt>
                <c:pt idx="4">
                  <c:v>8.1000000000000003E-2</c:v>
                </c:pt>
                <c:pt idx="5">
                  <c:v>7.0999999999999994E-2</c:v>
                </c:pt>
                <c:pt idx="6">
                  <c:v>5.2999999999999999E-2</c:v>
                </c:pt>
                <c:pt idx="7">
                  <c:v>0.04</c:v>
                </c:pt>
                <c:pt idx="8">
                  <c:v>1.2999999999999999E-2</c:v>
                </c:pt>
                <c:pt idx="9">
                  <c:v>8.0000000000000002E-3</c:v>
                </c:pt>
              </c:numCache>
            </c:numRef>
          </c:val>
        </c:ser>
        <c:dLbls>
          <c:showLegendKey val="0"/>
          <c:showVal val="0"/>
          <c:showCatName val="0"/>
          <c:showSerName val="0"/>
          <c:showPercent val="0"/>
          <c:showBubbleSize val="0"/>
        </c:dLbls>
        <c:gapWidth val="100"/>
        <c:axId val="-1077314640"/>
        <c:axId val="-1077299952"/>
      </c:barChart>
      <c:valAx>
        <c:axId val="-1077299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077314640"/>
        <c:crosses val="autoZero"/>
        <c:crossBetween val="between"/>
      </c:valAx>
      <c:catAx>
        <c:axId val="-10773146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077299952"/>
        <c:crosses val="autoZero"/>
        <c:auto val="1"/>
        <c:lblAlgn val="ctr"/>
        <c:lblOffset val="100"/>
        <c:noMultiLvlLbl val="0"/>
      </c:catAx>
      <c:spPr>
        <a:noFill/>
        <a:ln>
          <a:noFill/>
        </a:ln>
        <a:effectLst/>
      </c:spPr>
    </c:plotArea>
    <c:legend>
      <c:legendPos val="b"/>
      <c:layout>
        <c:manualLayout>
          <c:xMode val="edge"/>
          <c:yMode val="edge"/>
          <c:x val="0.42072360760221333"/>
          <c:y val="0.93410812475256233"/>
          <c:w val="0.1685365611589828"/>
          <c:h val="6.216748046159034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4136830890156"/>
          <c:y val="2.7089648669304505E-2"/>
          <c:w val="0.63328591526358236"/>
          <c:h val="0.88388555027576188"/>
        </c:manualLayout>
      </c:layout>
      <c:barChart>
        <c:barDir val="bar"/>
        <c:grouping val="clustered"/>
        <c:varyColors val="0"/>
        <c:ser>
          <c:idx val="0"/>
          <c:order val="0"/>
          <c:tx>
            <c:strRef>
              <c:f>Arkusz1!$B$1</c:f>
              <c:strCache>
                <c:ptCount val="1"/>
                <c:pt idx="0">
                  <c:v>2020</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dPt>
            <c:idx val="8"/>
            <c:invertIfNegative val="0"/>
            <c:bubble3D val="0"/>
            <c:spPr>
              <a:solidFill>
                <a:srgbClr val="001D77"/>
              </a:solidFill>
              <a:ln w="19050">
                <a:solidFill>
                  <a:schemeClr val="lt1"/>
                </a:solidFill>
              </a:ln>
              <a:effectLst/>
            </c:spPr>
          </c:dPt>
          <c:dPt>
            <c:idx val="9"/>
            <c:invertIfNegative val="0"/>
            <c:bubble3D val="0"/>
            <c:spPr>
              <a:solidFill>
                <a:srgbClr val="001D77"/>
              </a:solidFill>
              <a:ln w="19050">
                <a:solidFill>
                  <a:schemeClr val="lt1"/>
                </a:solidFill>
              </a:ln>
              <a:effectLst/>
            </c:spPr>
          </c:dPt>
          <c:dPt>
            <c:idx val="10"/>
            <c:invertIfNegative val="0"/>
            <c:bubble3D val="0"/>
            <c:spPr>
              <a:solidFill>
                <a:srgbClr val="001D77"/>
              </a:solidFill>
              <a:ln w="19050">
                <a:solidFill>
                  <a:schemeClr val="lt1"/>
                </a:solidFill>
              </a:ln>
              <a:effectLst/>
            </c:spPr>
          </c:dPt>
          <c:dPt>
            <c:idx val="11"/>
            <c:invertIfNegative val="0"/>
            <c:bubble3D val="0"/>
            <c:spPr>
              <a:solidFill>
                <a:srgbClr val="001D77"/>
              </a:solidFill>
              <a:ln w="19050">
                <a:solidFill>
                  <a:schemeClr val="lt1"/>
                </a:solidFill>
              </a:ln>
              <a:effectLst/>
            </c:spPr>
          </c:dPt>
          <c:dPt>
            <c:idx val="12"/>
            <c:invertIfNegative val="0"/>
            <c:bubble3D val="0"/>
            <c:spPr>
              <a:solidFill>
                <a:srgbClr val="001D77"/>
              </a:solidFill>
              <a:ln w="19050">
                <a:solidFill>
                  <a:schemeClr val="lt1"/>
                </a:solidFill>
              </a:ln>
              <a:effectLst/>
            </c:spPr>
          </c:dPt>
          <c:dPt>
            <c:idx val="13"/>
            <c:invertIfNegative val="0"/>
            <c:bubble3D val="0"/>
            <c:spPr>
              <a:solidFill>
                <a:srgbClr val="001D77"/>
              </a:solidFill>
              <a:ln w="19050">
                <a:solidFill>
                  <a:schemeClr val="lt1"/>
                </a:solidFill>
              </a:ln>
              <a:effectLst/>
            </c:spPr>
          </c:dPt>
          <c:dPt>
            <c:idx val="14"/>
            <c:invertIfNegative val="0"/>
            <c:bubble3D val="0"/>
            <c:spPr>
              <a:solidFill>
                <a:srgbClr val="001D77"/>
              </a:solidFill>
              <a:ln w="19050">
                <a:solidFill>
                  <a:schemeClr val="lt1"/>
                </a:solidFill>
              </a:ln>
              <a:effectLst/>
            </c:spPr>
          </c:dPt>
          <c:dPt>
            <c:idx val="15"/>
            <c:invertIfNegative val="0"/>
            <c:bubble3D val="0"/>
            <c:spPr>
              <a:solidFill>
                <a:srgbClr val="001D77"/>
              </a:solidFill>
              <a:ln w="19050">
                <a:solidFill>
                  <a:schemeClr val="lt1"/>
                </a:solidFill>
              </a:ln>
              <a:effectLst/>
            </c:spPr>
          </c:dPt>
          <c:dPt>
            <c:idx val="16"/>
            <c:invertIfNegative val="0"/>
            <c:bubble3D val="0"/>
            <c:spPr>
              <a:solidFill>
                <a:srgbClr val="001D77"/>
              </a:solidFill>
              <a:ln w="19050">
                <a:solidFill>
                  <a:schemeClr val="lt1"/>
                </a:solidFill>
              </a:ln>
              <a:effectLst/>
            </c:spPr>
          </c:dPt>
          <c:dPt>
            <c:idx val="17"/>
            <c:invertIfNegative val="0"/>
            <c:bubble3D val="0"/>
            <c:spPr>
              <a:solidFill>
                <a:srgbClr val="001D77"/>
              </a:solidFill>
              <a:ln w="19050">
                <a:solidFill>
                  <a:schemeClr val="lt1"/>
                </a:solidFill>
              </a:ln>
              <a:effectLst/>
            </c:spPr>
          </c:dPt>
          <c:dPt>
            <c:idx val="18"/>
            <c:invertIfNegative val="0"/>
            <c:bubble3D val="0"/>
            <c:spPr>
              <a:solidFill>
                <a:srgbClr val="001D77"/>
              </a:solidFill>
              <a:ln w="19050">
                <a:solidFill>
                  <a:schemeClr val="lt1"/>
                </a:solidFill>
              </a:ln>
              <a:effectLst/>
            </c:spPr>
          </c:dPt>
          <c:dPt>
            <c:idx val="19"/>
            <c:invertIfNegative val="0"/>
            <c:bubble3D val="0"/>
            <c:spPr>
              <a:solidFill>
                <a:srgbClr val="001D77"/>
              </a:solidFill>
              <a:ln w="19050">
                <a:solidFill>
                  <a:schemeClr val="lt1"/>
                </a:solidFill>
              </a:ln>
              <a:effectLst/>
            </c:spPr>
          </c:dPt>
          <c:cat>
            <c:strRef>
              <c:f>Arkusz1!$A$2:$A$20</c:f>
              <c:strCache>
                <c:ptCount val="19"/>
                <c:pt idx="0">
                  <c:v>transportation and storage services</c:v>
                </c:pt>
                <c:pt idx="1">
                  <c:v>other services</c:v>
                </c:pt>
                <c:pt idx="2">
                  <c:v>other services related to business support services</c:v>
                </c:pt>
                <c:pt idx="3">
                  <c:v>computer services</c:v>
                </c:pt>
                <c:pt idx="4">
                  <c:v>advertising, market research and public opinion polling services</c:v>
                </c:pt>
                <c:pt idx="5">
                  <c:v>rental and leasing services</c:v>
                </c:pt>
                <c:pt idx="6">
                  <c:v>employment services</c:v>
                </c:pt>
                <c:pt idx="7">
                  <c:v>financial and insurance services</c:v>
                </c:pt>
                <c:pt idx="8">
                  <c:v>real estate services</c:v>
                </c:pt>
                <c:pt idx="9">
                  <c:v>management consulting services</c:v>
                </c:pt>
                <c:pt idx="10">
                  <c:v>architectural and engineering services</c:v>
                </c:pt>
                <c:pt idx="11">
                  <c:v>fees for licence and copyrights</c:v>
                </c:pt>
                <c:pt idx="12">
                  <c:v>telecommunication services</c:v>
                </c:pt>
                <c:pt idx="13">
                  <c:v>wholesale trade services on a fee or contract basis</c:v>
                </c:pt>
                <c:pt idx="14">
                  <c:v>accounting, bookkeeping and auditing services</c:v>
                </c:pt>
                <c:pt idx="15">
                  <c:v>accommodation and food services</c:v>
                </c:pt>
                <c:pt idx="16">
                  <c:v>legal services</c:v>
                </c:pt>
                <c:pt idx="17">
                  <c:v>publishing (excl. software), radio and television broadcasting services</c:v>
                </c:pt>
                <c:pt idx="18">
                  <c:v>research and development services</c:v>
                </c:pt>
              </c:strCache>
            </c:strRef>
          </c:cat>
          <c:val>
            <c:numRef>
              <c:f>Arkusz1!$B$2:$B$20</c:f>
              <c:numCache>
                <c:formatCode>0.0%</c:formatCode>
                <c:ptCount val="19"/>
                <c:pt idx="0">
                  <c:v>0.23300000000000001</c:v>
                </c:pt>
                <c:pt idx="1">
                  <c:v>0.188</c:v>
                </c:pt>
                <c:pt idx="2">
                  <c:v>0.13</c:v>
                </c:pt>
                <c:pt idx="3">
                  <c:v>6.2E-2</c:v>
                </c:pt>
                <c:pt idx="4">
                  <c:v>0.06</c:v>
                </c:pt>
                <c:pt idx="5">
                  <c:v>5.7000000000000002E-2</c:v>
                </c:pt>
                <c:pt idx="6">
                  <c:v>3.5000000000000003E-2</c:v>
                </c:pt>
                <c:pt idx="7">
                  <c:v>3.2000000000000001E-2</c:v>
                </c:pt>
                <c:pt idx="8">
                  <c:v>3.1E-2</c:v>
                </c:pt>
                <c:pt idx="9">
                  <c:v>2.8000000000000001E-2</c:v>
                </c:pt>
                <c:pt idx="10">
                  <c:v>2.7E-2</c:v>
                </c:pt>
                <c:pt idx="11">
                  <c:v>2.5999999999999999E-2</c:v>
                </c:pt>
                <c:pt idx="12">
                  <c:v>2.5000000000000001E-2</c:v>
                </c:pt>
                <c:pt idx="13">
                  <c:v>2.1999999999999999E-2</c:v>
                </c:pt>
                <c:pt idx="14">
                  <c:v>1.2E-2</c:v>
                </c:pt>
                <c:pt idx="15">
                  <c:v>1.0999999999999999E-2</c:v>
                </c:pt>
                <c:pt idx="16">
                  <c:v>8.9999999999999993E-3</c:v>
                </c:pt>
                <c:pt idx="17">
                  <c:v>6.0000000000000001E-3</c:v>
                </c:pt>
                <c:pt idx="18">
                  <c:v>6.0000000000000001E-3</c:v>
                </c:pt>
              </c:numCache>
            </c:numRef>
          </c:val>
        </c:ser>
        <c:ser>
          <c:idx val="1"/>
          <c:order val="1"/>
          <c:tx>
            <c:strRef>
              <c:f>Arkusz1!$C$1</c:f>
              <c:strCache>
                <c:ptCount val="1"/>
                <c:pt idx="0">
                  <c:v>2015</c:v>
                </c:pt>
              </c:strCache>
            </c:strRef>
          </c:tx>
          <c:spPr>
            <a:solidFill>
              <a:srgbClr val="99A4C8"/>
            </a:solidFill>
            <a:ln w="19050">
              <a:solidFill>
                <a:schemeClr val="lt1"/>
              </a:solidFill>
            </a:ln>
            <a:effectLst/>
          </c:spPr>
          <c:invertIfNegative val="0"/>
          <c:cat>
            <c:strRef>
              <c:f>Arkusz1!$A$2:$A$20</c:f>
              <c:strCache>
                <c:ptCount val="19"/>
                <c:pt idx="0">
                  <c:v>transportation and storage services</c:v>
                </c:pt>
                <c:pt idx="1">
                  <c:v>other services</c:v>
                </c:pt>
                <c:pt idx="2">
                  <c:v>other services related to business support services</c:v>
                </c:pt>
                <c:pt idx="3">
                  <c:v>computer services</c:v>
                </c:pt>
                <c:pt idx="4">
                  <c:v>advertising, market research and public opinion polling services</c:v>
                </c:pt>
                <c:pt idx="5">
                  <c:v>rental and leasing services</c:v>
                </c:pt>
                <c:pt idx="6">
                  <c:v>employment services</c:v>
                </c:pt>
                <c:pt idx="7">
                  <c:v>financial and insurance services</c:v>
                </c:pt>
                <c:pt idx="8">
                  <c:v>real estate services</c:v>
                </c:pt>
                <c:pt idx="9">
                  <c:v>management consulting services</c:v>
                </c:pt>
                <c:pt idx="10">
                  <c:v>architectural and engineering services</c:v>
                </c:pt>
                <c:pt idx="11">
                  <c:v>fees for licence and copyrights</c:v>
                </c:pt>
                <c:pt idx="12">
                  <c:v>telecommunication services</c:v>
                </c:pt>
                <c:pt idx="13">
                  <c:v>wholesale trade services on a fee or contract basis</c:v>
                </c:pt>
                <c:pt idx="14">
                  <c:v>accounting, bookkeeping and auditing services</c:v>
                </c:pt>
                <c:pt idx="15">
                  <c:v>accommodation and food services</c:v>
                </c:pt>
                <c:pt idx="16">
                  <c:v>legal services</c:v>
                </c:pt>
                <c:pt idx="17">
                  <c:v>publishing (excl. software), radio and television broadcasting services</c:v>
                </c:pt>
                <c:pt idx="18">
                  <c:v>research and development services</c:v>
                </c:pt>
              </c:strCache>
            </c:strRef>
          </c:cat>
          <c:val>
            <c:numRef>
              <c:f>Arkusz1!$C$2:$C$20</c:f>
              <c:numCache>
                <c:formatCode>0.0%</c:formatCode>
                <c:ptCount val="19"/>
                <c:pt idx="0">
                  <c:v>0.19800000000000001</c:v>
                </c:pt>
                <c:pt idx="1">
                  <c:v>0.224</c:v>
                </c:pt>
                <c:pt idx="2">
                  <c:v>0.111</c:v>
                </c:pt>
                <c:pt idx="3">
                  <c:v>4.3999999999999997E-2</c:v>
                </c:pt>
                <c:pt idx="4">
                  <c:v>7.3999999999999996E-2</c:v>
                </c:pt>
                <c:pt idx="5">
                  <c:v>5.1999999999999998E-2</c:v>
                </c:pt>
                <c:pt idx="6">
                  <c:v>2.5999999999999999E-2</c:v>
                </c:pt>
                <c:pt idx="7">
                  <c:v>4.3999999999999997E-2</c:v>
                </c:pt>
                <c:pt idx="8">
                  <c:v>4.2999999999999997E-2</c:v>
                </c:pt>
                <c:pt idx="9">
                  <c:v>2.5000000000000001E-2</c:v>
                </c:pt>
                <c:pt idx="10">
                  <c:v>3.5000000000000003E-2</c:v>
                </c:pt>
                <c:pt idx="11">
                  <c:v>2.8000000000000001E-2</c:v>
                </c:pt>
                <c:pt idx="12">
                  <c:v>2.5999999999999999E-2</c:v>
                </c:pt>
                <c:pt idx="13">
                  <c:v>2.1999999999999999E-2</c:v>
                </c:pt>
                <c:pt idx="14">
                  <c:v>1.0999999999999999E-2</c:v>
                </c:pt>
                <c:pt idx="15">
                  <c:v>1.4999999999999999E-2</c:v>
                </c:pt>
                <c:pt idx="16">
                  <c:v>8.0000000000000002E-3</c:v>
                </c:pt>
                <c:pt idx="17">
                  <c:v>7.0000000000000001E-3</c:v>
                </c:pt>
                <c:pt idx="18">
                  <c:v>7.0000000000000001E-3</c:v>
                </c:pt>
              </c:numCache>
            </c:numRef>
          </c:val>
        </c:ser>
        <c:dLbls>
          <c:showLegendKey val="0"/>
          <c:showVal val="0"/>
          <c:showCatName val="0"/>
          <c:showSerName val="0"/>
          <c:showPercent val="0"/>
          <c:showBubbleSize val="0"/>
        </c:dLbls>
        <c:gapWidth val="80"/>
        <c:axId val="-1077307024"/>
        <c:axId val="-1077307568"/>
      </c:barChart>
      <c:valAx>
        <c:axId val="-1077307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077307024"/>
        <c:crosses val="autoZero"/>
        <c:crossBetween val="between"/>
      </c:valAx>
      <c:catAx>
        <c:axId val="-10773070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077307568"/>
        <c:crosses val="autoZero"/>
        <c:auto val="1"/>
        <c:lblAlgn val="ctr"/>
        <c:lblOffset val="100"/>
        <c:noMultiLvlLbl val="0"/>
      </c:catAx>
      <c:spPr>
        <a:noFill/>
        <a:ln>
          <a:noFill/>
        </a:ln>
        <a:effectLst/>
      </c:spPr>
    </c:plotArea>
    <c:legend>
      <c:legendPos val="b"/>
      <c:layout>
        <c:manualLayout>
          <c:xMode val="edge"/>
          <c:yMode val="edge"/>
          <c:x val="0.4251978314572129"/>
          <c:y val="0.9482380173455307"/>
          <c:w val="0.14960414087287183"/>
          <c:h val="2.468976352874275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523020148797191"/>
          <c:y val="3.5283312468556573E-2"/>
          <c:w val="0.66016636078384938"/>
          <c:h val="0.78980352695529688"/>
        </c:manualLayout>
      </c:layout>
      <c:barChart>
        <c:barDir val="bar"/>
        <c:grouping val="clustered"/>
        <c:varyColors val="0"/>
        <c:ser>
          <c:idx val="0"/>
          <c:order val="0"/>
          <c:tx>
            <c:strRef>
              <c:f>Arkusz1!$B$1</c:f>
              <c:strCache>
                <c:ptCount val="1"/>
                <c:pt idx="0">
                  <c:v>2020</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cat>
            <c:strRef>
              <c:f>Arkusz1!$A$2:$A$9</c:f>
              <c:strCache>
                <c:ptCount val="8"/>
                <c:pt idx="0">
                  <c:v>no barriers</c:v>
                </c:pt>
                <c:pt idx="1">
                  <c:v>barriers related to 
location</c:v>
                </c:pt>
                <c:pt idx="2">
                  <c:v>economic barriers</c:v>
                </c:pt>
                <c:pt idx="3">
                  <c:v>legal and regulatory 
barriers</c:v>
                </c:pt>
                <c:pt idx="4">
                  <c:v>other</c:v>
                </c:pt>
                <c:pt idx="5">
                  <c:v>lack of information 
on supplier abroad</c:v>
                </c:pt>
                <c:pt idx="6">
                  <c:v>language barriers</c:v>
                </c:pt>
                <c:pt idx="7">
                  <c:v>barriers related to market 
transparency</c:v>
                </c:pt>
              </c:strCache>
            </c:strRef>
          </c:cat>
          <c:val>
            <c:numRef>
              <c:f>Arkusz1!$B$2:$B$9</c:f>
              <c:numCache>
                <c:formatCode>0.0%</c:formatCode>
                <c:ptCount val="8"/>
                <c:pt idx="0">
                  <c:v>0.55400000000000005</c:v>
                </c:pt>
                <c:pt idx="1">
                  <c:v>0.13100000000000001</c:v>
                </c:pt>
                <c:pt idx="2">
                  <c:v>9.4E-2</c:v>
                </c:pt>
                <c:pt idx="3">
                  <c:v>8.3000000000000004E-2</c:v>
                </c:pt>
                <c:pt idx="4">
                  <c:v>4.4999999999999998E-2</c:v>
                </c:pt>
                <c:pt idx="5">
                  <c:v>3.9E-2</c:v>
                </c:pt>
                <c:pt idx="6">
                  <c:v>3.1E-2</c:v>
                </c:pt>
                <c:pt idx="7">
                  <c:v>2.3E-2</c:v>
                </c:pt>
              </c:numCache>
            </c:numRef>
          </c:val>
        </c:ser>
        <c:ser>
          <c:idx val="1"/>
          <c:order val="1"/>
          <c:tx>
            <c:strRef>
              <c:f>Arkusz1!$C$1</c:f>
              <c:strCache>
                <c:ptCount val="1"/>
                <c:pt idx="0">
                  <c:v>215</c:v>
                </c:pt>
              </c:strCache>
            </c:strRef>
          </c:tx>
          <c:spPr>
            <a:solidFill>
              <a:srgbClr val="99A4C8"/>
            </a:solidFill>
            <a:ln w="19050">
              <a:solidFill>
                <a:schemeClr val="lt1"/>
              </a:solidFill>
            </a:ln>
            <a:effectLst/>
          </c:spPr>
          <c:invertIfNegative val="0"/>
          <c:cat>
            <c:strRef>
              <c:f>Arkusz1!$A$2:$A$9</c:f>
              <c:strCache>
                <c:ptCount val="8"/>
                <c:pt idx="0">
                  <c:v>no barriers</c:v>
                </c:pt>
                <c:pt idx="1">
                  <c:v>barriers related to 
location</c:v>
                </c:pt>
                <c:pt idx="2">
                  <c:v>economic barriers</c:v>
                </c:pt>
                <c:pt idx="3">
                  <c:v>legal and regulatory 
barriers</c:v>
                </c:pt>
                <c:pt idx="4">
                  <c:v>other</c:v>
                </c:pt>
                <c:pt idx="5">
                  <c:v>lack of information 
on supplier abroad</c:v>
                </c:pt>
                <c:pt idx="6">
                  <c:v>language barriers</c:v>
                </c:pt>
                <c:pt idx="7">
                  <c:v>barriers related to market 
transparency</c:v>
                </c:pt>
              </c:strCache>
            </c:strRef>
          </c:cat>
          <c:val>
            <c:numRef>
              <c:f>Arkusz1!$C$2:$C$9</c:f>
              <c:numCache>
                <c:formatCode>0.0%</c:formatCode>
                <c:ptCount val="8"/>
                <c:pt idx="0">
                  <c:v>0.50600000000000001</c:v>
                </c:pt>
                <c:pt idx="1">
                  <c:v>0.155</c:v>
                </c:pt>
                <c:pt idx="2">
                  <c:v>0.107</c:v>
                </c:pt>
                <c:pt idx="3">
                  <c:v>7.4999999999999997E-2</c:v>
                </c:pt>
                <c:pt idx="4">
                  <c:v>5.6000000000000001E-2</c:v>
                </c:pt>
                <c:pt idx="5">
                  <c:v>4.2999999999999997E-2</c:v>
                </c:pt>
                <c:pt idx="6">
                  <c:v>3.6999999999999998E-2</c:v>
                </c:pt>
                <c:pt idx="7">
                  <c:v>2.1000000000000001E-2</c:v>
                </c:pt>
              </c:numCache>
            </c:numRef>
          </c:val>
        </c:ser>
        <c:dLbls>
          <c:showLegendKey val="0"/>
          <c:showVal val="0"/>
          <c:showCatName val="0"/>
          <c:showSerName val="0"/>
          <c:showPercent val="0"/>
          <c:showBubbleSize val="0"/>
        </c:dLbls>
        <c:gapWidth val="100"/>
        <c:axId val="-1146921680"/>
        <c:axId val="-1077306480"/>
      </c:barChart>
      <c:valAx>
        <c:axId val="-10773064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146921680"/>
        <c:crosses val="autoZero"/>
        <c:crossBetween val="between"/>
      </c:valAx>
      <c:catAx>
        <c:axId val="-11469216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077306480"/>
        <c:crosses val="autoZero"/>
        <c:auto val="1"/>
        <c:lblAlgn val="ctr"/>
        <c:lblOffset val="100"/>
        <c:noMultiLvlLbl val="0"/>
      </c:catAx>
      <c:spPr>
        <a:noFill/>
        <a:ln>
          <a:noFill/>
        </a:ln>
        <a:effectLst/>
      </c:spPr>
    </c:plotArea>
    <c:legend>
      <c:legendPos val="b"/>
      <c:layout>
        <c:manualLayout>
          <c:xMode val="edge"/>
          <c:yMode val="edge"/>
          <c:x val="0.43398733053105204"/>
          <c:y val="0.908163766431483"/>
          <c:w val="0.13703787026621672"/>
          <c:h val="5.37211954534789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baseline="0">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Changes in demand for services in 2015 and 2020. News release in DOCX format.docx</NazwaPliku>
    <Odbiorcy2 xmlns="AD3641B4-23D9-4536-AF9E-7D0EADDEB824" xsi:nil="true"/>
    <Osoba xmlns="AD3641B4-23D9-4536-AF9E-7D0EADDEB824">STAT\MatulskaA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9E4BA-14A5-4466-8A6A-BB85DBC8DB9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704F5F8F-57D4-4B2C-8A13-7FBC6C945D5E}"/>
</file>

<file path=docProps/app.xml><?xml version="1.0" encoding="utf-8"?>
<Properties xmlns="http://schemas.openxmlformats.org/officeDocument/2006/extended-properties" xmlns:vt="http://schemas.openxmlformats.org/officeDocument/2006/docPropsVTypes">
  <Template>Normal</Template>
  <TotalTime>790</TotalTime>
  <Pages>5</Pages>
  <Words>836</Words>
  <Characters>5022</Characters>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2023-02-08T10:31:00Z</cp:lastPrinted>
  <dcterms:created xsi:type="dcterms:W3CDTF">2022-02-04T14:15:00Z</dcterms:created>
  <dcterms:modified xsi:type="dcterms:W3CDTF">2023-02-08T10:31:00Z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2023-33017</vt:lpwstr>
  </property>
  <property fmtid="{D5CDD505-2E9C-101B-9397-08002B2CF9AE}" pid="5" name="ZnakSprawy">
    <vt:lpwstr/>
  </property>
  <property fmtid="{D5CDD505-2E9C-101B-9397-08002B2CF9AE}" pid="6" name="ZnakSprawyPrzedPrzeniesieniem">
    <vt:lpwstr/>
  </property>
  <property fmtid="{D5CDD505-2E9C-101B-9397-08002B2CF9AE}" pid="7" name="Autor">
    <vt:lpwstr>Kaźmierczak Agnieszka</vt:lpwstr>
  </property>
  <property fmtid="{D5CDD505-2E9C-101B-9397-08002B2CF9AE}" pid="8" name="AutorInicjaly">
    <vt:lpwstr>AK</vt:lpwstr>
  </property>
  <property fmtid="{D5CDD505-2E9C-101B-9397-08002B2CF9AE}" pid="9" name="AutorNrTelefonu">
    <vt:lpwstr>(022) 608-3326</vt:lpwstr>
  </property>
  <property fmtid="{D5CDD505-2E9C-101B-9397-08002B2CF9AE}" pid="10" name="Stanowisko">
    <vt:lpwstr>naczelnik wydziału</vt:lpwstr>
  </property>
  <property fmtid="{D5CDD505-2E9C-101B-9397-08002B2CF9AE}" pid="11" name="OpisPisma">
    <vt:lpwstr>Notatka sygnalna "Zmiany w popycie na usługi"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2023-02-09</vt:lpwstr>
  </property>
  <property fmtid="{D5CDD505-2E9C-101B-9397-08002B2CF9AE}" pid="15" name="Wydzial">
    <vt:lpwstr>Wydział Usług Biznesowych</vt:lpwstr>
  </property>
  <property fmtid="{D5CDD505-2E9C-101B-9397-08002B2CF9AE}" pid="16" name="KodWydzialu">
    <vt:lpwstr>HU-08</vt:lpwstr>
  </property>
  <property fmtid="{D5CDD505-2E9C-101B-9397-08002B2CF9AE}" pid="17" name="ZaakceptowanePrzez">
    <vt:lpwstr>n/d</vt:lpwstr>
  </property>
  <property fmtid="{D5CDD505-2E9C-101B-9397-08002B2CF9AE}" pid="18" name="PrzekazanieDo">
    <vt:lpwstr>Wydział Usług Biznesowych(HU-08)</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