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8BF7D" w14:textId="7FB7F3C7" w:rsidR="00692E17" w:rsidRPr="006E4BCD" w:rsidRDefault="006E4BCD" w:rsidP="00692E17">
      <w:pPr>
        <w:pStyle w:val="Tytuinfomacjisygnalnej"/>
        <w:rPr>
          <w:lang w:val="en-GB"/>
        </w:rPr>
      </w:pPr>
      <w:r w:rsidRPr="006E4BCD">
        <w:rPr>
          <w:rFonts w:cs="Arial"/>
          <w:szCs w:val="40"/>
          <w:lang w:val="en-GB"/>
        </w:rPr>
        <w:t>Public benefit organizations and 1% in 2021/2022</w:t>
      </w:r>
      <w:r w:rsidR="00692E17" w:rsidRPr="006E4BCD">
        <w:rPr>
          <w:lang w:val="en-GB"/>
        </w:rPr>
        <w:t xml:space="preserve"> </w:t>
      </w:r>
    </w:p>
    <w:p w14:paraId="44E67465" w14:textId="4F8AD512" w:rsidR="00692E17" w:rsidRPr="006E4BCD" w:rsidRDefault="00D0652A" w:rsidP="006E4BCD">
      <w:pPr>
        <w:pStyle w:val="Lead"/>
        <w:rPr>
          <w:lang w:val="en-GB"/>
        </w:rPr>
      </w:pPr>
      <w:r w:rsidRPr="00561392">
        <mc:AlternateContent>
          <mc:Choice Requires="wps">
            <w:drawing>
              <wp:anchor distT="45720" distB="45720" distL="114300" distR="114300" simplePos="0" relativeHeight="251759616" behindDoc="0" locked="0" layoutInCell="1" allowOverlap="1" wp14:anchorId="62E5C8FE" wp14:editId="4A0BF38A">
                <wp:simplePos x="0" y="0"/>
                <wp:positionH relativeFrom="margin">
                  <wp:posOffset>-12065</wp:posOffset>
                </wp:positionH>
                <wp:positionV relativeFrom="paragraph">
                  <wp:posOffset>14605</wp:posOffset>
                </wp:positionV>
                <wp:extent cx="2303780" cy="1155065"/>
                <wp:effectExtent l="0" t="0" r="1270" b="6985"/>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155065"/>
                        </a:xfrm>
                        <a:prstGeom prst="roundRect">
                          <a:avLst/>
                        </a:prstGeom>
                        <a:solidFill>
                          <a:srgbClr val="001D77"/>
                        </a:solidFill>
                        <a:ln w="9525">
                          <a:noFill/>
                          <a:miter lim="800000"/>
                          <a:headEnd/>
                          <a:tailEnd/>
                        </a:ln>
                      </wps:spPr>
                      <wps:txbx>
                        <w:txbxContent>
                          <w:p w14:paraId="3F575223" w14:textId="3338B7DF" w:rsidR="00692E17" w:rsidRPr="007E7DC8" w:rsidRDefault="00E210A3" w:rsidP="00692E17">
                            <w:pPr>
                              <w:autoSpaceDE w:val="0"/>
                              <w:autoSpaceDN w:val="0"/>
                              <w:adjustRightInd w:val="0"/>
                              <w:spacing w:before="0" w:after="0" w:line="240" w:lineRule="auto"/>
                              <w:rPr>
                                <w:rFonts w:ascii="Fira Sans SemiBold" w:hAnsi="Fira Sans SemiBold"/>
                                <w:color w:val="FFFFFF" w:themeColor="background1"/>
                                <w:sz w:val="41"/>
                                <w:szCs w:val="41"/>
                                <w:lang w:val="en-GB"/>
                              </w:rPr>
                            </w:pPr>
                            <w:r w:rsidRPr="007E7DC8">
                              <w:rPr>
                                <w:rStyle w:val="WartowskanikaZnak"/>
                                <w:sz w:val="41"/>
                                <w:szCs w:val="41"/>
                                <w:lang w:val="en-GB"/>
                              </w:rPr>
                              <w:t xml:space="preserve">PLN </w:t>
                            </w:r>
                            <w:r w:rsidR="00692E17" w:rsidRPr="007E7DC8">
                              <w:rPr>
                                <w:rStyle w:val="WartowskanikaZnak"/>
                                <w:sz w:val="41"/>
                                <w:szCs w:val="41"/>
                                <w:lang w:val="en-GB"/>
                              </w:rPr>
                              <w:t>1 114 m</w:t>
                            </w:r>
                            <w:r w:rsidR="00D0652A" w:rsidRPr="007E7DC8">
                              <w:rPr>
                                <w:rStyle w:val="WartowskanikaZnak"/>
                                <w:sz w:val="41"/>
                                <w:szCs w:val="41"/>
                                <w:lang w:val="en-GB"/>
                              </w:rPr>
                              <w:t>illion</w:t>
                            </w:r>
                          </w:p>
                          <w:p w14:paraId="13F6EBFF" w14:textId="77777777" w:rsidR="00692E17" w:rsidRPr="00CB71F2" w:rsidRDefault="00692E17" w:rsidP="00692E17">
                            <w:pPr>
                              <w:pStyle w:val="Opiswskanika"/>
                              <w:rPr>
                                <w:lang w:val="en-GB"/>
                              </w:rPr>
                            </w:pPr>
                          </w:p>
                          <w:p w14:paraId="02C862F7" w14:textId="7BA06716" w:rsidR="00692E17" w:rsidRPr="006E4BCD" w:rsidRDefault="006E4BCD" w:rsidP="00692E17">
                            <w:pPr>
                              <w:pStyle w:val="Opiswskanika"/>
                              <w:rPr>
                                <w:sz w:val="18"/>
                                <w:szCs w:val="20"/>
                                <w:lang w:val="en-GB"/>
                              </w:rPr>
                            </w:pPr>
                            <w:r>
                              <w:rPr>
                                <w:lang w:val="en-GB"/>
                              </w:rPr>
                              <w:t>w</w:t>
                            </w:r>
                            <w:r w:rsidRPr="006E4BCD">
                              <w:rPr>
                                <w:lang w:val="en-GB"/>
                              </w:rPr>
                              <w:t xml:space="preserve">as donated </w:t>
                            </w:r>
                            <w:r>
                              <w:rPr>
                                <w:lang w:val="en-GB"/>
                              </w:rPr>
                              <w:t>to PBO</w:t>
                            </w:r>
                            <w:r w:rsidR="00C20653">
                              <w:rPr>
                                <w:lang w:val="en-GB"/>
                              </w:rPr>
                              <w:t>s</w:t>
                            </w:r>
                            <w:r>
                              <w:rPr>
                                <w:lang w:val="en-GB"/>
                              </w:rPr>
                              <w:t xml:space="preserve"> </w:t>
                            </w:r>
                            <w:r w:rsidRPr="006E4BCD">
                              <w:rPr>
                                <w:lang w:val="en-GB"/>
                              </w:rPr>
                              <w:t xml:space="preserve">within 1% of </w:t>
                            </w:r>
                            <w:r w:rsidR="00CB71F2">
                              <w:rPr>
                                <w:lang w:val="en-GB"/>
                              </w:rPr>
                              <w:t xml:space="preserve">PIT </w:t>
                            </w:r>
                            <w:r w:rsidRPr="006E4BCD">
                              <w:rPr>
                                <w:lang w:val="en-GB"/>
                              </w:rPr>
                              <w:t>by taxpayers in</w:t>
                            </w:r>
                            <w:r>
                              <w:rPr>
                                <w:lang w:val="en-GB"/>
                              </w:rPr>
                              <w:t xml:space="preserve"> </w:t>
                            </w:r>
                            <w:r w:rsidR="00692E17" w:rsidRPr="006E4BCD">
                              <w:rPr>
                                <w:lang w:val="en-GB"/>
                              </w:rPr>
                              <w:t>202</w:t>
                            </w:r>
                            <w:r w:rsidR="00796E43">
                              <w:rPr>
                                <w:lang w:val="en-G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E5C8FE" id="Pole tekstowe 2" o:spid="_x0000_s1026" alt="Opis wskaźnika" style="position:absolute;margin-left:-.95pt;margin-top:1.15pt;width:181.4pt;height:90.9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" fillcolor="#001d77" stroked="f">
                <v:stroke joinstyle="miter"/>
                <v:textbox>
                  <w:txbxContent>
                    <w:p w14:paraId="3F575223" w14:textId="3338B7DF" w:rsidR="00692E17" w:rsidRPr="007E7DC8" w:rsidRDefault="00E210A3" w:rsidP="00692E17">
                      <w:pPr>
                        <w:autoSpaceDE w:val="0"/>
                        <w:autoSpaceDN w:val="0"/>
                        <w:adjustRightInd w:val="0"/>
                        <w:spacing w:before="0" w:after="0" w:line="240" w:lineRule="auto"/>
                        <w:rPr>
                          <w:rFonts w:ascii="Fira Sans SemiBold" w:hAnsi="Fira Sans SemiBold"/>
                          <w:color w:val="FFFFFF" w:themeColor="background1"/>
                          <w:sz w:val="41"/>
                          <w:szCs w:val="41"/>
                          <w:lang w:val="en-GB"/>
                        </w:rPr>
                      </w:pPr>
                      <w:r w:rsidRPr="007E7DC8">
                        <w:rPr>
                          <w:rStyle w:val="WartowskanikaZnak"/>
                          <w:sz w:val="41"/>
                          <w:szCs w:val="41"/>
                          <w:lang w:val="en-GB"/>
                        </w:rPr>
                        <w:t xml:space="preserve">PLN </w:t>
                      </w:r>
                      <w:r w:rsidR="00692E17" w:rsidRPr="007E7DC8">
                        <w:rPr>
                          <w:rStyle w:val="WartowskanikaZnak"/>
                          <w:sz w:val="41"/>
                          <w:szCs w:val="41"/>
                          <w:lang w:val="en-GB"/>
                        </w:rPr>
                        <w:t>1 114 m</w:t>
                      </w:r>
                      <w:r w:rsidR="00D0652A" w:rsidRPr="007E7DC8">
                        <w:rPr>
                          <w:rStyle w:val="WartowskanikaZnak"/>
                          <w:sz w:val="41"/>
                          <w:szCs w:val="41"/>
                          <w:lang w:val="en-GB"/>
                        </w:rPr>
                        <w:t>illion</w:t>
                      </w:r>
                    </w:p>
                    <w:p w14:paraId="13F6EBFF" w14:textId="77777777" w:rsidR="00692E17" w:rsidRPr="00CB71F2" w:rsidRDefault="00692E17" w:rsidP="00692E17">
                      <w:pPr>
                        <w:pStyle w:val="Opiswskanika"/>
                        <w:rPr>
                          <w:lang w:val="en-GB"/>
                        </w:rPr>
                      </w:pPr>
                    </w:p>
                    <w:p w14:paraId="02C862F7" w14:textId="7BA06716" w:rsidR="00692E17" w:rsidRPr="006E4BCD" w:rsidRDefault="006E4BCD" w:rsidP="00692E17">
                      <w:pPr>
                        <w:pStyle w:val="Opiswskanika"/>
                        <w:rPr>
                          <w:sz w:val="18"/>
                          <w:szCs w:val="20"/>
                          <w:lang w:val="en-GB"/>
                        </w:rPr>
                      </w:pPr>
                      <w:r>
                        <w:rPr>
                          <w:lang w:val="en-GB"/>
                        </w:rPr>
                        <w:t>w</w:t>
                      </w:r>
                      <w:r w:rsidRPr="006E4BCD">
                        <w:rPr>
                          <w:lang w:val="en-GB"/>
                        </w:rPr>
                        <w:t xml:space="preserve">as donated </w:t>
                      </w:r>
                      <w:r>
                        <w:rPr>
                          <w:lang w:val="en-GB"/>
                        </w:rPr>
                        <w:t>to PBO</w:t>
                      </w:r>
                      <w:r w:rsidR="00C20653">
                        <w:rPr>
                          <w:lang w:val="en-GB"/>
                        </w:rPr>
                        <w:t>s</w:t>
                      </w:r>
                      <w:r>
                        <w:rPr>
                          <w:lang w:val="en-GB"/>
                        </w:rPr>
                        <w:t xml:space="preserve"> </w:t>
                      </w:r>
                      <w:r w:rsidRPr="006E4BCD">
                        <w:rPr>
                          <w:lang w:val="en-GB"/>
                        </w:rPr>
                        <w:t xml:space="preserve">within 1% of </w:t>
                      </w:r>
                      <w:r w:rsidR="00CB71F2">
                        <w:rPr>
                          <w:lang w:val="en-GB"/>
                        </w:rPr>
                        <w:t xml:space="preserve">PIT </w:t>
                      </w:r>
                      <w:r w:rsidRPr="006E4BCD">
                        <w:rPr>
                          <w:lang w:val="en-GB"/>
                        </w:rPr>
                        <w:t>by taxpayers in</w:t>
                      </w:r>
                      <w:r>
                        <w:rPr>
                          <w:lang w:val="en-GB"/>
                        </w:rPr>
                        <w:t xml:space="preserve"> </w:t>
                      </w:r>
                      <w:r w:rsidR="00692E17" w:rsidRPr="006E4BCD">
                        <w:rPr>
                          <w:lang w:val="en-GB"/>
                        </w:rPr>
                        <w:t>202</w:t>
                      </w:r>
                      <w:r w:rsidR="00796E43">
                        <w:rPr>
                          <w:lang w:val="en-GB"/>
                        </w:rPr>
                        <w:t>2</w:t>
                      </w:r>
                    </w:p>
                  </w:txbxContent>
                </v:textbox>
                <w10:wrap type="square" anchorx="margin"/>
              </v:roundrect>
            </w:pict>
          </mc:Fallback>
        </mc:AlternateContent>
      </w:r>
      <w:r w:rsidR="006E4BCD" w:rsidRPr="006E4BCD">
        <w:rPr>
          <w:lang w:val="en-GB"/>
        </w:rPr>
        <w:t xml:space="preserve">In </w:t>
      </w:r>
      <w:r w:rsidR="00C20653">
        <w:rPr>
          <w:lang w:val="en-GB"/>
        </w:rPr>
        <w:t xml:space="preserve">the years </w:t>
      </w:r>
      <w:r w:rsidR="006E4BCD" w:rsidRPr="006E4BCD">
        <w:rPr>
          <w:lang w:val="en-GB"/>
        </w:rPr>
        <w:t>2008-2021, the number of active public benefit organizations (</w:t>
      </w:r>
      <w:r w:rsidR="00C20653">
        <w:rPr>
          <w:lang w:val="en-GB"/>
        </w:rPr>
        <w:t>PBO</w:t>
      </w:r>
      <w:r w:rsidR="00EA1BBA">
        <w:rPr>
          <w:lang w:val="en-GB"/>
        </w:rPr>
        <w:t>s</w:t>
      </w:r>
      <w:r w:rsidR="006E4BCD" w:rsidRPr="006E4BCD">
        <w:rPr>
          <w:lang w:val="en-GB"/>
        </w:rPr>
        <w:t>) increased from 6.2 thousand up to 9.4 thous</w:t>
      </w:r>
      <w:r w:rsidR="00EA1BBA">
        <w:rPr>
          <w:lang w:val="en-GB"/>
        </w:rPr>
        <w:t>and.</w:t>
      </w:r>
      <w:r w:rsidR="006E4BCD" w:rsidRPr="006E4BCD">
        <w:rPr>
          <w:lang w:val="en-GB"/>
        </w:rPr>
        <w:t xml:space="preserve"> In 2021</w:t>
      </w:r>
      <w:r w:rsidR="00EB5053">
        <w:rPr>
          <w:lang w:val="en-GB"/>
        </w:rPr>
        <w:t>,</w:t>
      </w:r>
      <w:r w:rsidR="006E4BCD" w:rsidRPr="006E4BCD">
        <w:rPr>
          <w:lang w:val="en-GB"/>
        </w:rPr>
        <w:t xml:space="preserve"> 8.9 thousand</w:t>
      </w:r>
      <w:r w:rsidR="00EA1BBA">
        <w:rPr>
          <w:lang w:val="en-GB"/>
        </w:rPr>
        <w:t xml:space="preserve"> </w:t>
      </w:r>
      <w:r w:rsidR="00C20653">
        <w:rPr>
          <w:lang w:val="en-GB"/>
        </w:rPr>
        <w:t>PBO</w:t>
      </w:r>
      <w:r w:rsidR="00EA1BBA">
        <w:rPr>
          <w:lang w:val="en-GB"/>
        </w:rPr>
        <w:t>s</w:t>
      </w:r>
      <w:r w:rsidR="006E4BCD" w:rsidRPr="006E4BCD">
        <w:rPr>
          <w:lang w:val="en-GB"/>
        </w:rPr>
        <w:t xml:space="preserve"> received a 1% </w:t>
      </w:r>
      <w:r w:rsidR="00E210A3">
        <w:rPr>
          <w:lang w:val="en-GB"/>
        </w:rPr>
        <w:t xml:space="preserve">of </w:t>
      </w:r>
      <w:r w:rsidR="00E7442C">
        <w:rPr>
          <w:lang w:val="en-GB"/>
        </w:rPr>
        <w:t>Personal Income Tax (</w:t>
      </w:r>
      <w:r w:rsidR="00C26678">
        <w:rPr>
          <w:lang w:val="en-GB"/>
        </w:rPr>
        <w:t>PIT</w:t>
      </w:r>
      <w:r w:rsidR="00E7442C">
        <w:rPr>
          <w:lang w:val="en-GB"/>
        </w:rPr>
        <w:t>)</w:t>
      </w:r>
      <w:r w:rsidR="006E4BCD" w:rsidRPr="006E4BCD">
        <w:rPr>
          <w:lang w:val="en-GB"/>
        </w:rPr>
        <w:t xml:space="preserve"> deduction for 2020. The average amount of this deduction was PLN 125.0 thousand, and half of the authorized public benefit organizations received no more than PLN 6.0 thousand.</w:t>
      </w:r>
    </w:p>
    <w:p w14:paraId="7C87E616" w14:textId="4B05F9C7" w:rsidR="00692E17" w:rsidRPr="00124B93" w:rsidRDefault="00692E17" w:rsidP="00692E17">
      <w:pPr>
        <w:pStyle w:val="Nagwek1"/>
        <w:rPr>
          <w:color w:val="000000" w:themeColor="text1"/>
          <w:lang w:val="en-GB"/>
        </w:rPr>
      </w:pPr>
      <w:r>
        <w:rPr>
          <w:b w:val="0"/>
          <w:noProof/>
          <w:color w:val="212492"/>
          <w:spacing w:val="-2"/>
        </w:rPr>
        <mc:AlternateContent>
          <mc:Choice Requires="wps">
            <w:drawing>
              <wp:anchor distT="45720" distB="45720" distL="114300" distR="114300" simplePos="0" relativeHeight="251761664" behindDoc="1" locked="0" layoutInCell="1" allowOverlap="1" wp14:anchorId="6FA1F964" wp14:editId="08B1D336">
                <wp:simplePos x="0" y="0"/>
                <wp:positionH relativeFrom="page">
                  <wp:posOffset>5708650</wp:posOffset>
                </wp:positionH>
                <wp:positionV relativeFrom="paragraph">
                  <wp:posOffset>298450</wp:posOffset>
                </wp:positionV>
                <wp:extent cx="1775460" cy="1089025"/>
                <wp:effectExtent l="0" t="0" r="0" b="0"/>
                <wp:wrapTight wrapText="bothSides">
                  <wp:wrapPolygon edited="0">
                    <wp:start x="695" y="0"/>
                    <wp:lineTo x="695" y="21159"/>
                    <wp:lineTo x="20858" y="21159"/>
                    <wp:lineTo x="20858" y="0"/>
                    <wp:lineTo x="695" y="0"/>
                  </wp:wrapPolygon>
                </wp:wrapTight>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089025"/>
                        </a:xfrm>
                        <a:prstGeom prst="rect">
                          <a:avLst/>
                        </a:prstGeom>
                        <a:noFill/>
                        <a:ln w="9525">
                          <a:noFill/>
                          <a:miter lim="800000"/>
                          <a:headEnd/>
                          <a:tailEnd/>
                        </a:ln>
                      </wps:spPr>
                      <wps:txbx>
                        <w:txbxContent>
                          <w:p w14:paraId="5C896297" w14:textId="61215AC8" w:rsidR="00692E17" w:rsidRPr="00124B93" w:rsidRDefault="00124B93" w:rsidP="00692E17">
                            <w:pPr>
                              <w:pStyle w:val="tekstzboku"/>
                              <w:rPr>
                                <w:lang w:val="en-GB"/>
                              </w:rPr>
                            </w:pPr>
                            <w:r w:rsidRPr="00124B93">
                              <w:rPr>
                                <w:lang w:val="en-GB"/>
                              </w:rPr>
                              <w:t xml:space="preserve">In 2021, </w:t>
                            </w:r>
                            <w:r w:rsidR="00581BC3">
                              <w:rPr>
                                <w:lang w:val="en-GB"/>
                              </w:rPr>
                              <w:t>PBOs</w:t>
                            </w:r>
                            <w:r w:rsidR="00082421">
                              <w:rPr>
                                <w:lang w:val="en-GB"/>
                              </w:rPr>
                              <w:t xml:space="preserve"> accounted for 9.7</w:t>
                            </w:r>
                            <w:r w:rsidRPr="00124B93">
                              <w:rPr>
                                <w:lang w:val="en-GB"/>
                              </w:rPr>
                              <w:t xml:space="preserve">% of active associations and similar organizations, foundations, </w:t>
                            </w:r>
                            <w:r w:rsidR="00581BC3">
                              <w:rPr>
                                <w:lang w:val="en-GB"/>
                              </w:rPr>
                              <w:t>faith-based charities, business organizations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1F964" id="_x0000_t202" coordsize="21600,21600" o:spt="202" path="m,l,21600r21600,l21600,xe">
                <v:stroke joinstyle="miter"/>
                <v:path gradientshapeok="t" o:connecttype="rect"/>
              </v:shapetype>
              <v:shape id="_x0000_s1027" type="#_x0000_t202" style="position:absolute;margin-left:449.5pt;margin-top:23.5pt;width:139.8pt;height:85.7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" filled="f" stroked="f">
                <v:textbox>
                  <w:txbxContent>
                    <w:p w14:paraId="5C896297" w14:textId="61215AC8" w:rsidR="00692E17" w:rsidRPr="00124B93" w:rsidRDefault="00124B93" w:rsidP="00692E17">
                      <w:pPr>
                        <w:pStyle w:val="tekstzboku"/>
                        <w:rPr>
                          <w:lang w:val="en-GB"/>
                        </w:rPr>
                      </w:pPr>
                      <w:r w:rsidRPr="00124B93">
                        <w:rPr>
                          <w:lang w:val="en-GB"/>
                        </w:rPr>
                        <w:t xml:space="preserve">In 2021, </w:t>
                      </w:r>
                      <w:r w:rsidR="00581BC3">
                        <w:rPr>
                          <w:lang w:val="en-GB"/>
                        </w:rPr>
                        <w:t>PBOs</w:t>
                      </w:r>
                      <w:r w:rsidR="00082421">
                        <w:rPr>
                          <w:lang w:val="en-GB"/>
                        </w:rPr>
                        <w:t xml:space="preserve"> accounted for 9.7</w:t>
                      </w:r>
                      <w:r w:rsidRPr="00124B93">
                        <w:rPr>
                          <w:lang w:val="en-GB"/>
                        </w:rPr>
                        <w:t xml:space="preserve">% of active associations and similar organizations, foundations, </w:t>
                      </w:r>
                      <w:r w:rsidR="00581BC3">
                        <w:rPr>
                          <w:lang w:val="en-GB"/>
                        </w:rPr>
                        <w:t>faith-based charities, business organizations</w:t>
                      </w:r>
                    </w:p>
                  </w:txbxContent>
                </v:textbox>
                <w10:wrap type="tight" anchorx="page"/>
              </v:shape>
            </w:pict>
          </mc:Fallback>
        </mc:AlternateContent>
      </w:r>
      <w:r w:rsidR="00124B93" w:rsidRPr="00124B93">
        <w:rPr>
          <w:lang w:val="en-GB"/>
        </w:rPr>
        <w:t xml:space="preserve">Number of </w:t>
      </w:r>
      <w:r w:rsidR="00C20653">
        <w:rPr>
          <w:lang w:val="en-GB"/>
        </w:rPr>
        <w:t>PBO</w:t>
      </w:r>
      <w:r w:rsidR="00124B93" w:rsidRPr="00124B93">
        <w:rPr>
          <w:lang w:val="en-GB"/>
        </w:rPr>
        <w:t>s</w:t>
      </w:r>
      <w:r w:rsidRPr="00124B93">
        <w:rPr>
          <w:noProof/>
          <w:spacing w:val="-2"/>
          <w:lang w:val="en-GB"/>
        </w:rPr>
        <w:t xml:space="preserve"> </w:t>
      </w:r>
    </w:p>
    <w:p w14:paraId="0492C37F" w14:textId="51FB8E40" w:rsidR="00692E17" w:rsidRPr="00C20653" w:rsidRDefault="00124B93" w:rsidP="00A05885">
      <w:pPr>
        <w:spacing w:line="240" w:lineRule="exact"/>
        <w:rPr>
          <w:lang w:val="en-GB"/>
        </w:rPr>
      </w:pPr>
      <w:r w:rsidRPr="00124B93">
        <w:rPr>
          <w:lang w:val="en-GB"/>
        </w:rPr>
        <w:t xml:space="preserve">At the end of 2021, there were 9.4 thousand </w:t>
      </w:r>
      <w:r>
        <w:rPr>
          <w:lang w:val="en-GB"/>
        </w:rPr>
        <w:t xml:space="preserve">active </w:t>
      </w:r>
      <w:r w:rsidRPr="00124B93">
        <w:rPr>
          <w:lang w:val="en-GB"/>
        </w:rPr>
        <w:t xml:space="preserve">public benefit organizations </w:t>
      </w:r>
      <w:r>
        <w:rPr>
          <w:lang w:val="en-GB"/>
        </w:rPr>
        <w:t xml:space="preserve">operating </w:t>
      </w:r>
      <w:r w:rsidRPr="00124B93">
        <w:rPr>
          <w:lang w:val="en-GB"/>
        </w:rPr>
        <w:t xml:space="preserve">in Poland. </w:t>
      </w:r>
      <w:r w:rsidR="00C20653">
        <w:rPr>
          <w:lang w:val="en-GB"/>
        </w:rPr>
        <w:t>PBO</w:t>
      </w:r>
      <w:r>
        <w:rPr>
          <w:lang w:val="en-GB"/>
        </w:rPr>
        <w:t>s</w:t>
      </w:r>
      <w:r w:rsidRPr="00124B93">
        <w:rPr>
          <w:lang w:val="en-GB"/>
        </w:rPr>
        <w:t xml:space="preserve"> accounted for 9.7% of active non-profit organizations, such as: associations and similar organizations, foundations, </w:t>
      </w:r>
      <w:r>
        <w:rPr>
          <w:lang w:val="en-GB"/>
        </w:rPr>
        <w:t>faith-based charities or business organizations.</w:t>
      </w:r>
    </w:p>
    <w:p w14:paraId="294CA938" w14:textId="44F23699" w:rsidR="00C959A1" w:rsidRPr="00944DD8" w:rsidRDefault="00124B93" w:rsidP="00A05885">
      <w:pPr>
        <w:pStyle w:val="Tytutablicy"/>
        <w:rPr>
          <w:b/>
          <w:vertAlign w:val="superscript"/>
          <w:lang w:val="en-GB"/>
        </w:rPr>
      </w:pPr>
      <w:r w:rsidRPr="00124B93">
        <w:rPr>
          <w:b/>
          <w:lang w:val="en-GB"/>
        </w:rPr>
        <w:t>Chart 1. Number of active public benefit organizations in 2004-2021</w:t>
      </w:r>
      <w:r w:rsidRPr="00B07637">
        <w:rPr>
          <w:b/>
          <w:vertAlign w:val="superscript"/>
          <w:lang w:val="en-GB"/>
        </w:rPr>
        <w:t>a</w:t>
      </w:r>
      <w:r w:rsidR="00326AAE" w:rsidRPr="00E573E5">
        <w:rPr>
          <w:rFonts w:ascii="Arial" w:hAnsi="Arial" w:cs="Arial"/>
          <w:b/>
          <w:noProof/>
          <w:sz w:val="12"/>
          <w:szCs w:val="10"/>
          <w:shd w:val="clear" w:color="auto" w:fill="ED7D31" w:themeFill="accent2"/>
          <w:vertAlign w:val="superscript"/>
        </w:rPr>
        <w:drawing>
          <wp:anchor distT="0" distB="0" distL="114300" distR="114300" simplePos="0" relativeHeight="251760640" behindDoc="0" locked="0" layoutInCell="1" allowOverlap="1" wp14:anchorId="1288A43B" wp14:editId="3932B211">
            <wp:simplePos x="0" y="0"/>
            <wp:positionH relativeFrom="margin">
              <wp:posOffset>-3645</wp:posOffset>
            </wp:positionH>
            <wp:positionV relativeFrom="paragraph">
              <wp:posOffset>367471</wp:posOffset>
            </wp:positionV>
            <wp:extent cx="5036820" cy="1987550"/>
            <wp:effectExtent l="0" t="0" r="0" b="0"/>
            <wp:wrapSquare wrapText="bothSides"/>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66844997" w14:textId="2DB081A2" w:rsidR="00BF3A84" w:rsidRDefault="00C959A1" w:rsidP="00BF3A84">
      <w:pPr>
        <w:spacing w:after="0"/>
        <w:ind w:right="96"/>
        <w:jc w:val="both"/>
        <w:rPr>
          <w:rFonts w:cs="Arial"/>
          <w:color w:val="000000" w:themeColor="text1"/>
          <w:sz w:val="16"/>
          <w:szCs w:val="16"/>
          <w:lang w:val="en-GB"/>
        </w:rPr>
      </w:pPr>
      <w:proofErr w:type="spellStart"/>
      <w:r w:rsidRPr="00BF3A84">
        <w:rPr>
          <w:rFonts w:cs="Arial"/>
          <w:color w:val="000000" w:themeColor="text1"/>
          <w:sz w:val="16"/>
          <w:szCs w:val="16"/>
          <w:vertAlign w:val="superscript"/>
          <w:lang w:val="en-GB"/>
        </w:rPr>
        <w:t>a</w:t>
      </w:r>
      <w:proofErr w:type="spellEnd"/>
      <w:r w:rsidRPr="00BF3A84">
        <w:rPr>
          <w:rFonts w:cs="Arial"/>
          <w:color w:val="000000" w:themeColor="text1"/>
          <w:sz w:val="16"/>
          <w:szCs w:val="16"/>
          <w:vertAlign w:val="superscript"/>
          <w:lang w:val="en-GB"/>
        </w:rPr>
        <w:t xml:space="preserve"> </w:t>
      </w:r>
      <w:r w:rsidR="00BF3A84" w:rsidRPr="00BF3A84">
        <w:rPr>
          <w:rFonts w:cs="Arial"/>
          <w:color w:val="000000" w:themeColor="text1"/>
          <w:sz w:val="16"/>
          <w:szCs w:val="16"/>
          <w:lang w:val="en-GB"/>
        </w:rPr>
        <w:t xml:space="preserve">For the years 2004-2007, due to the lack of data on the number of active </w:t>
      </w:r>
      <w:r w:rsidR="00C20653">
        <w:rPr>
          <w:rFonts w:cs="Arial"/>
          <w:color w:val="000000" w:themeColor="text1"/>
          <w:sz w:val="16"/>
          <w:szCs w:val="16"/>
          <w:lang w:val="en-GB"/>
        </w:rPr>
        <w:t>PBO</w:t>
      </w:r>
      <w:r w:rsidR="00BF3A84" w:rsidRPr="00BF3A84">
        <w:rPr>
          <w:rFonts w:cs="Arial"/>
          <w:color w:val="000000" w:themeColor="text1"/>
          <w:sz w:val="16"/>
          <w:szCs w:val="16"/>
          <w:lang w:val="en-GB"/>
        </w:rPr>
        <w:t>s, data on the number of registered public benefit organizations were presented.</w:t>
      </w:r>
    </w:p>
    <w:p w14:paraId="0D628906" w14:textId="2FECEA21" w:rsidR="00692E17" w:rsidRPr="00BF3A84" w:rsidRDefault="00BF3A84" w:rsidP="00BF3A84">
      <w:pPr>
        <w:spacing w:after="0"/>
        <w:ind w:right="96"/>
        <w:jc w:val="both"/>
        <w:rPr>
          <w:lang w:val="en-GB"/>
        </w:rPr>
      </w:pPr>
      <w:r w:rsidRPr="00BF3A84">
        <w:rPr>
          <w:lang w:val="en-GB"/>
        </w:rPr>
        <w:t>In 2021, there were 9.</w:t>
      </w:r>
      <w:r w:rsidR="00E7534D">
        <w:rPr>
          <w:lang w:val="en-GB"/>
        </w:rPr>
        <w:t>0</w:t>
      </w:r>
      <w:r w:rsidRPr="00BF3A84">
        <w:rPr>
          <w:lang w:val="en-GB"/>
        </w:rPr>
        <w:t xml:space="preserve"> thousand</w:t>
      </w:r>
      <w:r w:rsidR="00D924BF">
        <w:rPr>
          <w:lang w:val="en-GB"/>
        </w:rPr>
        <w:t xml:space="preserve"> PBOs </w:t>
      </w:r>
      <w:r w:rsidR="00D924BF" w:rsidRPr="00BF3A84">
        <w:rPr>
          <w:lang w:val="en-GB"/>
        </w:rPr>
        <w:t xml:space="preserve">entitled </w:t>
      </w:r>
      <w:r w:rsidRPr="00BF3A84">
        <w:rPr>
          <w:lang w:val="en-GB"/>
        </w:rPr>
        <w:t xml:space="preserve">to receive deductions from 1% </w:t>
      </w:r>
      <w:r w:rsidR="00D924BF">
        <w:rPr>
          <w:lang w:val="en-GB"/>
        </w:rPr>
        <w:t xml:space="preserve">of </w:t>
      </w:r>
      <w:r w:rsidR="00C26678">
        <w:rPr>
          <w:lang w:val="en-GB"/>
        </w:rPr>
        <w:t>PIT</w:t>
      </w:r>
      <w:r w:rsidR="00D924BF">
        <w:rPr>
          <w:lang w:val="en-GB"/>
        </w:rPr>
        <w:t xml:space="preserve"> Tax </w:t>
      </w:r>
      <w:r w:rsidRPr="00BF3A84">
        <w:rPr>
          <w:lang w:val="en-GB"/>
        </w:rPr>
        <w:t xml:space="preserve">and 98.4% </w:t>
      </w:r>
      <w:r w:rsidR="00D924BF">
        <w:rPr>
          <w:lang w:val="en-GB"/>
        </w:rPr>
        <w:t>of them</w:t>
      </w:r>
      <w:r w:rsidRPr="00BF3A84">
        <w:rPr>
          <w:lang w:val="en-GB"/>
        </w:rPr>
        <w:t xml:space="preserve"> received </w:t>
      </w:r>
      <w:r w:rsidR="00D924BF">
        <w:rPr>
          <w:lang w:val="en-GB"/>
        </w:rPr>
        <w:t xml:space="preserve">deductions </w:t>
      </w:r>
      <w:r w:rsidRPr="00BF3A84">
        <w:rPr>
          <w:lang w:val="en-GB"/>
        </w:rPr>
        <w:t xml:space="preserve">from 1% </w:t>
      </w:r>
      <w:r w:rsidR="00CF2FC1">
        <w:rPr>
          <w:lang w:val="en-GB"/>
        </w:rPr>
        <w:t xml:space="preserve">of </w:t>
      </w:r>
      <w:r w:rsidR="00C26678">
        <w:rPr>
          <w:lang w:val="en-GB"/>
        </w:rPr>
        <w:t>PIT</w:t>
      </w:r>
      <w:r w:rsidR="00D924BF">
        <w:rPr>
          <w:lang w:val="en-GB"/>
        </w:rPr>
        <w:t>.</w:t>
      </w:r>
    </w:p>
    <w:p w14:paraId="182F7343" w14:textId="56DA9053" w:rsidR="00692E17" w:rsidRPr="00BF3A84" w:rsidRDefault="001B11E9" w:rsidP="00692E17">
      <w:pPr>
        <w:pStyle w:val="Nagwek1"/>
        <w:rPr>
          <w:lang w:val="en-GB"/>
        </w:rPr>
      </w:pPr>
      <w:r w:rsidRPr="000242EB">
        <w:rPr>
          <w:b w:val="0"/>
          <w:noProof/>
        </w:rPr>
        <mc:AlternateContent>
          <mc:Choice Requires="wps">
            <w:drawing>
              <wp:anchor distT="45720" distB="45720" distL="114300" distR="114300" simplePos="0" relativeHeight="251762688" behindDoc="1" locked="0" layoutInCell="1" allowOverlap="1" wp14:anchorId="1B457C4B" wp14:editId="710D15F1">
                <wp:simplePos x="0" y="0"/>
                <wp:positionH relativeFrom="page">
                  <wp:posOffset>5728059</wp:posOffset>
                </wp:positionH>
                <wp:positionV relativeFrom="paragraph">
                  <wp:posOffset>538204</wp:posOffset>
                </wp:positionV>
                <wp:extent cx="1832610" cy="1200150"/>
                <wp:effectExtent l="0" t="0" r="0" b="0"/>
                <wp:wrapTight wrapText="bothSides">
                  <wp:wrapPolygon edited="0">
                    <wp:start x="674" y="0"/>
                    <wp:lineTo x="674" y="21257"/>
                    <wp:lineTo x="20881" y="21257"/>
                    <wp:lineTo x="20881" y="0"/>
                    <wp:lineTo x="674" y="0"/>
                  </wp:wrapPolygon>
                </wp:wrapTight>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1200150"/>
                        </a:xfrm>
                        <a:prstGeom prst="rect">
                          <a:avLst/>
                        </a:prstGeom>
                        <a:noFill/>
                        <a:ln w="9525">
                          <a:noFill/>
                          <a:miter lim="800000"/>
                          <a:headEnd/>
                          <a:tailEnd/>
                        </a:ln>
                      </wps:spPr>
                      <wps:txbx>
                        <w:txbxContent>
                          <w:p w14:paraId="1D9811ED" w14:textId="24699FBD" w:rsidR="00692E17" w:rsidRPr="00D924BF" w:rsidRDefault="00BF3A84" w:rsidP="00692E17">
                            <w:pPr>
                              <w:pStyle w:val="tekstzboku"/>
                              <w:rPr>
                                <w:lang w:val="en-GB"/>
                              </w:rPr>
                            </w:pPr>
                            <w:r w:rsidRPr="00BF3A84">
                              <w:rPr>
                                <w:lang w:val="en-GB"/>
                              </w:rPr>
                              <w:t>In the period from February 24</w:t>
                            </w:r>
                            <w:r w:rsidR="00CF2FC1" w:rsidRPr="00CF2FC1">
                              <w:rPr>
                                <w:vertAlign w:val="superscript"/>
                                <w:lang w:val="en-GB"/>
                              </w:rPr>
                              <w:t>th</w:t>
                            </w:r>
                            <w:r w:rsidRPr="00BF3A84">
                              <w:rPr>
                                <w:lang w:val="en-GB"/>
                              </w:rPr>
                              <w:t xml:space="preserve"> to March 31</w:t>
                            </w:r>
                            <w:r w:rsidR="00CF2FC1" w:rsidRPr="00CF2FC1">
                              <w:rPr>
                                <w:vertAlign w:val="superscript"/>
                                <w:lang w:val="en-GB"/>
                              </w:rPr>
                              <w:t>st</w:t>
                            </w:r>
                            <w:r w:rsidRPr="00BF3A84">
                              <w:rPr>
                                <w:lang w:val="en-GB"/>
                              </w:rPr>
                              <w:t xml:space="preserve">, 2022, additional activities for those in need </w:t>
                            </w:r>
                            <w:r w:rsidR="00D924BF">
                              <w:rPr>
                                <w:lang w:val="en-GB"/>
                              </w:rPr>
                              <w:t xml:space="preserve">due to hostilities in the territory of Ukraine </w:t>
                            </w:r>
                            <w:r w:rsidRPr="00BF3A84">
                              <w:rPr>
                                <w:lang w:val="en-GB"/>
                              </w:rPr>
                              <w:t>were undertaken by 3.5 thousand</w:t>
                            </w:r>
                            <w:r w:rsidR="00D924BF">
                              <w:rPr>
                                <w:lang w:val="en-GB"/>
                              </w:rPr>
                              <w:t xml:space="preserve"> PBOs </w:t>
                            </w:r>
                            <w:r w:rsidRPr="00D924BF">
                              <w:rPr>
                                <w:lang w:val="en-GB"/>
                              </w:rPr>
                              <w:t>(37.1%)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57C4B" id="_x0000_s1028" type="#_x0000_t202" style="position:absolute;margin-left:451.05pt;margin-top:42.4pt;width:144.3pt;height:94.5pt;z-index:-251553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" filled="f" stroked="f">
                <v:textbox>
                  <w:txbxContent>
                    <w:p w14:paraId="1D9811ED" w14:textId="24699FBD" w:rsidR="00692E17" w:rsidRPr="00D924BF" w:rsidRDefault="00BF3A84" w:rsidP="00692E17">
                      <w:pPr>
                        <w:pStyle w:val="tekstzboku"/>
                        <w:rPr>
                          <w:lang w:val="en-GB"/>
                        </w:rPr>
                      </w:pPr>
                      <w:r w:rsidRPr="00BF3A84">
                        <w:rPr>
                          <w:lang w:val="en-GB"/>
                        </w:rPr>
                        <w:t>In the period from February 24</w:t>
                      </w:r>
                      <w:r w:rsidR="00CF2FC1" w:rsidRPr="00CF2FC1">
                        <w:rPr>
                          <w:vertAlign w:val="superscript"/>
                          <w:lang w:val="en-GB"/>
                        </w:rPr>
                        <w:t>th</w:t>
                      </w:r>
                      <w:r w:rsidRPr="00BF3A84">
                        <w:rPr>
                          <w:lang w:val="en-GB"/>
                        </w:rPr>
                        <w:t xml:space="preserve"> to March 31</w:t>
                      </w:r>
                      <w:r w:rsidR="00CF2FC1" w:rsidRPr="00CF2FC1">
                        <w:rPr>
                          <w:vertAlign w:val="superscript"/>
                          <w:lang w:val="en-GB"/>
                        </w:rPr>
                        <w:t>st</w:t>
                      </w:r>
                      <w:r w:rsidRPr="00BF3A84">
                        <w:rPr>
                          <w:lang w:val="en-GB"/>
                        </w:rPr>
                        <w:t xml:space="preserve">, 2022, additional activities for those in need </w:t>
                      </w:r>
                      <w:r w:rsidR="00D924BF">
                        <w:rPr>
                          <w:lang w:val="en-GB"/>
                        </w:rPr>
                        <w:t xml:space="preserve">due to hostilities in the territory of Ukraine </w:t>
                      </w:r>
                      <w:r w:rsidRPr="00BF3A84">
                        <w:rPr>
                          <w:lang w:val="en-GB"/>
                        </w:rPr>
                        <w:t>were undertaken by 3.5 thousand</w:t>
                      </w:r>
                      <w:r w:rsidR="00D924BF">
                        <w:rPr>
                          <w:lang w:val="en-GB"/>
                        </w:rPr>
                        <w:t xml:space="preserve"> PBOs </w:t>
                      </w:r>
                      <w:r w:rsidRPr="00D924BF">
                        <w:rPr>
                          <w:lang w:val="en-GB"/>
                        </w:rPr>
                        <w:t>(37.1%)</w:t>
                      </w:r>
                    </w:p>
                  </w:txbxContent>
                </v:textbox>
                <w10:wrap type="tight" anchorx="page"/>
              </v:shape>
            </w:pict>
          </mc:Fallback>
        </mc:AlternateContent>
      </w:r>
      <w:r w:rsidR="00D924BF">
        <w:rPr>
          <w:lang w:val="en-GB"/>
        </w:rPr>
        <w:t>Support</w:t>
      </w:r>
      <w:r w:rsidR="00BF3A84" w:rsidRPr="00BF3A84">
        <w:rPr>
          <w:lang w:val="en-GB"/>
        </w:rPr>
        <w:t xml:space="preserve"> provided by </w:t>
      </w:r>
      <w:r w:rsidR="00D924BF">
        <w:rPr>
          <w:lang w:val="en-GB"/>
        </w:rPr>
        <w:t>PBOs</w:t>
      </w:r>
      <w:r w:rsidR="00BF3A84" w:rsidRPr="00BF3A84">
        <w:rPr>
          <w:lang w:val="en-GB"/>
        </w:rPr>
        <w:t xml:space="preserve"> in the period </w:t>
      </w:r>
      <w:r w:rsidR="00CF2FC1">
        <w:rPr>
          <w:lang w:val="en-GB"/>
        </w:rPr>
        <w:t xml:space="preserve">from February </w:t>
      </w:r>
      <w:r w:rsidR="00BF3A84" w:rsidRPr="00BF3A84">
        <w:rPr>
          <w:lang w:val="en-GB"/>
        </w:rPr>
        <w:t>24</w:t>
      </w:r>
      <w:r w:rsidR="00CF2FC1" w:rsidRPr="00CF2FC1">
        <w:rPr>
          <w:vertAlign w:val="superscript"/>
          <w:lang w:val="en-GB"/>
        </w:rPr>
        <w:t>th</w:t>
      </w:r>
      <w:r w:rsidR="00CF2FC1">
        <w:rPr>
          <w:lang w:val="en-GB"/>
        </w:rPr>
        <w:t xml:space="preserve"> to March 31</w:t>
      </w:r>
      <w:r w:rsidR="00CF2FC1" w:rsidRPr="00CF2FC1">
        <w:rPr>
          <w:vertAlign w:val="superscript"/>
          <w:lang w:val="en-GB"/>
        </w:rPr>
        <w:t>st</w:t>
      </w:r>
      <w:r w:rsidR="00BF3A84" w:rsidRPr="00BF3A84">
        <w:rPr>
          <w:lang w:val="en-GB"/>
        </w:rPr>
        <w:t xml:space="preserve"> </w:t>
      </w:r>
      <w:r w:rsidR="00D924BF">
        <w:rPr>
          <w:lang w:val="en-GB"/>
        </w:rPr>
        <w:t xml:space="preserve">due to </w:t>
      </w:r>
      <w:r w:rsidR="00BF3A84" w:rsidRPr="00BF3A84">
        <w:rPr>
          <w:lang w:val="en-GB"/>
        </w:rPr>
        <w:t>the war in Ukrain</w:t>
      </w:r>
      <w:r w:rsidR="00BF3A84">
        <w:rPr>
          <w:lang w:val="en-GB"/>
        </w:rPr>
        <w:t>e</w:t>
      </w:r>
      <w:r w:rsidR="00483DA3" w:rsidRPr="00BF3A84">
        <w:rPr>
          <w:lang w:val="en-GB"/>
        </w:rPr>
        <w:t xml:space="preserve"> </w:t>
      </w:r>
    </w:p>
    <w:p w14:paraId="49E73822" w14:textId="2F91C4DE" w:rsidR="00BF3A84" w:rsidRPr="00BF3A84" w:rsidRDefault="00BF3A84" w:rsidP="00BF3A84">
      <w:pPr>
        <w:spacing w:line="240" w:lineRule="exact"/>
        <w:rPr>
          <w:color w:val="000000" w:themeColor="text1"/>
          <w:lang w:val="en-GB"/>
        </w:rPr>
      </w:pPr>
      <w:r w:rsidRPr="00BF3A84">
        <w:rPr>
          <w:color w:val="000000" w:themeColor="text1"/>
          <w:lang w:val="en-GB"/>
        </w:rPr>
        <w:t>In the period from February 24</w:t>
      </w:r>
      <w:r w:rsidR="00CF2FC1" w:rsidRPr="00CF2FC1">
        <w:rPr>
          <w:color w:val="000000" w:themeColor="text1"/>
          <w:vertAlign w:val="superscript"/>
          <w:lang w:val="en-GB"/>
        </w:rPr>
        <w:t>th</w:t>
      </w:r>
      <w:r w:rsidRPr="00BF3A84">
        <w:rPr>
          <w:color w:val="000000" w:themeColor="text1"/>
          <w:lang w:val="en-GB"/>
        </w:rPr>
        <w:t xml:space="preserve"> to March 31</w:t>
      </w:r>
      <w:r w:rsidR="00CF2FC1" w:rsidRPr="00CF2FC1">
        <w:rPr>
          <w:color w:val="000000" w:themeColor="text1"/>
          <w:vertAlign w:val="superscript"/>
          <w:lang w:val="en-GB"/>
        </w:rPr>
        <w:t>st</w:t>
      </w:r>
      <w:r w:rsidRPr="00BF3A84">
        <w:rPr>
          <w:color w:val="000000" w:themeColor="text1"/>
          <w:lang w:val="en-GB"/>
        </w:rPr>
        <w:t>, 2022, 3.5 thousand (37.1%) of public benefit organizations undertook additional activities for those in need</w:t>
      </w:r>
      <w:r w:rsidR="00BE5265">
        <w:rPr>
          <w:color w:val="000000" w:themeColor="text1"/>
          <w:lang w:val="en-GB"/>
        </w:rPr>
        <w:t xml:space="preserve"> due to </w:t>
      </w:r>
      <w:r w:rsidR="00D0652A">
        <w:rPr>
          <w:color w:val="000000" w:themeColor="text1"/>
          <w:lang w:val="en-GB"/>
        </w:rPr>
        <w:t>hostilities in the territory of Ukraine</w:t>
      </w:r>
      <w:r w:rsidRPr="00BF3A84">
        <w:rPr>
          <w:color w:val="000000" w:themeColor="text1"/>
          <w:lang w:val="en-GB"/>
        </w:rPr>
        <w:t>, of which 4.0%</w:t>
      </w:r>
      <w:r w:rsidR="00D0652A">
        <w:rPr>
          <w:color w:val="000000" w:themeColor="text1"/>
          <w:lang w:val="en-GB"/>
        </w:rPr>
        <w:t xml:space="preserve"> of PBOs</w:t>
      </w:r>
      <w:r w:rsidRPr="00BF3A84">
        <w:rPr>
          <w:color w:val="000000" w:themeColor="text1"/>
          <w:lang w:val="en-GB"/>
        </w:rPr>
        <w:t xml:space="preserve"> provided their </w:t>
      </w:r>
      <w:r w:rsidR="00D0652A">
        <w:rPr>
          <w:color w:val="000000" w:themeColor="text1"/>
          <w:lang w:val="en-GB"/>
        </w:rPr>
        <w:t>support</w:t>
      </w:r>
      <w:r w:rsidRPr="00BF3A84">
        <w:rPr>
          <w:color w:val="000000" w:themeColor="text1"/>
          <w:lang w:val="en-GB"/>
        </w:rPr>
        <w:t xml:space="preserve"> both in </w:t>
      </w:r>
      <w:r w:rsidR="00D0652A">
        <w:rPr>
          <w:color w:val="000000" w:themeColor="text1"/>
          <w:lang w:val="en-GB"/>
        </w:rPr>
        <w:t xml:space="preserve">territories of </w:t>
      </w:r>
      <w:r w:rsidRPr="00BF3A84">
        <w:rPr>
          <w:color w:val="000000" w:themeColor="text1"/>
          <w:lang w:val="en-GB"/>
        </w:rPr>
        <w:t>Poland and Ukraine.</w:t>
      </w:r>
    </w:p>
    <w:p w14:paraId="46615BF3" w14:textId="4C46686A" w:rsidR="00BF3A84" w:rsidRPr="00BF3A84" w:rsidRDefault="00082421" w:rsidP="00BF3A84">
      <w:pPr>
        <w:spacing w:line="240" w:lineRule="exact"/>
        <w:rPr>
          <w:color w:val="000000" w:themeColor="text1"/>
          <w:lang w:val="en-GB"/>
        </w:rPr>
      </w:pPr>
      <w:r w:rsidRPr="00082421">
        <w:rPr>
          <w:color w:val="000000" w:themeColor="text1"/>
          <w:lang w:val="en-GB"/>
        </w:rPr>
        <w:t>The main recipients of aid from public benefit organizations were natural persons - they were supported by 77.4% of entities.</w:t>
      </w:r>
      <w:r w:rsidR="00BF3A84" w:rsidRPr="00BF3A84">
        <w:rPr>
          <w:color w:val="000000" w:themeColor="text1"/>
          <w:lang w:val="en-GB"/>
        </w:rPr>
        <w:t xml:space="preserve"> </w:t>
      </w:r>
      <w:r w:rsidRPr="00082421">
        <w:rPr>
          <w:color w:val="000000" w:themeColor="text1"/>
          <w:lang w:val="en-GB"/>
        </w:rPr>
        <w:t xml:space="preserve">The organizations </w:t>
      </w:r>
      <w:r>
        <w:rPr>
          <w:color w:val="000000" w:themeColor="text1"/>
          <w:lang w:val="en-GB"/>
        </w:rPr>
        <w:t>directed support</w:t>
      </w:r>
      <w:r w:rsidRPr="00082421">
        <w:rPr>
          <w:color w:val="000000" w:themeColor="text1"/>
          <w:lang w:val="en-GB"/>
        </w:rPr>
        <w:t xml:space="preserve"> to 2.8 million recipients</w:t>
      </w:r>
      <w:r w:rsidR="00BF3A84" w:rsidRPr="00BF3A84">
        <w:rPr>
          <w:color w:val="000000" w:themeColor="text1"/>
          <w:lang w:val="en-GB"/>
        </w:rPr>
        <w:t xml:space="preserve">, providing </w:t>
      </w:r>
      <w:r w:rsidR="00D0652A">
        <w:rPr>
          <w:color w:val="000000" w:themeColor="text1"/>
          <w:lang w:val="en-GB"/>
        </w:rPr>
        <w:t xml:space="preserve">funds and tangible support </w:t>
      </w:r>
      <w:r w:rsidR="00BF3A84" w:rsidRPr="00BF3A84">
        <w:rPr>
          <w:color w:val="000000" w:themeColor="text1"/>
          <w:lang w:val="en-GB"/>
        </w:rPr>
        <w:t>with a total value of PLN 275.7 million.</w:t>
      </w:r>
    </w:p>
    <w:p w14:paraId="75DD8853" w14:textId="45FF696A" w:rsidR="00692E17" w:rsidRPr="00BF3A84" w:rsidRDefault="00BF3A84" w:rsidP="00CF2FC1">
      <w:pPr>
        <w:spacing w:line="240" w:lineRule="exact"/>
        <w:rPr>
          <w:color w:val="000000" w:themeColor="text1"/>
          <w:lang w:val="en-GB"/>
        </w:rPr>
      </w:pPr>
      <w:r w:rsidRPr="00BF3A84">
        <w:rPr>
          <w:color w:val="000000" w:themeColor="text1"/>
          <w:lang w:val="en-GB"/>
        </w:rPr>
        <w:t xml:space="preserve">As part of the assistance services, </w:t>
      </w:r>
      <w:r w:rsidR="00C20653">
        <w:rPr>
          <w:color w:val="000000" w:themeColor="text1"/>
          <w:lang w:val="en-GB"/>
        </w:rPr>
        <w:t>PBO</w:t>
      </w:r>
      <w:r w:rsidRPr="00BF3A84">
        <w:rPr>
          <w:color w:val="000000" w:themeColor="text1"/>
          <w:lang w:val="en-GB"/>
        </w:rPr>
        <w:t>s most often</w:t>
      </w:r>
      <w:r w:rsidR="00D0652A">
        <w:rPr>
          <w:color w:val="000000" w:themeColor="text1"/>
          <w:lang w:val="en-GB"/>
        </w:rPr>
        <w:t xml:space="preserve"> provided</w:t>
      </w:r>
      <w:r w:rsidRPr="00BF3A84">
        <w:rPr>
          <w:color w:val="000000" w:themeColor="text1"/>
          <w:lang w:val="en-GB"/>
        </w:rPr>
        <w:t xml:space="preserve">: food </w:t>
      </w:r>
      <w:r w:rsidR="00D0652A">
        <w:rPr>
          <w:color w:val="000000" w:themeColor="text1"/>
          <w:lang w:val="en-GB"/>
        </w:rPr>
        <w:t xml:space="preserve">support </w:t>
      </w:r>
      <w:r w:rsidRPr="00BF3A84">
        <w:rPr>
          <w:color w:val="000000" w:themeColor="text1"/>
          <w:lang w:val="en-GB"/>
        </w:rPr>
        <w:t xml:space="preserve">(29.9%), information </w:t>
      </w:r>
      <w:r w:rsidR="00D0652A">
        <w:rPr>
          <w:color w:val="000000" w:themeColor="text1"/>
          <w:lang w:val="en-GB"/>
        </w:rPr>
        <w:t xml:space="preserve">activities or support in </w:t>
      </w:r>
      <w:r w:rsidRPr="00BF3A84">
        <w:rPr>
          <w:color w:val="000000" w:themeColor="text1"/>
          <w:lang w:val="en-GB"/>
        </w:rPr>
        <w:t>organizational matters (25.2%), child</w:t>
      </w:r>
      <w:r w:rsidR="00D0652A">
        <w:rPr>
          <w:color w:val="000000" w:themeColor="text1"/>
          <w:lang w:val="en-GB"/>
        </w:rPr>
        <w:t>ren</w:t>
      </w:r>
      <w:r w:rsidRPr="00BF3A84">
        <w:rPr>
          <w:color w:val="000000" w:themeColor="text1"/>
          <w:lang w:val="en-GB"/>
        </w:rPr>
        <w:t xml:space="preserve"> care </w:t>
      </w:r>
      <w:r w:rsidR="00D0652A">
        <w:rPr>
          <w:color w:val="000000" w:themeColor="text1"/>
          <w:lang w:val="en-GB"/>
        </w:rPr>
        <w:t>services</w:t>
      </w:r>
      <w:r w:rsidRPr="00BF3A84">
        <w:rPr>
          <w:color w:val="000000" w:themeColor="text1"/>
          <w:lang w:val="en-GB"/>
        </w:rPr>
        <w:t xml:space="preserve"> (24.1%) and accommodation</w:t>
      </w:r>
      <w:r w:rsidR="00D0652A">
        <w:rPr>
          <w:color w:val="000000" w:themeColor="text1"/>
          <w:lang w:val="en-GB"/>
        </w:rPr>
        <w:t xml:space="preserve"> support</w:t>
      </w:r>
      <w:r w:rsidRPr="00BF3A84">
        <w:rPr>
          <w:color w:val="000000" w:themeColor="text1"/>
          <w:lang w:val="en-GB"/>
        </w:rPr>
        <w:t xml:space="preserve"> (24</w:t>
      </w:r>
      <w:r w:rsidR="00D0652A">
        <w:rPr>
          <w:color w:val="000000" w:themeColor="text1"/>
          <w:lang w:val="en-GB"/>
        </w:rPr>
        <w:t>.</w:t>
      </w:r>
      <w:r w:rsidRPr="00BF3A84">
        <w:rPr>
          <w:color w:val="000000" w:themeColor="text1"/>
          <w:lang w:val="en-GB"/>
        </w:rPr>
        <w:t>0%).</w:t>
      </w:r>
    </w:p>
    <w:p w14:paraId="4EC3D5CE" w14:textId="2B14E952" w:rsidR="00692E17" w:rsidRPr="00BF3A84" w:rsidRDefault="00BF3A84" w:rsidP="00521C11">
      <w:pPr>
        <w:pStyle w:val="Tytutablicy"/>
        <w:ind w:left="993" w:hanging="851"/>
        <w:rPr>
          <w:b/>
          <w:lang w:val="en-GB"/>
        </w:rPr>
      </w:pPr>
      <w:r w:rsidRPr="00BF3A84">
        <w:rPr>
          <w:b/>
          <w:lang w:val="en-GB"/>
        </w:rPr>
        <w:lastRenderedPageBreak/>
        <w:t xml:space="preserve">Chart 2. Percentage of </w:t>
      </w:r>
      <w:proofErr w:type="spellStart"/>
      <w:r w:rsidRPr="00BF3A84">
        <w:rPr>
          <w:b/>
          <w:lang w:val="en-GB"/>
        </w:rPr>
        <w:t>public</w:t>
      </w:r>
      <w:r w:rsidRPr="00BF3A84">
        <w:rPr>
          <w:b/>
          <w:vertAlign w:val="superscript"/>
          <w:lang w:val="en-GB"/>
        </w:rPr>
        <w:t>a</w:t>
      </w:r>
      <w:proofErr w:type="spellEnd"/>
      <w:r w:rsidRPr="00BF3A84">
        <w:rPr>
          <w:b/>
          <w:lang w:val="en-GB"/>
        </w:rPr>
        <w:t xml:space="preserve"> benefit organizations by form of </w:t>
      </w:r>
      <w:r w:rsidR="00E73012">
        <w:rPr>
          <w:b/>
          <w:lang w:val="en-GB"/>
        </w:rPr>
        <w:t>support</w:t>
      </w:r>
      <w:r w:rsidR="00A72D98">
        <w:rPr>
          <w:b/>
          <w:lang w:val="en-GB"/>
        </w:rPr>
        <w:t xml:space="preserve"> due to hostilities </w:t>
      </w:r>
      <w:r w:rsidRPr="00BF3A84">
        <w:rPr>
          <w:b/>
          <w:lang w:val="en-GB"/>
        </w:rPr>
        <w:t>in</w:t>
      </w:r>
      <w:r w:rsidR="00A72D98">
        <w:rPr>
          <w:b/>
          <w:lang w:val="en-GB"/>
        </w:rPr>
        <w:t xml:space="preserve"> territory of</w:t>
      </w:r>
      <w:r w:rsidRPr="00BF3A84">
        <w:rPr>
          <w:b/>
          <w:lang w:val="en-GB"/>
        </w:rPr>
        <w:t xml:space="preserve"> Ukraine in the period </w:t>
      </w:r>
      <w:r w:rsidR="00CF2FC1">
        <w:rPr>
          <w:b/>
          <w:lang w:val="en-GB"/>
        </w:rPr>
        <w:t xml:space="preserve">from </w:t>
      </w:r>
      <w:r w:rsidR="00A72D98">
        <w:rPr>
          <w:b/>
          <w:lang w:val="en-GB"/>
        </w:rPr>
        <w:t>February 24</w:t>
      </w:r>
      <w:r w:rsidR="00A72D98" w:rsidRPr="00A72D98">
        <w:rPr>
          <w:b/>
          <w:vertAlign w:val="superscript"/>
          <w:lang w:val="en-GB"/>
        </w:rPr>
        <w:t>th</w:t>
      </w:r>
      <w:r w:rsidR="00A72D98">
        <w:rPr>
          <w:b/>
          <w:lang w:val="en-GB"/>
        </w:rPr>
        <w:t xml:space="preserve"> to March 31</w:t>
      </w:r>
      <w:r w:rsidR="00A72D98" w:rsidRPr="00A72D98">
        <w:rPr>
          <w:b/>
          <w:vertAlign w:val="superscript"/>
          <w:lang w:val="en-GB"/>
        </w:rPr>
        <w:t>st</w:t>
      </w:r>
      <w:r w:rsidR="00A72D98">
        <w:rPr>
          <w:b/>
          <w:lang w:val="en-GB"/>
        </w:rPr>
        <w:t xml:space="preserve">, </w:t>
      </w:r>
      <w:r w:rsidRPr="00BF3A84">
        <w:rPr>
          <w:b/>
          <w:lang w:val="en-GB"/>
        </w:rPr>
        <w:t>2022</w:t>
      </w:r>
    </w:p>
    <w:p w14:paraId="49EE3134" w14:textId="77777777" w:rsidR="00692E17" w:rsidRDefault="00692E17" w:rsidP="00692E17">
      <w:pPr>
        <w:rPr>
          <w:color w:val="000000" w:themeColor="text1"/>
        </w:rPr>
      </w:pPr>
      <w:r w:rsidRPr="008B2497">
        <w:rPr>
          <w:rFonts w:eastAsia="Calibri" w:cs="Calibri"/>
          <w:b/>
          <w:noProof/>
          <w:color w:val="000000"/>
          <w:szCs w:val="19"/>
          <w:lang w:eastAsia="pl-PL"/>
        </w:rPr>
        <w:drawing>
          <wp:inline distT="0" distB="0" distL="0" distR="0" wp14:anchorId="3E638B0A" wp14:editId="2F12EC48">
            <wp:extent cx="5029200" cy="3880236"/>
            <wp:effectExtent l="0" t="0" r="0" b="63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E26AE9" w14:textId="4BC73CA9" w:rsidR="00692E17" w:rsidRPr="00BF3A84" w:rsidRDefault="00692E17" w:rsidP="00692E17">
      <w:pPr>
        <w:rPr>
          <w:color w:val="000000" w:themeColor="text1"/>
          <w:lang w:val="en-GB"/>
        </w:rPr>
      </w:pPr>
      <w:proofErr w:type="spellStart"/>
      <w:r w:rsidRPr="00BF3A84">
        <w:rPr>
          <w:sz w:val="16"/>
          <w:szCs w:val="16"/>
          <w:vertAlign w:val="superscript"/>
          <w:lang w:val="en-GB"/>
        </w:rPr>
        <w:t>a</w:t>
      </w:r>
      <w:proofErr w:type="spellEnd"/>
      <w:r w:rsidRPr="00BF3A84">
        <w:rPr>
          <w:sz w:val="16"/>
          <w:szCs w:val="16"/>
          <w:vertAlign w:val="superscript"/>
          <w:lang w:val="en-GB"/>
        </w:rPr>
        <w:t xml:space="preserve"> </w:t>
      </w:r>
      <w:r w:rsidR="00BF3A84" w:rsidRPr="00BF3A84">
        <w:rPr>
          <w:sz w:val="16"/>
          <w:szCs w:val="16"/>
          <w:lang w:val="en-GB"/>
        </w:rPr>
        <w:t>The percentages are based on the organizations that provided assistance. Data in the chart do not add up to 100% due to the possibility of indicating more than one answer.</w:t>
      </w:r>
    </w:p>
    <w:p w14:paraId="762C505F" w14:textId="3D5A78EB" w:rsidR="00692E17" w:rsidRPr="00C20653" w:rsidRDefault="00BF3A84" w:rsidP="00692E17">
      <w:pPr>
        <w:pStyle w:val="Nagwek1"/>
        <w:rPr>
          <w:lang w:val="en-GB"/>
        </w:rPr>
      </w:pPr>
      <w:r w:rsidRPr="00C20653">
        <w:rPr>
          <w:lang w:val="en-GB"/>
        </w:rPr>
        <w:t xml:space="preserve">Funds transferred to </w:t>
      </w:r>
      <w:r w:rsidR="00C20653">
        <w:rPr>
          <w:lang w:val="en-GB"/>
        </w:rPr>
        <w:t>PBO</w:t>
      </w:r>
      <w:r w:rsidR="00C20653" w:rsidRPr="00C20653">
        <w:rPr>
          <w:lang w:val="en-GB"/>
        </w:rPr>
        <w:t>s</w:t>
      </w:r>
      <w:r w:rsidRPr="00C20653">
        <w:rPr>
          <w:lang w:val="en-GB"/>
        </w:rPr>
        <w:t xml:space="preserve"> within 1%</w:t>
      </w:r>
    </w:p>
    <w:p w14:paraId="2C33D76E" w14:textId="620BBFA5" w:rsidR="00BF3A84" w:rsidRDefault="00082421" w:rsidP="00A05885">
      <w:pPr>
        <w:pStyle w:val="Tytutablicy"/>
        <w:rPr>
          <w:rFonts w:eastAsiaTheme="minorHAnsi" w:cs="Arial"/>
          <w:bCs w:val="0"/>
          <w:color w:val="auto"/>
          <w:lang w:val="en-GB" w:eastAsia="en-US"/>
        </w:rPr>
      </w:pPr>
      <w:r w:rsidRPr="00163546">
        <w:rPr>
          <w:b/>
          <w:noProof/>
          <w:color w:val="212492"/>
          <w:spacing w:val="-2"/>
          <w:highlight w:val="yellow"/>
        </w:rPr>
        <mc:AlternateContent>
          <mc:Choice Requires="wps">
            <w:drawing>
              <wp:anchor distT="45720" distB="45720" distL="114300" distR="114300" simplePos="0" relativeHeight="251763712" behindDoc="1" locked="0" layoutInCell="1" allowOverlap="1" wp14:anchorId="3CDCE7F4" wp14:editId="15BAC697">
                <wp:simplePos x="0" y="0"/>
                <wp:positionH relativeFrom="page">
                  <wp:posOffset>5708650</wp:posOffset>
                </wp:positionH>
                <wp:positionV relativeFrom="paragraph">
                  <wp:posOffset>58669</wp:posOffset>
                </wp:positionV>
                <wp:extent cx="1775460" cy="1041400"/>
                <wp:effectExtent l="0" t="0" r="0" b="6350"/>
                <wp:wrapTight wrapText="bothSides">
                  <wp:wrapPolygon edited="0">
                    <wp:start x="695" y="0"/>
                    <wp:lineTo x="695" y="21337"/>
                    <wp:lineTo x="20858" y="21337"/>
                    <wp:lineTo x="20858" y="0"/>
                    <wp:lineTo x="695" y="0"/>
                  </wp:wrapPolygon>
                </wp:wrapTight>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041400"/>
                        </a:xfrm>
                        <a:prstGeom prst="rect">
                          <a:avLst/>
                        </a:prstGeom>
                        <a:noFill/>
                        <a:ln w="9525">
                          <a:noFill/>
                          <a:miter lim="800000"/>
                          <a:headEnd/>
                          <a:tailEnd/>
                        </a:ln>
                      </wps:spPr>
                      <wps:txbx>
                        <w:txbxContent>
                          <w:p w14:paraId="6DF47E1F" w14:textId="4D05DF41" w:rsidR="00692E17" w:rsidRPr="00BF3A84" w:rsidRDefault="00BF3A84" w:rsidP="00692E17">
                            <w:pPr>
                              <w:pStyle w:val="tekstzboku"/>
                              <w:rPr>
                                <w:lang w:val="en-GB"/>
                              </w:rPr>
                            </w:pPr>
                            <w:r w:rsidRPr="00BF3A84">
                              <w:rPr>
                                <w:lang w:val="en-GB"/>
                              </w:rPr>
                              <w:t xml:space="preserve">The average revenues from 1% </w:t>
                            </w:r>
                            <w:r w:rsidR="001A0607">
                              <w:rPr>
                                <w:lang w:val="en-GB"/>
                              </w:rPr>
                              <w:t xml:space="preserve">of </w:t>
                            </w:r>
                            <w:r w:rsidR="00C26678">
                              <w:rPr>
                                <w:lang w:val="en-GB"/>
                              </w:rPr>
                              <w:t>PIT</w:t>
                            </w:r>
                            <w:r w:rsidRPr="00BF3A84">
                              <w:rPr>
                                <w:lang w:val="en-GB"/>
                              </w:rPr>
                              <w:t xml:space="preserve"> in 2022 amounted to PLN 125.0 thousand and were by </w:t>
                            </w:r>
                            <w:r w:rsidR="001A0607">
                              <w:rPr>
                                <w:lang w:val="en-GB"/>
                              </w:rPr>
                              <w:t xml:space="preserve">PLN </w:t>
                            </w:r>
                            <w:r w:rsidRPr="00BF3A84">
                              <w:rPr>
                                <w:lang w:val="en-GB"/>
                              </w:rPr>
                              <w:t>12.9 thous</w:t>
                            </w:r>
                            <w:r w:rsidR="001A0607">
                              <w:rPr>
                                <w:lang w:val="en-GB"/>
                              </w:rPr>
                              <w:t xml:space="preserve">and </w:t>
                            </w:r>
                            <w:r w:rsidRPr="00BF3A84">
                              <w:rPr>
                                <w:lang w:val="en-GB"/>
                              </w:rPr>
                              <w:t>higher than the year before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CE7F4" id="_x0000_s1029" type="#_x0000_t202" style="position:absolute;margin-left:449.5pt;margin-top:4.6pt;width:139.8pt;height:82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" filled="f" stroked="f">
                <v:textbox>
                  <w:txbxContent>
                    <w:p w14:paraId="6DF47E1F" w14:textId="4D05DF41" w:rsidR="00692E17" w:rsidRPr="00BF3A84" w:rsidRDefault="00BF3A84" w:rsidP="00692E17">
                      <w:pPr>
                        <w:pStyle w:val="tekstzboku"/>
                        <w:rPr>
                          <w:lang w:val="en-GB"/>
                        </w:rPr>
                      </w:pPr>
                      <w:r w:rsidRPr="00BF3A84">
                        <w:rPr>
                          <w:lang w:val="en-GB"/>
                        </w:rPr>
                        <w:t xml:space="preserve">The average revenues from 1% </w:t>
                      </w:r>
                      <w:r w:rsidR="001A0607">
                        <w:rPr>
                          <w:lang w:val="en-GB"/>
                        </w:rPr>
                        <w:t xml:space="preserve">of </w:t>
                      </w:r>
                      <w:r w:rsidR="00C26678">
                        <w:rPr>
                          <w:lang w:val="en-GB"/>
                        </w:rPr>
                        <w:t>PIT</w:t>
                      </w:r>
                      <w:r w:rsidRPr="00BF3A84">
                        <w:rPr>
                          <w:lang w:val="en-GB"/>
                        </w:rPr>
                        <w:t xml:space="preserve"> in 2022 amounted to PLN 125.0 thousand and were by </w:t>
                      </w:r>
                      <w:r w:rsidR="001A0607">
                        <w:rPr>
                          <w:lang w:val="en-GB"/>
                        </w:rPr>
                        <w:t xml:space="preserve">PLN </w:t>
                      </w:r>
                      <w:r w:rsidRPr="00BF3A84">
                        <w:rPr>
                          <w:lang w:val="en-GB"/>
                        </w:rPr>
                        <w:t>12.9 thous</w:t>
                      </w:r>
                      <w:r w:rsidR="001A0607">
                        <w:rPr>
                          <w:lang w:val="en-GB"/>
                        </w:rPr>
                        <w:t xml:space="preserve">and </w:t>
                      </w:r>
                      <w:r w:rsidRPr="00BF3A84">
                        <w:rPr>
                          <w:lang w:val="en-GB"/>
                        </w:rPr>
                        <w:t>higher than the year before</w:t>
                      </w:r>
                    </w:p>
                  </w:txbxContent>
                </v:textbox>
                <w10:wrap type="tight" anchorx="page"/>
              </v:shape>
            </w:pict>
          </mc:Fallback>
        </mc:AlternateContent>
      </w:r>
      <w:r w:rsidR="00BF3A84" w:rsidRPr="00BF3A84">
        <w:rPr>
          <w:rFonts w:eastAsiaTheme="minorHAnsi" w:cs="Arial"/>
          <w:bCs w:val="0"/>
          <w:color w:val="auto"/>
          <w:lang w:val="en-GB" w:eastAsia="en-US"/>
        </w:rPr>
        <w:t xml:space="preserve">In 2022, </w:t>
      </w:r>
      <w:r w:rsidR="00C20653">
        <w:rPr>
          <w:rFonts w:eastAsiaTheme="minorHAnsi" w:cs="Arial"/>
          <w:bCs w:val="0"/>
          <w:color w:val="auto"/>
          <w:lang w:val="en-GB" w:eastAsia="en-US"/>
        </w:rPr>
        <w:t>PBO</w:t>
      </w:r>
      <w:r w:rsidR="005C7662">
        <w:rPr>
          <w:rFonts w:eastAsiaTheme="minorHAnsi" w:cs="Arial"/>
          <w:bCs w:val="0"/>
          <w:color w:val="auto"/>
          <w:lang w:val="en-GB" w:eastAsia="en-US"/>
        </w:rPr>
        <w:t>’s</w:t>
      </w:r>
      <w:r w:rsidR="00BF3A84" w:rsidRPr="00BF3A84">
        <w:rPr>
          <w:rFonts w:eastAsiaTheme="minorHAnsi" w:cs="Arial"/>
          <w:bCs w:val="0"/>
          <w:color w:val="auto"/>
          <w:lang w:val="en-GB" w:eastAsia="en-US"/>
        </w:rPr>
        <w:t xml:space="preserve"> revenues from 1% </w:t>
      </w:r>
      <w:r w:rsidR="005C7662">
        <w:rPr>
          <w:rFonts w:eastAsiaTheme="minorHAnsi" w:cs="Arial"/>
          <w:bCs w:val="0"/>
          <w:color w:val="auto"/>
          <w:lang w:val="en-GB" w:eastAsia="en-US"/>
        </w:rPr>
        <w:t>amounted to</w:t>
      </w:r>
      <w:r w:rsidR="00BF3A84" w:rsidRPr="00BF3A84">
        <w:rPr>
          <w:rFonts w:eastAsiaTheme="minorHAnsi" w:cs="Arial"/>
          <w:bCs w:val="0"/>
          <w:color w:val="auto"/>
          <w:lang w:val="en-GB" w:eastAsia="en-US"/>
        </w:rPr>
        <w:t xml:space="preserve"> over PLN 1,114 million and were </w:t>
      </w:r>
      <w:r w:rsidR="00CF2FC1">
        <w:rPr>
          <w:rFonts w:eastAsiaTheme="minorHAnsi" w:cs="Arial"/>
          <w:bCs w:val="0"/>
          <w:color w:val="auto"/>
          <w:lang w:val="en-GB" w:eastAsia="en-US"/>
        </w:rPr>
        <w:t xml:space="preserve">by </w:t>
      </w:r>
      <w:r>
        <w:rPr>
          <w:rFonts w:eastAsiaTheme="minorHAnsi" w:cs="Arial"/>
          <w:bCs w:val="0"/>
          <w:color w:val="auto"/>
          <w:lang w:val="en-GB" w:eastAsia="en-US"/>
        </w:rPr>
        <w:t>PLN 141</w:t>
      </w:r>
      <w:r w:rsidR="00BF3A84" w:rsidRPr="00BF3A84">
        <w:rPr>
          <w:rFonts w:eastAsiaTheme="minorHAnsi" w:cs="Arial"/>
          <w:bCs w:val="0"/>
          <w:color w:val="auto"/>
          <w:lang w:val="en-GB" w:eastAsia="en-US"/>
        </w:rPr>
        <w:t xml:space="preserve"> million higher than the year before and 2.</w:t>
      </w:r>
      <w:r>
        <w:rPr>
          <w:rFonts w:eastAsiaTheme="minorHAnsi" w:cs="Arial"/>
          <w:bCs w:val="0"/>
          <w:color w:val="auto"/>
          <w:lang w:val="en-GB" w:eastAsia="en-US"/>
        </w:rPr>
        <w:t>8</w:t>
      </w:r>
      <w:r w:rsidR="00BF3A84" w:rsidRPr="00BF3A84">
        <w:rPr>
          <w:rFonts w:eastAsiaTheme="minorHAnsi" w:cs="Arial"/>
          <w:bCs w:val="0"/>
          <w:color w:val="auto"/>
          <w:lang w:val="en-GB" w:eastAsia="en-US"/>
        </w:rPr>
        <w:t xml:space="preserve"> times higher than </w:t>
      </w:r>
      <w:r>
        <w:rPr>
          <w:rFonts w:eastAsiaTheme="minorHAnsi" w:cs="Arial"/>
          <w:bCs w:val="0"/>
          <w:color w:val="auto"/>
          <w:lang w:val="en-GB" w:eastAsia="en-US"/>
        </w:rPr>
        <w:t>2011</w:t>
      </w:r>
      <w:r w:rsidR="00BF3A84" w:rsidRPr="00BF3A84">
        <w:rPr>
          <w:rFonts w:eastAsiaTheme="minorHAnsi" w:cs="Arial"/>
          <w:bCs w:val="0"/>
          <w:color w:val="auto"/>
          <w:lang w:val="en-GB" w:eastAsia="en-US"/>
        </w:rPr>
        <w:t>.</w:t>
      </w:r>
    </w:p>
    <w:p w14:paraId="2D7409F4" w14:textId="0E24C2AD" w:rsidR="00692E17" w:rsidRPr="00C20653" w:rsidRDefault="00BF3A84" w:rsidP="00A05885">
      <w:pPr>
        <w:pStyle w:val="Tytutablicy"/>
        <w:rPr>
          <w:b/>
          <w:lang w:val="en-GB"/>
        </w:rPr>
      </w:pPr>
      <w:r w:rsidRPr="00BF3A84">
        <w:rPr>
          <w:b/>
          <w:lang w:val="en-GB"/>
        </w:rPr>
        <w:t xml:space="preserve">Chart 3. Total funds transferred to </w:t>
      </w:r>
      <w:r w:rsidR="00C20653">
        <w:rPr>
          <w:b/>
          <w:lang w:val="en-GB"/>
        </w:rPr>
        <w:t>PBOs</w:t>
      </w:r>
      <w:r w:rsidRPr="00BF3A84">
        <w:rPr>
          <w:b/>
          <w:lang w:val="en-GB"/>
        </w:rPr>
        <w:t xml:space="preserve"> under the 1%</w:t>
      </w:r>
      <w:r w:rsidRPr="00BF3A84">
        <w:rPr>
          <w:b/>
          <w:vertAlign w:val="superscript"/>
          <w:lang w:val="en-GB"/>
        </w:rPr>
        <w:t xml:space="preserve">a </w:t>
      </w:r>
      <w:r w:rsidRPr="00BF3A84">
        <w:rPr>
          <w:b/>
          <w:lang w:val="en-GB"/>
        </w:rPr>
        <w:t>mechanism in 2004-2022</w:t>
      </w:r>
    </w:p>
    <w:p w14:paraId="57AE9687" w14:textId="77777777" w:rsidR="00692E17" w:rsidRDefault="00692E17" w:rsidP="00692E17">
      <w:r w:rsidRPr="004E64FC">
        <w:rPr>
          <w:rFonts w:cs="Arial"/>
          <w:noProof/>
          <w:sz w:val="18"/>
          <w:szCs w:val="18"/>
          <w:lang w:eastAsia="pl-PL"/>
        </w:rPr>
        <w:drawing>
          <wp:inline distT="0" distB="0" distL="0" distR="0" wp14:anchorId="07FF6190" wp14:editId="7E54C565">
            <wp:extent cx="5082540" cy="2042160"/>
            <wp:effectExtent l="0" t="0" r="381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D19E6B" w14:textId="3742D580" w:rsidR="00692E17" w:rsidRPr="00BF3A84" w:rsidRDefault="00692E17" w:rsidP="00A05885">
      <w:pPr>
        <w:pStyle w:val="Tekstpodstawowy"/>
        <w:shd w:val="clear" w:color="auto" w:fill="FFFFFF" w:themeFill="background1"/>
        <w:spacing w:line="240" w:lineRule="exact"/>
        <w:rPr>
          <w:rFonts w:ascii="Fira Sans" w:hAnsi="Fira Sans" w:cs="Arial"/>
          <w:color w:val="000000" w:themeColor="text1"/>
          <w:sz w:val="16"/>
          <w:szCs w:val="16"/>
          <w:lang w:val="en-GB"/>
        </w:rPr>
      </w:pPr>
      <w:proofErr w:type="spellStart"/>
      <w:r w:rsidRPr="00BF3A84">
        <w:rPr>
          <w:rFonts w:ascii="Fira Sans" w:hAnsi="Fira Sans" w:cs="Arial"/>
          <w:color w:val="000000" w:themeColor="text1"/>
          <w:sz w:val="16"/>
          <w:szCs w:val="16"/>
          <w:vertAlign w:val="superscript"/>
          <w:lang w:val="en-GB"/>
        </w:rPr>
        <w:t>a</w:t>
      </w:r>
      <w:proofErr w:type="spellEnd"/>
      <w:r w:rsidRPr="00BF3A84">
        <w:rPr>
          <w:rFonts w:ascii="Fira Sans" w:hAnsi="Fira Sans" w:cs="Arial"/>
          <w:color w:val="000000" w:themeColor="text1"/>
          <w:sz w:val="16"/>
          <w:szCs w:val="16"/>
          <w:lang w:val="en-GB"/>
        </w:rPr>
        <w:t xml:space="preserve"> </w:t>
      </w:r>
      <w:r w:rsidR="00BF3A84" w:rsidRPr="00BF3A84">
        <w:rPr>
          <w:rFonts w:ascii="Fira Sans" w:hAnsi="Fira Sans" w:cs="Arial"/>
          <w:color w:val="000000" w:themeColor="text1"/>
          <w:sz w:val="16"/>
          <w:szCs w:val="16"/>
          <w:lang w:val="en-GB"/>
        </w:rPr>
        <w:t xml:space="preserve">The data is presented </w:t>
      </w:r>
      <w:r w:rsidR="001A0607">
        <w:rPr>
          <w:rFonts w:ascii="Fira Sans" w:hAnsi="Fira Sans" w:cs="Arial"/>
          <w:color w:val="000000" w:themeColor="text1"/>
          <w:sz w:val="16"/>
          <w:szCs w:val="16"/>
          <w:lang w:val="en-GB"/>
        </w:rPr>
        <w:t>by</w:t>
      </w:r>
      <w:r w:rsidR="00BF3A84" w:rsidRPr="00BF3A84">
        <w:rPr>
          <w:rFonts w:ascii="Fira Sans" w:hAnsi="Fira Sans" w:cs="Arial"/>
          <w:color w:val="000000" w:themeColor="text1"/>
          <w:sz w:val="16"/>
          <w:szCs w:val="16"/>
          <w:lang w:val="en-GB"/>
        </w:rPr>
        <w:t xml:space="preserve"> the year in which the funds were transferred to </w:t>
      </w:r>
      <w:r w:rsidR="001A0607">
        <w:rPr>
          <w:rFonts w:ascii="Fira Sans" w:hAnsi="Fira Sans" w:cs="Arial"/>
          <w:color w:val="000000" w:themeColor="text1"/>
          <w:sz w:val="16"/>
          <w:szCs w:val="16"/>
          <w:lang w:val="en-GB"/>
        </w:rPr>
        <w:t>PBO</w:t>
      </w:r>
      <w:r w:rsidR="00BF3A84" w:rsidRPr="00BF3A84">
        <w:rPr>
          <w:rFonts w:ascii="Fira Sans" w:hAnsi="Fira Sans" w:cs="Arial"/>
          <w:color w:val="000000" w:themeColor="text1"/>
          <w:sz w:val="16"/>
          <w:szCs w:val="16"/>
          <w:lang w:val="en-GB"/>
        </w:rPr>
        <w:t>, and not the year to which the tax return pertained, e.g. data for 2022 refer to a 1% tax deduction for 2021.</w:t>
      </w:r>
    </w:p>
    <w:p w14:paraId="77DB7981" w14:textId="24AED35E" w:rsidR="00581340" w:rsidRPr="00BF3A84" w:rsidRDefault="00BF3A84" w:rsidP="001050E5">
      <w:pPr>
        <w:spacing w:line="240" w:lineRule="exact"/>
        <w:rPr>
          <w:rFonts w:eastAsia="Times New Roman" w:cs="Times New Roman"/>
          <w:b/>
          <w:bCs/>
          <w:color w:val="000000" w:themeColor="text1"/>
          <w:szCs w:val="19"/>
          <w:lang w:val="en-GB" w:eastAsia="pl-PL"/>
        </w:rPr>
      </w:pPr>
      <w:r w:rsidRPr="00BF3A84">
        <w:rPr>
          <w:rFonts w:cs="Arial"/>
          <w:szCs w:val="19"/>
          <w:lang w:val="en-GB"/>
        </w:rPr>
        <w:t xml:space="preserve">From 2011 to 2022, the average receipts from 1% of </w:t>
      </w:r>
      <w:r w:rsidR="00C26678">
        <w:rPr>
          <w:rFonts w:cs="Arial"/>
          <w:szCs w:val="19"/>
          <w:lang w:val="en-GB"/>
        </w:rPr>
        <w:t>PIT</w:t>
      </w:r>
      <w:r w:rsidRPr="00BF3A84">
        <w:rPr>
          <w:rFonts w:cs="Arial"/>
          <w:szCs w:val="19"/>
          <w:lang w:val="en-GB"/>
        </w:rPr>
        <w:t xml:space="preserve"> per one </w:t>
      </w:r>
      <w:r w:rsidR="00C20653">
        <w:rPr>
          <w:rFonts w:cs="Arial"/>
          <w:szCs w:val="19"/>
          <w:lang w:val="en-GB"/>
        </w:rPr>
        <w:t>PBO</w:t>
      </w:r>
      <w:r w:rsidRPr="00BF3A84">
        <w:rPr>
          <w:rFonts w:cs="Arial"/>
          <w:szCs w:val="19"/>
          <w:lang w:val="en-GB"/>
        </w:rPr>
        <w:t xml:space="preserve"> increased by PLN 63.5 thousand</w:t>
      </w:r>
      <w:r w:rsidR="00DA2AAC">
        <w:rPr>
          <w:rFonts w:cs="Arial"/>
          <w:szCs w:val="19"/>
          <w:lang w:val="en-GB"/>
        </w:rPr>
        <w:t xml:space="preserve"> </w:t>
      </w:r>
      <w:r w:rsidRPr="00BF3A84">
        <w:rPr>
          <w:rFonts w:cs="Arial"/>
          <w:szCs w:val="19"/>
          <w:lang w:val="en-GB"/>
        </w:rPr>
        <w:t xml:space="preserve">(from PLN 61.5 thousand to PLN 125.0 thousand). Between 2011 and 2018, the amount of the median decreased, which indicated a deepening stratification between organizations. In 2019, this trend was reversed and in 2022 the median reached the highest value since 2011 (PLN 6.0 thousand). However, this did not stop the growing differentiation between the </w:t>
      </w:r>
      <w:r w:rsidR="00DA2AAC">
        <w:rPr>
          <w:rFonts w:cs="Arial"/>
          <w:szCs w:val="19"/>
          <w:lang w:val="en-GB"/>
        </w:rPr>
        <w:t>average</w:t>
      </w:r>
      <w:r w:rsidRPr="00BF3A84">
        <w:rPr>
          <w:rFonts w:cs="Arial"/>
          <w:szCs w:val="19"/>
          <w:lang w:val="en-GB"/>
        </w:rPr>
        <w:t xml:space="preserve"> and the median. In 2022, the value of the median was over 20 times lower than the average, while in 2011 it was almost 11 times lower.</w:t>
      </w:r>
      <w:r w:rsidR="00581340" w:rsidRPr="00BF3A84">
        <w:rPr>
          <w:b/>
          <w:lang w:val="en-GB"/>
        </w:rPr>
        <w:br w:type="page"/>
      </w:r>
    </w:p>
    <w:p w14:paraId="21CB6D7C" w14:textId="224BC640" w:rsidR="00692E17" w:rsidRPr="00BF3A84" w:rsidRDefault="00BF3A84" w:rsidP="00A05885">
      <w:pPr>
        <w:pStyle w:val="Tytutablicy"/>
        <w:rPr>
          <w:b/>
          <w:lang w:val="en-GB"/>
        </w:rPr>
      </w:pPr>
      <w:r w:rsidRPr="00BF3A84">
        <w:rPr>
          <w:b/>
          <w:lang w:val="en-GB"/>
        </w:rPr>
        <w:lastRenderedPageBreak/>
        <w:t xml:space="preserve">Table 1. Amounts of 1% </w:t>
      </w:r>
      <w:r w:rsidR="00F637A5">
        <w:rPr>
          <w:b/>
          <w:lang w:val="en-GB"/>
        </w:rPr>
        <w:t xml:space="preserve">of </w:t>
      </w:r>
      <w:r w:rsidR="00C26678">
        <w:rPr>
          <w:b/>
          <w:lang w:val="en-GB"/>
        </w:rPr>
        <w:t>PIT</w:t>
      </w:r>
      <w:r w:rsidR="00F637A5">
        <w:rPr>
          <w:b/>
          <w:lang w:val="en-GB"/>
        </w:rPr>
        <w:t xml:space="preserve"> </w:t>
      </w:r>
      <w:r w:rsidRPr="00BF3A84">
        <w:rPr>
          <w:b/>
          <w:lang w:val="en-GB"/>
        </w:rPr>
        <w:t xml:space="preserve">transferred to </w:t>
      </w:r>
      <w:proofErr w:type="spellStart"/>
      <w:r w:rsidR="00F637A5">
        <w:rPr>
          <w:b/>
          <w:lang w:val="en-GB"/>
        </w:rPr>
        <w:t>PBOs</w:t>
      </w:r>
      <w:r w:rsidR="00653157" w:rsidRPr="00653157">
        <w:rPr>
          <w:b/>
          <w:vertAlign w:val="superscript"/>
          <w:lang w:val="en-GB"/>
        </w:rPr>
        <w:t>a</w:t>
      </w:r>
      <w:proofErr w:type="spellEnd"/>
      <w:r w:rsidRPr="00BF3A84">
        <w:rPr>
          <w:b/>
          <w:lang w:val="en-GB"/>
        </w:rPr>
        <w:t xml:space="preserve"> in 2011-2022 (in PLN thousand)</w:t>
      </w:r>
    </w:p>
    <w:tbl>
      <w:tblPr>
        <w:tblStyle w:val="Siatkatabelijasna"/>
        <w:tblpPr w:leftFromText="141" w:rightFromText="141" w:vertAnchor="text" w:horzAnchor="margin" w:tblpY="15"/>
        <w:tblW w:w="806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013"/>
        <w:gridCol w:w="2104"/>
        <w:gridCol w:w="2077"/>
        <w:gridCol w:w="1873"/>
      </w:tblGrid>
      <w:tr w:rsidR="00692E17" w:rsidRPr="00FA5128" w14:paraId="2CE2FE1B" w14:textId="77777777" w:rsidTr="002D17F5">
        <w:trPr>
          <w:trHeight w:val="337"/>
        </w:trPr>
        <w:tc>
          <w:tcPr>
            <w:tcW w:w="2013" w:type="dxa"/>
            <w:tcBorders>
              <w:top w:val="single" w:sz="12" w:space="0" w:color="001D77"/>
              <w:bottom w:val="single" w:sz="12" w:space="0" w:color="212492"/>
            </w:tcBorders>
            <w:vAlign w:val="center"/>
          </w:tcPr>
          <w:p w14:paraId="1433E93E" w14:textId="13DD50DD" w:rsidR="00692E17" w:rsidRPr="00A05885" w:rsidRDefault="00653157" w:rsidP="00A05885">
            <w:pPr>
              <w:pStyle w:val="Nagwek1"/>
              <w:tabs>
                <w:tab w:val="right" w:leader="dot" w:pos="4139"/>
              </w:tabs>
              <w:spacing w:before="120" w:line="240" w:lineRule="atLeast"/>
              <w:jc w:val="center"/>
              <w:outlineLvl w:val="0"/>
              <w:rPr>
                <w:rFonts w:cs="Arial"/>
                <w:b w:val="0"/>
                <w:color w:val="000000" w:themeColor="text1"/>
                <w:szCs w:val="19"/>
              </w:rPr>
            </w:pPr>
            <w:r w:rsidRPr="00653157">
              <w:rPr>
                <w:rFonts w:cs="Arial"/>
                <w:b w:val="0"/>
                <w:color w:val="000000" w:themeColor="text1"/>
                <w:szCs w:val="19"/>
              </w:rPr>
              <w:t>SPECIFICATION</w:t>
            </w:r>
          </w:p>
        </w:tc>
        <w:tc>
          <w:tcPr>
            <w:tcW w:w="2104" w:type="dxa"/>
            <w:tcBorders>
              <w:top w:val="single" w:sz="12" w:space="0" w:color="001D77"/>
              <w:bottom w:val="single" w:sz="12" w:space="0" w:color="212492"/>
            </w:tcBorders>
            <w:vAlign w:val="center"/>
          </w:tcPr>
          <w:p w14:paraId="2687B608" w14:textId="26DDE8C7" w:rsidR="00692E17" w:rsidRPr="00A05885" w:rsidRDefault="00653157" w:rsidP="00A05885">
            <w:pPr>
              <w:spacing w:line="240" w:lineRule="atLeast"/>
              <w:jc w:val="center"/>
              <w:rPr>
                <w:color w:val="000000" w:themeColor="text1"/>
                <w:szCs w:val="19"/>
              </w:rPr>
            </w:pPr>
            <w:proofErr w:type="spellStart"/>
            <w:r>
              <w:rPr>
                <w:color w:val="000000" w:themeColor="text1"/>
                <w:szCs w:val="19"/>
              </w:rPr>
              <w:t>Average</w:t>
            </w:r>
            <w:proofErr w:type="spellEnd"/>
            <w:r>
              <w:rPr>
                <w:color w:val="000000" w:themeColor="text1"/>
                <w:szCs w:val="19"/>
              </w:rPr>
              <w:t xml:space="preserve"> (in PLN </w:t>
            </w:r>
            <w:proofErr w:type="spellStart"/>
            <w:r>
              <w:rPr>
                <w:color w:val="000000" w:themeColor="text1"/>
                <w:szCs w:val="19"/>
              </w:rPr>
              <w:t>thousand</w:t>
            </w:r>
            <w:proofErr w:type="spellEnd"/>
            <w:r>
              <w:rPr>
                <w:color w:val="000000" w:themeColor="text1"/>
                <w:szCs w:val="19"/>
              </w:rPr>
              <w:t>)</w:t>
            </w:r>
          </w:p>
        </w:tc>
        <w:tc>
          <w:tcPr>
            <w:tcW w:w="2077" w:type="dxa"/>
            <w:tcBorders>
              <w:top w:val="single" w:sz="12" w:space="0" w:color="001D77"/>
              <w:bottom w:val="single" w:sz="12" w:space="0" w:color="212492"/>
            </w:tcBorders>
            <w:vAlign w:val="center"/>
          </w:tcPr>
          <w:p w14:paraId="3F5F27D3" w14:textId="4A7A0AD3" w:rsidR="00692E17" w:rsidRPr="00A05885" w:rsidRDefault="00692E17" w:rsidP="00A05885">
            <w:pPr>
              <w:spacing w:line="240" w:lineRule="atLeast"/>
              <w:jc w:val="center"/>
              <w:rPr>
                <w:color w:val="000000" w:themeColor="text1"/>
                <w:szCs w:val="19"/>
              </w:rPr>
            </w:pPr>
            <w:r w:rsidRPr="00A05885">
              <w:rPr>
                <w:color w:val="000000" w:themeColor="text1"/>
                <w:szCs w:val="19"/>
              </w:rPr>
              <w:t xml:space="preserve">Median </w:t>
            </w:r>
            <w:r w:rsidR="00653157" w:rsidRPr="00653157">
              <w:rPr>
                <w:color w:val="000000" w:themeColor="text1"/>
                <w:szCs w:val="19"/>
              </w:rPr>
              <w:t xml:space="preserve">(in PLN </w:t>
            </w:r>
            <w:proofErr w:type="spellStart"/>
            <w:r w:rsidR="00653157" w:rsidRPr="00653157">
              <w:rPr>
                <w:color w:val="000000" w:themeColor="text1"/>
                <w:szCs w:val="19"/>
              </w:rPr>
              <w:t>thousand</w:t>
            </w:r>
            <w:proofErr w:type="spellEnd"/>
            <w:r w:rsidR="00653157" w:rsidRPr="00653157">
              <w:rPr>
                <w:color w:val="000000" w:themeColor="text1"/>
                <w:szCs w:val="19"/>
              </w:rPr>
              <w:t>)</w:t>
            </w:r>
          </w:p>
        </w:tc>
        <w:tc>
          <w:tcPr>
            <w:tcW w:w="1873" w:type="dxa"/>
            <w:tcBorders>
              <w:top w:val="single" w:sz="12" w:space="0" w:color="001D77"/>
              <w:bottom w:val="single" w:sz="12" w:space="0" w:color="212492"/>
            </w:tcBorders>
            <w:vAlign w:val="center"/>
          </w:tcPr>
          <w:p w14:paraId="4087981A" w14:textId="70C40715" w:rsidR="00692E17" w:rsidRPr="00A05885" w:rsidRDefault="00653157" w:rsidP="002D17F5">
            <w:pPr>
              <w:spacing w:after="0" w:line="240" w:lineRule="atLeast"/>
              <w:jc w:val="center"/>
              <w:rPr>
                <w:color w:val="000000" w:themeColor="text1"/>
                <w:szCs w:val="19"/>
              </w:rPr>
            </w:pPr>
            <w:proofErr w:type="spellStart"/>
            <w:r>
              <w:rPr>
                <w:color w:val="000000" w:themeColor="text1"/>
                <w:szCs w:val="19"/>
              </w:rPr>
              <w:t>Average</w:t>
            </w:r>
            <w:proofErr w:type="spellEnd"/>
            <w:r w:rsidRPr="00653157">
              <w:rPr>
                <w:color w:val="000000" w:themeColor="text1"/>
                <w:szCs w:val="19"/>
              </w:rPr>
              <w:t xml:space="preserve"> to median ratio</w:t>
            </w:r>
          </w:p>
        </w:tc>
      </w:tr>
      <w:tr w:rsidR="00692E17" w:rsidRPr="00FA5128" w14:paraId="720C4838" w14:textId="77777777" w:rsidTr="00A05885">
        <w:trPr>
          <w:trHeight w:val="57"/>
        </w:trPr>
        <w:tc>
          <w:tcPr>
            <w:tcW w:w="2013" w:type="dxa"/>
            <w:tcBorders>
              <w:top w:val="single" w:sz="12" w:space="0" w:color="212492"/>
              <w:bottom w:val="single" w:sz="4" w:space="0" w:color="212492"/>
              <w:right w:val="single" w:sz="12" w:space="0" w:color="001D77"/>
            </w:tcBorders>
            <w:vAlign w:val="center"/>
          </w:tcPr>
          <w:p w14:paraId="1B3B116D" w14:textId="77777777" w:rsidR="00692E17" w:rsidRPr="00A05885" w:rsidRDefault="00692E17" w:rsidP="003651AB">
            <w:pPr>
              <w:pStyle w:val="Nagwek5"/>
              <w:tabs>
                <w:tab w:val="right" w:leader="dot" w:pos="4156"/>
              </w:tabs>
              <w:spacing w:before="0"/>
              <w:contextualSpacing/>
              <w:outlineLvl w:val="4"/>
              <w:rPr>
                <w:rFonts w:ascii="Fira Sans" w:hAnsi="Fira Sans"/>
                <w:color w:val="000000" w:themeColor="text1"/>
                <w:szCs w:val="19"/>
              </w:rPr>
            </w:pPr>
            <w:r w:rsidRPr="00A05885">
              <w:rPr>
                <w:rFonts w:ascii="Fira Sans" w:hAnsi="Fira Sans"/>
                <w:color w:val="000000" w:themeColor="text1"/>
                <w:szCs w:val="19"/>
              </w:rPr>
              <w:t>2011</w:t>
            </w:r>
          </w:p>
        </w:tc>
        <w:tc>
          <w:tcPr>
            <w:tcW w:w="2104" w:type="dxa"/>
            <w:tcBorders>
              <w:top w:val="single" w:sz="12" w:space="0" w:color="212492"/>
              <w:left w:val="single" w:sz="12" w:space="0" w:color="001D77"/>
              <w:bottom w:val="single" w:sz="4" w:space="0" w:color="212492"/>
            </w:tcBorders>
            <w:vAlign w:val="center"/>
          </w:tcPr>
          <w:p w14:paraId="44183E3E" w14:textId="72982CE4"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61</w:t>
            </w:r>
            <w:r w:rsidR="00C90109">
              <w:rPr>
                <w:rFonts w:cs="Arial"/>
                <w:color w:val="000000" w:themeColor="text1"/>
                <w:szCs w:val="19"/>
              </w:rPr>
              <w:t>.</w:t>
            </w:r>
            <w:r w:rsidRPr="00A05885">
              <w:rPr>
                <w:rFonts w:cs="Arial"/>
                <w:color w:val="000000" w:themeColor="text1"/>
                <w:szCs w:val="19"/>
              </w:rPr>
              <w:t>5</w:t>
            </w:r>
          </w:p>
        </w:tc>
        <w:tc>
          <w:tcPr>
            <w:tcW w:w="2077" w:type="dxa"/>
            <w:tcBorders>
              <w:top w:val="single" w:sz="12" w:space="0" w:color="212492"/>
              <w:bottom w:val="single" w:sz="4" w:space="0" w:color="212492"/>
            </w:tcBorders>
            <w:vAlign w:val="center"/>
          </w:tcPr>
          <w:p w14:paraId="71189A7A" w14:textId="1E41D56B"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8</w:t>
            </w:r>
          </w:p>
        </w:tc>
        <w:tc>
          <w:tcPr>
            <w:tcW w:w="1873" w:type="dxa"/>
            <w:tcBorders>
              <w:top w:val="single" w:sz="12" w:space="0" w:color="212492"/>
              <w:bottom w:val="single" w:sz="4" w:space="0" w:color="212492"/>
            </w:tcBorders>
            <w:vAlign w:val="center"/>
          </w:tcPr>
          <w:p w14:paraId="57EB1EDF" w14:textId="027A2D71" w:rsidR="00692E17" w:rsidRPr="00A05885" w:rsidRDefault="00692E17" w:rsidP="00A05885">
            <w:pPr>
              <w:spacing w:before="0" w:after="0"/>
              <w:jc w:val="right"/>
              <w:rPr>
                <w:rFonts w:cs="Arial"/>
                <w:color w:val="000000" w:themeColor="text1"/>
                <w:szCs w:val="19"/>
              </w:rPr>
            </w:pPr>
            <w:r w:rsidRPr="00A05885">
              <w:rPr>
                <w:rFonts w:cs="Calibri"/>
                <w:color w:val="000000"/>
                <w:szCs w:val="19"/>
              </w:rPr>
              <w:t>10</w:t>
            </w:r>
            <w:r w:rsidR="00C90109">
              <w:rPr>
                <w:rFonts w:cs="Calibri"/>
                <w:color w:val="000000"/>
                <w:szCs w:val="19"/>
              </w:rPr>
              <w:t>.</w:t>
            </w:r>
            <w:r w:rsidRPr="00A05885">
              <w:rPr>
                <w:rFonts w:cs="Calibri"/>
                <w:color w:val="000000"/>
                <w:szCs w:val="19"/>
              </w:rPr>
              <w:t>6</w:t>
            </w:r>
          </w:p>
        </w:tc>
      </w:tr>
      <w:tr w:rsidR="00692E17" w:rsidRPr="00FA5128" w14:paraId="3F788C4C"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5C3B8C2C" w14:textId="77777777" w:rsidR="00692E17" w:rsidRPr="00A05885" w:rsidRDefault="00692E17" w:rsidP="003651AB">
            <w:pPr>
              <w:pStyle w:val="Nagwek8"/>
              <w:tabs>
                <w:tab w:val="right" w:leader="dot" w:pos="4156"/>
              </w:tabs>
              <w:spacing w:before="0"/>
              <w:contextualSpacing/>
              <w:outlineLvl w:val="7"/>
              <w:rPr>
                <w:rFonts w:ascii="Fira Sans" w:hAnsi="Fira Sans"/>
                <w:color w:val="000000" w:themeColor="text1"/>
                <w:sz w:val="19"/>
                <w:szCs w:val="19"/>
              </w:rPr>
            </w:pPr>
            <w:r w:rsidRPr="00A05885">
              <w:rPr>
                <w:rFonts w:ascii="Fira Sans" w:hAnsi="Fira Sans"/>
                <w:color w:val="000000" w:themeColor="text1"/>
                <w:sz w:val="19"/>
                <w:szCs w:val="19"/>
              </w:rPr>
              <w:t>2012</w:t>
            </w:r>
          </w:p>
        </w:tc>
        <w:tc>
          <w:tcPr>
            <w:tcW w:w="2104" w:type="dxa"/>
            <w:tcBorders>
              <w:top w:val="single" w:sz="4" w:space="0" w:color="212492"/>
              <w:left w:val="single" w:sz="12" w:space="0" w:color="001D77"/>
            </w:tcBorders>
            <w:vAlign w:val="center"/>
          </w:tcPr>
          <w:p w14:paraId="737D4953" w14:textId="15A97E1B"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66</w:t>
            </w:r>
            <w:r w:rsidR="00C90109">
              <w:rPr>
                <w:rFonts w:cs="Arial"/>
                <w:color w:val="000000" w:themeColor="text1"/>
                <w:szCs w:val="19"/>
              </w:rPr>
              <w:t>.</w:t>
            </w:r>
            <w:r w:rsidRPr="00A05885">
              <w:rPr>
                <w:rFonts w:cs="Arial"/>
                <w:color w:val="000000" w:themeColor="text1"/>
                <w:szCs w:val="19"/>
              </w:rPr>
              <w:t>7</w:t>
            </w:r>
          </w:p>
        </w:tc>
        <w:tc>
          <w:tcPr>
            <w:tcW w:w="2077" w:type="dxa"/>
            <w:tcBorders>
              <w:top w:val="single" w:sz="4" w:space="0" w:color="212492"/>
            </w:tcBorders>
            <w:vAlign w:val="center"/>
          </w:tcPr>
          <w:p w14:paraId="2872F116" w14:textId="128FD3F8"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7</w:t>
            </w:r>
          </w:p>
        </w:tc>
        <w:tc>
          <w:tcPr>
            <w:tcW w:w="1873" w:type="dxa"/>
            <w:tcBorders>
              <w:top w:val="single" w:sz="4" w:space="0" w:color="212492"/>
            </w:tcBorders>
            <w:vAlign w:val="center"/>
          </w:tcPr>
          <w:p w14:paraId="5C979D40" w14:textId="1564FCD0" w:rsidR="00692E17" w:rsidRPr="00A05885" w:rsidRDefault="00692E17" w:rsidP="00A05885">
            <w:pPr>
              <w:spacing w:before="0" w:after="0"/>
              <w:jc w:val="right"/>
              <w:rPr>
                <w:rFonts w:cs="Arial"/>
                <w:color w:val="000000" w:themeColor="text1"/>
                <w:szCs w:val="19"/>
              </w:rPr>
            </w:pPr>
            <w:r w:rsidRPr="00A05885">
              <w:rPr>
                <w:rFonts w:cs="Calibri"/>
                <w:color w:val="000000"/>
                <w:szCs w:val="19"/>
              </w:rPr>
              <w:t>11</w:t>
            </w:r>
            <w:r w:rsidR="00C90109">
              <w:rPr>
                <w:rFonts w:cs="Calibri"/>
                <w:color w:val="000000"/>
                <w:szCs w:val="19"/>
              </w:rPr>
              <w:t>.</w:t>
            </w:r>
            <w:r w:rsidRPr="00A05885">
              <w:rPr>
                <w:rFonts w:cs="Calibri"/>
                <w:color w:val="000000"/>
                <w:szCs w:val="19"/>
              </w:rPr>
              <w:t>7</w:t>
            </w:r>
          </w:p>
        </w:tc>
      </w:tr>
      <w:tr w:rsidR="00692E17" w:rsidRPr="00FA5128" w14:paraId="25416291"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0EAB169B" w14:textId="77777777" w:rsidR="00692E17" w:rsidRPr="00A05885" w:rsidRDefault="00692E17" w:rsidP="003651AB">
            <w:pPr>
              <w:pStyle w:val="Nagwek8"/>
              <w:tabs>
                <w:tab w:val="right" w:leader="dot" w:pos="4156"/>
              </w:tabs>
              <w:spacing w:before="0"/>
              <w:contextualSpacing/>
              <w:outlineLvl w:val="7"/>
              <w:rPr>
                <w:rFonts w:ascii="Fira Sans" w:hAnsi="Fira Sans"/>
                <w:color w:val="000000" w:themeColor="text1"/>
                <w:sz w:val="19"/>
                <w:szCs w:val="19"/>
              </w:rPr>
            </w:pPr>
            <w:r w:rsidRPr="00A05885">
              <w:rPr>
                <w:rFonts w:ascii="Fira Sans" w:hAnsi="Fira Sans"/>
                <w:color w:val="000000" w:themeColor="text1"/>
                <w:sz w:val="19"/>
                <w:szCs w:val="19"/>
              </w:rPr>
              <w:t>2013</w:t>
            </w:r>
          </w:p>
        </w:tc>
        <w:tc>
          <w:tcPr>
            <w:tcW w:w="2104" w:type="dxa"/>
            <w:tcBorders>
              <w:left w:val="single" w:sz="12" w:space="0" w:color="001D77"/>
            </w:tcBorders>
            <w:vAlign w:val="center"/>
          </w:tcPr>
          <w:p w14:paraId="548EE75D" w14:textId="5C7C6426"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67</w:t>
            </w:r>
            <w:r w:rsidR="00C90109">
              <w:rPr>
                <w:rFonts w:cs="Arial"/>
                <w:color w:val="000000" w:themeColor="text1"/>
                <w:szCs w:val="19"/>
              </w:rPr>
              <w:t>.</w:t>
            </w:r>
            <w:r w:rsidRPr="00A05885">
              <w:rPr>
                <w:rFonts w:cs="Arial"/>
                <w:color w:val="000000" w:themeColor="text1"/>
                <w:szCs w:val="19"/>
              </w:rPr>
              <w:t>5</w:t>
            </w:r>
          </w:p>
        </w:tc>
        <w:tc>
          <w:tcPr>
            <w:tcW w:w="2077" w:type="dxa"/>
            <w:vAlign w:val="center"/>
          </w:tcPr>
          <w:p w14:paraId="094EB753" w14:textId="406195DB"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5</w:t>
            </w:r>
          </w:p>
        </w:tc>
        <w:tc>
          <w:tcPr>
            <w:tcW w:w="1873" w:type="dxa"/>
            <w:vAlign w:val="center"/>
          </w:tcPr>
          <w:p w14:paraId="2BDBAB25" w14:textId="04B9F679" w:rsidR="00692E17" w:rsidRPr="00A05885" w:rsidRDefault="00692E17" w:rsidP="00A05885">
            <w:pPr>
              <w:spacing w:before="0" w:after="0"/>
              <w:jc w:val="right"/>
              <w:rPr>
                <w:rFonts w:cs="Arial"/>
                <w:color w:val="000000" w:themeColor="text1"/>
                <w:szCs w:val="19"/>
              </w:rPr>
            </w:pPr>
            <w:r w:rsidRPr="00A05885">
              <w:rPr>
                <w:rFonts w:cs="Calibri"/>
                <w:color w:val="000000"/>
                <w:szCs w:val="19"/>
              </w:rPr>
              <w:t>12</w:t>
            </w:r>
            <w:r w:rsidR="00C90109">
              <w:rPr>
                <w:rFonts w:cs="Calibri"/>
                <w:color w:val="000000"/>
                <w:szCs w:val="19"/>
              </w:rPr>
              <w:t>.</w:t>
            </w:r>
            <w:r w:rsidRPr="00A05885">
              <w:rPr>
                <w:rFonts w:cs="Calibri"/>
                <w:color w:val="000000"/>
                <w:szCs w:val="19"/>
              </w:rPr>
              <w:t>3</w:t>
            </w:r>
          </w:p>
        </w:tc>
      </w:tr>
      <w:tr w:rsidR="00692E17" w:rsidRPr="00FA5128" w14:paraId="6556AFC3"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586F0A06" w14:textId="77777777" w:rsidR="00692E17" w:rsidRPr="00A05885" w:rsidRDefault="00692E17" w:rsidP="003651AB">
            <w:pPr>
              <w:pStyle w:val="Nagwek2"/>
              <w:tabs>
                <w:tab w:val="right" w:leader="dot" w:pos="4156"/>
              </w:tabs>
              <w:spacing w:before="0"/>
              <w:contextualSpacing/>
              <w:outlineLvl w:val="1"/>
              <w:rPr>
                <w:rFonts w:ascii="Fira Sans" w:hAnsi="Fira Sans"/>
                <w:color w:val="000000" w:themeColor="text1"/>
                <w:sz w:val="19"/>
                <w:szCs w:val="19"/>
              </w:rPr>
            </w:pPr>
            <w:r w:rsidRPr="00A05885">
              <w:rPr>
                <w:rFonts w:ascii="Fira Sans" w:hAnsi="Fira Sans"/>
                <w:color w:val="000000" w:themeColor="text1"/>
                <w:sz w:val="19"/>
                <w:szCs w:val="19"/>
              </w:rPr>
              <w:t>2014</w:t>
            </w:r>
          </w:p>
        </w:tc>
        <w:tc>
          <w:tcPr>
            <w:tcW w:w="2104" w:type="dxa"/>
            <w:tcBorders>
              <w:left w:val="single" w:sz="12" w:space="0" w:color="001D77"/>
            </w:tcBorders>
            <w:vAlign w:val="center"/>
          </w:tcPr>
          <w:p w14:paraId="36E06E9C" w14:textId="12418A00"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68</w:t>
            </w:r>
            <w:r w:rsidR="00C90109">
              <w:rPr>
                <w:rFonts w:cs="Arial"/>
                <w:color w:val="000000" w:themeColor="text1"/>
                <w:szCs w:val="19"/>
              </w:rPr>
              <w:t>.</w:t>
            </w:r>
            <w:r w:rsidRPr="00A05885">
              <w:rPr>
                <w:rFonts w:cs="Arial"/>
                <w:color w:val="000000" w:themeColor="text1"/>
                <w:szCs w:val="19"/>
              </w:rPr>
              <w:t>1</w:t>
            </w:r>
          </w:p>
        </w:tc>
        <w:tc>
          <w:tcPr>
            <w:tcW w:w="2077" w:type="dxa"/>
            <w:vAlign w:val="center"/>
          </w:tcPr>
          <w:p w14:paraId="5B0015C3" w14:textId="02405CFE"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2</w:t>
            </w:r>
          </w:p>
        </w:tc>
        <w:tc>
          <w:tcPr>
            <w:tcW w:w="1873" w:type="dxa"/>
            <w:vAlign w:val="center"/>
          </w:tcPr>
          <w:p w14:paraId="2D4FB16F" w14:textId="726825C4" w:rsidR="00692E17" w:rsidRPr="00A05885" w:rsidRDefault="00692E17" w:rsidP="00A05885">
            <w:pPr>
              <w:spacing w:before="0" w:after="0"/>
              <w:jc w:val="right"/>
              <w:rPr>
                <w:rFonts w:cs="Arial"/>
                <w:color w:val="000000" w:themeColor="text1"/>
                <w:szCs w:val="19"/>
              </w:rPr>
            </w:pPr>
            <w:r w:rsidRPr="00A05885">
              <w:rPr>
                <w:rFonts w:cs="Calibri"/>
                <w:color w:val="000000"/>
                <w:szCs w:val="19"/>
              </w:rPr>
              <w:t>13</w:t>
            </w:r>
            <w:r w:rsidR="00C90109">
              <w:rPr>
                <w:rFonts w:cs="Calibri"/>
                <w:color w:val="000000"/>
                <w:szCs w:val="19"/>
              </w:rPr>
              <w:t>.</w:t>
            </w:r>
            <w:r w:rsidRPr="00A05885">
              <w:rPr>
                <w:rFonts w:cs="Calibri"/>
                <w:color w:val="000000"/>
                <w:szCs w:val="19"/>
              </w:rPr>
              <w:t>1</w:t>
            </w:r>
          </w:p>
        </w:tc>
      </w:tr>
      <w:tr w:rsidR="00692E17" w:rsidRPr="00FA5128" w14:paraId="6F906F9A"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49A1ADC5"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2015</w:t>
            </w:r>
          </w:p>
        </w:tc>
        <w:tc>
          <w:tcPr>
            <w:tcW w:w="2104" w:type="dxa"/>
            <w:tcBorders>
              <w:left w:val="single" w:sz="12" w:space="0" w:color="001D77"/>
            </w:tcBorders>
            <w:vAlign w:val="center"/>
          </w:tcPr>
          <w:p w14:paraId="5A9447EA" w14:textId="1418C9E5"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70</w:t>
            </w:r>
            <w:r w:rsidR="00C90109">
              <w:rPr>
                <w:rFonts w:cs="Arial"/>
                <w:color w:val="000000" w:themeColor="text1"/>
                <w:szCs w:val="19"/>
              </w:rPr>
              <w:t>.</w:t>
            </w:r>
            <w:r w:rsidRPr="00A05885">
              <w:rPr>
                <w:rFonts w:cs="Arial"/>
                <w:color w:val="000000" w:themeColor="text1"/>
                <w:szCs w:val="19"/>
              </w:rPr>
              <w:t>7</w:t>
            </w:r>
          </w:p>
        </w:tc>
        <w:tc>
          <w:tcPr>
            <w:tcW w:w="2077" w:type="dxa"/>
            <w:vAlign w:val="center"/>
          </w:tcPr>
          <w:p w14:paraId="0597C4B0" w14:textId="031D7ABC"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0</w:t>
            </w:r>
          </w:p>
        </w:tc>
        <w:tc>
          <w:tcPr>
            <w:tcW w:w="1873" w:type="dxa"/>
            <w:vAlign w:val="center"/>
          </w:tcPr>
          <w:p w14:paraId="2A613DE6" w14:textId="4379FFF1" w:rsidR="00692E17" w:rsidRPr="00A05885" w:rsidRDefault="00692E17" w:rsidP="00A05885">
            <w:pPr>
              <w:spacing w:before="0" w:after="0"/>
              <w:jc w:val="right"/>
              <w:rPr>
                <w:rFonts w:cs="Arial"/>
                <w:color w:val="000000" w:themeColor="text1"/>
                <w:szCs w:val="19"/>
              </w:rPr>
            </w:pPr>
            <w:r w:rsidRPr="00A05885">
              <w:rPr>
                <w:rFonts w:cs="Calibri"/>
                <w:color w:val="000000"/>
                <w:szCs w:val="19"/>
              </w:rPr>
              <w:t>14</w:t>
            </w:r>
            <w:r w:rsidR="00C90109">
              <w:rPr>
                <w:rFonts w:cs="Calibri"/>
                <w:color w:val="000000"/>
                <w:szCs w:val="19"/>
              </w:rPr>
              <w:t>.</w:t>
            </w:r>
            <w:r w:rsidRPr="00A05885">
              <w:rPr>
                <w:rFonts w:cs="Calibri"/>
                <w:color w:val="000000"/>
                <w:szCs w:val="19"/>
              </w:rPr>
              <w:t>1</w:t>
            </w:r>
          </w:p>
        </w:tc>
      </w:tr>
      <w:tr w:rsidR="00692E17" w:rsidRPr="00FA5128" w14:paraId="62B86E63"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131658FD" w14:textId="77777777" w:rsidR="00692E17" w:rsidRPr="00A05885" w:rsidRDefault="00692E17" w:rsidP="003651AB">
            <w:pPr>
              <w:pStyle w:val="Nagwek9"/>
              <w:tabs>
                <w:tab w:val="right" w:leader="dot" w:pos="4156"/>
              </w:tabs>
              <w:spacing w:before="0"/>
              <w:contextualSpacing/>
              <w:outlineLvl w:val="8"/>
              <w:rPr>
                <w:rFonts w:ascii="Fira Sans" w:hAnsi="Fira Sans"/>
                <w:i w:val="0"/>
                <w:color w:val="000000" w:themeColor="text1"/>
                <w:sz w:val="19"/>
                <w:szCs w:val="19"/>
              </w:rPr>
            </w:pPr>
            <w:r w:rsidRPr="00A05885">
              <w:rPr>
                <w:rFonts w:ascii="Fira Sans" w:hAnsi="Fira Sans"/>
                <w:i w:val="0"/>
                <w:color w:val="000000" w:themeColor="text1"/>
                <w:sz w:val="19"/>
                <w:szCs w:val="19"/>
              </w:rPr>
              <w:t>2016</w:t>
            </w:r>
          </w:p>
        </w:tc>
        <w:tc>
          <w:tcPr>
            <w:tcW w:w="2104" w:type="dxa"/>
            <w:tcBorders>
              <w:left w:val="single" w:sz="12" w:space="0" w:color="001D77"/>
            </w:tcBorders>
            <w:vAlign w:val="center"/>
          </w:tcPr>
          <w:p w14:paraId="5B60A711" w14:textId="0F67AB50"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76</w:t>
            </w:r>
            <w:r w:rsidR="00C90109">
              <w:rPr>
                <w:rFonts w:cs="Arial"/>
                <w:color w:val="000000" w:themeColor="text1"/>
                <w:szCs w:val="19"/>
              </w:rPr>
              <w:t>.</w:t>
            </w:r>
            <w:r w:rsidRPr="00A05885">
              <w:rPr>
                <w:rFonts w:cs="Arial"/>
                <w:color w:val="000000" w:themeColor="text1"/>
                <w:szCs w:val="19"/>
              </w:rPr>
              <w:t>2</w:t>
            </w:r>
          </w:p>
        </w:tc>
        <w:tc>
          <w:tcPr>
            <w:tcW w:w="2077" w:type="dxa"/>
            <w:vAlign w:val="center"/>
          </w:tcPr>
          <w:p w14:paraId="25F62A1E" w14:textId="52B87FFF"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0</w:t>
            </w:r>
          </w:p>
        </w:tc>
        <w:tc>
          <w:tcPr>
            <w:tcW w:w="1873" w:type="dxa"/>
            <w:vAlign w:val="center"/>
          </w:tcPr>
          <w:p w14:paraId="6FBA8CCC" w14:textId="7A5A249C" w:rsidR="00692E17" w:rsidRPr="00A05885" w:rsidRDefault="00692E17" w:rsidP="00A05885">
            <w:pPr>
              <w:spacing w:before="0" w:after="0"/>
              <w:jc w:val="right"/>
              <w:rPr>
                <w:rFonts w:cs="Arial"/>
                <w:color w:val="000000" w:themeColor="text1"/>
                <w:szCs w:val="19"/>
              </w:rPr>
            </w:pPr>
            <w:r w:rsidRPr="00A05885">
              <w:rPr>
                <w:rFonts w:cs="Calibri"/>
                <w:color w:val="000000"/>
                <w:szCs w:val="19"/>
              </w:rPr>
              <w:t>15</w:t>
            </w:r>
            <w:r w:rsidR="00C90109">
              <w:rPr>
                <w:rFonts w:cs="Calibri"/>
                <w:color w:val="000000"/>
                <w:szCs w:val="19"/>
              </w:rPr>
              <w:t>.</w:t>
            </w:r>
            <w:r w:rsidRPr="00A05885">
              <w:rPr>
                <w:rFonts w:cs="Calibri"/>
                <w:color w:val="000000"/>
                <w:szCs w:val="19"/>
              </w:rPr>
              <w:t>2</w:t>
            </w:r>
          </w:p>
        </w:tc>
      </w:tr>
      <w:tr w:rsidR="00692E17" w:rsidRPr="00FA5128" w14:paraId="45E317F9"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586FA49B"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2017</w:t>
            </w:r>
          </w:p>
        </w:tc>
        <w:tc>
          <w:tcPr>
            <w:tcW w:w="2104" w:type="dxa"/>
            <w:tcBorders>
              <w:left w:val="single" w:sz="12" w:space="0" w:color="001D77"/>
            </w:tcBorders>
            <w:vAlign w:val="center"/>
          </w:tcPr>
          <w:p w14:paraId="4E0AA394" w14:textId="56F9C761"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80</w:t>
            </w:r>
            <w:r w:rsidR="00C90109">
              <w:rPr>
                <w:rFonts w:cs="Arial"/>
                <w:color w:val="000000" w:themeColor="text1"/>
                <w:szCs w:val="19"/>
              </w:rPr>
              <w:t>.</w:t>
            </w:r>
            <w:r w:rsidRPr="00A05885">
              <w:rPr>
                <w:rFonts w:cs="Arial"/>
                <w:color w:val="000000" w:themeColor="text1"/>
                <w:szCs w:val="19"/>
              </w:rPr>
              <w:t>1</w:t>
            </w:r>
          </w:p>
        </w:tc>
        <w:tc>
          <w:tcPr>
            <w:tcW w:w="2077" w:type="dxa"/>
            <w:vAlign w:val="center"/>
          </w:tcPr>
          <w:p w14:paraId="0932335E" w14:textId="31F62D55"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4</w:t>
            </w:r>
            <w:r w:rsidR="00C90109">
              <w:rPr>
                <w:rFonts w:cs="Arial"/>
                <w:color w:val="000000" w:themeColor="text1"/>
                <w:szCs w:val="19"/>
              </w:rPr>
              <w:t>.</w:t>
            </w:r>
            <w:r w:rsidRPr="00A05885">
              <w:rPr>
                <w:rFonts w:cs="Arial"/>
                <w:color w:val="000000" w:themeColor="text1"/>
                <w:szCs w:val="19"/>
              </w:rPr>
              <w:t>9</w:t>
            </w:r>
          </w:p>
        </w:tc>
        <w:tc>
          <w:tcPr>
            <w:tcW w:w="1873" w:type="dxa"/>
            <w:vAlign w:val="center"/>
          </w:tcPr>
          <w:p w14:paraId="65E96561" w14:textId="4A9C4A23" w:rsidR="00692E17" w:rsidRPr="00A05885" w:rsidRDefault="00692E17" w:rsidP="00A05885">
            <w:pPr>
              <w:spacing w:before="0" w:after="0"/>
              <w:jc w:val="right"/>
              <w:rPr>
                <w:rFonts w:cs="Arial"/>
                <w:color w:val="000000" w:themeColor="text1"/>
                <w:szCs w:val="19"/>
              </w:rPr>
            </w:pPr>
            <w:r w:rsidRPr="00A05885">
              <w:rPr>
                <w:rFonts w:cs="Calibri"/>
                <w:color w:val="000000"/>
                <w:szCs w:val="19"/>
              </w:rPr>
              <w:t>16</w:t>
            </w:r>
            <w:r w:rsidR="00C90109">
              <w:rPr>
                <w:rFonts w:cs="Calibri"/>
                <w:color w:val="000000"/>
                <w:szCs w:val="19"/>
              </w:rPr>
              <w:t>.</w:t>
            </w:r>
            <w:r w:rsidRPr="00A05885">
              <w:rPr>
                <w:rFonts w:cs="Calibri"/>
                <w:color w:val="000000"/>
                <w:szCs w:val="19"/>
              </w:rPr>
              <w:t>3</w:t>
            </w:r>
          </w:p>
        </w:tc>
      </w:tr>
      <w:tr w:rsidR="00692E17" w:rsidRPr="00FA5128" w14:paraId="41B1D2A8"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341B8E37"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2018</w:t>
            </w:r>
          </w:p>
        </w:tc>
        <w:tc>
          <w:tcPr>
            <w:tcW w:w="2104" w:type="dxa"/>
            <w:tcBorders>
              <w:left w:val="single" w:sz="12" w:space="0" w:color="001D77"/>
            </w:tcBorders>
            <w:vAlign w:val="center"/>
          </w:tcPr>
          <w:p w14:paraId="202B96E5" w14:textId="503D8CFF"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87</w:t>
            </w:r>
            <w:r w:rsidR="00C90109">
              <w:rPr>
                <w:rFonts w:cs="Arial"/>
                <w:color w:val="000000" w:themeColor="text1"/>
                <w:szCs w:val="19"/>
              </w:rPr>
              <w:t>.</w:t>
            </w:r>
            <w:r w:rsidRPr="00A05885">
              <w:rPr>
                <w:rFonts w:cs="Arial"/>
                <w:color w:val="000000" w:themeColor="text1"/>
                <w:szCs w:val="19"/>
              </w:rPr>
              <w:t>7</w:t>
            </w:r>
          </w:p>
        </w:tc>
        <w:tc>
          <w:tcPr>
            <w:tcW w:w="2077" w:type="dxa"/>
            <w:vAlign w:val="center"/>
          </w:tcPr>
          <w:p w14:paraId="43488A89" w14:textId="74E05FD1"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4</w:t>
            </w:r>
            <w:r w:rsidR="00C90109">
              <w:rPr>
                <w:rFonts w:cs="Arial"/>
                <w:color w:val="000000" w:themeColor="text1"/>
                <w:szCs w:val="19"/>
              </w:rPr>
              <w:t>.</w:t>
            </w:r>
            <w:r w:rsidRPr="00A05885">
              <w:rPr>
                <w:rFonts w:cs="Arial"/>
                <w:color w:val="000000" w:themeColor="text1"/>
                <w:szCs w:val="19"/>
              </w:rPr>
              <w:t>9</w:t>
            </w:r>
          </w:p>
        </w:tc>
        <w:tc>
          <w:tcPr>
            <w:tcW w:w="1873" w:type="dxa"/>
            <w:vAlign w:val="center"/>
          </w:tcPr>
          <w:p w14:paraId="50F77E37" w14:textId="5A855AA5" w:rsidR="00692E17" w:rsidRPr="00A05885" w:rsidRDefault="00692E17" w:rsidP="00A05885">
            <w:pPr>
              <w:spacing w:before="0" w:after="0"/>
              <w:jc w:val="right"/>
              <w:rPr>
                <w:rFonts w:cs="Arial"/>
                <w:color w:val="000000" w:themeColor="text1"/>
                <w:szCs w:val="19"/>
              </w:rPr>
            </w:pPr>
            <w:r w:rsidRPr="00A05885">
              <w:rPr>
                <w:rFonts w:cs="Calibri"/>
                <w:color w:val="000000"/>
                <w:szCs w:val="19"/>
              </w:rPr>
              <w:t>17</w:t>
            </w:r>
            <w:r w:rsidR="00C90109">
              <w:rPr>
                <w:rFonts w:cs="Calibri"/>
                <w:color w:val="000000"/>
                <w:szCs w:val="19"/>
              </w:rPr>
              <w:t>.</w:t>
            </w:r>
            <w:r w:rsidRPr="00A05885">
              <w:rPr>
                <w:rFonts w:cs="Calibri"/>
                <w:color w:val="000000"/>
                <w:szCs w:val="19"/>
              </w:rPr>
              <w:t>9</w:t>
            </w:r>
          </w:p>
        </w:tc>
      </w:tr>
      <w:tr w:rsidR="00692E17" w:rsidRPr="00FA5128" w14:paraId="4123975C"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5DEB463B"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2019</w:t>
            </w:r>
          </w:p>
        </w:tc>
        <w:tc>
          <w:tcPr>
            <w:tcW w:w="2104" w:type="dxa"/>
            <w:tcBorders>
              <w:left w:val="single" w:sz="12" w:space="0" w:color="001D77"/>
            </w:tcBorders>
            <w:vAlign w:val="center"/>
          </w:tcPr>
          <w:p w14:paraId="25F21F0D" w14:textId="3C5506F4"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99</w:t>
            </w:r>
            <w:r w:rsidR="00C90109">
              <w:rPr>
                <w:rFonts w:cs="Arial"/>
                <w:color w:val="000000" w:themeColor="text1"/>
                <w:szCs w:val="19"/>
              </w:rPr>
              <w:t>.</w:t>
            </w:r>
            <w:r w:rsidRPr="00A05885">
              <w:rPr>
                <w:rFonts w:cs="Arial"/>
                <w:color w:val="000000" w:themeColor="text1"/>
                <w:szCs w:val="19"/>
              </w:rPr>
              <w:t>2</w:t>
            </w:r>
          </w:p>
        </w:tc>
        <w:tc>
          <w:tcPr>
            <w:tcW w:w="2077" w:type="dxa"/>
            <w:vAlign w:val="center"/>
          </w:tcPr>
          <w:p w14:paraId="549DF27D" w14:textId="6D04BAA0"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5</w:t>
            </w:r>
          </w:p>
        </w:tc>
        <w:tc>
          <w:tcPr>
            <w:tcW w:w="1873" w:type="dxa"/>
            <w:vAlign w:val="center"/>
          </w:tcPr>
          <w:p w14:paraId="4A6C8B2A" w14:textId="4D8A4845" w:rsidR="00692E17" w:rsidRPr="00A05885" w:rsidRDefault="00692E17" w:rsidP="00A05885">
            <w:pPr>
              <w:spacing w:before="0" w:after="0"/>
              <w:jc w:val="right"/>
              <w:rPr>
                <w:rFonts w:cs="Arial"/>
                <w:color w:val="000000" w:themeColor="text1"/>
                <w:szCs w:val="19"/>
              </w:rPr>
            </w:pPr>
            <w:r w:rsidRPr="00A05885">
              <w:rPr>
                <w:rFonts w:cs="Calibri"/>
                <w:color w:val="000000"/>
                <w:szCs w:val="19"/>
              </w:rPr>
              <w:t>18</w:t>
            </w:r>
            <w:r w:rsidR="00C90109">
              <w:rPr>
                <w:rFonts w:cs="Calibri"/>
                <w:color w:val="000000"/>
                <w:szCs w:val="19"/>
              </w:rPr>
              <w:t>.</w:t>
            </w:r>
            <w:r w:rsidRPr="00A05885">
              <w:rPr>
                <w:rFonts w:cs="Calibri"/>
                <w:color w:val="000000"/>
                <w:szCs w:val="19"/>
              </w:rPr>
              <w:t>0</w:t>
            </w:r>
          </w:p>
        </w:tc>
      </w:tr>
      <w:tr w:rsidR="00692E17" w:rsidRPr="00FA5128" w14:paraId="25F88DCC"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0D727ABE"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2020</w:t>
            </w:r>
          </w:p>
        </w:tc>
        <w:tc>
          <w:tcPr>
            <w:tcW w:w="2104" w:type="dxa"/>
            <w:tcBorders>
              <w:left w:val="single" w:sz="12" w:space="0" w:color="001D77"/>
            </w:tcBorders>
            <w:vAlign w:val="center"/>
          </w:tcPr>
          <w:p w14:paraId="7BDB8816" w14:textId="143A30AC"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104</w:t>
            </w:r>
            <w:r w:rsidR="00C90109">
              <w:rPr>
                <w:rFonts w:cs="Arial"/>
                <w:color w:val="000000" w:themeColor="text1"/>
                <w:szCs w:val="19"/>
              </w:rPr>
              <w:t>.</w:t>
            </w:r>
            <w:r w:rsidRPr="00A05885">
              <w:rPr>
                <w:rFonts w:cs="Arial"/>
                <w:color w:val="000000" w:themeColor="text1"/>
                <w:szCs w:val="19"/>
              </w:rPr>
              <w:t>2</w:t>
            </w:r>
          </w:p>
        </w:tc>
        <w:tc>
          <w:tcPr>
            <w:tcW w:w="2077" w:type="dxa"/>
            <w:vAlign w:val="center"/>
          </w:tcPr>
          <w:p w14:paraId="3000B59F" w14:textId="56A8A3DF"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7</w:t>
            </w:r>
          </w:p>
        </w:tc>
        <w:tc>
          <w:tcPr>
            <w:tcW w:w="1873" w:type="dxa"/>
            <w:vAlign w:val="center"/>
          </w:tcPr>
          <w:p w14:paraId="26445188" w14:textId="040C26C1" w:rsidR="00692E17" w:rsidRPr="00A05885" w:rsidRDefault="00692E17" w:rsidP="00A05885">
            <w:pPr>
              <w:spacing w:before="0" w:after="0"/>
              <w:jc w:val="right"/>
              <w:rPr>
                <w:rFonts w:cs="Calibri"/>
                <w:color w:val="000000"/>
                <w:szCs w:val="19"/>
              </w:rPr>
            </w:pPr>
            <w:r w:rsidRPr="00A05885">
              <w:rPr>
                <w:rFonts w:cs="Calibri"/>
                <w:color w:val="000000"/>
                <w:szCs w:val="19"/>
              </w:rPr>
              <w:t>18</w:t>
            </w:r>
            <w:r w:rsidR="00C90109">
              <w:rPr>
                <w:rFonts w:cs="Calibri"/>
                <w:color w:val="000000"/>
                <w:szCs w:val="19"/>
              </w:rPr>
              <w:t>.</w:t>
            </w:r>
            <w:r w:rsidRPr="00A05885">
              <w:rPr>
                <w:rFonts w:cs="Calibri"/>
                <w:color w:val="000000"/>
                <w:szCs w:val="19"/>
              </w:rPr>
              <w:t>3</w:t>
            </w:r>
          </w:p>
        </w:tc>
      </w:tr>
      <w:tr w:rsidR="00692E17" w:rsidRPr="00FA5128" w14:paraId="24F0994E" w14:textId="77777777" w:rsidTr="00A05885">
        <w:trPr>
          <w:trHeight w:val="57"/>
        </w:trPr>
        <w:tc>
          <w:tcPr>
            <w:tcW w:w="2013" w:type="dxa"/>
            <w:tcBorders>
              <w:top w:val="single" w:sz="4" w:space="0" w:color="212492"/>
              <w:bottom w:val="single" w:sz="4" w:space="0" w:color="212492"/>
              <w:right w:val="single" w:sz="12" w:space="0" w:color="001D77"/>
            </w:tcBorders>
            <w:vAlign w:val="center"/>
          </w:tcPr>
          <w:p w14:paraId="4B649836"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2021</w:t>
            </w:r>
          </w:p>
        </w:tc>
        <w:tc>
          <w:tcPr>
            <w:tcW w:w="2104" w:type="dxa"/>
            <w:tcBorders>
              <w:left w:val="single" w:sz="12" w:space="0" w:color="001D77"/>
            </w:tcBorders>
            <w:vAlign w:val="center"/>
          </w:tcPr>
          <w:p w14:paraId="6D3025EF" w14:textId="275CE10E"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112</w:t>
            </w:r>
            <w:r w:rsidR="00C90109">
              <w:rPr>
                <w:rFonts w:cs="Arial"/>
                <w:color w:val="000000" w:themeColor="text1"/>
                <w:szCs w:val="19"/>
              </w:rPr>
              <w:t>.</w:t>
            </w:r>
            <w:r w:rsidRPr="00A05885">
              <w:rPr>
                <w:rFonts w:cs="Arial"/>
                <w:color w:val="000000" w:themeColor="text1"/>
                <w:szCs w:val="19"/>
              </w:rPr>
              <w:t>1</w:t>
            </w:r>
          </w:p>
        </w:tc>
        <w:tc>
          <w:tcPr>
            <w:tcW w:w="2077" w:type="dxa"/>
            <w:vAlign w:val="center"/>
          </w:tcPr>
          <w:p w14:paraId="6B2C2540" w14:textId="7C7AB7F8"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5</w:t>
            </w:r>
            <w:r w:rsidR="00C90109">
              <w:rPr>
                <w:rFonts w:cs="Arial"/>
                <w:color w:val="000000" w:themeColor="text1"/>
                <w:szCs w:val="19"/>
              </w:rPr>
              <w:t>.</w:t>
            </w:r>
            <w:r w:rsidRPr="00A05885">
              <w:rPr>
                <w:rFonts w:cs="Arial"/>
                <w:color w:val="000000" w:themeColor="text1"/>
                <w:szCs w:val="19"/>
              </w:rPr>
              <w:t>7</w:t>
            </w:r>
          </w:p>
        </w:tc>
        <w:tc>
          <w:tcPr>
            <w:tcW w:w="1873" w:type="dxa"/>
            <w:vAlign w:val="center"/>
          </w:tcPr>
          <w:p w14:paraId="179E09F4" w14:textId="4E247938" w:rsidR="00692E17" w:rsidRPr="00A05885" w:rsidRDefault="00692E17" w:rsidP="00A05885">
            <w:pPr>
              <w:spacing w:before="0" w:after="0"/>
              <w:jc w:val="right"/>
              <w:rPr>
                <w:rFonts w:cs="Calibri"/>
                <w:color w:val="000000"/>
                <w:szCs w:val="19"/>
              </w:rPr>
            </w:pPr>
            <w:r w:rsidRPr="00A05885">
              <w:rPr>
                <w:rFonts w:cs="Calibri"/>
                <w:color w:val="000000"/>
                <w:szCs w:val="19"/>
              </w:rPr>
              <w:t>19</w:t>
            </w:r>
            <w:r w:rsidR="00C90109">
              <w:rPr>
                <w:rFonts w:cs="Calibri"/>
                <w:color w:val="000000"/>
                <w:szCs w:val="19"/>
              </w:rPr>
              <w:t>.</w:t>
            </w:r>
            <w:r w:rsidRPr="00A05885">
              <w:rPr>
                <w:rFonts w:cs="Calibri"/>
                <w:color w:val="000000"/>
                <w:szCs w:val="19"/>
              </w:rPr>
              <w:t>7</w:t>
            </w:r>
          </w:p>
        </w:tc>
      </w:tr>
      <w:tr w:rsidR="00692E17" w:rsidRPr="00FA5128" w14:paraId="1B696192" w14:textId="77777777" w:rsidTr="00A05885">
        <w:trPr>
          <w:trHeight w:val="57"/>
        </w:trPr>
        <w:tc>
          <w:tcPr>
            <w:tcW w:w="2013" w:type="dxa"/>
            <w:tcBorders>
              <w:top w:val="single" w:sz="4" w:space="0" w:color="212492"/>
              <w:bottom w:val="nil"/>
              <w:right w:val="single" w:sz="12" w:space="0" w:color="001D77"/>
            </w:tcBorders>
            <w:vAlign w:val="center"/>
          </w:tcPr>
          <w:p w14:paraId="3D35F9A3" w14:textId="77777777" w:rsidR="00692E17" w:rsidRPr="00A05885" w:rsidRDefault="00692E17" w:rsidP="003651AB">
            <w:pPr>
              <w:tabs>
                <w:tab w:val="right" w:leader="dot" w:pos="4156"/>
              </w:tabs>
              <w:spacing w:before="0" w:after="0"/>
              <w:contextualSpacing/>
              <w:rPr>
                <w:color w:val="000000" w:themeColor="text1"/>
                <w:szCs w:val="19"/>
              </w:rPr>
            </w:pPr>
            <w:r w:rsidRPr="00A05885">
              <w:rPr>
                <w:color w:val="000000" w:themeColor="text1"/>
                <w:szCs w:val="19"/>
              </w:rPr>
              <w:t>2022</w:t>
            </w:r>
          </w:p>
        </w:tc>
        <w:tc>
          <w:tcPr>
            <w:tcW w:w="2104" w:type="dxa"/>
            <w:tcBorders>
              <w:left w:val="single" w:sz="12" w:space="0" w:color="001D77"/>
            </w:tcBorders>
            <w:vAlign w:val="center"/>
          </w:tcPr>
          <w:p w14:paraId="5AB6B3CF" w14:textId="28C37A91"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125</w:t>
            </w:r>
            <w:r w:rsidR="00C90109">
              <w:rPr>
                <w:rFonts w:cs="Arial"/>
                <w:color w:val="000000" w:themeColor="text1"/>
                <w:szCs w:val="19"/>
              </w:rPr>
              <w:t>.</w:t>
            </w:r>
            <w:r w:rsidRPr="00A05885">
              <w:rPr>
                <w:rFonts w:cs="Arial"/>
                <w:color w:val="000000" w:themeColor="text1"/>
                <w:szCs w:val="19"/>
              </w:rPr>
              <w:t>0</w:t>
            </w:r>
          </w:p>
        </w:tc>
        <w:tc>
          <w:tcPr>
            <w:tcW w:w="2077" w:type="dxa"/>
            <w:vAlign w:val="center"/>
          </w:tcPr>
          <w:p w14:paraId="2E1D04FC" w14:textId="6D8931E9" w:rsidR="00692E17" w:rsidRPr="00A05885" w:rsidRDefault="00692E17" w:rsidP="00A05885">
            <w:pPr>
              <w:spacing w:before="0" w:after="0"/>
              <w:jc w:val="right"/>
              <w:rPr>
                <w:rFonts w:cs="Arial"/>
                <w:color w:val="000000" w:themeColor="text1"/>
                <w:szCs w:val="19"/>
              </w:rPr>
            </w:pPr>
            <w:r w:rsidRPr="00A05885">
              <w:rPr>
                <w:rFonts w:cs="Arial"/>
                <w:color w:val="000000" w:themeColor="text1"/>
                <w:szCs w:val="19"/>
              </w:rPr>
              <w:t>6</w:t>
            </w:r>
            <w:r w:rsidR="00C90109">
              <w:rPr>
                <w:rFonts w:cs="Arial"/>
                <w:color w:val="000000" w:themeColor="text1"/>
                <w:szCs w:val="19"/>
              </w:rPr>
              <w:t>.</w:t>
            </w:r>
            <w:r w:rsidRPr="00A05885">
              <w:rPr>
                <w:rFonts w:cs="Arial"/>
                <w:color w:val="000000" w:themeColor="text1"/>
                <w:szCs w:val="19"/>
              </w:rPr>
              <w:t>0</w:t>
            </w:r>
          </w:p>
        </w:tc>
        <w:tc>
          <w:tcPr>
            <w:tcW w:w="1873" w:type="dxa"/>
            <w:vAlign w:val="center"/>
          </w:tcPr>
          <w:p w14:paraId="2A5509E5" w14:textId="71E249D1" w:rsidR="00692E17" w:rsidRPr="00A05885" w:rsidRDefault="00692E17" w:rsidP="00A05885">
            <w:pPr>
              <w:spacing w:before="0" w:after="0"/>
              <w:jc w:val="right"/>
              <w:rPr>
                <w:rFonts w:cs="Arial"/>
                <w:color w:val="000000" w:themeColor="text1"/>
                <w:szCs w:val="19"/>
              </w:rPr>
            </w:pPr>
            <w:r w:rsidRPr="00A05885">
              <w:rPr>
                <w:rFonts w:cs="Calibri"/>
                <w:color w:val="000000"/>
                <w:szCs w:val="19"/>
              </w:rPr>
              <w:t>20</w:t>
            </w:r>
            <w:r w:rsidR="00C90109">
              <w:rPr>
                <w:rFonts w:cs="Calibri"/>
                <w:color w:val="000000"/>
                <w:szCs w:val="19"/>
              </w:rPr>
              <w:t>.</w:t>
            </w:r>
            <w:r w:rsidRPr="00A05885">
              <w:rPr>
                <w:rFonts w:cs="Calibri"/>
                <w:color w:val="000000"/>
                <w:szCs w:val="19"/>
              </w:rPr>
              <w:t>8</w:t>
            </w:r>
          </w:p>
        </w:tc>
      </w:tr>
    </w:tbl>
    <w:p w14:paraId="34D0ED8A" w14:textId="3970259D" w:rsidR="00692E17" w:rsidRPr="00653157" w:rsidRDefault="00692E17" w:rsidP="00A05885">
      <w:pPr>
        <w:spacing w:line="240" w:lineRule="exact"/>
        <w:rPr>
          <w:lang w:val="en-GB"/>
        </w:rPr>
      </w:pPr>
      <w:r w:rsidRPr="00653157">
        <w:rPr>
          <w:rFonts w:cs="Arial"/>
          <w:color w:val="000000" w:themeColor="text1"/>
          <w:sz w:val="16"/>
          <w:szCs w:val="16"/>
          <w:vertAlign w:val="superscript"/>
          <w:lang w:val="en-GB"/>
        </w:rPr>
        <w:t xml:space="preserve">a </w:t>
      </w:r>
      <w:r w:rsidR="00653157" w:rsidRPr="00653157">
        <w:rPr>
          <w:rFonts w:cs="Arial"/>
          <w:color w:val="000000" w:themeColor="text1"/>
          <w:sz w:val="16"/>
          <w:szCs w:val="16"/>
          <w:lang w:val="en-GB"/>
        </w:rPr>
        <w:t xml:space="preserve">Calculated for </w:t>
      </w:r>
      <w:r w:rsidR="00F637A5">
        <w:rPr>
          <w:rFonts w:cs="Arial"/>
          <w:color w:val="000000" w:themeColor="text1"/>
          <w:sz w:val="16"/>
          <w:szCs w:val="16"/>
          <w:lang w:val="en-GB"/>
        </w:rPr>
        <w:t>PBOs that</w:t>
      </w:r>
      <w:r w:rsidR="00653157" w:rsidRPr="00653157">
        <w:rPr>
          <w:rFonts w:cs="Arial"/>
          <w:color w:val="000000" w:themeColor="text1"/>
          <w:sz w:val="16"/>
          <w:szCs w:val="16"/>
          <w:lang w:val="en-GB"/>
        </w:rPr>
        <w:t xml:space="preserve"> had revenues from 1% </w:t>
      </w:r>
      <w:r w:rsidR="00F637A5">
        <w:rPr>
          <w:rFonts w:cs="Arial"/>
          <w:color w:val="000000" w:themeColor="text1"/>
          <w:sz w:val="16"/>
          <w:szCs w:val="16"/>
          <w:lang w:val="en-GB"/>
        </w:rPr>
        <w:t xml:space="preserve">of </w:t>
      </w:r>
      <w:r w:rsidR="00C26678">
        <w:rPr>
          <w:rFonts w:cs="Arial"/>
          <w:color w:val="000000" w:themeColor="text1"/>
          <w:sz w:val="16"/>
          <w:szCs w:val="16"/>
          <w:lang w:val="en-GB"/>
        </w:rPr>
        <w:t>PIT</w:t>
      </w:r>
      <w:r w:rsidR="00F637A5">
        <w:rPr>
          <w:rFonts w:cs="Arial"/>
          <w:color w:val="000000" w:themeColor="text1"/>
          <w:sz w:val="16"/>
          <w:szCs w:val="16"/>
          <w:lang w:val="en-GB"/>
        </w:rPr>
        <w:t xml:space="preserve"> </w:t>
      </w:r>
      <w:r w:rsidR="00653157" w:rsidRPr="00653157">
        <w:rPr>
          <w:rFonts w:cs="Arial"/>
          <w:color w:val="000000" w:themeColor="text1"/>
          <w:sz w:val="16"/>
          <w:szCs w:val="16"/>
          <w:lang w:val="en-GB"/>
        </w:rPr>
        <w:t>in a given year.</w:t>
      </w:r>
    </w:p>
    <w:p w14:paraId="4E359642" w14:textId="6C08DE95" w:rsidR="00692E17" w:rsidRPr="00C20653" w:rsidRDefault="00653157" w:rsidP="00A05885">
      <w:pPr>
        <w:spacing w:line="240" w:lineRule="exact"/>
        <w:rPr>
          <w:rFonts w:cs="Arial"/>
          <w:szCs w:val="19"/>
          <w:lang w:val="en-GB"/>
        </w:rPr>
      </w:pPr>
      <w:r w:rsidRPr="00653157">
        <w:rPr>
          <w:rFonts w:cs="Arial"/>
          <w:szCs w:val="19"/>
          <w:lang w:val="en-GB"/>
        </w:rPr>
        <w:t>In 2022</w:t>
      </w:r>
      <w:r w:rsidR="00C90109">
        <w:rPr>
          <w:rFonts w:cs="Arial"/>
          <w:szCs w:val="19"/>
          <w:lang w:val="en-GB"/>
        </w:rPr>
        <w:t>.</w:t>
      </w:r>
      <w:r w:rsidRPr="00653157">
        <w:rPr>
          <w:rFonts w:cs="Arial"/>
          <w:szCs w:val="19"/>
          <w:lang w:val="en-GB"/>
        </w:rPr>
        <w:t xml:space="preserve"> the number of </w:t>
      </w:r>
      <w:r w:rsidR="00C20653">
        <w:rPr>
          <w:rFonts w:cs="Arial"/>
          <w:szCs w:val="19"/>
          <w:lang w:val="en-GB"/>
        </w:rPr>
        <w:t>PBO</w:t>
      </w:r>
      <w:r w:rsidRPr="00653157">
        <w:rPr>
          <w:rFonts w:cs="Arial"/>
          <w:szCs w:val="19"/>
          <w:lang w:val="en-GB"/>
        </w:rPr>
        <w:t xml:space="preserve">s whose revenues from 1% </w:t>
      </w:r>
      <w:r w:rsidR="00CB71F2">
        <w:rPr>
          <w:rFonts w:cs="Arial"/>
          <w:szCs w:val="19"/>
          <w:lang w:val="en-GB"/>
        </w:rPr>
        <w:t xml:space="preserve">of </w:t>
      </w:r>
      <w:r w:rsidR="00C26678">
        <w:rPr>
          <w:rFonts w:cs="Arial"/>
          <w:szCs w:val="19"/>
          <w:lang w:val="en-GB"/>
        </w:rPr>
        <w:t>PIT</w:t>
      </w:r>
      <w:r w:rsidRPr="00653157">
        <w:rPr>
          <w:rFonts w:cs="Arial"/>
          <w:szCs w:val="19"/>
          <w:lang w:val="en-GB"/>
        </w:rPr>
        <w:t xml:space="preserve"> exceeded PLN 1 million was approximately 0.1 thousand entities (1.4%)</w:t>
      </w:r>
      <w:r w:rsidR="00C90109">
        <w:rPr>
          <w:rFonts w:cs="Arial"/>
          <w:szCs w:val="19"/>
          <w:lang w:val="en-GB"/>
        </w:rPr>
        <w:t>.</w:t>
      </w:r>
      <w:r w:rsidRPr="00653157">
        <w:rPr>
          <w:rFonts w:cs="Arial"/>
          <w:szCs w:val="19"/>
          <w:lang w:val="en-GB"/>
        </w:rPr>
        <w:t xml:space="preserve"> and they received 73.6% of the total amount of funds transferred to </w:t>
      </w:r>
      <w:r w:rsidR="00CB71F2">
        <w:rPr>
          <w:rFonts w:cs="Arial"/>
          <w:szCs w:val="19"/>
          <w:lang w:val="en-GB"/>
        </w:rPr>
        <w:t>PBOs</w:t>
      </w:r>
      <w:r w:rsidRPr="00653157">
        <w:rPr>
          <w:rFonts w:cs="Arial"/>
          <w:szCs w:val="19"/>
          <w:lang w:val="en-GB"/>
        </w:rPr>
        <w:t xml:space="preserve"> under the </w:t>
      </w:r>
      <w:r w:rsidRPr="004B219D">
        <w:rPr>
          <w:rFonts w:cs="Arial"/>
          <w:szCs w:val="19"/>
          <w:lang w:val="en-GB"/>
        </w:rPr>
        <w:t xml:space="preserve">1% mechanism. </w:t>
      </w:r>
    </w:p>
    <w:p w14:paraId="33399F04" w14:textId="28C98C54" w:rsidR="00692E17" w:rsidRPr="00653157" w:rsidRDefault="00653157" w:rsidP="00692E17">
      <w:pPr>
        <w:pStyle w:val="Nagwek1"/>
        <w:rPr>
          <w:lang w:val="en-GB"/>
        </w:rPr>
      </w:pPr>
      <w:bookmarkStart w:id="0" w:name="_Hlk128040518"/>
      <w:r w:rsidRPr="00653157">
        <w:rPr>
          <w:lang w:val="en-GB"/>
        </w:rPr>
        <w:t xml:space="preserve">Characteristics of 1% </w:t>
      </w:r>
      <w:r w:rsidR="004B219D">
        <w:rPr>
          <w:lang w:val="en-GB"/>
        </w:rPr>
        <w:t xml:space="preserve">of </w:t>
      </w:r>
      <w:r w:rsidRPr="00653157">
        <w:rPr>
          <w:lang w:val="en-GB"/>
        </w:rPr>
        <w:t>PIT</w:t>
      </w:r>
      <w:r w:rsidR="00270AF8" w:rsidRPr="00A05885">
        <w:rPr>
          <w:noProof/>
        </w:rPr>
        <mc:AlternateContent>
          <mc:Choice Requires="wps">
            <w:drawing>
              <wp:anchor distT="45720" distB="45720" distL="114300" distR="114300" simplePos="0" relativeHeight="251764736" behindDoc="1" locked="0" layoutInCell="1" allowOverlap="1" wp14:anchorId="3CC51382" wp14:editId="2C22ADB0">
                <wp:simplePos x="0" y="0"/>
                <wp:positionH relativeFrom="rightMargin">
                  <wp:posOffset>97155</wp:posOffset>
                </wp:positionH>
                <wp:positionV relativeFrom="paragraph">
                  <wp:posOffset>333375</wp:posOffset>
                </wp:positionV>
                <wp:extent cx="1775460" cy="588010"/>
                <wp:effectExtent l="0" t="0" r="0" b="2540"/>
                <wp:wrapTight wrapText="bothSides">
                  <wp:wrapPolygon edited="0">
                    <wp:start x="695" y="0"/>
                    <wp:lineTo x="695" y="20994"/>
                    <wp:lineTo x="20858" y="20994"/>
                    <wp:lineTo x="20858" y="0"/>
                    <wp:lineTo x="695"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588010"/>
                        </a:xfrm>
                        <a:prstGeom prst="rect">
                          <a:avLst/>
                        </a:prstGeom>
                        <a:noFill/>
                        <a:ln w="9525">
                          <a:noFill/>
                          <a:miter lim="800000"/>
                          <a:headEnd/>
                          <a:tailEnd/>
                        </a:ln>
                      </wps:spPr>
                      <wps:txbx>
                        <w:txbxContent>
                          <w:p w14:paraId="579760F9" w14:textId="5EE20E8D" w:rsidR="00692E17" w:rsidRPr="00653157" w:rsidRDefault="00653157" w:rsidP="00692E17">
                            <w:pPr>
                              <w:pStyle w:val="tekstzboku"/>
                              <w:rPr>
                                <w:lang w:val="en-GB"/>
                              </w:rPr>
                            </w:pPr>
                            <w:r w:rsidRPr="00653157">
                              <w:rPr>
                                <w:lang w:val="en-GB"/>
                              </w:rPr>
                              <w:t xml:space="preserve">In 2021, 78.5% of funds transferred under 1% </w:t>
                            </w:r>
                            <w:r w:rsidR="00CF2FC1">
                              <w:rPr>
                                <w:lang w:val="en-GB"/>
                              </w:rPr>
                              <w:t xml:space="preserve">of </w:t>
                            </w:r>
                            <w:r w:rsidRPr="00653157">
                              <w:rPr>
                                <w:lang w:val="en-GB"/>
                              </w:rPr>
                              <w:t>PIT went to the foundation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51382" id="_x0000_s1030" type="#_x0000_t202" style="position:absolute;margin-left:7.65pt;margin-top:26.25pt;width:139.8pt;height:46.3pt;z-index:-25155174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" filled="f" stroked="f">
                <v:textbox>
                  <w:txbxContent>
                    <w:p w14:paraId="579760F9" w14:textId="5EE20E8D" w:rsidR="00692E17" w:rsidRPr="00653157" w:rsidRDefault="00653157" w:rsidP="00692E17">
                      <w:pPr>
                        <w:pStyle w:val="tekstzboku"/>
                        <w:rPr>
                          <w:lang w:val="en-GB"/>
                        </w:rPr>
                      </w:pPr>
                      <w:r w:rsidRPr="00653157">
                        <w:rPr>
                          <w:lang w:val="en-GB"/>
                        </w:rPr>
                        <w:t xml:space="preserve">In 2021, 78.5% of funds transferred under 1% </w:t>
                      </w:r>
                      <w:r w:rsidR="00CF2FC1">
                        <w:rPr>
                          <w:lang w:val="en-GB"/>
                        </w:rPr>
                        <w:t xml:space="preserve">of </w:t>
                      </w:r>
                      <w:r w:rsidRPr="00653157">
                        <w:rPr>
                          <w:lang w:val="en-GB"/>
                        </w:rPr>
                        <w:t>PIT went to the foundation</w:t>
                      </w:r>
                    </w:p>
                  </w:txbxContent>
                </v:textbox>
                <w10:wrap type="tight" anchorx="margin"/>
              </v:shape>
            </w:pict>
          </mc:Fallback>
        </mc:AlternateContent>
      </w:r>
      <w:bookmarkEnd w:id="0"/>
      <w:r w:rsidRPr="00653157">
        <w:rPr>
          <w:lang w:val="en-GB"/>
        </w:rPr>
        <w:t xml:space="preserve"> </w:t>
      </w:r>
    </w:p>
    <w:p w14:paraId="44961B9E" w14:textId="0F9C6BFA" w:rsidR="00692E17" w:rsidRPr="00653157" w:rsidRDefault="00653157" w:rsidP="00A05885">
      <w:pPr>
        <w:spacing w:line="240" w:lineRule="exact"/>
        <w:rPr>
          <w:rFonts w:cs="Arial"/>
          <w:szCs w:val="19"/>
          <w:lang w:val="en-GB"/>
        </w:rPr>
      </w:pPr>
      <w:r w:rsidRPr="00653157">
        <w:rPr>
          <w:rFonts w:cs="Arial"/>
          <w:szCs w:val="19"/>
          <w:lang w:val="en-GB"/>
        </w:rPr>
        <w:t xml:space="preserve">The structure of the number of </w:t>
      </w:r>
      <w:r w:rsidR="00C20653">
        <w:rPr>
          <w:rFonts w:cs="Arial"/>
          <w:szCs w:val="19"/>
          <w:lang w:val="en-GB"/>
        </w:rPr>
        <w:t>PBO</w:t>
      </w:r>
      <w:r w:rsidRPr="00653157">
        <w:rPr>
          <w:rFonts w:cs="Arial"/>
          <w:szCs w:val="19"/>
          <w:lang w:val="en-GB"/>
        </w:rPr>
        <w:t xml:space="preserve">s and revenues from 1% </w:t>
      </w:r>
      <w:r w:rsidR="004B219D">
        <w:rPr>
          <w:rFonts w:cs="Arial"/>
          <w:szCs w:val="19"/>
          <w:lang w:val="en-GB"/>
        </w:rPr>
        <w:t xml:space="preserve">of PIT </w:t>
      </w:r>
      <w:r w:rsidRPr="00653157">
        <w:rPr>
          <w:rFonts w:cs="Arial"/>
          <w:szCs w:val="19"/>
          <w:lang w:val="en-GB"/>
        </w:rPr>
        <w:t>differed significantly in 2021. The largest part of public benefit organizations were associations and similar organizations (64.7%)</w:t>
      </w:r>
      <w:r w:rsidR="00C90109">
        <w:rPr>
          <w:rFonts w:cs="Arial"/>
          <w:szCs w:val="19"/>
          <w:lang w:val="en-GB"/>
        </w:rPr>
        <w:t>.</w:t>
      </w:r>
      <w:r w:rsidRPr="00653157">
        <w:rPr>
          <w:rFonts w:cs="Arial"/>
          <w:szCs w:val="19"/>
          <w:lang w:val="en-GB"/>
        </w:rPr>
        <w:t xml:space="preserve"> followed by foundations (33.6%) and </w:t>
      </w:r>
      <w:r w:rsidR="004B219D">
        <w:rPr>
          <w:rFonts w:cs="Arial"/>
          <w:szCs w:val="19"/>
          <w:lang w:val="en-GB"/>
        </w:rPr>
        <w:t>faith-based charities</w:t>
      </w:r>
      <w:r w:rsidRPr="00653157">
        <w:rPr>
          <w:rFonts w:cs="Arial"/>
          <w:szCs w:val="19"/>
          <w:lang w:val="en-GB"/>
        </w:rPr>
        <w:t xml:space="preserve"> (1</w:t>
      </w:r>
      <w:r w:rsidR="00C90109">
        <w:rPr>
          <w:rFonts w:cs="Arial"/>
          <w:szCs w:val="19"/>
          <w:lang w:val="en-GB"/>
        </w:rPr>
        <w:t>.</w:t>
      </w:r>
      <w:r w:rsidRPr="00653157">
        <w:rPr>
          <w:rFonts w:cs="Arial"/>
          <w:szCs w:val="19"/>
          <w:lang w:val="en-GB"/>
        </w:rPr>
        <w:t xml:space="preserve"> 5%). Although associations and similar organizations constituted the dominant part of </w:t>
      </w:r>
      <w:r w:rsidR="00C20653">
        <w:rPr>
          <w:rFonts w:cs="Arial"/>
          <w:szCs w:val="19"/>
          <w:lang w:val="en-GB"/>
        </w:rPr>
        <w:t>PBOs</w:t>
      </w:r>
      <w:r w:rsidR="00C90109">
        <w:rPr>
          <w:rFonts w:cs="Arial"/>
          <w:szCs w:val="19"/>
          <w:lang w:val="en-GB"/>
        </w:rPr>
        <w:t>.</w:t>
      </w:r>
      <w:r w:rsidRPr="00653157">
        <w:rPr>
          <w:rFonts w:cs="Arial"/>
          <w:szCs w:val="19"/>
          <w:lang w:val="en-GB"/>
        </w:rPr>
        <w:t xml:space="preserve"> 78.5% of funds from 1% of PIT went to foundations</w:t>
      </w:r>
      <w:r w:rsidR="00C90109">
        <w:rPr>
          <w:rFonts w:cs="Arial"/>
          <w:szCs w:val="19"/>
          <w:lang w:val="en-GB"/>
        </w:rPr>
        <w:t>.</w:t>
      </w:r>
      <w:r w:rsidRPr="00653157">
        <w:rPr>
          <w:rFonts w:cs="Arial"/>
          <w:szCs w:val="19"/>
          <w:lang w:val="en-GB"/>
        </w:rPr>
        <w:t xml:space="preserve"> compared to 19.5% for associations and similar organizations and 2.0% </w:t>
      </w:r>
      <w:r w:rsidR="004B219D">
        <w:rPr>
          <w:rFonts w:cs="Arial"/>
          <w:szCs w:val="19"/>
          <w:lang w:val="en-GB"/>
        </w:rPr>
        <w:t>for faith-based charities</w:t>
      </w:r>
      <w:r w:rsidRPr="00653157">
        <w:rPr>
          <w:rFonts w:cs="Arial"/>
          <w:szCs w:val="19"/>
          <w:lang w:val="en-GB"/>
        </w:rPr>
        <w:t>.</w:t>
      </w:r>
    </w:p>
    <w:p w14:paraId="34E44BAF" w14:textId="4CAD79AE" w:rsidR="00692E17" w:rsidRPr="004B219D" w:rsidRDefault="00653157" w:rsidP="00A05885">
      <w:pPr>
        <w:spacing w:before="360" w:line="240" w:lineRule="auto"/>
        <w:ind w:left="856" w:hanging="856"/>
        <w:rPr>
          <w:lang w:val="en-GB"/>
        </w:rPr>
      </w:pPr>
      <w:r w:rsidRPr="00653157">
        <w:rPr>
          <w:rFonts w:eastAsia="Times New Roman" w:cs="Times New Roman"/>
          <w:b/>
          <w:bCs/>
          <w:color w:val="000000" w:themeColor="text1"/>
          <w:szCs w:val="19"/>
          <w:lang w:val="en-GB" w:eastAsia="pl-PL"/>
        </w:rPr>
        <w:t xml:space="preserve">Chart 4. Structure of 1% </w:t>
      </w:r>
      <w:r w:rsidR="004B219D">
        <w:rPr>
          <w:rFonts w:eastAsia="Times New Roman" w:cs="Times New Roman"/>
          <w:b/>
          <w:bCs/>
          <w:color w:val="000000" w:themeColor="text1"/>
          <w:szCs w:val="19"/>
          <w:lang w:val="en-GB" w:eastAsia="pl-PL"/>
        </w:rPr>
        <w:t xml:space="preserve">of </w:t>
      </w:r>
      <w:r w:rsidRPr="00653157">
        <w:rPr>
          <w:rFonts w:eastAsia="Times New Roman" w:cs="Times New Roman"/>
          <w:b/>
          <w:bCs/>
          <w:color w:val="000000" w:themeColor="text1"/>
          <w:szCs w:val="19"/>
          <w:lang w:val="en-GB" w:eastAsia="pl-PL"/>
        </w:rPr>
        <w:t>PIT costs incurred by the sphere of public benefit activity in 2021</w:t>
      </w:r>
      <w:r w:rsidR="001666C7" w:rsidRPr="008B2497">
        <w:rPr>
          <w:rFonts w:eastAsia="Calibri" w:cs="Calibri"/>
          <w:b/>
          <w:noProof/>
          <w:color w:val="000000"/>
          <w:szCs w:val="19"/>
          <w:lang w:eastAsia="pl-PL"/>
        </w:rPr>
        <w:drawing>
          <wp:anchor distT="0" distB="0" distL="114300" distR="114300" simplePos="0" relativeHeight="251766784" behindDoc="0" locked="0" layoutInCell="1" allowOverlap="1" wp14:anchorId="135A4511" wp14:editId="28BED67D">
            <wp:simplePos x="0" y="0"/>
            <wp:positionH relativeFrom="column">
              <wp:posOffset>3810</wp:posOffset>
            </wp:positionH>
            <wp:positionV relativeFrom="paragraph">
              <wp:posOffset>522798</wp:posOffset>
            </wp:positionV>
            <wp:extent cx="5029200" cy="2971800"/>
            <wp:effectExtent l="0" t="0" r="0" b="0"/>
            <wp:wrapTopAndBottom/>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FC92DB9" w14:textId="22037B5F" w:rsidR="00653157" w:rsidRPr="00653157" w:rsidRDefault="00653157" w:rsidP="00692E17">
      <w:pPr>
        <w:pStyle w:val="Nagwek1"/>
        <w:rPr>
          <w:rFonts w:eastAsiaTheme="minorHAnsi" w:cs="Arial"/>
          <w:b w:val="0"/>
          <w:bCs w:val="0"/>
          <w:color w:val="auto"/>
          <w:szCs w:val="19"/>
          <w:lang w:val="en-GB" w:eastAsia="en-US"/>
        </w:rPr>
      </w:pPr>
      <w:r w:rsidRPr="00653157">
        <w:rPr>
          <w:rFonts w:eastAsiaTheme="minorHAnsi" w:cs="Arial"/>
          <w:b w:val="0"/>
          <w:bCs w:val="0"/>
          <w:color w:val="auto"/>
          <w:szCs w:val="19"/>
          <w:lang w:val="en-GB" w:eastAsia="en-US"/>
        </w:rPr>
        <w:lastRenderedPageBreak/>
        <w:t xml:space="preserve">The sphere of public benefit activities in which </w:t>
      </w:r>
      <w:r w:rsidR="00400C89">
        <w:rPr>
          <w:rFonts w:eastAsiaTheme="minorHAnsi" w:cs="Arial"/>
          <w:b w:val="0"/>
          <w:bCs w:val="0"/>
          <w:color w:val="auto"/>
          <w:szCs w:val="19"/>
          <w:lang w:val="en-GB" w:eastAsia="en-US"/>
        </w:rPr>
        <w:t>PBO</w:t>
      </w:r>
      <w:r w:rsidR="001A4528">
        <w:rPr>
          <w:rFonts w:eastAsiaTheme="minorHAnsi" w:cs="Arial"/>
          <w:b w:val="0"/>
          <w:bCs w:val="0"/>
          <w:color w:val="auto"/>
          <w:szCs w:val="19"/>
          <w:lang w:val="en-GB" w:eastAsia="en-US"/>
        </w:rPr>
        <w:t>s</w:t>
      </w:r>
      <w:r w:rsidRPr="00653157">
        <w:rPr>
          <w:rFonts w:eastAsiaTheme="minorHAnsi" w:cs="Arial"/>
          <w:b w:val="0"/>
          <w:bCs w:val="0"/>
          <w:color w:val="auto"/>
          <w:szCs w:val="19"/>
          <w:lang w:val="en-GB" w:eastAsia="en-US"/>
        </w:rPr>
        <w:t xml:space="preserve"> incurred the highest costs by spending funds from the 1% </w:t>
      </w:r>
      <w:r w:rsidR="001A4528">
        <w:rPr>
          <w:rFonts w:eastAsiaTheme="minorHAnsi" w:cs="Arial"/>
          <w:b w:val="0"/>
          <w:bCs w:val="0"/>
          <w:color w:val="auto"/>
          <w:szCs w:val="19"/>
          <w:lang w:val="en-GB" w:eastAsia="en-US"/>
        </w:rPr>
        <w:t xml:space="preserve">of </w:t>
      </w:r>
      <w:r w:rsidRPr="00653157">
        <w:rPr>
          <w:rFonts w:eastAsiaTheme="minorHAnsi" w:cs="Arial"/>
          <w:b w:val="0"/>
          <w:bCs w:val="0"/>
          <w:color w:val="auto"/>
          <w:szCs w:val="19"/>
          <w:lang w:val="en-GB" w:eastAsia="en-US"/>
        </w:rPr>
        <w:t xml:space="preserve">PIT in 2021 was </w:t>
      </w:r>
      <w:r w:rsidR="001A4528">
        <w:rPr>
          <w:rFonts w:eastAsiaTheme="minorHAnsi" w:cs="Arial"/>
          <w:b w:val="0"/>
          <w:bCs w:val="0"/>
          <w:color w:val="auto"/>
          <w:szCs w:val="19"/>
          <w:lang w:val="en-GB" w:eastAsia="en-US"/>
        </w:rPr>
        <w:t>charitable activities</w:t>
      </w:r>
      <w:r w:rsidRPr="00653157">
        <w:rPr>
          <w:rFonts w:eastAsiaTheme="minorHAnsi" w:cs="Arial"/>
          <w:b w:val="0"/>
          <w:bCs w:val="0"/>
          <w:color w:val="auto"/>
          <w:szCs w:val="19"/>
          <w:lang w:val="en-GB" w:eastAsia="en-US"/>
        </w:rPr>
        <w:t xml:space="preserve"> (29.7%)</w:t>
      </w:r>
      <w:r w:rsidR="00C90109">
        <w:rPr>
          <w:rFonts w:eastAsiaTheme="minorHAnsi" w:cs="Arial"/>
          <w:b w:val="0"/>
          <w:bCs w:val="0"/>
          <w:color w:val="auto"/>
          <w:szCs w:val="19"/>
          <w:lang w:val="en-GB" w:eastAsia="en-US"/>
        </w:rPr>
        <w:t>.</w:t>
      </w:r>
      <w:r w:rsidRPr="00653157">
        <w:rPr>
          <w:rFonts w:eastAsiaTheme="minorHAnsi" w:cs="Arial"/>
          <w:b w:val="0"/>
          <w:bCs w:val="0"/>
          <w:color w:val="auto"/>
          <w:szCs w:val="19"/>
          <w:lang w:val="en-GB" w:eastAsia="en-US"/>
        </w:rPr>
        <w:t xml:space="preserve"> followed by activities for </w:t>
      </w:r>
      <w:r w:rsidR="001B11E9" w:rsidRPr="001B11E9">
        <w:rPr>
          <w:rFonts w:eastAsiaTheme="minorHAnsi" w:cs="Arial"/>
          <w:b w:val="0"/>
          <w:bCs w:val="0"/>
          <w:color w:val="auto"/>
          <w:szCs w:val="19"/>
          <w:lang w:val="en-GB" w:eastAsia="en-US"/>
        </w:rPr>
        <w:t>people with disabilities</w:t>
      </w:r>
      <w:r w:rsidRPr="00653157">
        <w:rPr>
          <w:rFonts w:eastAsiaTheme="minorHAnsi" w:cs="Arial"/>
          <w:b w:val="0"/>
          <w:bCs w:val="0"/>
          <w:color w:val="auto"/>
          <w:szCs w:val="19"/>
          <w:lang w:val="en-GB" w:eastAsia="en-US"/>
        </w:rPr>
        <w:t xml:space="preserve"> (24.7%). Subsequently</w:t>
      </w:r>
      <w:r w:rsidR="00C90109">
        <w:rPr>
          <w:rFonts w:eastAsiaTheme="minorHAnsi" w:cs="Arial"/>
          <w:b w:val="0"/>
          <w:bCs w:val="0"/>
          <w:color w:val="auto"/>
          <w:szCs w:val="19"/>
          <w:lang w:val="en-GB" w:eastAsia="en-US"/>
        </w:rPr>
        <w:t>.</w:t>
      </w:r>
      <w:r w:rsidRPr="00653157">
        <w:rPr>
          <w:rFonts w:eastAsiaTheme="minorHAnsi" w:cs="Arial"/>
          <w:b w:val="0"/>
          <w:bCs w:val="0"/>
          <w:color w:val="auto"/>
          <w:szCs w:val="19"/>
          <w:lang w:val="en-GB" w:eastAsia="en-US"/>
        </w:rPr>
        <w:t xml:space="preserve"> funds from 1% of PIT were allocated for public benefit activities for the </w:t>
      </w:r>
      <w:r w:rsidR="001A4528">
        <w:rPr>
          <w:rFonts w:eastAsiaTheme="minorHAnsi" w:cs="Arial"/>
          <w:b w:val="0"/>
          <w:bCs w:val="0"/>
          <w:color w:val="auto"/>
          <w:szCs w:val="19"/>
          <w:lang w:val="en-GB" w:eastAsia="en-US"/>
        </w:rPr>
        <w:t>healthcare and health promotion</w:t>
      </w:r>
      <w:r w:rsidRPr="00653157">
        <w:rPr>
          <w:rFonts w:eastAsiaTheme="minorHAnsi" w:cs="Arial"/>
          <w:b w:val="0"/>
          <w:bCs w:val="0"/>
          <w:color w:val="auto"/>
          <w:szCs w:val="19"/>
          <w:lang w:val="en-GB" w:eastAsia="en-US"/>
        </w:rPr>
        <w:t xml:space="preserve"> (13.7%) and for social </w:t>
      </w:r>
      <w:r w:rsidR="001A4528">
        <w:rPr>
          <w:rFonts w:eastAsiaTheme="minorHAnsi" w:cs="Arial"/>
          <w:b w:val="0"/>
          <w:bCs w:val="0"/>
          <w:color w:val="auto"/>
          <w:szCs w:val="19"/>
          <w:lang w:val="en-GB" w:eastAsia="en-US"/>
        </w:rPr>
        <w:t>services</w:t>
      </w:r>
      <w:r w:rsidR="00C90109">
        <w:rPr>
          <w:rFonts w:eastAsiaTheme="minorHAnsi" w:cs="Arial"/>
          <w:b w:val="0"/>
          <w:bCs w:val="0"/>
          <w:color w:val="auto"/>
          <w:szCs w:val="19"/>
          <w:lang w:val="en-GB" w:eastAsia="en-US"/>
        </w:rPr>
        <w:t>.</w:t>
      </w:r>
      <w:r w:rsidRPr="00653157">
        <w:rPr>
          <w:rFonts w:eastAsiaTheme="minorHAnsi" w:cs="Arial"/>
          <w:b w:val="0"/>
          <w:bCs w:val="0"/>
          <w:color w:val="auto"/>
          <w:szCs w:val="19"/>
          <w:lang w:val="en-GB" w:eastAsia="en-US"/>
        </w:rPr>
        <w:t xml:space="preserve"> </w:t>
      </w:r>
      <w:r w:rsidR="001A4528">
        <w:rPr>
          <w:rFonts w:eastAsiaTheme="minorHAnsi" w:cs="Arial"/>
          <w:b w:val="0"/>
          <w:bCs w:val="0"/>
          <w:color w:val="auto"/>
          <w:szCs w:val="19"/>
          <w:lang w:val="en-GB" w:eastAsia="en-US"/>
        </w:rPr>
        <w:t>of which</w:t>
      </w:r>
      <w:r w:rsidRPr="00653157">
        <w:rPr>
          <w:rFonts w:eastAsiaTheme="minorHAnsi" w:cs="Arial"/>
          <w:b w:val="0"/>
          <w:bCs w:val="0"/>
          <w:color w:val="auto"/>
          <w:szCs w:val="19"/>
          <w:lang w:val="en-GB" w:eastAsia="en-US"/>
        </w:rPr>
        <w:t xml:space="preserve"> </w:t>
      </w:r>
      <w:r w:rsidR="001A4528">
        <w:rPr>
          <w:rFonts w:eastAsiaTheme="minorHAnsi" w:cs="Arial"/>
          <w:b w:val="0"/>
          <w:bCs w:val="0"/>
          <w:color w:val="auto"/>
          <w:szCs w:val="19"/>
          <w:lang w:val="en-GB" w:eastAsia="en-US"/>
        </w:rPr>
        <w:t xml:space="preserve">supporting the family and the foster care system </w:t>
      </w:r>
      <w:r w:rsidRPr="00653157">
        <w:rPr>
          <w:rFonts w:eastAsiaTheme="minorHAnsi" w:cs="Arial"/>
          <w:b w:val="0"/>
          <w:bCs w:val="0"/>
          <w:color w:val="auto"/>
          <w:szCs w:val="19"/>
          <w:lang w:val="en-GB" w:eastAsia="en-US"/>
        </w:rPr>
        <w:t>(9.8%).</w:t>
      </w:r>
    </w:p>
    <w:p w14:paraId="4E034F91" w14:textId="61EB52FD" w:rsidR="00692E17" w:rsidRPr="00944DD8" w:rsidRDefault="007178AA" w:rsidP="00692E17">
      <w:pPr>
        <w:pStyle w:val="Nagwek1"/>
        <w:rPr>
          <w:lang w:val="en-GB"/>
        </w:rPr>
      </w:pPr>
      <w:r>
        <w:rPr>
          <w:lang w:val="en-GB"/>
        </w:rPr>
        <w:t xml:space="preserve">PBOs </w:t>
      </w:r>
      <w:r w:rsidR="00653157" w:rsidRPr="00944DD8">
        <w:rPr>
          <w:lang w:val="en-GB"/>
        </w:rPr>
        <w:t xml:space="preserve">information activities </w:t>
      </w:r>
    </w:p>
    <w:p w14:paraId="1B124971" w14:textId="7D175D7E" w:rsidR="00653157" w:rsidRPr="00653157" w:rsidRDefault="00653157" w:rsidP="00653157">
      <w:pPr>
        <w:spacing w:line="240" w:lineRule="exact"/>
        <w:rPr>
          <w:rFonts w:cs="Arial"/>
          <w:szCs w:val="19"/>
          <w:lang w:val="en-GB"/>
        </w:rPr>
      </w:pPr>
      <w:r w:rsidRPr="00653157">
        <w:rPr>
          <w:rFonts w:cs="Arial"/>
          <w:szCs w:val="19"/>
          <w:lang w:val="en-GB"/>
        </w:rPr>
        <w:t>In 2021</w:t>
      </w:r>
      <w:r w:rsidR="00C90109">
        <w:rPr>
          <w:rFonts w:cs="Arial"/>
          <w:szCs w:val="19"/>
          <w:lang w:val="en-GB"/>
        </w:rPr>
        <w:t>.</w:t>
      </w:r>
      <w:r w:rsidRPr="00653157">
        <w:rPr>
          <w:rFonts w:cs="Arial"/>
          <w:szCs w:val="19"/>
          <w:lang w:val="en-GB"/>
        </w:rPr>
        <w:t xml:space="preserve"> the vast majority of organizations with public benefit status reported on their activities (88.1%). This percentage decreased by 2.1 percentage points compared to 2019. The most frequently used medium was the Internet (75.5%). Other mass media</w:t>
      </w:r>
      <w:r w:rsidR="00C90109">
        <w:rPr>
          <w:rFonts w:cs="Arial"/>
          <w:szCs w:val="19"/>
          <w:lang w:val="en-GB"/>
        </w:rPr>
        <w:t>.</w:t>
      </w:r>
      <w:r w:rsidRPr="00653157">
        <w:rPr>
          <w:rFonts w:cs="Arial"/>
          <w:szCs w:val="19"/>
          <w:lang w:val="en-GB"/>
        </w:rPr>
        <w:t xml:space="preserve"> such as happenings and rallies</w:t>
      </w:r>
      <w:r w:rsidR="00C90109">
        <w:rPr>
          <w:rFonts w:cs="Arial"/>
          <w:szCs w:val="19"/>
          <w:lang w:val="en-GB"/>
        </w:rPr>
        <w:t>.</w:t>
      </w:r>
      <w:r w:rsidRPr="00653157">
        <w:rPr>
          <w:rFonts w:cs="Arial"/>
          <w:szCs w:val="19"/>
          <w:lang w:val="en-GB"/>
        </w:rPr>
        <w:t xml:space="preserve"> leaflets</w:t>
      </w:r>
      <w:r w:rsidR="00C90109">
        <w:rPr>
          <w:rFonts w:cs="Arial"/>
          <w:szCs w:val="19"/>
          <w:lang w:val="en-GB"/>
        </w:rPr>
        <w:t>.</w:t>
      </w:r>
      <w:r w:rsidRPr="00653157">
        <w:rPr>
          <w:rFonts w:cs="Arial"/>
          <w:szCs w:val="19"/>
          <w:lang w:val="en-GB"/>
        </w:rPr>
        <w:t xml:space="preserve"> posters and books</w:t>
      </w:r>
      <w:r w:rsidR="00C90109">
        <w:rPr>
          <w:rFonts w:cs="Arial"/>
          <w:szCs w:val="19"/>
          <w:lang w:val="en-GB"/>
        </w:rPr>
        <w:t>.</w:t>
      </w:r>
      <w:r w:rsidRPr="00653157">
        <w:rPr>
          <w:rFonts w:cs="Arial"/>
          <w:szCs w:val="19"/>
          <w:lang w:val="en-GB"/>
        </w:rPr>
        <w:t xml:space="preserve"> were used less frequently (52.2%). Traditional media</w:t>
      </w:r>
      <w:r w:rsidR="00C90109">
        <w:rPr>
          <w:rFonts w:cs="Arial"/>
          <w:szCs w:val="19"/>
          <w:lang w:val="en-GB"/>
        </w:rPr>
        <w:t>.</w:t>
      </w:r>
      <w:r w:rsidRPr="00653157">
        <w:rPr>
          <w:rFonts w:cs="Arial"/>
          <w:szCs w:val="19"/>
          <w:lang w:val="en-GB"/>
        </w:rPr>
        <w:t xml:space="preserve"> i.e. the press</w:t>
      </w:r>
      <w:r w:rsidR="00C90109">
        <w:rPr>
          <w:rFonts w:cs="Arial"/>
          <w:szCs w:val="19"/>
          <w:lang w:val="en-GB"/>
        </w:rPr>
        <w:t>.</w:t>
      </w:r>
      <w:r w:rsidRPr="00653157">
        <w:rPr>
          <w:rFonts w:cs="Arial"/>
          <w:szCs w:val="19"/>
          <w:lang w:val="en-GB"/>
        </w:rPr>
        <w:t xml:space="preserve"> radio or television</w:t>
      </w:r>
      <w:r w:rsidR="00C90109">
        <w:rPr>
          <w:rFonts w:cs="Arial"/>
          <w:szCs w:val="19"/>
          <w:lang w:val="en-GB"/>
        </w:rPr>
        <w:t>.</w:t>
      </w:r>
      <w:r w:rsidRPr="00653157">
        <w:rPr>
          <w:rFonts w:cs="Arial"/>
          <w:szCs w:val="19"/>
          <w:lang w:val="en-GB"/>
        </w:rPr>
        <w:t xml:space="preserve"> were chosen the least frequently in </w:t>
      </w:r>
      <w:r w:rsidR="007178AA">
        <w:rPr>
          <w:rFonts w:cs="Arial"/>
          <w:szCs w:val="19"/>
          <w:lang w:val="en-GB"/>
        </w:rPr>
        <w:t>PBOs</w:t>
      </w:r>
      <w:r w:rsidRPr="00653157">
        <w:rPr>
          <w:rFonts w:cs="Arial"/>
          <w:szCs w:val="19"/>
          <w:lang w:val="en-GB"/>
        </w:rPr>
        <w:t xml:space="preserve"> communication (30.1%).</w:t>
      </w:r>
    </w:p>
    <w:p w14:paraId="1BB74E03" w14:textId="60842DB8" w:rsidR="00692E17" w:rsidRPr="00C20653" w:rsidRDefault="00653157" w:rsidP="00653157">
      <w:pPr>
        <w:spacing w:line="240" w:lineRule="exact"/>
        <w:rPr>
          <w:rFonts w:cstheme="minorHAnsi"/>
          <w:szCs w:val="19"/>
          <w:lang w:val="en-GB"/>
        </w:rPr>
      </w:pPr>
      <w:r w:rsidRPr="00653157">
        <w:rPr>
          <w:rFonts w:cs="Arial"/>
          <w:szCs w:val="19"/>
          <w:lang w:val="en-GB"/>
        </w:rPr>
        <w:t xml:space="preserve">In the years 2015-2021 the percentage of </w:t>
      </w:r>
      <w:r w:rsidR="00C20653">
        <w:rPr>
          <w:rFonts w:cs="Arial"/>
          <w:szCs w:val="19"/>
          <w:lang w:val="en-GB"/>
        </w:rPr>
        <w:t>PBO</w:t>
      </w:r>
      <w:r w:rsidRPr="00653157">
        <w:rPr>
          <w:rFonts w:cs="Arial"/>
          <w:szCs w:val="19"/>
          <w:lang w:val="en-GB"/>
        </w:rPr>
        <w:t>s informing about their activities via traditional media: press</w:t>
      </w:r>
      <w:r w:rsidR="00C90109">
        <w:rPr>
          <w:rFonts w:cs="Arial"/>
          <w:szCs w:val="19"/>
          <w:lang w:val="en-GB"/>
        </w:rPr>
        <w:t>.</w:t>
      </w:r>
      <w:r w:rsidRPr="00653157">
        <w:rPr>
          <w:rFonts w:cs="Arial"/>
          <w:szCs w:val="19"/>
          <w:lang w:val="en-GB"/>
        </w:rPr>
        <w:t xml:space="preserve"> radio or television is successively decreasing (in 2015 it was 41.5% and in 2021 - 30.1%)</w:t>
      </w:r>
      <w:r w:rsidR="00C90109">
        <w:rPr>
          <w:rFonts w:cs="Arial"/>
          <w:szCs w:val="19"/>
          <w:lang w:val="en-GB"/>
        </w:rPr>
        <w:t>.</w:t>
      </w:r>
      <w:r w:rsidRPr="00653157">
        <w:rPr>
          <w:rFonts w:cs="Arial"/>
          <w:szCs w:val="19"/>
          <w:lang w:val="en-GB"/>
        </w:rPr>
        <w:t xml:space="preserve"> and - by other means of communication (62.1% and 52.2%</w:t>
      </w:r>
      <w:r w:rsidR="00C90109">
        <w:rPr>
          <w:rFonts w:cs="Arial"/>
          <w:szCs w:val="19"/>
          <w:lang w:val="en-GB"/>
        </w:rPr>
        <w:t>.</w:t>
      </w:r>
      <w:r w:rsidRPr="00653157">
        <w:rPr>
          <w:rFonts w:cs="Arial"/>
          <w:szCs w:val="19"/>
          <w:lang w:val="en-GB"/>
        </w:rPr>
        <w:t xml:space="preserve"> respectively). On the other hand</w:t>
      </w:r>
      <w:r w:rsidR="00C90109">
        <w:rPr>
          <w:rFonts w:cs="Arial"/>
          <w:szCs w:val="19"/>
          <w:lang w:val="en-GB"/>
        </w:rPr>
        <w:t>.</w:t>
      </w:r>
      <w:r w:rsidRPr="00653157">
        <w:rPr>
          <w:rFonts w:cs="Arial"/>
          <w:szCs w:val="19"/>
          <w:lang w:val="en-GB"/>
        </w:rPr>
        <w:t xml:space="preserve"> the share of </w:t>
      </w:r>
      <w:r w:rsidR="00C20653">
        <w:rPr>
          <w:rFonts w:cs="Arial"/>
          <w:szCs w:val="19"/>
          <w:lang w:val="en-GB"/>
        </w:rPr>
        <w:t>PBO</w:t>
      </w:r>
      <w:r w:rsidRPr="00653157">
        <w:rPr>
          <w:rFonts w:cs="Arial"/>
          <w:szCs w:val="19"/>
          <w:lang w:val="en-GB"/>
        </w:rPr>
        <w:t>s providing information via the Internet increased (from 73.9% to 75.5%).</w:t>
      </w:r>
    </w:p>
    <w:p w14:paraId="6238816F" w14:textId="04DBB4E6" w:rsidR="00692E17" w:rsidRPr="00944DD8" w:rsidRDefault="00653157" w:rsidP="00960BD2">
      <w:pPr>
        <w:autoSpaceDE w:val="0"/>
        <w:autoSpaceDN w:val="0"/>
        <w:adjustRightInd w:val="0"/>
        <w:spacing w:before="360" w:line="240" w:lineRule="auto"/>
        <w:ind w:left="851" w:hanging="851"/>
        <w:jc w:val="both"/>
        <w:rPr>
          <w:rFonts w:eastAsia="Calibri" w:cs="Calibri"/>
          <w:b/>
          <w:szCs w:val="19"/>
          <w:lang w:val="en-GB"/>
        </w:rPr>
      </w:pPr>
      <w:r w:rsidRPr="00944DD8">
        <w:rPr>
          <w:rFonts w:eastAsia="Calibri" w:cs="Calibri"/>
          <w:b/>
          <w:szCs w:val="19"/>
          <w:lang w:val="en-GB"/>
        </w:rPr>
        <w:t xml:space="preserve">Chart 5. Percentage of </w:t>
      </w:r>
      <w:r w:rsidR="00C20653" w:rsidRPr="00944DD8">
        <w:rPr>
          <w:rFonts w:eastAsia="Calibri" w:cs="Calibri"/>
          <w:b/>
          <w:szCs w:val="19"/>
          <w:lang w:val="en-GB"/>
        </w:rPr>
        <w:t>PBO</w:t>
      </w:r>
      <w:r w:rsidRPr="00944DD8">
        <w:rPr>
          <w:rFonts w:eastAsia="Calibri" w:cs="Calibri"/>
          <w:b/>
          <w:szCs w:val="19"/>
          <w:lang w:val="en-GB"/>
        </w:rPr>
        <w:t>s using free access to public media according to the amount received from 1% of PIT in 2021</w:t>
      </w:r>
    </w:p>
    <w:p w14:paraId="2CCA6FF1" w14:textId="77777777" w:rsidR="00692E17" w:rsidRPr="00190DCB" w:rsidRDefault="00692E17" w:rsidP="00692E17">
      <w:pPr>
        <w:autoSpaceDE w:val="0"/>
        <w:autoSpaceDN w:val="0"/>
        <w:adjustRightInd w:val="0"/>
        <w:spacing w:before="0" w:after="0"/>
        <w:ind w:left="993" w:hanging="993"/>
        <w:jc w:val="both"/>
        <w:rPr>
          <w:rFonts w:eastAsia="Calibri" w:cs="Calibri"/>
          <w:b/>
          <w:color w:val="000000"/>
          <w:szCs w:val="19"/>
        </w:rPr>
      </w:pPr>
      <w:r w:rsidRPr="008B2497">
        <w:rPr>
          <w:rFonts w:eastAsia="Calibri" w:cs="Calibri"/>
          <w:b/>
          <w:noProof/>
          <w:color w:val="000000"/>
          <w:szCs w:val="19"/>
          <w:lang w:eastAsia="pl-PL"/>
        </w:rPr>
        <w:drawing>
          <wp:inline distT="0" distB="0" distL="0" distR="0" wp14:anchorId="635FE113" wp14:editId="322AC103">
            <wp:extent cx="5019675" cy="1724025"/>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6CA740" w14:textId="1E7A1F31" w:rsidR="00653157" w:rsidRPr="00653157" w:rsidRDefault="00653157" w:rsidP="00653157">
      <w:pPr>
        <w:tabs>
          <w:tab w:val="left" w:pos="-3686"/>
        </w:tabs>
        <w:spacing w:line="240" w:lineRule="exact"/>
        <w:rPr>
          <w:rFonts w:cs="Arial"/>
          <w:szCs w:val="19"/>
          <w:lang w:val="en-GB"/>
        </w:rPr>
      </w:pPr>
      <w:r w:rsidRPr="00653157">
        <w:rPr>
          <w:rFonts w:cs="Arial"/>
          <w:szCs w:val="19"/>
          <w:lang w:val="en-GB"/>
        </w:rPr>
        <w:t xml:space="preserve">Among the </w:t>
      </w:r>
      <w:r w:rsidR="00C20653">
        <w:rPr>
          <w:rFonts w:cs="Arial"/>
          <w:szCs w:val="19"/>
          <w:lang w:val="en-GB"/>
        </w:rPr>
        <w:t>PBO</w:t>
      </w:r>
      <w:r w:rsidRPr="00653157">
        <w:rPr>
          <w:rFonts w:cs="Arial"/>
          <w:szCs w:val="19"/>
          <w:lang w:val="en-GB"/>
        </w:rPr>
        <w:t>s that submitted a substantive report on their activities for 2021</w:t>
      </w:r>
      <w:r w:rsidR="00C90109">
        <w:rPr>
          <w:rFonts w:cs="Arial"/>
          <w:szCs w:val="19"/>
          <w:lang w:val="en-GB"/>
        </w:rPr>
        <w:t>.</w:t>
      </w:r>
      <w:r w:rsidRPr="00653157">
        <w:rPr>
          <w:rFonts w:cs="Arial"/>
          <w:szCs w:val="19"/>
          <w:lang w:val="en-GB"/>
        </w:rPr>
        <w:t xml:space="preserve"> only 6.3% declared that they used the possibility of free-of-charge information provided by the public media on their public benefit activities. The percentage of </w:t>
      </w:r>
      <w:r w:rsidR="00C20653">
        <w:rPr>
          <w:rFonts w:cs="Arial"/>
          <w:szCs w:val="19"/>
          <w:lang w:val="en-GB"/>
        </w:rPr>
        <w:t>PBO</w:t>
      </w:r>
      <w:r w:rsidR="0008401F">
        <w:rPr>
          <w:rFonts w:cs="Arial"/>
          <w:szCs w:val="19"/>
          <w:lang w:val="en-GB"/>
        </w:rPr>
        <w:t>s</w:t>
      </w:r>
      <w:r w:rsidRPr="00653157">
        <w:rPr>
          <w:rFonts w:cs="Arial"/>
          <w:szCs w:val="19"/>
          <w:lang w:val="en-GB"/>
        </w:rPr>
        <w:t xml:space="preserve"> that took advantage of this privilege was 0.4 percentage point lower than in the previous year</w:t>
      </w:r>
      <w:r w:rsidR="00C90109">
        <w:rPr>
          <w:rFonts w:cs="Arial"/>
          <w:szCs w:val="19"/>
          <w:lang w:val="en-GB"/>
        </w:rPr>
        <w:t>.</w:t>
      </w:r>
      <w:r w:rsidR="0008401F">
        <w:rPr>
          <w:rFonts w:cs="Arial"/>
          <w:szCs w:val="19"/>
          <w:lang w:val="en-GB"/>
        </w:rPr>
        <w:t xml:space="preserve"> but while compared to 2015</w:t>
      </w:r>
      <w:r w:rsidRPr="00653157">
        <w:rPr>
          <w:rFonts w:cs="Arial"/>
          <w:szCs w:val="19"/>
          <w:lang w:val="en-GB"/>
        </w:rPr>
        <w:t xml:space="preserve"> </w:t>
      </w:r>
      <w:r w:rsidR="0008401F">
        <w:rPr>
          <w:rFonts w:cs="Arial"/>
          <w:szCs w:val="19"/>
          <w:lang w:val="en-GB"/>
        </w:rPr>
        <w:t xml:space="preserve">an increase of </w:t>
      </w:r>
      <w:r w:rsidR="0008401F" w:rsidRPr="00653157">
        <w:rPr>
          <w:rFonts w:cs="Arial"/>
          <w:szCs w:val="19"/>
          <w:lang w:val="en-GB"/>
        </w:rPr>
        <w:t>0.9 percentage points</w:t>
      </w:r>
      <w:r w:rsidR="0008401F">
        <w:rPr>
          <w:rFonts w:cs="Arial"/>
          <w:szCs w:val="19"/>
          <w:lang w:val="en-GB"/>
        </w:rPr>
        <w:t xml:space="preserve"> occurred.</w:t>
      </w:r>
      <w:r w:rsidRPr="00653157">
        <w:rPr>
          <w:rFonts w:cs="Arial"/>
          <w:szCs w:val="19"/>
          <w:lang w:val="en-GB"/>
        </w:rPr>
        <w:t xml:space="preserve"> </w:t>
      </w:r>
    </w:p>
    <w:p w14:paraId="6D354A9D" w14:textId="3085C7C9" w:rsidR="00692E17" w:rsidRPr="00C20653" w:rsidRDefault="00653157" w:rsidP="00653157">
      <w:pPr>
        <w:tabs>
          <w:tab w:val="left" w:pos="-3686"/>
        </w:tabs>
        <w:spacing w:line="240" w:lineRule="exact"/>
        <w:rPr>
          <w:rFonts w:cs="Arial"/>
          <w:szCs w:val="19"/>
          <w:lang w:val="en-GB"/>
        </w:rPr>
      </w:pPr>
      <w:r w:rsidRPr="00653157">
        <w:rPr>
          <w:rFonts w:cs="Arial"/>
          <w:szCs w:val="19"/>
          <w:lang w:val="en-GB"/>
        </w:rPr>
        <w:t xml:space="preserve">The possibility of free access to public media was most often used by </w:t>
      </w:r>
      <w:r w:rsidR="00C20653">
        <w:rPr>
          <w:rFonts w:cs="Arial"/>
          <w:szCs w:val="19"/>
          <w:lang w:val="en-GB"/>
        </w:rPr>
        <w:t>PBO</w:t>
      </w:r>
      <w:r w:rsidR="0008401F">
        <w:rPr>
          <w:rFonts w:cs="Arial"/>
          <w:szCs w:val="19"/>
          <w:lang w:val="en-GB"/>
        </w:rPr>
        <w:t>s</w:t>
      </w:r>
      <w:r w:rsidRPr="00653157">
        <w:rPr>
          <w:rFonts w:cs="Arial"/>
          <w:szCs w:val="19"/>
          <w:lang w:val="en-GB"/>
        </w:rPr>
        <w:t xml:space="preserve"> that received over PLN 1 million under the 1% </w:t>
      </w:r>
      <w:r w:rsidR="00A64583">
        <w:rPr>
          <w:rFonts w:cs="Arial"/>
          <w:szCs w:val="19"/>
          <w:lang w:val="en-GB"/>
        </w:rPr>
        <w:t xml:space="preserve">of </w:t>
      </w:r>
      <w:r w:rsidRPr="00653157">
        <w:rPr>
          <w:rFonts w:cs="Arial"/>
          <w:szCs w:val="19"/>
          <w:lang w:val="en-GB"/>
        </w:rPr>
        <w:t>PIT mechanism (21.6%)</w:t>
      </w:r>
      <w:r w:rsidR="00C90109">
        <w:rPr>
          <w:rFonts w:cs="Arial"/>
          <w:szCs w:val="19"/>
          <w:lang w:val="en-GB"/>
        </w:rPr>
        <w:t>.</w:t>
      </w:r>
      <w:r w:rsidRPr="00653157">
        <w:rPr>
          <w:rFonts w:cs="Arial"/>
          <w:szCs w:val="19"/>
          <w:lang w:val="en-GB"/>
        </w:rPr>
        <w:t xml:space="preserve"> and least often by entities whose receipts did not exceed PLN 1</w:t>
      </w:r>
      <w:r w:rsidR="0008401F">
        <w:rPr>
          <w:rFonts w:cs="Arial"/>
          <w:szCs w:val="19"/>
          <w:lang w:val="en-GB"/>
        </w:rPr>
        <w:t xml:space="preserve"> thousand</w:t>
      </w:r>
      <w:r w:rsidRPr="00653157">
        <w:rPr>
          <w:rFonts w:cs="Arial"/>
          <w:szCs w:val="19"/>
          <w:lang w:val="en-GB"/>
        </w:rPr>
        <w:t xml:space="preserve"> (4.7%). However</w:t>
      </w:r>
      <w:r w:rsidR="00C90109">
        <w:rPr>
          <w:rFonts w:cs="Arial"/>
          <w:szCs w:val="19"/>
          <w:lang w:val="en-GB"/>
        </w:rPr>
        <w:t>.</w:t>
      </w:r>
      <w:r w:rsidRPr="00653157">
        <w:rPr>
          <w:rFonts w:cs="Arial"/>
          <w:szCs w:val="19"/>
          <w:lang w:val="en-GB"/>
        </w:rPr>
        <w:t xml:space="preserve"> the percentage of </w:t>
      </w:r>
      <w:r w:rsidR="00C20653">
        <w:rPr>
          <w:rFonts w:cs="Arial"/>
          <w:szCs w:val="19"/>
          <w:lang w:val="en-GB"/>
        </w:rPr>
        <w:t>PBO</w:t>
      </w:r>
      <w:r w:rsidRPr="00653157">
        <w:rPr>
          <w:rFonts w:cs="Arial"/>
          <w:szCs w:val="19"/>
          <w:lang w:val="en-GB"/>
        </w:rPr>
        <w:t>s using the possibility of free access to public media</w:t>
      </w:r>
      <w:r w:rsidR="00C90109">
        <w:rPr>
          <w:rFonts w:cs="Arial"/>
          <w:szCs w:val="19"/>
          <w:lang w:val="en-GB"/>
        </w:rPr>
        <w:t>.</w:t>
      </w:r>
      <w:r w:rsidRPr="00653157">
        <w:rPr>
          <w:rFonts w:cs="Arial"/>
          <w:szCs w:val="19"/>
          <w:lang w:val="en-GB"/>
        </w:rPr>
        <w:t xml:space="preserve"> which had the highest revenues with 1% of PIT (above PLN 1 million) decreased compared to 2019 (from 23.1% to 21.6%).</w:t>
      </w:r>
    </w:p>
    <w:p w14:paraId="307C4F9D" w14:textId="72A67A61" w:rsidR="00692E17" w:rsidRPr="00944DD8" w:rsidRDefault="00653157" w:rsidP="00960BD2">
      <w:pPr>
        <w:pStyle w:val="Nagwek1"/>
        <w:rPr>
          <w:lang w:val="en-GB"/>
        </w:rPr>
      </w:pPr>
      <w:r w:rsidRPr="00944DD8">
        <w:rPr>
          <w:lang w:val="en-GB"/>
        </w:rPr>
        <w:t xml:space="preserve">Indication </w:t>
      </w:r>
      <w:r w:rsidR="00460E61">
        <w:rPr>
          <w:lang w:val="en-GB"/>
        </w:rPr>
        <w:t xml:space="preserve">of </w:t>
      </w:r>
      <w:r w:rsidRPr="00944DD8">
        <w:rPr>
          <w:lang w:val="en-GB"/>
        </w:rPr>
        <w:t xml:space="preserve">the purposes of spending funds from 1% </w:t>
      </w:r>
      <w:r w:rsidR="00A64583">
        <w:rPr>
          <w:lang w:val="en-GB"/>
        </w:rPr>
        <w:t xml:space="preserve">of </w:t>
      </w:r>
      <w:r w:rsidRPr="00944DD8">
        <w:rPr>
          <w:lang w:val="en-GB"/>
        </w:rPr>
        <w:t>PIT</w:t>
      </w:r>
      <w:r w:rsidR="00460E61" w:rsidRPr="00460E61">
        <w:rPr>
          <w:lang w:val="en-GB"/>
        </w:rPr>
        <w:t xml:space="preserve"> </w:t>
      </w:r>
      <w:r w:rsidR="00460E61" w:rsidRPr="00944DD8">
        <w:rPr>
          <w:lang w:val="en-GB"/>
        </w:rPr>
        <w:t>by taxpayers</w:t>
      </w:r>
    </w:p>
    <w:p w14:paraId="1F7FC1D0" w14:textId="496599C1" w:rsidR="00653157" w:rsidRPr="00653157" w:rsidRDefault="00653157" w:rsidP="00653157">
      <w:pPr>
        <w:tabs>
          <w:tab w:val="left" w:pos="-3686"/>
        </w:tabs>
        <w:spacing w:line="240" w:lineRule="exact"/>
        <w:rPr>
          <w:rFonts w:cs="Arial"/>
          <w:szCs w:val="19"/>
          <w:lang w:val="en-GB"/>
        </w:rPr>
      </w:pPr>
      <w:r w:rsidRPr="00653157">
        <w:rPr>
          <w:rFonts w:cs="Arial"/>
          <w:szCs w:val="19"/>
          <w:lang w:val="en-GB"/>
        </w:rPr>
        <w:t>Taxpayers on the tax return may indicate the specific purpose of the method of spending the funds transferred under 1% of PIT. Only some taxpayers use the possibility of indicating the purpose of a detailed deduction. In 2021</w:t>
      </w:r>
      <w:r w:rsidR="00C90109">
        <w:rPr>
          <w:rFonts w:cs="Arial"/>
          <w:szCs w:val="19"/>
          <w:lang w:val="en-GB"/>
        </w:rPr>
        <w:t>.</w:t>
      </w:r>
      <w:r w:rsidRPr="00653157">
        <w:rPr>
          <w:rFonts w:cs="Arial"/>
          <w:szCs w:val="19"/>
          <w:lang w:val="en-GB"/>
        </w:rPr>
        <w:t xml:space="preserve"> as in the previous years</w:t>
      </w:r>
      <w:r w:rsidR="00C90109">
        <w:rPr>
          <w:rFonts w:cs="Arial"/>
          <w:szCs w:val="19"/>
          <w:lang w:val="en-GB"/>
        </w:rPr>
        <w:t>.</w:t>
      </w:r>
      <w:r w:rsidRPr="00653157">
        <w:rPr>
          <w:rFonts w:cs="Arial"/>
          <w:szCs w:val="19"/>
          <w:lang w:val="en-GB"/>
        </w:rPr>
        <w:t xml:space="preserve"> 6 out of 10 </w:t>
      </w:r>
      <w:r w:rsidR="000B4BD5">
        <w:rPr>
          <w:rFonts w:cs="Arial"/>
          <w:szCs w:val="19"/>
          <w:lang w:val="en-GB"/>
        </w:rPr>
        <w:t>PBOs</w:t>
      </w:r>
      <w:r w:rsidRPr="00653157">
        <w:rPr>
          <w:rFonts w:cs="Arial"/>
          <w:szCs w:val="19"/>
          <w:lang w:val="en-GB"/>
        </w:rPr>
        <w:t xml:space="preserve"> reported that the taxpayers from whom the funds were transferred did not indicate a specific purpose for spending 1% of PIT.</w:t>
      </w:r>
    </w:p>
    <w:p w14:paraId="7DE37889" w14:textId="3E1F091F" w:rsidR="00CE36DA" w:rsidRPr="00944DD8" w:rsidRDefault="00653157" w:rsidP="00653157">
      <w:pPr>
        <w:tabs>
          <w:tab w:val="left" w:pos="-3686"/>
        </w:tabs>
        <w:spacing w:line="240" w:lineRule="exact"/>
        <w:rPr>
          <w:rFonts w:cs="Arial"/>
          <w:szCs w:val="19"/>
          <w:lang w:val="en-GB"/>
        </w:rPr>
      </w:pPr>
      <w:r w:rsidRPr="00653157">
        <w:rPr>
          <w:rFonts w:cs="Arial"/>
          <w:szCs w:val="19"/>
          <w:lang w:val="en-GB"/>
        </w:rPr>
        <w:t>However</w:t>
      </w:r>
      <w:r w:rsidR="00C90109">
        <w:rPr>
          <w:rFonts w:cs="Arial"/>
          <w:szCs w:val="19"/>
          <w:lang w:val="en-GB"/>
        </w:rPr>
        <w:t>.</w:t>
      </w:r>
      <w:r w:rsidRPr="00653157">
        <w:rPr>
          <w:rFonts w:cs="Arial"/>
          <w:szCs w:val="19"/>
          <w:lang w:val="en-GB"/>
        </w:rPr>
        <w:t xml:space="preserve"> a strong differentiation of organizations was observed</w:t>
      </w:r>
      <w:r w:rsidR="00C90109">
        <w:rPr>
          <w:rFonts w:cs="Arial"/>
          <w:szCs w:val="19"/>
          <w:lang w:val="en-GB"/>
        </w:rPr>
        <w:t>.</w:t>
      </w:r>
      <w:r w:rsidRPr="00653157">
        <w:rPr>
          <w:rFonts w:cs="Arial"/>
          <w:szCs w:val="19"/>
          <w:lang w:val="en-GB"/>
        </w:rPr>
        <w:t xml:space="preserve"> if the amount received from 1% PIT is taken into account. In the group of entities that in 2021 obtained over PLN 1 million revenue</w:t>
      </w:r>
      <w:r w:rsidR="00703C44">
        <w:rPr>
          <w:rFonts w:cs="Arial"/>
          <w:szCs w:val="19"/>
          <w:lang w:val="en-GB"/>
        </w:rPr>
        <w:t>s</w:t>
      </w:r>
      <w:r w:rsidRPr="00653157">
        <w:rPr>
          <w:rFonts w:cs="Arial"/>
          <w:szCs w:val="19"/>
          <w:lang w:val="en-GB"/>
        </w:rPr>
        <w:t xml:space="preserve"> from 1% </w:t>
      </w:r>
      <w:r w:rsidR="00A64583">
        <w:rPr>
          <w:rFonts w:cs="Arial"/>
          <w:szCs w:val="19"/>
          <w:lang w:val="en-GB"/>
        </w:rPr>
        <w:t xml:space="preserve">of </w:t>
      </w:r>
      <w:r w:rsidRPr="00653157">
        <w:rPr>
          <w:rFonts w:cs="Arial"/>
          <w:szCs w:val="19"/>
          <w:lang w:val="en-GB"/>
        </w:rPr>
        <w:t>PIT</w:t>
      </w:r>
      <w:r w:rsidR="00C90109">
        <w:rPr>
          <w:rFonts w:cs="Arial"/>
          <w:szCs w:val="19"/>
          <w:lang w:val="en-GB"/>
        </w:rPr>
        <w:t>.</w:t>
      </w:r>
      <w:r w:rsidRPr="00653157">
        <w:rPr>
          <w:rFonts w:cs="Arial"/>
          <w:szCs w:val="19"/>
          <w:lang w:val="en-GB"/>
        </w:rPr>
        <w:t xml:space="preserve"> the percentage of organizations to which taxpayers indicated specific objectives was almost 5 times higher than in </w:t>
      </w:r>
      <w:r w:rsidR="00703C44">
        <w:rPr>
          <w:rFonts w:cs="Arial"/>
          <w:szCs w:val="19"/>
          <w:lang w:val="en-GB"/>
        </w:rPr>
        <w:t>PBOs</w:t>
      </w:r>
      <w:r w:rsidR="00C90109">
        <w:rPr>
          <w:rFonts w:cs="Arial"/>
          <w:szCs w:val="19"/>
          <w:lang w:val="en-GB"/>
        </w:rPr>
        <w:t>.</w:t>
      </w:r>
      <w:r w:rsidRPr="00653157">
        <w:rPr>
          <w:rFonts w:cs="Arial"/>
          <w:szCs w:val="19"/>
          <w:lang w:val="en-GB"/>
        </w:rPr>
        <w:t xml:space="preserve"> </w:t>
      </w:r>
      <w:r w:rsidR="00703C44">
        <w:rPr>
          <w:rFonts w:cs="Arial"/>
          <w:szCs w:val="19"/>
          <w:lang w:val="en-GB"/>
        </w:rPr>
        <w:t>that</w:t>
      </w:r>
      <w:r w:rsidRPr="00653157">
        <w:rPr>
          <w:rFonts w:cs="Arial"/>
          <w:szCs w:val="19"/>
          <w:lang w:val="en-GB"/>
        </w:rPr>
        <w:t xml:space="preserve"> obtained less than</w:t>
      </w:r>
      <w:r w:rsidR="00703C44">
        <w:rPr>
          <w:rFonts w:cs="Arial"/>
          <w:szCs w:val="19"/>
          <w:lang w:val="en-GB"/>
        </w:rPr>
        <w:t xml:space="preserve"> PLN 1 thousand </w:t>
      </w:r>
      <w:r w:rsidRPr="00653157">
        <w:rPr>
          <w:rFonts w:cs="Arial"/>
          <w:szCs w:val="19"/>
          <w:lang w:val="en-GB"/>
        </w:rPr>
        <w:t xml:space="preserve">under 1% </w:t>
      </w:r>
      <w:r w:rsidR="00703C44">
        <w:rPr>
          <w:rFonts w:cs="Arial"/>
          <w:szCs w:val="19"/>
          <w:lang w:val="en-GB"/>
        </w:rPr>
        <w:t xml:space="preserve">of </w:t>
      </w:r>
      <w:r w:rsidRPr="00653157">
        <w:rPr>
          <w:rFonts w:cs="Arial"/>
          <w:szCs w:val="19"/>
          <w:lang w:val="en-GB"/>
        </w:rPr>
        <w:t>PIT</w:t>
      </w:r>
      <w:r w:rsidRPr="00944DD8">
        <w:rPr>
          <w:rFonts w:cs="Arial"/>
          <w:szCs w:val="19"/>
          <w:lang w:val="en-GB"/>
        </w:rPr>
        <w:t xml:space="preserve"> (respectively 78.4% and 15.9%).</w:t>
      </w:r>
    </w:p>
    <w:p w14:paraId="0353B4B2" w14:textId="3D47CC15" w:rsidR="00653157" w:rsidRPr="00944DD8" w:rsidRDefault="00653157" w:rsidP="00653157">
      <w:pPr>
        <w:tabs>
          <w:tab w:val="left" w:pos="-3686"/>
        </w:tabs>
        <w:spacing w:line="240" w:lineRule="exact"/>
        <w:rPr>
          <w:rFonts w:cs="Arial"/>
          <w:szCs w:val="19"/>
          <w:lang w:val="en-GB"/>
        </w:rPr>
      </w:pPr>
    </w:p>
    <w:p w14:paraId="5487DE18" w14:textId="77777777" w:rsidR="00653157" w:rsidRPr="00944DD8" w:rsidRDefault="00653157" w:rsidP="00653157">
      <w:pPr>
        <w:tabs>
          <w:tab w:val="left" w:pos="-3686"/>
        </w:tabs>
        <w:spacing w:line="240" w:lineRule="exact"/>
        <w:rPr>
          <w:rFonts w:cs="Arial"/>
          <w:szCs w:val="19"/>
          <w:lang w:val="en-GB"/>
        </w:rPr>
      </w:pPr>
    </w:p>
    <w:p w14:paraId="20D96D5D" w14:textId="77DF753E" w:rsidR="00692E17" w:rsidRPr="00C20653" w:rsidRDefault="00653157" w:rsidP="00960BD2">
      <w:pPr>
        <w:autoSpaceDE w:val="0"/>
        <w:autoSpaceDN w:val="0"/>
        <w:adjustRightInd w:val="0"/>
        <w:spacing w:before="360" w:line="240" w:lineRule="auto"/>
        <w:ind w:left="851" w:hanging="851"/>
        <w:jc w:val="both"/>
        <w:rPr>
          <w:rFonts w:eastAsia="Calibri" w:cs="Calibri"/>
          <w:b/>
          <w:color w:val="000000"/>
          <w:szCs w:val="19"/>
          <w:lang w:val="en-GB"/>
        </w:rPr>
      </w:pPr>
      <w:r w:rsidRPr="00653157">
        <w:rPr>
          <w:rFonts w:eastAsia="Calibri" w:cs="Calibri"/>
          <w:b/>
          <w:color w:val="000000"/>
          <w:szCs w:val="19"/>
          <w:lang w:val="en-GB"/>
        </w:rPr>
        <w:lastRenderedPageBreak/>
        <w:t xml:space="preserve">Chart 6. </w:t>
      </w:r>
      <w:r w:rsidR="00C20653">
        <w:rPr>
          <w:rFonts w:eastAsia="Calibri" w:cs="Calibri"/>
          <w:b/>
          <w:color w:val="000000"/>
          <w:szCs w:val="19"/>
          <w:lang w:val="en-GB"/>
        </w:rPr>
        <w:t>PBO</w:t>
      </w:r>
      <w:r w:rsidR="00703C44">
        <w:rPr>
          <w:rFonts w:eastAsia="Calibri" w:cs="Calibri"/>
          <w:b/>
          <w:color w:val="000000"/>
          <w:szCs w:val="19"/>
          <w:lang w:val="en-GB"/>
        </w:rPr>
        <w:t xml:space="preserve">s </w:t>
      </w:r>
      <w:r w:rsidRPr="00653157">
        <w:rPr>
          <w:rFonts w:eastAsia="Calibri" w:cs="Calibri"/>
          <w:b/>
          <w:color w:val="000000"/>
          <w:szCs w:val="19"/>
          <w:lang w:val="en-GB"/>
        </w:rPr>
        <w:t>expectations in terms of indicating the purposes of spending 1% of PIT</w:t>
      </w:r>
    </w:p>
    <w:p w14:paraId="50453ECF" w14:textId="77777777" w:rsidR="00692E17" w:rsidRDefault="00692E17" w:rsidP="00692E17">
      <w:pPr>
        <w:pStyle w:val="Tekstpodstawowy"/>
        <w:keepNext/>
        <w:spacing w:before="0" w:line="240" w:lineRule="auto"/>
        <w:rPr>
          <w:rFonts w:ascii="Fira Sans" w:hAnsi="Fira Sans"/>
          <w:sz w:val="19"/>
          <w:szCs w:val="19"/>
        </w:rPr>
      </w:pPr>
      <w:r w:rsidRPr="00B52676">
        <w:rPr>
          <w:rFonts w:ascii="Fira Sans" w:hAnsi="Fira Sans" w:cs="Arial"/>
          <w:b/>
          <w:noProof/>
          <w:color w:val="808080" w:themeColor="background1" w:themeShade="80"/>
          <w:sz w:val="19"/>
          <w:szCs w:val="19"/>
          <w:highlight w:val="lightGray"/>
        </w:rPr>
        <w:drawing>
          <wp:inline distT="0" distB="0" distL="0" distR="0" wp14:anchorId="72D5DBE2" wp14:editId="1D7F9B06">
            <wp:extent cx="5029200" cy="1842655"/>
            <wp:effectExtent l="0" t="0" r="0" b="5715"/>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C7BAD0" w14:textId="0D39D33F" w:rsidR="00653157" w:rsidRPr="00653157" w:rsidRDefault="00653157" w:rsidP="00960BD2">
      <w:pPr>
        <w:pStyle w:val="Nagwek1"/>
        <w:rPr>
          <w:rFonts w:eastAsiaTheme="minorHAnsi" w:cs="Arial"/>
          <w:b w:val="0"/>
          <w:bCs w:val="0"/>
          <w:color w:val="auto"/>
          <w:szCs w:val="19"/>
          <w:lang w:val="en-GB" w:eastAsia="en-US"/>
        </w:rPr>
      </w:pPr>
      <w:r w:rsidRPr="00653157">
        <w:rPr>
          <w:rFonts w:eastAsiaTheme="minorHAnsi" w:cs="Arial"/>
          <w:b w:val="0"/>
          <w:bCs w:val="0"/>
          <w:color w:val="auto"/>
          <w:szCs w:val="19"/>
          <w:lang w:val="en-GB" w:eastAsia="en-US"/>
        </w:rPr>
        <w:t xml:space="preserve">Most </w:t>
      </w:r>
      <w:r w:rsidR="00C20653">
        <w:rPr>
          <w:rFonts w:eastAsiaTheme="minorHAnsi" w:cs="Arial"/>
          <w:b w:val="0"/>
          <w:bCs w:val="0"/>
          <w:color w:val="auto"/>
          <w:szCs w:val="19"/>
          <w:lang w:val="en-GB" w:eastAsia="en-US"/>
        </w:rPr>
        <w:t>PBO</w:t>
      </w:r>
      <w:r w:rsidRPr="00653157">
        <w:rPr>
          <w:rFonts w:eastAsiaTheme="minorHAnsi" w:cs="Arial"/>
          <w:b w:val="0"/>
          <w:bCs w:val="0"/>
          <w:color w:val="auto"/>
          <w:szCs w:val="19"/>
          <w:lang w:val="en-GB" w:eastAsia="en-US"/>
        </w:rPr>
        <w:t xml:space="preserve">s entitled to a 1% </w:t>
      </w:r>
      <w:r w:rsidR="00220F2C">
        <w:rPr>
          <w:rFonts w:eastAsiaTheme="minorHAnsi" w:cs="Arial"/>
          <w:b w:val="0"/>
          <w:bCs w:val="0"/>
          <w:color w:val="auto"/>
          <w:szCs w:val="19"/>
          <w:lang w:val="en-GB" w:eastAsia="en-US"/>
        </w:rPr>
        <w:t xml:space="preserve">of </w:t>
      </w:r>
      <w:r w:rsidRPr="00653157">
        <w:rPr>
          <w:rFonts w:eastAsiaTheme="minorHAnsi" w:cs="Arial"/>
          <w:b w:val="0"/>
          <w:bCs w:val="0"/>
          <w:color w:val="auto"/>
          <w:szCs w:val="19"/>
          <w:lang w:val="en-GB" w:eastAsia="en-US"/>
        </w:rPr>
        <w:t>PIT deduction in 2021 would like to independently decide on the allocation of the received funds (82.2%). The percentage of such organizations decreased by 0.6 percentage points compared to 2019</w:t>
      </w:r>
      <w:r w:rsidR="00C90109">
        <w:rPr>
          <w:rFonts w:eastAsiaTheme="minorHAnsi" w:cs="Arial"/>
          <w:b w:val="0"/>
          <w:bCs w:val="0"/>
          <w:color w:val="auto"/>
          <w:szCs w:val="19"/>
          <w:lang w:val="en-GB" w:eastAsia="en-US"/>
        </w:rPr>
        <w:t>.</w:t>
      </w:r>
      <w:r w:rsidRPr="00653157">
        <w:rPr>
          <w:rFonts w:eastAsiaTheme="minorHAnsi" w:cs="Arial"/>
          <w:b w:val="0"/>
          <w:bCs w:val="0"/>
          <w:color w:val="auto"/>
          <w:szCs w:val="19"/>
          <w:lang w:val="en-GB" w:eastAsia="en-US"/>
        </w:rPr>
        <w:t xml:space="preserve"> while compared to 2011 it increased by 14.2 percentage points. According to declarations</w:t>
      </w:r>
      <w:r w:rsidR="00C90109">
        <w:rPr>
          <w:rFonts w:eastAsiaTheme="minorHAnsi" w:cs="Arial"/>
          <w:b w:val="0"/>
          <w:bCs w:val="0"/>
          <w:color w:val="auto"/>
          <w:szCs w:val="19"/>
          <w:lang w:val="en-GB" w:eastAsia="en-US"/>
        </w:rPr>
        <w:t>.</w:t>
      </w:r>
      <w:r w:rsidRPr="00653157">
        <w:rPr>
          <w:rFonts w:eastAsiaTheme="minorHAnsi" w:cs="Arial"/>
          <w:b w:val="0"/>
          <w:bCs w:val="0"/>
          <w:color w:val="auto"/>
          <w:szCs w:val="19"/>
          <w:lang w:val="en-GB" w:eastAsia="en-US"/>
        </w:rPr>
        <w:t xml:space="preserve"> in 2021 the vast majority of </w:t>
      </w:r>
      <w:r w:rsidR="00C20653">
        <w:rPr>
          <w:rFonts w:eastAsiaTheme="minorHAnsi" w:cs="Arial"/>
          <w:b w:val="0"/>
          <w:bCs w:val="0"/>
          <w:color w:val="auto"/>
          <w:szCs w:val="19"/>
          <w:lang w:val="en-GB" w:eastAsia="en-US"/>
        </w:rPr>
        <w:t>PBO</w:t>
      </w:r>
      <w:r w:rsidRPr="00653157">
        <w:rPr>
          <w:rFonts w:eastAsiaTheme="minorHAnsi" w:cs="Arial"/>
          <w:b w:val="0"/>
          <w:bCs w:val="0"/>
          <w:color w:val="auto"/>
          <w:szCs w:val="19"/>
          <w:lang w:val="en-GB" w:eastAsia="en-US"/>
        </w:rPr>
        <w:t>s took into account taxpayers' preferences as to the direction of spending funds (87.2%).</w:t>
      </w:r>
    </w:p>
    <w:p w14:paraId="3DF767CE" w14:textId="479133F4" w:rsidR="00692E17" w:rsidRPr="00944DD8" w:rsidRDefault="00653157" w:rsidP="00960BD2">
      <w:pPr>
        <w:pStyle w:val="Nagwek1"/>
        <w:rPr>
          <w:lang w:val="en-GB"/>
        </w:rPr>
      </w:pPr>
      <w:r w:rsidRPr="00944DD8">
        <w:rPr>
          <w:lang w:val="en-GB"/>
        </w:rPr>
        <w:t xml:space="preserve">Privileges enjoyed by </w:t>
      </w:r>
      <w:r w:rsidR="00621722" w:rsidRPr="000242EB">
        <w:rPr>
          <w:rFonts w:cstheme="minorHAnsi"/>
          <w:noProof/>
          <w:szCs w:val="19"/>
        </w:rPr>
        <mc:AlternateContent>
          <mc:Choice Requires="wps">
            <w:drawing>
              <wp:anchor distT="45720" distB="45720" distL="114300" distR="114300" simplePos="0" relativeHeight="251765760" behindDoc="1" locked="0" layoutInCell="1" allowOverlap="1" wp14:anchorId="5EB43D39" wp14:editId="036F2178">
                <wp:simplePos x="0" y="0"/>
                <wp:positionH relativeFrom="page">
                  <wp:posOffset>5681345</wp:posOffset>
                </wp:positionH>
                <wp:positionV relativeFrom="paragraph">
                  <wp:posOffset>330089</wp:posOffset>
                </wp:positionV>
                <wp:extent cx="1775460" cy="1406525"/>
                <wp:effectExtent l="0" t="0" r="0" b="3175"/>
                <wp:wrapTight wrapText="bothSides">
                  <wp:wrapPolygon edited="0">
                    <wp:start x="695" y="0"/>
                    <wp:lineTo x="695" y="21356"/>
                    <wp:lineTo x="20858" y="21356"/>
                    <wp:lineTo x="20858" y="0"/>
                    <wp:lineTo x="695" y="0"/>
                  </wp:wrapPolygon>
                </wp:wrapTight>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406525"/>
                        </a:xfrm>
                        <a:prstGeom prst="rect">
                          <a:avLst/>
                        </a:prstGeom>
                        <a:noFill/>
                        <a:ln w="9525">
                          <a:noFill/>
                          <a:miter lim="800000"/>
                          <a:headEnd/>
                          <a:tailEnd/>
                        </a:ln>
                      </wps:spPr>
                      <wps:txbx>
                        <w:txbxContent>
                          <w:p w14:paraId="65701815" w14:textId="3C1BE822" w:rsidR="00692E17" w:rsidRPr="00653157" w:rsidRDefault="00220F2C" w:rsidP="00692E17">
                            <w:pPr>
                              <w:pStyle w:val="tekstzboku"/>
                              <w:rPr>
                                <w:lang w:val="en-GB"/>
                              </w:rPr>
                            </w:pPr>
                            <w:r>
                              <w:rPr>
                                <w:lang w:val="en-GB"/>
                              </w:rPr>
                              <w:t>PBOs</w:t>
                            </w:r>
                            <w:r w:rsidR="00653157" w:rsidRPr="00653157">
                              <w:rPr>
                                <w:lang w:val="en-GB"/>
                              </w:rPr>
                              <w:t xml:space="preserve"> used the right to exemptions from taxes and fees more often than the privilege of using real estate on preferential terms (36.3%</w:t>
                            </w:r>
                            <w:r>
                              <w:rPr>
                                <w:lang w:val="en-GB"/>
                              </w:rPr>
                              <w:t xml:space="preserve"> to</w:t>
                            </w:r>
                            <w:r w:rsidR="00653157" w:rsidRPr="00653157">
                              <w:rPr>
                                <w:lang w:val="en-GB"/>
                              </w:rPr>
                              <w:t xml:space="preserve"> 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43D39" id="_x0000_s1031" type="#_x0000_t202" style="position:absolute;margin-left:447.35pt;margin-top:26pt;width:139.8pt;height:110.75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" filled="f" stroked="f">
                <v:textbox>
                  <w:txbxContent>
                    <w:p w14:paraId="65701815" w14:textId="3C1BE822" w:rsidR="00692E17" w:rsidRPr="00653157" w:rsidRDefault="00220F2C" w:rsidP="00692E17">
                      <w:pPr>
                        <w:pStyle w:val="tekstzboku"/>
                        <w:rPr>
                          <w:lang w:val="en-GB"/>
                        </w:rPr>
                      </w:pPr>
                      <w:r>
                        <w:rPr>
                          <w:lang w:val="en-GB"/>
                        </w:rPr>
                        <w:t>PBOs</w:t>
                      </w:r>
                      <w:r w:rsidR="00653157" w:rsidRPr="00653157">
                        <w:rPr>
                          <w:lang w:val="en-GB"/>
                        </w:rPr>
                        <w:t xml:space="preserve"> used the right to exemptions from taxes and fees more often than the privilege of using real estate on preferential terms (36.3%</w:t>
                      </w:r>
                      <w:r>
                        <w:rPr>
                          <w:lang w:val="en-GB"/>
                        </w:rPr>
                        <w:t xml:space="preserve"> to</w:t>
                      </w:r>
                      <w:r w:rsidR="00653157" w:rsidRPr="00653157">
                        <w:rPr>
                          <w:lang w:val="en-GB"/>
                        </w:rPr>
                        <w:t xml:space="preserve"> 18.2%)</w:t>
                      </w:r>
                    </w:p>
                  </w:txbxContent>
                </v:textbox>
                <w10:wrap type="tight" anchorx="page"/>
              </v:shape>
            </w:pict>
          </mc:Fallback>
        </mc:AlternateContent>
      </w:r>
      <w:r w:rsidR="00220F2C">
        <w:rPr>
          <w:lang w:val="en-GB"/>
        </w:rPr>
        <w:t>PBOs</w:t>
      </w:r>
    </w:p>
    <w:p w14:paraId="7C709457" w14:textId="1516FDA4" w:rsidR="00653157" w:rsidRPr="00653157" w:rsidRDefault="00220F2C" w:rsidP="00653157">
      <w:pPr>
        <w:spacing w:line="240" w:lineRule="exact"/>
        <w:rPr>
          <w:rFonts w:cstheme="minorHAnsi"/>
          <w:szCs w:val="19"/>
          <w:lang w:val="en-GB"/>
        </w:rPr>
      </w:pPr>
      <w:r>
        <w:rPr>
          <w:rFonts w:cstheme="minorHAnsi"/>
          <w:szCs w:val="19"/>
          <w:lang w:val="en-GB"/>
        </w:rPr>
        <w:t>PBO</w:t>
      </w:r>
      <w:r w:rsidR="00653157" w:rsidRPr="00653157">
        <w:rPr>
          <w:rFonts w:cstheme="minorHAnsi"/>
          <w:szCs w:val="19"/>
          <w:lang w:val="en-GB"/>
        </w:rPr>
        <w:t>s may enjoy various privileges</w:t>
      </w:r>
      <w:r w:rsidR="00C90109">
        <w:rPr>
          <w:rFonts w:cstheme="minorHAnsi"/>
          <w:szCs w:val="19"/>
          <w:lang w:val="en-GB"/>
        </w:rPr>
        <w:t>.</w:t>
      </w:r>
      <w:r w:rsidR="00653157" w:rsidRPr="00653157">
        <w:rPr>
          <w:rFonts w:cstheme="minorHAnsi"/>
          <w:szCs w:val="19"/>
          <w:lang w:val="en-GB"/>
        </w:rPr>
        <w:t xml:space="preserve"> including:</w:t>
      </w:r>
      <w:r>
        <w:rPr>
          <w:rFonts w:cstheme="minorHAnsi"/>
          <w:szCs w:val="19"/>
          <w:lang w:val="en-GB"/>
        </w:rPr>
        <w:t xml:space="preserve"> </w:t>
      </w:r>
      <w:r w:rsidR="00653157" w:rsidRPr="00653157">
        <w:rPr>
          <w:rFonts w:cstheme="minorHAnsi"/>
          <w:szCs w:val="19"/>
          <w:lang w:val="en-GB"/>
        </w:rPr>
        <w:t>the right to exemptions from taxes and fees</w:t>
      </w:r>
      <w:r w:rsidR="00C90109">
        <w:rPr>
          <w:rFonts w:cstheme="minorHAnsi"/>
          <w:szCs w:val="19"/>
          <w:lang w:val="en-GB"/>
        </w:rPr>
        <w:t>.</w:t>
      </w:r>
      <w:r w:rsidR="00653157" w:rsidRPr="00653157">
        <w:rPr>
          <w:rFonts w:cstheme="minorHAnsi"/>
          <w:szCs w:val="19"/>
          <w:lang w:val="en-GB"/>
        </w:rPr>
        <w:t xml:space="preserve"> as well as from the use of real estate owned by the State Treasury or local government units on preferential terms. In 2021</w:t>
      </w:r>
      <w:r w:rsidR="00C90109">
        <w:rPr>
          <w:rFonts w:cstheme="minorHAnsi"/>
          <w:szCs w:val="19"/>
          <w:lang w:val="en-GB"/>
        </w:rPr>
        <w:t>.</w:t>
      </w:r>
      <w:r w:rsidR="00653157" w:rsidRPr="00653157">
        <w:rPr>
          <w:rFonts w:cstheme="minorHAnsi"/>
          <w:szCs w:val="19"/>
          <w:lang w:val="en-GB"/>
        </w:rPr>
        <w:t xml:space="preserve"> 36.3% of </w:t>
      </w:r>
      <w:r>
        <w:rPr>
          <w:rFonts w:cstheme="minorHAnsi"/>
          <w:szCs w:val="19"/>
          <w:lang w:val="en-GB"/>
        </w:rPr>
        <w:t>PBO</w:t>
      </w:r>
      <w:r w:rsidR="00653157" w:rsidRPr="00653157">
        <w:rPr>
          <w:rFonts w:cstheme="minorHAnsi"/>
          <w:szCs w:val="19"/>
          <w:lang w:val="en-GB"/>
        </w:rPr>
        <w:t>s reported that they had used at least one type of exemption from taxes or fees</w:t>
      </w:r>
      <w:r w:rsidR="00C90109">
        <w:rPr>
          <w:rFonts w:cstheme="minorHAnsi"/>
          <w:szCs w:val="19"/>
          <w:lang w:val="en-GB"/>
        </w:rPr>
        <w:t>.</w:t>
      </w:r>
      <w:r w:rsidR="00653157" w:rsidRPr="00653157">
        <w:rPr>
          <w:rFonts w:cstheme="minorHAnsi"/>
          <w:szCs w:val="19"/>
          <w:lang w:val="en-GB"/>
        </w:rPr>
        <w:t xml:space="preserve"> while 18.2% - from rights related to access to real estate.</w:t>
      </w:r>
    </w:p>
    <w:p w14:paraId="05F7BCA7" w14:textId="10E60869" w:rsidR="00653157" w:rsidRPr="00653157" w:rsidRDefault="00653157" w:rsidP="00653157">
      <w:pPr>
        <w:spacing w:line="240" w:lineRule="exact"/>
        <w:rPr>
          <w:rFonts w:cstheme="minorHAnsi"/>
          <w:szCs w:val="19"/>
          <w:lang w:val="en-GB"/>
        </w:rPr>
      </w:pPr>
      <w:r w:rsidRPr="00653157">
        <w:rPr>
          <w:rFonts w:cstheme="minorHAnsi"/>
          <w:szCs w:val="19"/>
          <w:lang w:val="en-GB"/>
        </w:rPr>
        <w:t xml:space="preserve">Legal and tax privileges were used by 41.5% of </w:t>
      </w:r>
      <w:r w:rsidR="00C20653">
        <w:rPr>
          <w:rFonts w:cstheme="minorHAnsi"/>
          <w:szCs w:val="19"/>
          <w:lang w:val="en-GB"/>
        </w:rPr>
        <w:t>PBO</w:t>
      </w:r>
      <w:r w:rsidRPr="00653157">
        <w:rPr>
          <w:rFonts w:cstheme="minorHAnsi"/>
          <w:szCs w:val="19"/>
          <w:lang w:val="en-GB"/>
        </w:rPr>
        <w:t>s</w:t>
      </w:r>
      <w:r w:rsidR="00C90109">
        <w:rPr>
          <w:rFonts w:cstheme="minorHAnsi"/>
          <w:szCs w:val="19"/>
          <w:lang w:val="en-GB"/>
        </w:rPr>
        <w:t>.</w:t>
      </w:r>
      <w:r w:rsidRPr="00653157">
        <w:rPr>
          <w:rFonts w:cstheme="minorHAnsi"/>
          <w:szCs w:val="19"/>
          <w:lang w:val="en-GB"/>
        </w:rPr>
        <w:t xml:space="preserve"> tax exemptions (32.9%) were chosen more often than fee exemptions (8.7%). The percentage of </w:t>
      </w:r>
      <w:r w:rsidR="00C20653">
        <w:rPr>
          <w:rFonts w:cstheme="minorHAnsi"/>
          <w:szCs w:val="19"/>
          <w:lang w:val="en-GB"/>
        </w:rPr>
        <w:t>PBO</w:t>
      </w:r>
      <w:r w:rsidRPr="00653157">
        <w:rPr>
          <w:rFonts w:cstheme="minorHAnsi"/>
          <w:szCs w:val="19"/>
          <w:lang w:val="en-GB"/>
        </w:rPr>
        <w:t>s benefiting from tax privileges varied depending on the amount of income from 1% of PIT - among organizations with the lowest revenues (up to PLN 1</w:t>
      </w:r>
      <w:r w:rsidR="00220F2C">
        <w:rPr>
          <w:rFonts w:cstheme="minorHAnsi"/>
          <w:szCs w:val="19"/>
          <w:lang w:val="en-GB"/>
        </w:rPr>
        <w:t xml:space="preserve"> thousand</w:t>
      </w:r>
      <w:r w:rsidRPr="00653157">
        <w:rPr>
          <w:rFonts w:cstheme="minorHAnsi"/>
          <w:szCs w:val="19"/>
          <w:lang w:val="en-GB"/>
        </w:rPr>
        <w:t xml:space="preserve">) it was almost three times lower than in the case of </w:t>
      </w:r>
      <w:r w:rsidR="00C20653">
        <w:rPr>
          <w:rFonts w:cstheme="minorHAnsi"/>
          <w:szCs w:val="19"/>
          <w:lang w:val="en-GB"/>
        </w:rPr>
        <w:t>PBO</w:t>
      </w:r>
      <w:r w:rsidRPr="00653157">
        <w:rPr>
          <w:rFonts w:cstheme="minorHAnsi"/>
          <w:szCs w:val="19"/>
          <w:lang w:val="en-GB"/>
        </w:rPr>
        <w:t>s with revenues exceeding PLN 1 million (25</w:t>
      </w:r>
      <w:r w:rsidR="00C90109">
        <w:rPr>
          <w:rFonts w:cstheme="minorHAnsi"/>
          <w:szCs w:val="19"/>
          <w:lang w:val="en-GB"/>
        </w:rPr>
        <w:t>.</w:t>
      </w:r>
      <w:r w:rsidRPr="00653157">
        <w:rPr>
          <w:rFonts w:cstheme="minorHAnsi"/>
          <w:szCs w:val="19"/>
          <w:lang w:val="en-GB"/>
        </w:rPr>
        <w:t xml:space="preserve"> 2% and 78.4%).</w:t>
      </w:r>
    </w:p>
    <w:p w14:paraId="4F1CE00A" w14:textId="4006AE73" w:rsidR="00692E17" w:rsidRPr="00944DD8" w:rsidRDefault="00653157" w:rsidP="00653157">
      <w:pPr>
        <w:spacing w:line="240" w:lineRule="exact"/>
        <w:rPr>
          <w:rFonts w:cstheme="minorHAnsi"/>
          <w:szCs w:val="19"/>
          <w:lang w:val="en-GB"/>
        </w:rPr>
      </w:pPr>
      <w:r w:rsidRPr="00653157">
        <w:rPr>
          <w:rFonts w:cstheme="minorHAnsi"/>
          <w:szCs w:val="19"/>
          <w:lang w:val="en-GB"/>
        </w:rPr>
        <w:t>The most frequently used tax privilege was the exemption from corporate income tax</w:t>
      </w:r>
      <w:r w:rsidR="00C90109">
        <w:rPr>
          <w:rFonts w:cstheme="minorHAnsi"/>
          <w:szCs w:val="19"/>
          <w:lang w:val="en-GB"/>
        </w:rPr>
        <w:t>.</w:t>
      </w:r>
      <w:r w:rsidRPr="00653157">
        <w:rPr>
          <w:rFonts w:cstheme="minorHAnsi"/>
          <w:szCs w:val="19"/>
          <w:lang w:val="en-GB"/>
        </w:rPr>
        <w:t xml:space="preserve"> which takes into account the income allocated for statutory purposes - it was used by 16.3% of </w:t>
      </w:r>
      <w:r w:rsidR="00220F2C">
        <w:rPr>
          <w:rFonts w:cstheme="minorHAnsi"/>
          <w:szCs w:val="19"/>
          <w:lang w:val="en-GB"/>
        </w:rPr>
        <w:t>PBOs</w:t>
      </w:r>
      <w:r w:rsidRPr="00653157">
        <w:rPr>
          <w:rFonts w:cstheme="minorHAnsi"/>
          <w:szCs w:val="19"/>
          <w:lang w:val="en-GB"/>
        </w:rPr>
        <w:t>. 15.7%</w:t>
      </w:r>
      <w:r w:rsidR="00220F2C">
        <w:rPr>
          <w:rFonts w:cstheme="minorHAnsi"/>
          <w:szCs w:val="19"/>
          <w:lang w:val="en-GB"/>
        </w:rPr>
        <w:t xml:space="preserve"> of them</w:t>
      </w:r>
      <w:r w:rsidRPr="00653157">
        <w:rPr>
          <w:rFonts w:cstheme="minorHAnsi"/>
          <w:szCs w:val="19"/>
          <w:lang w:val="en-GB"/>
        </w:rPr>
        <w:t xml:space="preserve"> took advantage of real estate tax exemptions</w:t>
      </w:r>
      <w:r w:rsidR="00A64583">
        <w:rPr>
          <w:rFonts w:cstheme="minorHAnsi"/>
          <w:szCs w:val="19"/>
          <w:lang w:val="en-GB"/>
        </w:rPr>
        <w:t xml:space="preserve"> and</w:t>
      </w:r>
      <w:r w:rsidRPr="00653157">
        <w:rPr>
          <w:rFonts w:cstheme="minorHAnsi"/>
          <w:szCs w:val="19"/>
          <w:lang w:val="en-GB"/>
        </w:rPr>
        <w:t xml:space="preserve"> almost half less </w:t>
      </w:r>
      <w:r w:rsidR="00A64583">
        <w:rPr>
          <w:rFonts w:cstheme="minorHAnsi"/>
          <w:szCs w:val="19"/>
          <w:lang w:val="en-GB"/>
        </w:rPr>
        <w:t xml:space="preserve">of them </w:t>
      </w:r>
      <w:r w:rsidRPr="00653157">
        <w:rPr>
          <w:rFonts w:cstheme="minorHAnsi"/>
          <w:szCs w:val="19"/>
          <w:lang w:val="en-GB"/>
        </w:rPr>
        <w:t xml:space="preserve">(8.4%) opted for VAT exemptions. Other types of tax privileges were used by </w:t>
      </w:r>
      <w:r w:rsidR="00220F2C">
        <w:rPr>
          <w:rFonts w:cstheme="minorHAnsi"/>
          <w:szCs w:val="19"/>
          <w:lang w:val="en-GB"/>
        </w:rPr>
        <w:t xml:space="preserve">PBOs </w:t>
      </w:r>
      <w:r w:rsidRPr="00653157">
        <w:rPr>
          <w:rFonts w:cstheme="minorHAnsi"/>
          <w:szCs w:val="19"/>
          <w:lang w:val="en-GB"/>
        </w:rPr>
        <w:t>relatively rarely.</w:t>
      </w:r>
    </w:p>
    <w:p w14:paraId="21CBC34A" w14:textId="03AEAC88" w:rsidR="00692E17" w:rsidRPr="00653157" w:rsidRDefault="00653157" w:rsidP="00960BD2">
      <w:pPr>
        <w:pStyle w:val="Tekstpodstawowy"/>
        <w:spacing w:before="360" w:line="240" w:lineRule="auto"/>
        <w:rPr>
          <w:rFonts w:ascii="Fira Sans" w:hAnsi="Fira Sans" w:cstheme="minorHAnsi"/>
          <w:b/>
          <w:sz w:val="19"/>
          <w:szCs w:val="19"/>
          <w:lang w:val="en-GB"/>
        </w:rPr>
      </w:pPr>
      <w:r w:rsidRPr="00653157">
        <w:rPr>
          <w:rFonts w:ascii="Fira Sans" w:hAnsi="Fira Sans" w:cstheme="minorHAnsi"/>
          <w:b/>
          <w:sz w:val="19"/>
          <w:szCs w:val="19"/>
          <w:lang w:val="en-GB"/>
        </w:rPr>
        <w:t xml:space="preserve">Chart 7. </w:t>
      </w:r>
      <w:proofErr w:type="spellStart"/>
      <w:r w:rsidRPr="00653157">
        <w:rPr>
          <w:rFonts w:ascii="Fira Sans" w:hAnsi="Fira Sans" w:cstheme="minorHAnsi"/>
          <w:b/>
          <w:sz w:val="19"/>
          <w:szCs w:val="19"/>
          <w:lang w:val="en-GB"/>
        </w:rPr>
        <w:t>Percentage</w:t>
      </w:r>
      <w:r w:rsidRPr="00653157">
        <w:rPr>
          <w:rFonts w:ascii="Fira Sans" w:hAnsi="Fira Sans" w:cstheme="minorHAnsi"/>
          <w:b/>
          <w:sz w:val="19"/>
          <w:szCs w:val="19"/>
          <w:vertAlign w:val="superscript"/>
          <w:lang w:val="en-GB"/>
        </w:rPr>
        <w:t>a</w:t>
      </w:r>
      <w:proofErr w:type="spellEnd"/>
      <w:r w:rsidRPr="00653157">
        <w:rPr>
          <w:rFonts w:ascii="Fira Sans" w:hAnsi="Fira Sans" w:cstheme="minorHAnsi"/>
          <w:b/>
          <w:sz w:val="19"/>
          <w:szCs w:val="19"/>
          <w:vertAlign w:val="superscript"/>
          <w:lang w:val="en-GB"/>
        </w:rPr>
        <w:t xml:space="preserve"> </w:t>
      </w:r>
      <w:r w:rsidRPr="00653157">
        <w:rPr>
          <w:rFonts w:ascii="Fira Sans" w:hAnsi="Fira Sans" w:cstheme="minorHAnsi"/>
          <w:b/>
          <w:sz w:val="19"/>
          <w:szCs w:val="19"/>
          <w:lang w:val="en-GB"/>
        </w:rPr>
        <w:t xml:space="preserve">of </w:t>
      </w:r>
      <w:r w:rsidR="00C20653">
        <w:rPr>
          <w:rFonts w:ascii="Fira Sans" w:hAnsi="Fira Sans" w:cstheme="minorHAnsi"/>
          <w:b/>
          <w:sz w:val="19"/>
          <w:szCs w:val="19"/>
          <w:lang w:val="en-GB"/>
        </w:rPr>
        <w:t>PBO</w:t>
      </w:r>
      <w:r w:rsidRPr="00653157">
        <w:rPr>
          <w:rFonts w:ascii="Fira Sans" w:hAnsi="Fira Sans" w:cstheme="minorHAnsi"/>
          <w:b/>
          <w:sz w:val="19"/>
          <w:szCs w:val="19"/>
          <w:lang w:val="en-GB"/>
        </w:rPr>
        <w:t>s benefiting from exemptions and entitlements in 2021</w:t>
      </w:r>
    </w:p>
    <w:p w14:paraId="210FB7B0" w14:textId="03F792EF" w:rsidR="00692E17" w:rsidRDefault="00417B5B" w:rsidP="00692E17">
      <w:pPr>
        <w:pStyle w:val="Tekstpodstawowy"/>
        <w:spacing w:before="0" w:after="0" w:line="240" w:lineRule="auto"/>
      </w:pPr>
      <w:r w:rsidRPr="000D0AB2">
        <w:rPr>
          <w:rFonts w:eastAsia="Calibri" w:cs="Calibri"/>
          <w:b/>
          <w:noProof/>
          <w:color w:val="000000"/>
          <w:szCs w:val="19"/>
        </w:rPr>
        <w:drawing>
          <wp:inline distT="0" distB="0" distL="0" distR="0" wp14:anchorId="1A4B52FC" wp14:editId="0BB35D02">
            <wp:extent cx="4972050" cy="2888673"/>
            <wp:effectExtent l="0" t="0" r="0" b="698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D66D86" w14:textId="77777777" w:rsidR="00692E17" w:rsidRDefault="00692E17" w:rsidP="00692E17">
      <w:pPr>
        <w:pStyle w:val="Tekstpodstawowy"/>
        <w:spacing w:before="0" w:after="0" w:line="240" w:lineRule="auto"/>
      </w:pPr>
    </w:p>
    <w:p w14:paraId="57349EE5" w14:textId="55BD0EB7" w:rsidR="00692E17" w:rsidRPr="00653157" w:rsidRDefault="00692E17" w:rsidP="00960BD2">
      <w:pPr>
        <w:pStyle w:val="Tekstpodstawowy"/>
        <w:spacing w:line="240" w:lineRule="exact"/>
        <w:rPr>
          <w:rFonts w:ascii="Fira Sans" w:hAnsi="Fira Sans"/>
          <w:sz w:val="16"/>
          <w:szCs w:val="16"/>
          <w:lang w:val="en-GB"/>
        </w:rPr>
      </w:pPr>
      <w:r w:rsidRPr="00653157">
        <w:rPr>
          <w:rFonts w:ascii="Fira Sans" w:hAnsi="Fira Sans"/>
          <w:sz w:val="16"/>
          <w:szCs w:val="16"/>
          <w:vertAlign w:val="superscript"/>
          <w:lang w:val="en-GB"/>
        </w:rPr>
        <w:t>a</w:t>
      </w:r>
      <w:r w:rsidRPr="00653157">
        <w:rPr>
          <w:rFonts w:ascii="Fira Sans" w:hAnsi="Fira Sans"/>
          <w:sz w:val="16"/>
          <w:szCs w:val="16"/>
          <w:lang w:val="en-GB"/>
        </w:rPr>
        <w:t xml:space="preserve"> </w:t>
      </w:r>
      <w:r w:rsidR="00653157" w:rsidRPr="00653157">
        <w:rPr>
          <w:rFonts w:ascii="Fira Sans" w:hAnsi="Fira Sans"/>
          <w:sz w:val="16"/>
          <w:szCs w:val="16"/>
          <w:lang w:val="en-GB"/>
        </w:rPr>
        <w:t>Percentages do not add up as more than one answer could be given.</w:t>
      </w:r>
    </w:p>
    <w:p w14:paraId="63062B1E" w14:textId="7EE35B1A" w:rsidR="00653157" w:rsidRPr="00653157" w:rsidRDefault="00653157" w:rsidP="00653157">
      <w:pPr>
        <w:spacing w:line="240" w:lineRule="exact"/>
        <w:rPr>
          <w:rFonts w:cstheme="minorHAnsi"/>
          <w:szCs w:val="19"/>
          <w:lang w:val="en-GB"/>
        </w:rPr>
      </w:pPr>
      <w:r w:rsidRPr="00653157">
        <w:rPr>
          <w:rFonts w:cstheme="minorHAnsi"/>
          <w:szCs w:val="19"/>
          <w:lang w:val="en-GB"/>
        </w:rPr>
        <w:lastRenderedPageBreak/>
        <w:t>In practice</w:t>
      </w:r>
      <w:r w:rsidR="00C90109">
        <w:rPr>
          <w:rFonts w:cstheme="minorHAnsi"/>
          <w:szCs w:val="19"/>
          <w:lang w:val="en-GB"/>
        </w:rPr>
        <w:t>.</w:t>
      </w:r>
      <w:r w:rsidRPr="00653157">
        <w:rPr>
          <w:rFonts w:cstheme="minorHAnsi"/>
          <w:szCs w:val="19"/>
          <w:lang w:val="en-GB"/>
        </w:rPr>
        <w:t xml:space="preserve"> privileges regarding access to real estate are not often used. Only 8.1% of </w:t>
      </w:r>
      <w:r w:rsidR="002C29CD">
        <w:rPr>
          <w:rFonts w:cstheme="minorHAnsi"/>
          <w:szCs w:val="19"/>
          <w:lang w:val="en-GB"/>
        </w:rPr>
        <w:t>PBOs</w:t>
      </w:r>
      <w:r w:rsidRPr="00653157">
        <w:rPr>
          <w:rFonts w:cstheme="minorHAnsi"/>
          <w:szCs w:val="19"/>
          <w:lang w:val="en-GB"/>
        </w:rPr>
        <w:t xml:space="preserve"> had the possibility to use state or local government real estate in the form of lending. Even fewer organizations took advantage of the lease (6.5%)</w:t>
      </w:r>
      <w:r w:rsidR="00C90109">
        <w:rPr>
          <w:rFonts w:cstheme="minorHAnsi"/>
          <w:szCs w:val="19"/>
          <w:lang w:val="en-GB"/>
        </w:rPr>
        <w:t>.</w:t>
      </w:r>
      <w:r w:rsidRPr="00653157">
        <w:rPr>
          <w:rFonts w:cstheme="minorHAnsi"/>
          <w:szCs w:val="19"/>
          <w:lang w:val="en-GB"/>
        </w:rPr>
        <w:t xml:space="preserve"> while real estate was very rarely transferred for perpetual usufruct or ownership (0.8% and 0.6%</w:t>
      </w:r>
      <w:r w:rsidR="00C90109">
        <w:rPr>
          <w:rFonts w:cstheme="minorHAnsi"/>
          <w:szCs w:val="19"/>
          <w:lang w:val="en-GB"/>
        </w:rPr>
        <w:t>.</w:t>
      </w:r>
      <w:r w:rsidRPr="00653157">
        <w:rPr>
          <w:rFonts w:cstheme="minorHAnsi"/>
          <w:szCs w:val="19"/>
          <w:lang w:val="en-GB"/>
        </w:rPr>
        <w:t xml:space="preserve"> respectively).</w:t>
      </w:r>
    </w:p>
    <w:p w14:paraId="41AC1653" w14:textId="61E4341D" w:rsidR="00692E17" w:rsidRPr="00C20653" w:rsidRDefault="00653157" w:rsidP="00653157">
      <w:pPr>
        <w:spacing w:line="240" w:lineRule="exact"/>
        <w:rPr>
          <w:lang w:val="en-GB" w:eastAsia="pl-PL"/>
        </w:rPr>
      </w:pPr>
      <w:r w:rsidRPr="00653157">
        <w:rPr>
          <w:rFonts w:cstheme="minorHAnsi"/>
          <w:szCs w:val="19"/>
          <w:lang w:val="en-GB"/>
        </w:rPr>
        <w:t>In 2017-2021</w:t>
      </w:r>
      <w:r w:rsidR="00C90109">
        <w:rPr>
          <w:rFonts w:cstheme="minorHAnsi"/>
          <w:szCs w:val="19"/>
          <w:lang w:val="en-GB"/>
        </w:rPr>
        <w:t>.</w:t>
      </w:r>
      <w:r w:rsidRPr="00653157">
        <w:rPr>
          <w:rFonts w:cstheme="minorHAnsi"/>
          <w:szCs w:val="19"/>
          <w:lang w:val="en-GB"/>
        </w:rPr>
        <w:t xml:space="preserve"> the percentage of public benefit organizations that used exemptions from taxes and fees increased (from 34.4% in 2017 to 36.3% in 2021). On the other hand</w:t>
      </w:r>
      <w:r w:rsidR="00C90109">
        <w:rPr>
          <w:rFonts w:cstheme="minorHAnsi"/>
          <w:szCs w:val="19"/>
          <w:lang w:val="en-GB"/>
        </w:rPr>
        <w:t>.</w:t>
      </w:r>
      <w:r w:rsidRPr="00653157">
        <w:rPr>
          <w:rFonts w:cstheme="minorHAnsi"/>
          <w:szCs w:val="19"/>
          <w:lang w:val="en-GB"/>
        </w:rPr>
        <w:t xml:space="preserve"> there was a decrease in the percentage of </w:t>
      </w:r>
      <w:r w:rsidR="00C20653">
        <w:rPr>
          <w:rFonts w:cstheme="minorHAnsi"/>
          <w:szCs w:val="19"/>
          <w:lang w:val="en-GB"/>
        </w:rPr>
        <w:t>PBO</w:t>
      </w:r>
      <w:r w:rsidRPr="00653157">
        <w:rPr>
          <w:rFonts w:cstheme="minorHAnsi"/>
          <w:szCs w:val="19"/>
          <w:lang w:val="en-GB"/>
        </w:rPr>
        <w:t>s that used the right to use real estate owned by the State Treasury or local government units on preferential terms (from 19.6% in 2017 to 18.2% in 2021).</w:t>
      </w:r>
    </w:p>
    <w:p w14:paraId="3A93ACF2" w14:textId="6340C2B8" w:rsidR="00692E17" w:rsidRPr="00944DD8" w:rsidRDefault="00653157" w:rsidP="00960BD2">
      <w:pPr>
        <w:pStyle w:val="Nagwek1"/>
        <w:rPr>
          <w:lang w:val="en-GB"/>
        </w:rPr>
      </w:pPr>
      <w:r w:rsidRPr="00944DD8">
        <w:rPr>
          <w:lang w:val="en-GB"/>
        </w:rPr>
        <w:t xml:space="preserve">Methodological annex </w:t>
      </w:r>
    </w:p>
    <w:p w14:paraId="613AE1F7" w14:textId="232B91F5"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Data from both administrative sources and </w:t>
      </w:r>
      <w:r w:rsidR="00057308">
        <w:rPr>
          <w:rFonts w:cs="Arial"/>
          <w:color w:val="000000" w:themeColor="text1"/>
          <w:szCs w:val="19"/>
          <w:lang w:val="en-GB"/>
        </w:rPr>
        <w:t>Statistics Poland</w:t>
      </w:r>
      <w:r w:rsidRPr="00653157">
        <w:rPr>
          <w:rFonts w:cs="Arial"/>
          <w:color w:val="000000" w:themeColor="text1"/>
          <w:szCs w:val="19"/>
          <w:lang w:val="en-GB"/>
        </w:rPr>
        <w:t xml:space="preserve"> surveys were used to prepare the signal information. Due to the scope of availability of individual sources</w:t>
      </w:r>
      <w:r w:rsidR="00C90109">
        <w:rPr>
          <w:rFonts w:cs="Arial"/>
          <w:color w:val="000000" w:themeColor="text1"/>
          <w:szCs w:val="19"/>
          <w:lang w:val="en-GB"/>
        </w:rPr>
        <w:t>.</w:t>
      </w:r>
      <w:r w:rsidRPr="00653157">
        <w:rPr>
          <w:rFonts w:cs="Arial"/>
          <w:color w:val="000000" w:themeColor="text1"/>
          <w:szCs w:val="19"/>
          <w:lang w:val="en-GB"/>
        </w:rPr>
        <w:t xml:space="preserve"> various time series have been taken into account.</w:t>
      </w:r>
    </w:p>
    <w:p w14:paraId="2AFBBCD0" w14:textId="77777777"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The data presented in the information comes from the following sources:</w:t>
      </w:r>
    </w:p>
    <w:p w14:paraId="1687499D" w14:textId="4C25F33F"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1) the number of registered </w:t>
      </w:r>
      <w:r w:rsidR="00C20653">
        <w:rPr>
          <w:rFonts w:cs="Arial"/>
          <w:color w:val="000000" w:themeColor="text1"/>
          <w:szCs w:val="19"/>
          <w:lang w:val="en-GB"/>
        </w:rPr>
        <w:t>PBO</w:t>
      </w:r>
      <w:r w:rsidRPr="00653157">
        <w:rPr>
          <w:rFonts w:cs="Arial"/>
          <w:color w:val="000000" w:themeColor="text1"/>
          <w:szCs w:val="19"/>
          <w:lang w:val="en-GB"/>
        </w:rPr>
        <w:t>s for the years 2004-2007 (</w:t>
      </w:r>
      <w:r w:rsidR="00057308">
        <w:rPr>
          <w:rFonts w:cs="Arial"/>
          <w:color w:val="000000" w:themeColor="text1"/>
          <w:szCs w:val="19"/>
          <w:lang w:val="en-GB"/>
        </w:rPr>
        <w:t xml:space="preserve">chart </w:t>
      </w:r>
      <w:r w:rsidRPr="00653157">
        <w:rPr>
          <w:rFonts w:cs="Arial"/>
          <w:color w:val="000000" w:themeColor="text1"/>
          <w:szCs w:val="19"/>
          <w:lang w:val="en-GB"/>
        </w:rPr>
        <w:t xml:space="preserve">1) - based on the </w:t>
      </w:r>
      <w:r w:rsidRPr="00552A37">
        <w:rPr>
          <w:rFonts w:cs="Arial"/>
          <w:i/>
          <w:color w:val="000000" w:themeColor="text1"/>
          <w:szCs w:val="19"/>
          <w:lang w:val="en-GB"/>
        </w:rPr>
        <w:t>Register of associations</w:t>
      </w:r>
      <w:r w:rsidR="00C90109">
        <w:rPr>
          <w:rFonts w:cs="Arial"/>
          <w:i/>
          <w:color w:val="000000" w:themeColor="text1"/>
          <w:szCs w:val="19"/>
          <w:lang w:val="en-GB"/>
        </w:rPr>
        <w:t>.</w:t>
      </w:r>
      <w:r w:rsidRPr="00552A37">
        <w:rPr>
          <w:rFonts w:cs="Arial"/>
          <w:i/>
          <w:color w:val="000000" w:themeColor="text1"/>
          <w:szCs w:val="19"/>
          <w:lang w:val="en-GB"/>
        </w:rPr>
        <w:t xml:space="preserve"> other social and professional organizations</w:t>
      </w:r>
      <w:r w:rsidR="00C90109">
        <w:rPr>
          <w:rFonts w:cs="Arial"/>
          <w:i/>
          <w:color w:val="000000" w:themeColor="text1"/>
          <w:szCs w:val="19"/>
          <w:lang w:val="en-GB"/>
        </w:rPr>
        <w:t>.</w:t>
      </w:r>
      <w:r w:rsidRPr="00552A37">
        <w:rPr>
          <w:rFonts w:cs="Arial"/>
          <w:i/>
          <w:color w:val="000000" w:themeColor="text1"/>
          <w:szCs w:val="19"/>
          <w:lang w:val="en-GB"/>
        </w:rPr>
        <w:t xml:space="preserve"> foundations</w:t>
      </w:r>
      <w:r w:rsidR="00C90109">
        <w:rPr>
          <w:rFonts w:cs="Arial"/>
          <w:i/>
          <w:color w:val="000000" w:themeColor="text1"/>
          <w:szCs w:val="19"/>
          <w:lang w:val="en-GB"/>
        </w:rPr>
        <w:t>.</w:t>
      </w:r>
      <w:r w:rsidRPr="00552A37">
        <w:rPr>
          <w:rFonts w:cs="Arial"/>
          <w:i/>
          <w:color w:val="000000" w:themeColor="text1"/>
          <w:szCs w:val="19"/>
          <w:lang w:val="en-GB"/>
        </w:rPr>
        <w:t xml:space="preserve"> public health care facilities of the Ministry of Justice</w:t>
      </w:r>
      <w:r w:rsidR="00C90109">
        <w:rPr>
          <w:rFonts w:cs="Arial"/>
          <w:color w:val="000000" w:themeColor="text1"/>
          <w:szCs w:val="19"/>
          <w:lang w:val="en-GB"/>
        </w:rPr>
        <w:t>.</w:t>
      </w:r>
    </w:p>
    <w:p w14:paraId="5F1FBB8A" w14:textId="613F3466"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2) the number of active </w:t>
      </w:r>
      <w:r w:rsidR="00C20653">
        <w:rPr>
          <w:rFonts w:cs="Arial"/>
          <w:color w:val="000000" w:themeColor="text1"/>
          <w:szCs w:val="19"/>
          <w:lang w:val="en-GB"/>
        </w:rPr>
        <w:t>PBO</w:t>
      </w:r>
      <w:r w:rsidRPr="00653157">
        <w:rPr>
          <w:rFonts w:cs="Arial"/>
          <w:color w:val="000000" w:themeColor="text1"/>
          <w:szCs w:val="19"/>
          <w:lang w:val="en-GB"/>
        </w:rPr>
        <w:t xml:space="preserve">s for the years 2008-2021 (Chart 1) - data from </w:t>
      </w:r>
      <w:r w:rsidR="00552A37">
        <w:rPr>
          <w:rFonts w:cs="Arial"/>
          <w:color w:val="000000" w:themeColor="text1"/>
          <w:szCs w:val="19"/>
          <w:lang w:val="en-GB"/>
        </w:rPr>
        <w:t>Statistics Poland reports:</w:t>
      </w:r>
      <w:r w:rsidRPr="00653157">
        <w:rPr>
          <w:rFonts w:cs="Arial"/>
          <w:color w:val="000000" w:themeColor="text1"/>
          <w:szCs w:val="19"/>
          <w:lang w:val="en-GB"/>
        </w:rPr>
        <w:t xml:space="preserve"> SOF-1</w:t>
      </w:r>
      <w:r w:rsidR="00C90109">
        <w:rPr>
          <w:rFonts w:cs="Arial"/>
          <w:color w:val="000000" w:themeColor="text1"/>
          <w:szCs w:val="19"/>
          <w:lang w:val="en-GB"/>
        </w:rPr>
        <w:t>.</w:t>
      </w:r>
      <w:r w:rsidRPr="00653157">
        <w:rPr>
          <w:rFonts w:cs="Arial"/>
          <w:color w:val="000000" w:themeColor="text1"/>
          <w:szCs w:val="19"/>
          <w:lang w:val="en-GB"/>
        </w:rPr>
        <w:t xml:space="preserve"> SOF-4 or SOF-5</w:t>
      </w:r>
      <w:r w:rsidR="00C90109">
        <w:rPr>
          <w:rFonts w:cs="Arial"/>
          <w:color w:val="000000" w:themeColor="text1"/>
          <w:szCs w:val="19"/>
          <w:lang w:val="en-GB"/>
        </w:rPr>
        <w:t>.</w:t>
      </w:r>
    </w:p>
    <w:p w14:paraId="5F6A7D1D" w14:textId="71B96DE3"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3) number of public benefit organizations entitled to 1% </w:t>
      </w:r>
      <w:r w:rsidR="00552A37">
        <w:rPr>
          <w:rFonts w:cs="Arial"/>
          <w:color w:val="000000" w:themeColor="text1"/>
          <w:szCs w:val="19"/>
          <w:lang w:val="en-GB"/>
        </w:rPr>
        <w:t xml:space="preserve">of </w:t>
      </w:r>
      <w:r w:rsidRPr="00653157">
        <w:rPr>
          <w:rFonts w:cs="Arial"/>
          <w:color w:val="000000" w:themeColor="text1"/>
          <w:szCs w:val="19"/>
          <w:lang w:val="en-GB"/>
        </w:rPr>
        <w:t xml:space="preserve">PIT - </w:t>
      </w:r>
      <w:r w:rsidRPr="00552A37">
        <w:rPr>
          <w:rFonts w:cs="Arial"/>
          <w:i/>
          <w:color w:val="000000" w:themeColor="text1"/>
          <w:szCs w:val="19"/>
          <w:lang w:val="en-GB"/>
        </w:rPr>
        <w:t xml:space="preserve">List of public benefit organizations entitled to receive 1% of </w:t>
      </w:r>
      <w:r w:rsidR="00C26678" w:rsidRPr="00552A37">
        <w:rPr>
          <w:rFonts w:cs="Arial"/>
          <w:i/>
          <w:color w:val="000000" w:themeColor="text1"/>
          <w:szCs w:val="19"/>
          <w:lang w:val="en-GB"/>
        </w:rPr>
        <w:t>PIT</w:t>
      </w:r>
      <w:r w:rsidRPr="00552A37">
        <w:rPr>
          <w:rFonts w:cs="Arial"/>
          <w:i/>
          <w:color w:val="000000" w:themeColor="text1"/>
          <w:szCs w:val="19"/>
          <w:lang w:val="en-GB"/>
        </w:rPr>
        <w:t xml:space="preserve"> for the year</w:t>
      </w:r>
      <w:r w:rsidRPr="00653157">
        <w:rPr>
          <w:rFonts w:cs="Arial"/>
          <w:color w:val="000000" w:themeColor="text1"/>
          <w:szCs w:val="19"/>
          <w:lang w:val="en-GB"/>
        </w:rPr>
        <w:t xml:space="preserve"> ... from the National Freedom Institute</w:t>
      </w:r>
      <w:r w:rsidR="00C90109">
        <w:rPr>
          <w:rFonts w:cs="Arial"/>
          <w:color w:val="000000" w:themeColor="text1"/>
          <w:szCs w:val="19"/>
          <w:lang w:val="en-GB"/>
        </w:rPr>
        <w:t>.</w:t>
      </w:r>
    </w:p>
    <w:p w14:paraId="134EB587" w14:textId="5B4D65CD"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4) data on </w:t>
      </w:r>
      <w:r w:rsidR="00C20653">
        <w:rPr>
          <w:rFonts w:cs="Arial"/>
          <w:color w:val="000000" w:themeColor="text1"/>
          <w:szCs w:val="19"/>
          <w:lang w:val="en-GB"/>
        </w:rPr>
        <w:t>PBO</w:t>
      </w:r>
      <w:r w:rsidRPr="00653157">
        <w:rPr>
          <w:rFonts w:cs="Arial"/>
          <w:color w:val="000000" w:themeColor="text1"/>
          <w:szCs w:val="19"/>
          <w:lang w:val="en-GB"/>
        </w:rPr>
        <w:t xml:space="preserve">s providing assistance in the period </w:t>
      </w:r>
      <w:r w:rsidR="00CF2FC1">
        <w:rPr>
          <w:rFonts w:cs="Arial"/>
          <w:color w:val="000000" w:themeColor="text1"/>
          <w:szCs w:val="19"/>
          <w:lang w:val="en-GB"/>
        </w:rPr>
        <w:t>from</w:t>
      </w:r>
      <w:r w:rsidR="00552A37">
        <w:rPr>
          <w:rFonts w:cs="Arial"/>
          <w:color w:val="000000" w:themeColor="text1"/>
          <w:szCs w:val="19"/>
          <w:lang w:val="en-GB"/>
        </w:rPr>
        <w:t xml:space="preserve"> </w:t>
      </w:r>
      <w:r w:rsidRPr="00653157">
        <w:rPr>
          <w:rFonts w:cs="Arial"/>
          <w:color w:val="000000" w:themeColor="text1"/>
          <w:szCs w:val="19"/>
          <w:lang w:val="en-GB"/>
        </w:rPr>
        <w:t>February 24</w:t>
      </w:r>
      <w:r w:rsidR="00552A37" w:rsidRPr="00552A37">
        <w:rPr>
          <w:rFonts w:cs="Arial"/>
          <w:color w:val="000000" w:themeColor="text1"/>
          <w:szCs w:val="19"/>
          <w:vertAlign w:val="superscript"/>
          <w:lang w:val="en-GB"/>
        </w:rPr>
        <w:t>th</w:t>
      </w:r>
      <w:r w:rsidR="00552A37">
        <w:rPr>
          <w:rFonts w:cs="Arial"/>
          <w:color w:val="000000" w:themeColor="text1"/>
          <w:szCs w:val="19"/>
          <w:lang w:val="en-GB"/>
        </w:rPr>
        <w:t xml:space="preserve"> to March </w:t>
      </w:r>
      <w:r w:rsidRPr="00653157">
        <w:rPr>
          <w:rFonts w:cs="Arial"/>
          <w:color w:val="000000" w:themeColor="text1"/>
          <w:szCs w:val="19"/>
          <w:lang w:val="en-GB"/>
        </w:rPr>
        <w:t>31</w:t>
      </w:r>
      <w:r w:rsidR="00552A37" w:rsidRPr="00552A37">
        <w:rPr>
          <w:rFonts w:cs="Arial"/>
          <w:color w:val="000000" w:themeColor="text1"/>
          <w:szCs w:val="19"/>
          <w:vertAlign w:val="superscript"/>
          <w:lang w:val="en-GB"/>
        </w:rPr>
        <w:t>st</w:t>
      </w:r>
      <w:r w:rsidR="00C90109">
        <w:rPr>
          <w:rFonts w:cs="Arial"/>
          <w:color w:val="000000" w:themeColor="text1"/>
          <w:szCs w:val="19"/>
          <w:lang w:val="en-GB"/>
        </w:rPr>
        <w:t>.</w:t>
      </w:r>
      <w:r w:rsidR="00552A37">
        <w:rPr>
          <w:rFonts w:cs="Arial"/>
          <w:color w:val="000000" w:themeColor="text1"/>
          <w:szCs w:val="19"/>
          <w:lang w:val="en-GB"/>
        </w:rPr>
        <w:t xml:space="preserve"> </w:t>
      </w:r>
      <w:r w:rsidRPr="00653157">
        <w:rPr>
          <w:rFonts w:cs="Arial"/>
          <w:color w:val="000000" w:themeColor="text1"/>
          <w:szCs w:val="19"/>
          <w:lang w:val="en-GB"/>
        </w:rPr>
        <w:t xml:space="preserve">2022 </w:t>
      </w:r>
      <w:r w:rsidR="00552A37">
        <w:rPr>
          <w:rFonts w:cs="Arial"/>
          <w:color w:val="000000" w:themeColor="text1"/>
          <w:szCs w:val="19"/>
          <w:lang w:val="en-GB"/>
        </w:rPr>
        <w:t>due to the</w:t>
      </w:r>
      <w:r w:rsidRPr="00653157">
        <w:rPr>
          <w:rFonts w:cs="Arial"/>
          <w:color w:val="000000" w:themeColor="text1"/>
          <w:szCs w:val="19"/>
          <w:lang w:val="en-GB"/>
        </w:rPr>
        <w:t xml:space="preserve"> war in Ukraine (Chart 2) - additional questions attached to the SOF-5 report for 2021</w:t>
      </w:r>
      <w:r w:rsidR="00C90109">
        <w:rPr>
          <w:rFonts w:cs="Arial"/>
          <w:color w:val="000000" w:themeColor="text1"/>
          <w:szCs w:val="19"/>
          <w:lang w:val="en-GB"/>
        </w:rPr>
        <w:t>.</w:t>
      </w:r>
    </w:p>
    <w:p w14:paraId="4D96B669" w14:textId="3208FCD3"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5) the amount of the 1% </w:t>
      </w:r>
      <w:r w:rsidR="00552A37">
        <w:rPr>
          <w:rFonts w:cs="Arial"/>
          <w:color w:val="000000" w:themeColor="text1"/>
          <w:szCs w:val="19"/>
          <w:lang w:val="en-GB"/>
        </w:rPr>
        <w:t xml:space="preserve">of </w:t>
      </w:r>
      <w:r w:rsidRPr="00653157">
        <w:rPr>
          <w:rFonts w:cs="Arial"/>
          <w:color w:val="000000" w:themeColor="text1"/>
          <w:szCs w:val="19"/>
          <w:lang w:val="en-GB"/>
        </w:rPr>
        <w:t>PIT deduction (table 1</w:t>
      </w:r>
      <w:r w:rsidR="00C90109">
        <w:rPr>
          <w:rFonts w:cs="Arial"/>
          <w:color w:val="000000" w:themeColor="text1"/>
          <w:szCs w:val="19"/>
          <w:lang w:val="en-GB"/>
        </w:rPr>
        <w:t>.</w:t>
      </w:r>
      <w:r w:rsidRPr="00653157">
        <w:rPr>
          <w:rFonts w:cs="Arial"/>
          <w:color w:val="000000" w:themeColor="text1"/>
          <w:szCs w:val="19"/>
          <w:lang w:val="en-GB"/>
        </w:rPr>
        <w:t xml:space="preserve"> </w:t>
      </w:r>
      <w:r w:rsidR="00552A37">
        <w:rPr>
          <w:rFonts w:cs="Arial"/>
          <w:color w:val="000000" w:themeColor="text1"/>
          <w:szCs w:val="19"/>
          <w:lang w:val="en-GB"/>
        </w:rPr>
        <w:t>chart</w:t>
      </w:r>
      <w:r w:rsidRPr="00653157">
        <w:rPr>
          <w:rFonts w:cs="Arial"/>
          <w:color w:val="000000" w:themeColor="text1"/>
          <w:szCs w:val="19"/>
          <w:lang w:val="en-GB"/>
        </w:rPr>
        <w:t>s 3</w:t>
      </w:r>
      <w:r w:rsidR="00C90109">
        <w:rPr>
          <w:rFonts w:cs="Arial"/>
          <w:color w:val="000000" w:themeColor="text1"/>
          <w:szCs w:val="19"/>
          <w:lang w:val="en-GB"/>
        </w:rPr>
        <w:t>.</w:t>
      </w:r>
      <w:r w:rsidR="00552A37">
        <w:rPr>
          <w:rFonts w:cs="Arial"/>
          <w:color w:val="000000" w:themeColor="text1"/>
          <w:szCs w:val="19"/>
          <w:lang w:val="en-GB"/>
        </w:rPr>
        <w:t xml:space="preserve"> </w:t>
      </w:r>
      <w:r w:rsidRPr="00653157">
        <w:rPr>
          <w:rFonts w:cs="Arial"/>
          <w:color w:val="000000" w:themeColor="text1"/>
          <w:szCs w:val="19"/>
          <w:lang w:val="en-GB"/>
        </w:rPr>
        <w:t xml:space="preserve">5) - </w:t>
      </w:r>
      <w:r w:rsidRPr="00552A37">
        <w:rPr>
          <w:rFonts w:cs="Arial"/>
          <w:i/>
          <w:color w:val="000000" w:themeColor="text1"/>
          <w:szCs w:val="19"/>
          <w:lang w:val="en-GB"/>
        </w:rPr>
        <w:t>List of public benefit organizations that received 1% of the tax due for the year</w:t>
      </w:r>
      <w:r w:rsidRPr="00653157">
        <w:rPr>
          <w:rFonts w:cs="Arial"/>
          <w:color w:val="000000" w:themeColor="text1"/>
          <w:szCs w:val="19"/>
          <w:lang w:val="en-GB"/>
        </w:rPr>
        <w:t xml:space="preserve"> ... from the Tax Information System of the Ministry of Finance</w:t>
      </w:r>
      <w:r w:rsidR="00C90109">
        <w:rPr>
          <w:rFonts w:cs="Arial"/>
          <w:color w:val="000000" w:themeColor="text1"/>
          <w:szCs w:val="19"/>
          <w:lang w:val="en-GB"/>
        </w:rPr>
        <w:t>.</w:t>
      </w:r>
    </w:p>
    <w:p w14:paraId="29E0C718" w14:textId="0164B7AD" w:rsidR="00653157" w:rsidRPr="00653157" w:rsidRDefault="00653157" w:rsidP="00653157">
      <w:pPr>
        <w:spacing w:line="240" w:lineRule="exact"/>
        <w:rPr>
          <w:rFonts w:cs="Arial"/>
          <w:color w:val="000000" w:themeColor="text1"/>
          <w:szCs w:val="19"/>
          <w:lang w:val="en-GB"/>
        </w:rPr>
      </w:pPr>
      <w:r w:rsidRPr="00653157">
        <w:rPr>
          <w:rFonts w:cs="Arial"/>
          <w:color w:val="000000" w:themeColor="text1"/>
          <w:szCs w:val="19"/>
          <w:lang w:val="en-GB"/>
        </w:rPr>
        <w:t xml:space="preserve">6) the structure of </w:t>
      </w:r>
      <w:r w:rsidR="00C20653">
        <w:rPr>
          <w:rFonts w:cs="Arial"/>
          <w:color w:val="000000" w:themeColor="text1"/>
          <w:szCs w:val="19"/>
          <w:lang w:val="en-GB"/>
        </w:rPr>
        <w:t>PBO</w:t>
      </w:r>
      <w:r w:rsidR="00552A37">
        <w:rPr>
          <w:rFonts w:cs="Arial"/>
          <w:color w:val="000000" w:themeColor="text1"/>
          <w:szCs w:val="19"/>
          <w:lang w:val="en-GB"/>
        </w:rPr>
        <w:t>s</w:t>
      </w:r>
      <w:r w:rsidRPr="00653157">
        <w:rPr>
          <w:rFonts w:cs="Arial"/>
          <w:color w:val="000000" w:themeColor="text1"/>
          <w:szCs w:val="19"/>
          <w:lang w:val="en-GB"/>
        </w:rPr>
        <w:t xml:space="preserve"> and data on informing about activities</w:t>
      </w:r>
      <w:r w:rsidR="00C90109">
        <w:rPr>
          <w:rFonts w:cs="Arial"/>
          <w:color w:val="000000" w:themeColor="text1"/>
          <w:szCs w:val="19"/>
          <w:lang w:val="en-GB"/>
        </w:rPr>
        <w:t>.</w:t>
      </w:r>
      <w:r w:rsidRPr="00653157">
        <w:rPr>
          <w:rFonts w:cs="Arial"/>
          <w:color w:val="000000" w:themeColor="text1"/>
          <w:szCs w:val="19"/>
          <w:lang w:val="en-GB"/>
        </w:rPr>
        <w:t xml:space="preserve"> information campaigns</w:t>
      </w:r>
      <w:r w:rsidR="00C90109">
        <w:rPr>
          <w:rFonts w:cs="Arial"/>
          <w:color w:val="000000" w:themeColor="text1"/>
          <w:szCs w:val="19"/>
          <w:lang w:val="en-GB"/>
        </w:rPr>
        <w:t>.</w:t>
      </w:r>
      <w:r w:rsidRPr="00653157">
        <w:rPr>
          <w:rFonts w:cs="Arial"/>
          <w:color w:val="000000" w:themeColor="text1"/>
          <w:szCs w:val="19"/>
          <w:lang w:val="en-GB"/>
        </w:rPr>
        <w:t xml:space="preserve"> as well as opinions on the goals indicated by taxpayers (Charts 3</w:t>
      </w:r>
      <w:r w:rsidR="00C90109">
        <w:rPr>
          <w:rFonts w:cs="Arial"/>
          <w:color w:val="000000" w:themeColor="text1"/>
          <w:szCs w:val="19"/>
          <w:lang w:val="en-GB"/>
        </w:rPr>
        <w:t>.</w:t>
      </w:r>
      <w:r w:rsidRPr="00653157">
        <w:rPr>
          <w:rFonts w:cs="Arial"/>
          <w:color w:val="000000" w:themeColor="text1"/>
          <w:szCs w:val="19"/>
          <w:lang w:val="en-GB"/>
        </w:rPr>
        <w:t xml:space="preserve"> 6) were developed on the basis of the results of a study by </w:t>
      </w:r>
      <w:r w:rsidR="00552A37">
        <w:rPr>
          <w:rFonts w:cs="Arial"/>
          <w:color w:val="000000" w:themeColor="text1"/>
          <w:szCs w:val="19"/>
          <w:lang w:val="en-GB"/>
        </w:rPr>
        <w:t xml:space="preserve">Statistics Poland: </w:t>
      </w:r>
      <w:r w:rsidRPr="00552A37">
        <w:rPr>
          <w:rFonts w:cs="Arial"/>
          <w:i/>
          <w:color w:val="000000" w:themeColor="text1"/>
          <w:szCs w:val="19"/>
          <w:lang w:val="en-GB"/>
        </w:rPr>
        <w:t>Cooperation</w:t>
      </w:r>
      <w:r w:rsidR="00C90109">
        <w:rPr>
          <w:rFonts w:cs="Arial"/>
          <w:i/>
          <w:color w:val="000000" w:themeColor="text1"/>
          <w:szCs w:val="19"/>
          <w:lang w:val="en-GB"/>
        </w:rPr>
        <w:t>.</w:t>
      </w:r>
      <w:r w:rsidRPr="00552A37">
        <w:rPr>
          <w:rFonts w:cs="Arial"/>
          <w:i/>
          <w:color w:val="000000" w:themeColor="text1"/>
          <w:szCs w:val="19"/>
          <w:lang w:val="en-GB"/>
        </w:rPr>
        <w:t xml:space="preserve"> management and information activities of selected non-profit organizations</w:t>
      </w:r>
      <w:r w:rsidRPr="00653157">
        <w:rPr>
          <w:rFonts w:cs="Arial"/>
          <w:color w:val="000000" w:themeColor="text1"/>
          <w:szCs w:val="19"/>
          <w:lang w:val="en-GB"/>
        </w:rPr>
        <w:t xml:space="preserve"> (SOF-5 report)</w:t>
      </w:r>
      <w:r w:rsidR="00C90109">
        <w:rPr>
          <w:rFonts w:cs="Arial"/>
          <w:color w:val="000000" w:themeColor="text1"/>
          <w:szCs w:val="19"/>
          <w:lang w:val="en-GB"/>
        </w:rPr>
        <w:t>.</w:t>
      </w:r>
    </w:p>
    <w:p w14:paraId="4DFC4B69" w14:textId="49E00550" w:rsidR="00692E17" w:rsidRPr="00944DD8" w:rsidRDefault="00653157" w:rsidP="008C5227">
      <w:pPr>
        <w:spacing w:line="240" w:lineRule="exact"/>
        <w:rPr>
          <w:lang w:val="en-GB" w:eastAsia="pl-PL"/>
        </w:rPr>
      </w:pPr>
      <w:r w:rsidRPr="00653157">
        <w:rPr>
          <w:rFonts w:cs="Arial"/>
          <w:color w:val="000000" w:themeColor="text1"/>
          <w:szCs w:val="19"/>
          <w:lang w:val="en-GB"/>
        </w:rPr>
        <w:t xml:space="preserve">7) cost structure of 1% </w:t>
      </w:r>
      <w:r w:rsidR="00552A37">
        <w:rPr>
          <w:rFonts w:cs="Arial"/>
          <w:color w:val="000000" w:themeColor="text1"/>
          <w:szCs w:val="19"/>
          <w:lang w:val="en-GB"/>
        </w:rPr>
        <w:t xml:space="preserve">of </w:t>
      </w:r>
      <w:r w:rsidRPr="00653157">
        <w:rPr>
          <w:rFonts w:cs="Arial"/>
          <w:color w:val="000000" w:themeColor="text1"/>
          <w:szCs w:val="19"/>
          <w:lang w:val="en-GB"/>
        </w:rPr>
        <w:t>PIT according to the sphere of public benefit activity</w:t>
      </w:r>
      <w:r w:rsidR="00C90109">
        <w:rPr>
          <w:rFonts w:cs="Arial"/>
          <w:color w:val="000000" w:themeColor="text1"/>
          <w:szCs w:val="19"/>
          <w:lang w:val="en-GB"/>
        </w:rPr>
        <w:t>.</w:t>
      </w:r>
      <w:r w:rsidRPr="00653157">
        <w:rPr>
          <w:rFonts w:cs="Arial"/>
          <w:color w:val="000000" w:themeColor="text1"/>
          <w:szCs w:val="19"/>
          <w:lang w:val="en-GB"/>
        </w:rPr>
        <w:t xml:space="preserve"> free access to public media by</w:t>
      </w:r>
      <w:r w:rsidR="00552A37">
        <w:rPr>
          <w:rFonts w:cs="Arial"/>
          <w:color w:val="000000" w:themeColor="text1"/>
          <w:szCs w:val="19"/>
          <w:lang w:val="en-GB"/>
        </w:rPr>
        <w:t xml:space="preserve"> PBOs</w:t>
      </w:r>
      <w:r w:rsidR="00C90109">
        <w:rPr>
          <w:rFonts w:cs="Arial"/>
          <w:color w:val="000000" w:themeColor="text1"/>
          <w:szCs w:val="19"/>
          <w:lang w:val="en-GB"/>
        </w:rPr>
        <w:t>.</w:t>
      </w:r>
      <w:r w:rsidRPr="00653157">
        <w:rPr>
          <w:rFonts w:cs="Arial"/>
          <w:color w:val="000000" w:themeColor="text1"/>
          <w:szCs w:val="19"/>
          <w:lang w:val="en-GB"/>
        </w:rPr>
        <w:t xml:space="preserve"> exemptions from taxes and fees</w:t>
      </w:r>
      <w:r w:rsidR="00C90109">
        <w:rPr>
          <w:rFonts w:cs="Arial"/>
          <w:color w:val="000000" w:themeColor="text1"/>
          <w:szCs w:val="19"/>
          <w:lang w:val="en-GB"/>
        </w:rPr>
        <w:t>.</w:t>
      </w:r>
      <w:r w:rsidRPr="00653157">
        <w:rPr>
          <w:rFonts w:cs="Arial"/>
          <w:color w:val="000000" w:themeColor="text1"/>
          <w:szCs w:val="19"/>
          <w:lang w:val="en-GB"/>
        </w:rPr>
        <w:t xml:space="preserve"> and the right to use real estate on preferential terms (Charts 4</w:t>
      </w:r>
      <w:r w:rsidR="00C90109">
        <w:rPr>
          <w:rFonts w:cs="Arial"/>
          <w:color w:val="000000" w:themeColor="text1"/>
          <w:szCs w:val="19"/>
          <w:lang w:val="en-GB"/>
        </w:rPr>
        <w:t>.</w:t>
      </w:r>
      <w:r w:rsidRPr="00653157">
        <w:rPr>
          <w:rFonts w:cs="Arial"/>
          <w:color w:val="000000" w:themeColor="text1"/>
          <w:szCs w:val="19"/>
          <w:lang w:val="en-GB"/>
        </w:rPr>
        <w:t xml:space="preserve"> 5 and 7) - </w:t>
      </w:r>
      <w:r w:rsidRPr="00552A37">
        <w:rPr>
          <w:rFonts w:cs="Arial"/>
          <w:i/>
          <w:color w:val="000000" w:themeColor="text1"/>
          <w:szCs w:val="19"/>
          <w:lang w:val="en-GB"/>
        </w:rPr>
        <w:t xml:space="preserve">Report on the activities </w:t>
      </w:r>
      <w:r w:rsidR="00552A37" w:rsidRPr="00552A37">
        <w:rPr>
          <w:rFonts w:cs="Arial"/>
          <w:i/>
          <w:color w:val="000000" w:themeColor="text1"/>
          <w:szCs w:val="19"/>
          <w:lang w:val="en-GB"/>
        </w:rPr>
        <w:t xml:space="preserve">of </w:t>
      </w:r>
      <w:r w:rsidRPr="00552A37">
        <w:rPr>
          <w:rFonts w:cs="Arial"/>
          <w:i/>
          <w:color w:val="000000" w:themeColor="text1"/>
          <w:szCs w:val="19"/>
          <w:lang w:val="en-GB"/>
        </w:rPr>
        <w:t>public benefit organization</w:t>
      </w:r>
      <w:r w:rsidR="00552A37" w:rsidRPr="00552A37">
        <w:rPr>
          <w:rFonts w:cs="Arial"/>
          <w:i/>
          <w:color w:val="000000" w:themeColor="text1"/>
          <w:szCs w:val="19"/>
          <w:lang w:val="en-GB"/>
        </w:rPr>
        <w:t>s</w:t>
      </w:r>
      <w:r w:rsidRPr="00552A37">
        <w:rPr>
          <w:rFonts w:cs="Arial"/>
          <w:i/>
          <w:color w:val="000000" w:themeColor="text1"/>
          <w:szCs w:val="19"/>
          <w:lang w:val="en-GB"/>
        </w:rPr>
        <w:t xml:space="preserve"> for the year</w:t>
      </w:r>
      <w:r w:rsidRPr="00653157">
        <w:rPr>
          <w:rFonts w:cs="Arial"/>
          <w:color w:val="000000" w:themeColor="text1"/>
          <w:szCs w:val="19"/>
          <w:lang w:val="en-GB"/>
        </w:rPr>
        <w:t xml:space="preserve"> ... from the National Institute of Freedom. </w:t>
      </w:r>
    </w:p>
    <w:p w14:paraId="3C222B0C" w14:textId="77777777" w:rsidR="00DA331D" w:rsidRPr="00944DD8" w:rsidRDefault="00DA331D" w:rsidP="00DA331D">
      <w:pPr>
        <w:spacing w:before="360"/>
        <w:rPr>
          <w:sz w:val="18"/>
          <w:lang w:val="en-GB"/>
        </w:rPr>
      </w:pPr>
    </w:p>
    <w:p w14:paraId="74372B4C" w14:textId="77777777" w:rsidR="00835E10" w:rsidRPr="00944DD8" w:rsidRDefault="00835E10" w:rsidP="00DA331D">
      <w:pPr>
        <w:spacing w:before="360"/>
        <w:rPr>
          <w:sz w:val="18"/>
          <w:lang w:val="en-GB"/>
        </w:rPr>
      </w:pPr>
    </w:p>
    <w:p w14:paraId="109CD69F" w14:textId="77777777" w:rsidR="00835E10" w:rsidRPr="00944DD8" w:rsidRDefault="00835E10" w:rsidP="00835E10">
      <w:pPr>
        <w:rPr>
          <w:lang w:val="en-GB" w:eastAsia="pl-PL"/>
        </w:rPr>
      </w:pPr>
    </w:p>
    <w:p w14:paraId="6BE24CF4" w14:textId="77777777" w:rsidR="00835E10" w:rsidRPr="00944DD8" w:rsidRDefault="00835E10" w:rsidP="00835E10">
      <w:pPr>
        <w:rPr>
          <w:lang w:val="en-GB" w:eastAsia="pl-PL"/>
        </w:rPr>
      </w:pPr>
    </w:p>
    <w:p w14:paraId="2F28E8DA" w14:textId="77777777" w:rsidR="00417B5B" w:rsidRPr="00944DD8" w:rsidRDefault="00417B5B" w:rsidP="00835E10">
      <w:pPr>
        <w:rPr>
          <w:lang w:val="en-GB" w:eastAsia="pl-PL"/>
        </w:rPr>
      </w:pPr>
    </w:p>
    <w:p w14:paraId="4F79C4F1" w14:textId="77777777" w:rsidR="00417B5B" w:rsidRPr="00944DD8" w:rsidRDefault="00417B5B" w:rsidP="00835E10">
      <w:pPr>
        <w:rPr>
          <w:lang w:val="en-GB" w:eastAsia="pl-PL"/>
        </w:rPr>
      </w:pPr>
    </w:p>
    <w:p w14:paraId="219EAED7" w14:textId="77777777" w:rsidR="002D17F5" w:rsidRPr="00944DD8" w:rsidRDefault="002D17F5" w:rsidP="00835E10">
      <w:pPr>
        <w:rPr>
          <w:lang w:val="en-GB" w:eastAsia="pl-PL"/>
        </w:rPr>
      </w:pPr>
    </w:p>
    <w:p w14:paraId="030CE6AF" w14:textId="77777777" w:rsidR="002D17F5" w:rsidRPr="00944DD8" w:rsidRDefault="002D17F5" w:rsidP="00835E10">
      <w:pPr>
        <w:rPr>
          <w:lang w:val="en-GB" w:eastAsia="pl-PL"/>
        </w:rPr>
      </w:pPr>
    </w:p>
    <w:p w14:paraId="0D8531E9" w14:textId="77777777" w:rsidR="00417B5B" w:rsidRPr="00944DD8" w:rsidRDefault="00417B5B" w:rsidP="00835E10">
      <w:pPr>
        <w:rPr>
          <w:lang w:val="en-GB" w:eastAsia="pl-PL"/>
        </w:rPr>
      </w:pPr>
    </w:p>
    <w:p w14:paraId="1EA78FE2" w14:textId="3242924A" w:rsidR="00835E10" w:rsidRPr="008C5227" w:rsidRDefault="008C5227" w:rsidP="00960BD2">
      <w:pPr>
        <w:spacing w:line="240" w:lineRule="exact"/>
        <w:rPr>
          <w:sz w:val="18"/>
          <w:lang w:val="en-GB"/>
        </w:rPr>
        <w:sectPr w:rsidR="00835E10" w:rsidRPr="008C5227"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r w:rsidRPr="008C5227">
        <w:rPr>
          <w:lang w:val="en-GB" w:eastAsia="pl-PL"/>
        </w:rPr>
        <w:t>In case of quoting Statistics Poland data</w:t>
      </w:r>
      <w:r w:rsidR="00C90109">
        <w:rPr>
          <w:lang w:val="en-GB" w:eastAsia="pl-PL"/>
        </w:rPr>
        <w:t>.</w:t>
      </w:r>
      <w:r w:rsidRPr="008C5227">
        <w:rPr>
          <w:lang w:val="en-GB" w:eastAsia="pl-PL"/>
        </w:rPr>
        <w:t xml:space="preserve"> please provide information: “Source of data: Statistics Poland”</w:t>
      </w:r>
      <w:r w:rsidR="00C90109">
        <w:rPr>
          <w:lang w:val="en-GB" w:eastAsia="pl-PL"/>
        </w:rPr>
        <w:t>.</w:t>
      </w:r>
      <w:r w:rsidRPr="008C5227">
        <w:rPr>
          <w:lang w:val="en-GB" w:eastAsia="pl-PL"/>
        </w:rPr>
        <w:t xml:space="preserve"> and in case of publishing calculations made on data published by Statistics Poland</w:t>
      </w:r>
      <w:r w:rsidR="00C90109">
        <w:rPr>
          <w:lang w:val="en-GB" w:eastAsia="pl-PL"/>
        </w:rPr>
        <w:t>.</w:t>
      </w:r>
      <w:r w:rsidRPr="008C5227">
        <w:rPr>
          <w:lang w:val="en-GB" w:eastAsia="pl-PL"/>
        </w:rPr>
        <w:t xml:space="preserve"> please include the following disclaimer: “Own study based on figures from Statistics Poland”.</w:t>
      </w:r>
    </w:p>
    <w:tbl>
      <w:tblPr>
        <w:tblStyle w:val="Tabela-Siatka"/>
        <w:tblW w:w="982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gridCol w:w="4914"/>
      </w:tblGrid>
      <w:tr w:rsidR="00DE2400" w:rsidRPr="00C90109" w14:paraId="196D0BDA" w14:textId="77777777" w:rsidTr="00960BD2">
        <w:trPr>
          <w:trHeight w:val="968"/>
        </w:trPr>
        <w:tc>
          <w:tcPr>
            <w:tcW w:w="4913" w:type="dxa"/>
          </w:tcPr>
          <w:p w14:paraId="66B4018F" w14:textId="77777777" w:rsidR="008C5227" w:rsidRPr="008C5227" w:rsidRDefault="008C5227" w:rsidP="008C5227">
            <w:pPr>
              <w:spacing w:before="0" w:after="0" w:line="276" w:lineRule="auto"/>
              <w:rPr>
                <w:rFonts w:cs="Arial"/>
                <w:sz w:val="20"/>
                <w:lang w:val="en-GB"/>
              </w:rPr>
            </w:pPr>
            <w:r w:rsidRPr="008C5227">
              <w:rPr>
                <w:rFonts w:cs="Arial"/>
                <w:sz w:val="20"/>
                <w:lang w:val="en-GB"/>
              </w:rPr>
              <w:lastRenderedPageBreak/>
              <w:t>Prepared by:</w:t>
            </w:r>
          </w:p>
          <w:p w14:paraId="356990B2" w14:textId="15DACDCD" w:rsidR="00B66474" w:rsidRPr="00944DD8" w:rsidRDefault="008C5227" w:rsidP="008C5227">
            <w:pPr>
              <w:spacing w:before="0" w:line="276" w:lineRule="auto"/>
              <w:rPr>
                <w:rFonts w:cs="Arial"/>
                <w:b/>
                <w:color w:val="000000" w:themeColor="text1"/>
                <w:sz w:val="20"/>
                <w:lang w:val="en-GB"/>
              </w:rPr>
            </w:pPr>
            <w:r w:rsidRPr="008C5227">
              <w:rPr>
                <w:rFonts w:cs="Arial"/>
                <w:b/>
                <w:color w:val="000000" w:themeColor="text1"/>
                <w:sz w:val="20"/>
                <w:lang w:val="en-GB"/>
              </w:rPr>
              <w:t>Social Surveys Department</w:t>
            </w:r>
            <w:r w:rsidRPr="008C5227">
              <w:rPr>
                <w:rFonts w:cs="Arial"/>
                <w:b/>
                <w:color w:val="000000" w:themeColor="text1"/>
                <w:sz w:val="20"/>
                <w:lang w:val="en-GB"/>
              </w:rPr>
              <w:br/>
              <w:t>Director: Piotr Łysoń</w:t>
            </w:r>
            <w:r w:rsidR="00C90109">
              <w:rPr>
                <w:rFonts w:cs="Arial"/>
                <w:b/>
                <w:color w:val="000000" w:themeColor="text1"/>
                <w:sz w:val="20"/>
                <w:lang w:val="en-GB"/>
              </w:rPr>
              <w:t>.</w:t>
            </w:r>
            <w:r w:rsidRPr="008C5227">
              <w:rPr>
                <w:rFonts w:cs="Arial"/>
                <w:b/>
                <w:color w:val="000000" w:themeColor="text1"/>
                <w:sz w:val="20"/>
                <w:lang w:val="en-GB"/>
              </w:rPr>
              <w:t xml:space="preserve"> Ph.D.</w:t>
            </w:r>
            <w:r w:rsidRPr="008C5227">
              <w:rPr>
                <w:rFonts w:cs="Arial"/>
                <w:b/>
                <w:color w:val="000000" w:themeColor="text1"/>
                <w:sz w:val="20"/>
                <w:lang w:val="en-GB"/>
              </w:rPr>
              <w:br/>
            </w:r>
            <w:r w:rsidR="00CD2AE8">
              <w:rPr>
                <w:rFonts w:cs="Arial"/>
                <w:sz w:val="20"/>
                <w:lang w:val="en-GB"/>
              </w:rPr>
              <w:t>Phone:</w:t>
            </w:r>
            <w:r w:rsidRPr="008C5227">
              <w:rPr>
                <w:rFonts w:cs="Arial"/>
                <w:sz w:val="20"/>
                <w:lang w:val="en-GB"/>
              </w:rPr>
              <w:t xml:space="preserve"> </w:t>
            </w:r>
            <w:r w:rsidR="00CD2AE8">
              <w:rPr>
                <w:rFonts w:cs="Arial"/>
                <w:sz w:val="20"/>
                <w:lang w:val="en-GB"/>
              </w:rPr>
              <w:t>(</w:t>
            </w:r>
            <w:r w:rsidRPr="008C5227">
              <w:rPr>
                <w:rFonts w:cs="Arial"/>
                <w:sz w:val="20"/>
                <w:lang w:val="en-GB"/>
              </w:rPr>
              <w:t>+48 22</w:t>
            </w:r>
            <w:r w:rsidR="00CD2AE8">
              <w:rPr>
                <w:rFonts w:cs="Arial"/>
                <w:sz w:val="20"/>
                <w:lang w:val="en-GB"/>
              </w:rPr>
              <w:t>)</w:t>
            </w:r>
            <w:r w:rsidRPr="008C5227">
              <w:rPr>
                <w:rFonts w:cs="Arial"/>
                <w:sz w:val="20"/>
                <w:lang w:val="en-GB"/>
              </w:rPr>
              <w:t xml:space="preserve"> 449 40 27</w:t>
            </w:r>
          </w:p>
          <w:p w14:paraId="0ED8D718" w14:textId="77777777" w:rsidR="008C5227" w:rsidRPr="00944DD8" w:rsidRDefault="008C5227" w:rsidP="00B66474">
            <w:pPr>
              <w:spacing w:before="0" w:line="276" w:lineRule="auto"/>
              <w:rPr>
                <w:rFonts w:cs="Arial"/>
                <w:b/>
                <w:color w:val="000000" w:themeColor="text1"/>
                <w:sz w:val="20"/>
                <w:lang w:val="en-GB"/>
              </w:rPr>
            </w:pPr>
          </w:p>
          <w:p w14:paraId="43CEE396" w14:textId="59592871" w:rsidR="00DE2400" w:rsidRPr="008C5227" w:rsidRDefault="008C5227" w:rsidP="008C5227">
            <w:pPr>
              <w:spacing w:before="0" w:line="276" w:lineRule="auto"/>
              <w:rPr>
                <w:rFonts w:cs="Arial"/>
                <w:b/>
                <w:color w:val="000000" w:themeColor="text1"/>
                <w:sz w:val="20"/>
                <w:lang w:val="en-GB"/>
              </w:rPr>
            </w:pPr>
            <w:r w:rsidRPr="008C5227">
              <w:rPr>
                <w:rFonts w:cs="Arial"/>
                <w:b/>
                <w:color w:val="000000" w:themeColor="text1"/>
                <w:sz w:val="20"/>
                <w:lang w:val="en-GB"/>
              </w:rPr>
              <w:t xml:space="preserve">Statistical Office in </w:t>
            </w:r>
            <w:proofErr w:type="spellStart"/>
            <w:r w:rsidRPr="008C5227">
              <w:rPr>
                <w:rFonts w:cs="Arial"/>
                <w:b/>
                <w:color w:val="000000" w:themeColor="text1"/>
                <w:sz w:val="20"/>
                <w:lang w:val="en-GB"/>
              </w:rPr>
              <w:t>Kraków</w:t>
            </w:r>
            <w:proofErr w:type="spellEnd"/>
            <w:r>
              <w:rPr>
                <w:rFonts w:cs="Arial"/>
                <w:b/>
                <w:color w:val="000000" w:themeColor="text1"/>
                <w:sz w:val="20"/>
                <w:lang w:val="en-GB"/>
              </w:rPr>
              <w:br/>
            </w:r>
            <w:r w:rsidRPr="008C5227">
              <w:rPr>
                <w:rFonts w:cs="Arial"/>
                <w:b/>
                <w:color w:val="000000" w:themeColor="text1"/>
                <w:sz w:val="20"/>
                <w:lang w:val="en-GB"/>
              </w:rPr>
              <w:t xml:space="preserve">Director: Agnieszka </w:t>
            </w:r>
            <w:proofErr w:type="spellStart"/>
            <w:r w:rsidRPr="008C5227">
              <w:rPr>
                <w:rFonts w:cs="Arial"/>
                <w:b/>
                <w:color w:val="000000" w:themeColor="text1"/>
                <w:sz w:val="20"/>
                <w:lang w:val="en-GB"/>
              </w:rPr>
              <w:t>Szlubowska</w:t>
            </w:r>
            <w:proofErr w:type="spellEnd"/>
            <w:r>
              <w:rPr>
                <w:rFonts w:cs="Arial"/>
                <w:b/>
                <w:color w:val="000000" w:themeColor="text1"/>
                <w:sz w:val="20"/>
                <w:lang w:val="en-GB"/>
              </w:rPr>
              <w:br/>
            </w:r>
            <w:r w:rsidR="00CD2AE8">
              <w:rPr>
                <w:rFonts w:cs="Arial"/>
                <w:color w:val="000000" w:themeColor="text1"/>
                <w:sz w:val="20"/>
                <w:szCs w:val="20"/>
                <w:lang w:val="en-US"/>
              </w:rPr>
              <w:t>Phone</w:t>
            </w:r>
            <w:r w:rsidRPr="008C5227">
              <w:rPr>
                <w:rFonts w:cs="Arial"/>
                <w:color w:val="000000" w:themeColor="text1"/>
                <w:sz w:val="20"/>
                <w:szCs w:val="20"/>
                <w:lang w:val="en-US"/>
              </w:rPr>
              <w:t xml:space="preserve">: </w:t>
            </w:r>
            <w:r w:rsidR="00CD2AE8">
              <w:rPr>
                <w:rFonts w:cs="Arial"/>
                <w:color w:val="000000" w:themeColor="text1"/>
                <w:sz w:val="20"/>
                <w:szCs w:val="20"/>
                <w:lang w:val="en-US"/>
              </w:rPr>
              <w:t>(</w:t>
            </w:r>
            <w:r w:rsidRPr="008C5227">
              <w:rPr>
                <w:rFonts w:cs="Arial"/>
                <w:color w:val="000000" w:themeColor="text1"/>
                <w:sz w:val="20"/>
                <w:szCs w:val="20"/>
                <w:lang w:val="en-US"/>
              </w:rPr>
              <w:t>+48 12</w:t>
            </w:r>
            <w:r w:rsidR="00CD2AE8">
              <w:rPr>
                <w:rFonts w:cs="Arial"/>
                <w:color w:val="000000" w:themeColor="text1"/>
                <w:sz w:val="20"/>
                <w:szCs w:val="20"/>
                <w:lang w:val="en-US"/>
              </w:rPr>
              <w:t>)</w:t>
            </w:r>
            <w:r w:rsidRPr="008C5227">
              <w:rPr>
                <w:rFonts w:cs="Arial"/>
                <w:color w:val="000000" w:themeColor="text1"/>
                <w:sz w:val="20"/>
                <w:szCs w:val="20"/>
                <w:lang w:val="en-US"/>
              </w:rPr>
              <w:t xml:space="preserve"> 420 40 50</w:t>
            </w:r>
          </w:p>
          <w:p w14:paraId="5425F0B4" w14:textId="27F381FF" w:rsidR="008C5227" w:rsidRPr="008C5227" w:rsidRDefault="008C5227" w:rsidP="008C5227">
            <w:pPr>
              <w:rPr>
                <w:lang w:val="en-US"/>
              </w:rPr>
            </w:pPr>
          </w:p>
        </w:tc>
        <w:tc>
          <w:tcPr>
            <w:tcW w:w="4914" w:type="dxa"/>
          </w:tcPr>
          <w:p w14:paraId="3CC62B04" w14:textId="35D0475F" w:rsidR="00DE2400" w:rsidRPr="008C5227" w:rsidRDefault="008C5227" w:rsidP="00CD2AE8">
            <w:pPr>
              <w:spacing w:before="0" w:line="276" w:lineRule="auto"/>
              <w:rPr>
                <w:rFonts w:cs="Arial"/>
                <w:sz w:val="20"/>
                <w:lang w:val="en-GB"/>
              </w:rPr>
            </w:pPr>
            <w:r w:rsidRPr="008C5227">
              <w:rPr>
                <w:rFonts w:cs="Arial"/>
                <w:sz w:val="20"/>
                <w:lang w:val="en-GB"/>
              </w:rPr>
              <w:t>Issued by:</w:t>
            </w:r>
            <w:r>
              <w:rPr>
                <w:rFonts w:cs="Arial"/>
                <w:sz w:val="20"/>
                <w:lang w:val="en-GB"/>
              </w:rPr>
              <w:br/>
            </w:r>
            <w:r w:rsidRPr="008C5227">
              <w:rPr>
                <w:rFonts w:cs="Arial"/>
                <w:b/>
                <w:color w:val="000000" w:themeColor="text1"/>
                <w:sz w:val="20"/>
                <w:lang w:val="en-GB"/>
              </w:rPr>
              <w:t>The Spokesperson for the President</w:t>
            </w:r>
            <w:r w:rsidRPr="008C5227">
              <w:rPr>
                <w:rFonts w:cs="Arial"/>
                <w:b/>
                <w:color w:val="000000" w:themeColor="text1"/>
                <w:sz w:val="20"/>
                <w:lang w:val="en-GB"/>
              </w:rPr>
              <w:br/>
              <w:t>of Statistics Poland</w:t>
            </w:r>
            <w:r>
              <w:rPr>
                <w:rFonts w:cs="Arial"/>
                <w:b/>
                <w:color w:val="000000" w:themeColor="text1"/>
                <w:sz w:val="20"/>
                <w:lang w:val="en-GB"/>
              </w:rPr>
              <w:br/>
            </w:r>
            <w:r w:rsidRPr="008C5227">
              <w:rPr>
                <w:rFonts w:cs="Arial"/>
                <w:b/>
                <w:color w:val="000000" w:themeColor="text1"/>
                <w:sz w:val="20"/>
                <w:lang w:val="en-GB"/>
              </w:rPr>
              <w:t>Karolina Banaszek</w:t>
            </w:r>
            <w:r>
              <w:rPr>
                <w:rFonts w:cs="Arial"/>
                <w:b/>
                <w:color w:val="000000" w:themeColor="text1"/>
                <w:sz w:val="20"/>
                <w:lang w:val="en-GB"/>
              </w:rPr>
              <w:br/>
            </w:r>
            <w:r w:rsidR="00CD2AE8">
              <w:rPr>
                <w:rFonts w:cs="Arial"/>
                <w:sz w:val="20"/>
                <w:lang w:val="en-GB"/>
              </w:rPr>
              <w:t>Phone</w:t>
            </w:r>
            <w:r w:rsidRPr="008C5227">
              <w:rPr>
                <w:rFonts w:cs="Arial"/>
                <w:sz w:val="20"/>
                <w:lang w:val="en-GB"/>
              </w:rPr>
              <w:t xml:space="preserve">: </w:t>
            </w:r>
            <w:r w:rsidR="00CD2AE8">
              <w:rPr>
                <w:rFonts w:cs="Arial"/>
                <w:sz w:val="20"/>
                <w:lang w:val="en-GB"/>
              </w:rPr>
              <w:t>(</w:t>
            </w:r>
            <w:r w:rsidRPr="008C5227">
              <w:rPr>
                <w:rFonts w:cs="Arial"/>
                <w:sz w:val="20"/>
                <w:lang w:val="en-GB"/>
              </w:rPr>
              <w:t>+48</w:t>
            </w:r>
            <w:r w:rsidR="00CD2AE8">
              <w:rPr>
                <w:rFonts w:cs="Arial"/>
                <w:sz w:val="20"/>
                <w:lang w:val="en-GB"/>
              </w:rPr>
              <w:t>)</w:t>
            </w:r>
            <w:r w:rsidRPr="008C5227">
              <w:rPr>
                <w:rFonts w:cs="Arial"/>
                <w:sz w:val="20"/>
                <w:lang w:val="en-GB"/>
              </w:rPr>
              <w:t xml:space="preserve"> 695 255 011</w:t>
            </w:r>
          </w:p>
        </w:tc>
      </w:tr>
      <w:tr w:rsidR="00DE2400" w14:paraId="28647E7C" w14:textId="77777777" w:rsidTr="00960BD2">
        <w:trPr>
          <w:trHeight w:val="249"/>
        </w:trPr>
        <w:tc>
          <w:tcPr>
            <w:tcW w:w="4913" w:type="dxa"/>
            <w:vMerge w:val="restart"/>
          </w:tcPr>
          <w:p w14:paraId="076C640B" w14:textId="31605300" w:rsidR="00DE2400" w:rsidRPr="00944DD8" w:rsidRDefault="008C5227" w:rsidP="00747B8C">
            <w:pPr>
              <w:rPr>
                <w:rFonts w:cs="Arial"/>
                <w:b/>
                <w:color w:val="000000" w:themeColor="text1"/>
                <w:sz w:val="20"/>
                <w:lang w:val="en-GB"/>
              </w:rPr>
            </w:pPr>
            <w:r w:rsidRPr="00944DD8">
              <w:rPr>
                <w:rFonts w:cs="Arial"/>
                <w:b/>
                <w:color w:val="000000" w:themeColor="text1"/>
                <w:sz w:val="20"/>
                <w:lang w:val="en-GB"/>
              </w:rPr>
              <w:t>Press office</w:t>
            </w:r>
          </w:p>
          <w:p w14:paraId="6446B629" w14:textId="2F49A7E7" w:rsidR="00DE2400" w:rsidRPr="00B66474" w:rsidRDefault="00CD2AE8" w:rsidP="00B66474">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B66474">
              <w:rPr>
                <w:rFonts w:ascii="Fira Sans" w:hAnsi="Fira Sans" w:cs="Arial"/>
                <w:color w:val="000000" w:themeColor="text1"/>
                <w:sz w:val="20"/>
                <w:lang w:val="fi-FI"/>
              </w:rPr>
              <w:t xml:space="preserve">: </w:t>
            </w:r>
            <w:r>
              <w:rPr>
                <w:rFonts w:ascii="Fira Sans" w:hAnsi="Fira Sans" w:cs="Arial"/>
                <w:color w:val="000000" w:themeColor="text1"/>
                <w:sz w:val="20"/>
                <w:lang w:val="fi-FI"/>
              </w:rPr>
              <w:t>(</w:t>
            </w:r>
            <w:r w:rsidR="008C5227">
              <w:rPr>
                <w:rFonts w:ascii="Fira Sans" w:hAnsi="Fira Sans" w:cs="Arial"/>
                <w:color w:val="000000" w:themeColor="text1"/>
                <w:sz w:val="20"/>
                <w:lang w:val="fi-FI"/>
              </w:rPr>
              <w:t xml:space="preserve">+48 </w:t>
            </w:r>
            <w:r w:rsidR="00DE2400" w:rsidRPr="00B66474">
              <w:rPr>
                <w:rFonts w:ascii="Fira Sans" w:hAnsi="Fira Sans" w:cs="Arial"/>
                <w:color w:val="000000" w:themeColor="text1"/>
                <w:sz w:val="20"/>
                <w:lang w:val="fi-FI"/>
              </w:rPr>
              <w:t>22</w:t>
            </w:r>
            <w:r>
              <w:rPr>
                <w:rFonts w:ascii="Fira Sans" w:hAnsi="Fira Sans" w:cs="Arial"/>
                <w:color w:val="000000" w:themeColor="text1"/>
                <w:sz w:val="20"/>
                <w:lang w:val="fi-FI"/>
              </w:rPr>
              <w:t>)</w:t>
            </w:r>
            <w:r w:rsidR="00DE2400" w:rsidRPr="00B66474">
              <w:rPr>
                <w:rFonts w:ascii="Fira Sans" w:hAnsi="Fira Sans" w:cs="Arial"/>
                <w:color w:val="000000" w:themeColor="text1"/>
                <w:sz w:val="20"/>
                <w:lang w:val="fi-FI"/>
              </w:rPr>
              <w:t xml:space="preserve"> 608 3</w:t>
            </w:r>
            <w:r w:rsidR="00E95036" w:rsidRPr="00B66474">
              <w:rPr>
                <w:rFonts w:ascii="Fira Sans" w:hAnsi="Fira Sans" w:cs="Arial"/>
                <w:color w:val="000000" w:themeColor="text1"/>
                <w:sz w:val="20"/>
                <w:lang w:val="fi-FI"/>
              </w:rPr>
              <w:t>8 04</w:t>
            </w:r>
            <w:r w:rsidR="00DE2400" w:rsidRPr="00B66474">
              <w:rPr>
                <w:rFonts w:ascii="Fira Sans" w:hAnsi="Fira Sans" w:cs="Arial"/>
                <w:color w:val="000000" w:themeColor="text1"/>
                <w:sz w:val="20"/>
                <w:lang w:val="fi-FI"/>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2" w:history="1">
              <w:r w:rsidRPr="00394E26">
                <w:rPr>
                  <w:rStyle w:val="Hipercze"/>
                  <w:rFonts w:eastAsiaTheme="majorEastAsia" w:cs="Arial"/>
                  <w:b/>
                  <w:color w:val="auto"/>
                  <w:sz w:val="20"/>
                  <w:szCs w:val="20"/>
                  <w:lang w:val="en-US"/>
                </w:rPr>
                <w:t>obslugaprasowa@stat.gov.pl</w:t>
              </w:r>
            </w:hyperlink>
          </w:p>
        </w:tc>
        <w:tc>
          <w:tcPr>
            <w:tcW w:w="4914" w:type="dxa"/>
            <w:vAlign w:val="center"/>
          </w:tcPr>
          <w:p w14:paraId="01941133" w14:textId="18C66A31" w:rsidR="00DE2400" w:rsidRDefault="00DE2400" w:rsidP="005B4B1D">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CD2AE8">
              <w:rPr>
                <w:sz w:val="20"/>
              </w:rPr>
              <w:t>/en/</w:t>
            </w:r>
            <w:bookmarkStart w:id="1" w:name="_GoBack"/>
            <w:bookmarkEnd w:id="1"/>
            <w:r>
              <w:rPr>
                <w:sz w:val="18"/>
              </w:rPr>
              <w:t xml:space="preserve"> </w:t>
            </w:r>
          </w:p>
        </w:tc>
      </w:tr>
      <w:tr w:rsidR="00DE2400" w14:paraId="36A99721" w14:textId="77777777" w:rsidTr="00960BD2">
        <w:trPr>
          <w:trHeight w:val="249"/>
        </w:trPr>
        <w:tc>
          <w:tcPr>
            <w:tcW w:w="4913" w:type="dxa"/>
            <w:vMerge/>
          </w:tcPr>
          <w:p w14:paraId="3255344A" w14:textId="77777777" w:rsidR="00DE2400" w:rsidRPr="00C91687" w:rsidRDefault="00DE2400" w:rsidP="00747B8C">
            <w:pPr>
              <w:rPr>
                <w:b/>
                <w:sz w:val="20"/>
              </w:rPr>
            </w:pPr>
          </w:p>
        </w:tc>
        <w:tc>
          <w:tcPr>
            <w:tcW w:w="4914" w:type="dxa"/>
            <w:vAlign w:val="center"/>
          </w:tcPr>
          <w:p w14:paraId="09C3C6AD" w14:textId="09380600"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C5227" w:rsidRPr="008C5227">
              <w:rPr>
                <w:sz w:val="20"/>
              </w:rPr>
              <w:t>@</w:t>
            </w:r>
            <w:proofErr w:type="spellStart"/>
            <w:r w:rsidR="008C5227" w:rsidRPr="008C5227">
              <w:rPr>
                <w:sz w:val="20"/>
              </w:rPr>
              <w:t>StatPoland</w:t>
            </w:r>
            <w:proofErr w:type="spellEnd"/>
            <w:r w:rsidR="00DE2400">
              <w:rPr>
                <w:noProof/>
                <w:sz w:val="20"/>
                <w:lang w:eastAsia="pl-PL"/>
              </w:rPr>
              <w:t xml:space="preserve"> </w:t>
            </w:r>
          </w:p>
        </w:tc>
      </w:tr>
      <w:tr w:rsidR="00DE2400" w14:paraId="549C3B1C" w14:textId="77777777" w:rsidTr="00960BD2">
        <w:trPr>
          <w:trHeight w:val="283"/>
        </w:trPr>
        <w:tc>
          <w:tcPr>
            <w:tcW w:w="4913" w:type="dxa"/>
            <w:vMerge/>
          </w:tcPr>
          <w:p w14:paraId="231798A1" w14:textId="77777777" w:rsidR="00DE2400" w:rsidRPr="00C91687" w:rsidRDefault="00DE2400" w:rsidP="00747B8C">
            <w:pPr>
              <w:rPr>
                <w:b/>
                <w:sz w:val="20"/>
              </w:rPr>
            </w:pPr>
          </w:p>
        </w:tc>
        <w:tc>
          <w:tcPr>
            <w:tcW w:w="4914"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960BD2">
        <w:trPr>
          <w:trHeight w:val="253"/>
        </w:trPr>
        <w:tc>
          <w:tcPr>
            <w:tcW w:w="4913" w:type="dxa"/>
          </w:tcPr>
          <w:p w14:paraId="282131AD" w14:textId="77777777" w:rsidR="00531873" w:rsidRPr="00C91687" w:rsidRDefault="00531873" w:rsidP="00531873">
            <w:pPr>
              <w:rPr>
                <w:b/>
                <w:sz w:val="20"/>
              </w:rPr>
            </w:pPr>
          </w:p>
        </w:tc>
        <w:tc>
          <w:tcPr>
            <w:tcW w:w="4914"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960BD2">
        <w:trPr>
          <w:trHeight w:val="300"/>
        </w:trPr>
        <w:tc>
          <w:tcPr>
            <w:tcW w:w="4913" w:type="dxa"/>
          </w:tcPr>
          <w:p w14:paraId="627AA41B" w14:textId="77777777" w:rsidR="00531873" w:rsidRPr="00C91687" w:rsidRDefault="00531873" w:rsidP="00531873">
            <w:pPr>
              <w:rPr>
                <w:b/>
                <w:sz w:val="20"/>
              </w:rPr>
            </w:pPr>
          </w:p>
        </w:tc>
        <w:tc>
          <w:tcPr>
            <w:tcW w:w="4914"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960BD2">
        <w:trPr>
          <w:trHeight w:val="921"/>
        </w:trPr>
        <w:tc>
          <w:tcPr>
            <w:tcW w:w="4913" w:type="dxa"/>
          </w:tcPr>
          <w:p w14:paraId="7F9FD058" w14:textId="77777777" w:rsidR="00531873" w:rsidRPr="00C91687" w:rsidRDefault="00531873" w:rsidP="00531873">
            <w:pPr>
              <w:rPr>
                <w:b/>
                <w:sz w:val="20"/>
              </w:rPr>
            </w:pPr>
          </w:p>
        </w:tc>
        <w:tc>
          <w:tcPr>
            <w:tcW w:w="4914"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E7534D" w14:paraId="385E56CC" w14:textId="77777777" w:rsidTr="00960BD2">
        <w:trPr>
          <w:trHeight w:val="2451"/>
        </w:trPr>
        <w:tc>
          <w:tcPr>
            <w:tcW w:w="9827" w:type="dxa"/>
            <w:gridSpan w:val="2"/>
            <w:shd w:val="clear" w:color="auto" w:fill="D9D9D9" w:themeFill="background1" w:themeFillShade="D9"/>
          </w:tcPr>
          <w:p w14:paraId="08948A60" w14:textId="6703B334" w:rsidR="00531873" w:rsidRPr="00944DD8" w:rsidRDefault="00E210A3" w:rsidP="00531873">
            <w:pPr>
              <w:shd w:val="clear" w:color="auto" w:fill="D9D9D9" w:themeFill="background1" w:themeFillShade="D9"/>
              <w:rPr>
                <w:b/>
                <w:lang w:val="en-GB"/>
              </w:rPr>
            </w:pPr>
            <w:r>
              <w:rPr>
                <w:b/>
                <w:lang w:val="en-GB"/>
              </w:rPr>
              <w:t>Related publications</w:t>
            </w:r>
          </w:p>
          <w:p w14:paraId="5BE1C95A" w14:textId="55189AA3" w:rsidR="00835E10" w:rsidRPr="008C5227" w:rsidRDefault="00CD2AE8" w:rsidP="00835E10">
            <w:pPr>
              <w:rPr>
                <w:rStyle w:val="Hipercze"/>
                <w:lang w:val="en-GB"/>
              </w:rPr>
            </w:pPr>
            <w:hyperlink r:id="rId29" w:history="1">
              <w:r w:rsidR="008C5227" w:rsidRPr="008C5227">
                <w:rPr>
                  <w:rStyle w:val="Hipercze"/>
                  <w:rFonts w:cstheme="minorBidi"/>
                  <w:lang w:val="en-GB"/>
                </w:rPr>
                <w:t>Non-profit sector in 2020. Associations</w:t>
              </w:r>
              <w:r w:rsidR="00C90109">
                <w:rPr>
                  <w:rStyle w:val="Hipercze"/>
                  <w:rFonts w:cstheme="minorBidi"/>
                  <w:lang w:val="en-GB"/>
                </w:rPr>
                <w:t>.</w:t>
              </w:r>
              <w:r w:rsidR="008C5227" w:rsidRPr="008C5227">
                <w:rPr>
                  <w:rStyle w:val="Hipercze"/>
                  <w:rFonts w:cstheme="minorBidi"/>
                  <w:lang w:val="en-GB"/>
                </w:rPr>
                <w:t xml:space="preserve"> foundations</w:t>
              </w:r>
              <w:r w:rsidR="00C90109">
                <w:rPr>
                  <w:rStyle w:val="Hipercze"/>
                  <w:rFonts w:cstheme="minorBidi"/>
                  <w:lang w:val="en-GB"/>
                </w:rPr>
                <w:t>.</w:t>
              </w:r>
              <w:r w:rsidR="008C5227" w:rsidRPr="008C5227">
                <w:rPr>
                  <w:rStyle w:val="Hipercze"/>
                  <w:rFonts w:cstheme="minorBidi"/>
                  <w:lang w:val="en-GB"/>
                </w:rPr>
                <w:t xml:space="preserve"> faith-based charities</w:t>
              </w:r>
              <w:r w:rsidR="00C90109">
                <w:rPr>
                  <w:rStyle w:val="Hipercze"/>
                  <w:rFonts w:cstheme="minorBidi"/>
                  <w:lang w:val="en-GB"/>
                </w:rPr>
                <w:t>.</w:t>
              </w:r>
              <w:r w:rsidR="008C5227" w:rsidRPr="008C5227">
                <w:rPr>
                  <w:rStyle w:val="Hipercze"/>
                  <w:rFonts w:cstheme="minorBidi"/>
                  <w:lang w:val="en-GB"/>
                </w:rPr>
                <w:t xml:space="preserve"> business and professional associations</w:t>
              </w:r>
            </w:hyperlink>
          </w:p>
          <w:p w14:paraId="66463D35" w14:textId="5F3DCA3B" w:rsidR="008C5227" w:rsidRDefault="00CD2AE8" w:rsidP="00835E10">
            <w:pPr>
              <w:rPr>
                <w:lang w:val="en-GB"/>
              </w:rPr>
            </w:pPr>
            <w:hyperlink r:id="rId30" w:history="1">
              <w:r w:rsidR="008C5227" w:rsidRPr="008C5227">
                <w:rPr>
                  <w:rStyle w:val="Hipercze"/>
                  <w:rFonts w:cstheme="minorBidi"/>
                  <w:lang w:val="en-GB"/>
                </w:rPr>
                <w:t>Involvement of social economy entities in providing support due to hostilities in the territory of Ukraine (February 24th-March 31st</w:t>
              </w:r>
              <w:r w:rsidR="00C90109">
                <w:rPr>
                  <w:rStyle w:val="Hipercze"/>
                  <w:rFonts w:cstheme="minorBidi"/>
                  <w:lang w:val="en-GB"/>
                </w:rPr>
                <w:t>.</w:t>
              </w:r>
              <w:r w:rsidR="008C5227" w:rsidRPr="008C5227">
                <w:rPr>
                  <w:rStyle w:val="Hipercze"/>
                  <w:rFonts w:cstheme="minorBidi"/>
                  <w:lang w:val="en-GB"/>
                </w:rPr>
                <w:t xml:space="preserve"> 2022)</w:t>
              </w:r>
            </w:hyperlink>
            <w:r w:rsidR="008C5227" w:rsidRPr="008C5227">
              <w:rPr>
                <w:lang w:val="en-GB"/>
              </w:rPr>
              <w:t xml:space="preserve"> </w:t>
            </w:r>
          </w:p>
          <w:p w14:paraId="59EB7117" w14:textId="0090318F" w:rsidR="00531873" w:rsidRPr="008C5227" w:rsidRDefault="00CD2AE8" w:rsidP="00531873">
            <w:pPr>
              <w:rPr>
                <w:b/>
                <w:color w:val="000000" w:themeColor="text1"/>
                <w:szCs w:val="24"/>
                <w:lang w:val="en-GB"/>
              </w:rPr>
            </w:pPr>
            <w:hyperlink r:id="rId31" w:history="1">
              <w:r w:rsidR="008C5227" w:rsidRPr="008C5227">
                <w:rPr>
                  <w:rStyle w:val="Hipercze"/>
                  <w:rFonts w:cstheme="minorBidi"/>
                  <w:lang w:val="en-GB"/>
                </w:rPr>
                <w:t>Cooperation of non-profit organizations with other entities in 2021</w:t>
              </w:r>
            </w:hyperlink>
            <w:r w:rsidR="008C5227" w:rsidRPr="008C5227">
              <w:rPr>
                <w:lang w:val="en-GB"/>
              </w:rPr>
              <w:t xml:space="preserve"> </w:t>
            </w:r>
          </w:p>
        </w:tc>
      </w:tr>
    </w:tbl>
    <w:p w14:paraId="1728F66F" w14:textId="77777777" w:rsidR="00326AAE" w:rsidRPr="008C5227" w:rsidRDefault="00326AAE" w:rsidP="00A05885">
      <w:pPr>
        <w:rPr>
          <w:sz w:val="18"/>
          <w:lang w:val="en-GB"/>
        </w:rPr>
      </w:pPr>
    </w:p>
    <w:sectPr w:rsidR="00326AAE" w:rsidRPr="008C5227" w:rsidSect="003B18B6">
      <w:headerReference w:type="default" r:id="rId32"/>
      <w:footerReference w:type="default" r:id="rId33"/>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F58662" w16cid:durableId="27B969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1F472" w14:textId="77777777" w:rsidR="00C45FC0" w:rsidRDefault="00C45FC0" w:rsidP="000662E2">
      <w:pPr>
        <w:spacing w:after="0" w:line="240" w:lineRule="auto"/>
      </w:pPr>
      <w:r>
        <w:separator/>
      </w:r>
    </w:p>
  </w:endnote>
  <w:endnote w:type="continuationSeparator" w:id="0">
    <w:p w14:paraId="40B820A6" w14:textId="77777777" w:rsidR="00C45FC0" w:rsidRDefault="00C45FC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065DD07-52B5-4AF0-9B1C-2BC02EA184D7}"/>
    <w:embedBold r:id="rId2" w:fontKey="{F8A48462-FED4-431B-8200-43A396889B95}"/>
    <w:embedItalic r:id="rId3" w:fontKey="{327BCB80-58CC-41B7-A017-B684233FAC1F}"/>
  </w:font>
  <w:font w:name="Fira Sans Light">
    <w:panose1 w:val="020B0403050000020004"/>
    <w:charset w:val="EE"/>
    <w:family w:val="swiss"/>
    <w:pitch w:val="variable"/>
    <w:sig w:usb0="600002FF" w:usb1="02000001" w:usb2="00000000" w:usb3="00000000" w:csb0="0000019F" w:csb1="00000000"/>
    <w:embedRegular r:id="rId4" w:fontKey="{B954C687-2326-4CCF-9472-D4307D369088}"/>
    <w:embedBold r:id="rId5" w:fontKey="{97C5D4C8-2E6C-4B61-9EA9-2F8F1A5187A1}"/>
    <w:embedItalic r:id="rId6" w:fontKey="{CCEBDF93-3084-479F-A70C-224F61AEAB20}"/>
  </w:font>
  <w:font w:name="Fira Sans Medium">
    <w:panose1 w:val="020B0603050000020004"/>
    <w:charset w:val="EE"/>
    <w:family w:val="swiss"/>
    <w:pitch w:val="variable"/>
    <w:sig w:usb0="600002FF" w:usb1="02000001" w:usb2="00000000" w:usb3="00000000" w:csb0="0000019F" w:csb1="00000000"/>
    <w:embedRegular r:id="rId7" w:fontKey="{F54ACF3A-ABBD-4762-AEBB-1C4838078003}"/>
    <w:embedItalic r:id="rId8" w:fontKey="{A13AFEAA-43BC-4812-8B3A-6F2323BA08D4}"/>
  </w:font>
  <w:font w:name="Segoe UI">
    <w:panose1 w:val="020B0502040204020203"/>
    <w:charset w:val="EE"/>
    <w:family w:val="swiss"/>
    <w:pitch w:val="variable"/>
    <w:sig w:usb0="E4002EFF" w:usb1="C000E47F" w:usb2="00000009" w:usb3="00000000" w:csb0="000001FF" w:csb1="00000000"/>
    <w:embedRegular r:id="rId9" w:fontKey="{7659C33A-E380-4968-8AD4-03C3D3E67916}"/>
  </w:font>
  <w:font w:name="Fira Sans Extra Condensed SemiB">
    <w:panose1 w:val="020B0603050000020004"/>
    <w:charset w:val="EE"/>
    <w:family w:val="swiss"/>
    <w:pitch w:val="variable"/>
    <w:sig w:usb0="600002FF" w:usb1="00000001" w:usb2="00000000" w:usb3="00000000" w:csb0="0000019F" w:csb1="00000000"/>
    <w:embedRegular r:id="rId10" w:fontKey="{4B99713F-37D8-4CAB-A51A-F37F85B05FF6}"/>
  </w:font>
  <w:font w:name="Fira Sans SemiBold">
    <w:panose1 w:val="020B0603050000020004"/>
    <w:charset w:val="EE"/>
    <w:family w:val="swiss"/>
    <w:pitch w:val="variable"/>
    <w:sig w:usb0="600002FF" w:usb1="02000001" w:usb2="00000000" w:usb3="00000000" w:csb0="0000019F" w:csb1="00000000"/>
    <w:embedRegular r:id="rId11" w:fontKey="{F852FF14-AFF6-4CB3-AAFE-C4B855066C54}"/>
  </w:font>
  <w:font w:name="Calibri">
    <w:panose1 w:val="020F0502020204030204"/>
    <w:charset w:val="EE"/>
    <w:family w:val="swiss"/>
    <w:pitch w:val="variable"/>
    <w:sig w:usb0="E4002EFF" w:usb1="C000247B" w:usb2="00000009" w:usb3="00000000" w:csb0="000001FF" w:csb1="00000000"/>
    <w:embedRegular r:id="rId12" w:fontKey="{0DADA1EB-9B41-46FA-AF65-7D3DA6243B5D}"/>
    <w:embedBold r:id="rId13" w:fontKey="{B7D1C503-9518-40AB-875A-53EFEE0530E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376413"/>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CD2AE8">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148603"/>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CD2AE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CD2AE8">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5A1B7" w14:textId="77777777" w:rsidR="00C45FC0" w:rsidRDefault="00C45FC0" w:rsidP="000662E2">
      <w:pPr>
        <w:spacing w:after="0" w:line="240" w:lineRule="auto"/>
      </w:pPr>
      <w:r>
        <w:separator/>
      </w:r>
    </w:p>
  </w:footnote>
  <w:footnote w:type="continuationSeparator" w:id="0">
    <w:p w14:paraId="1F807607" w14:textId="77777777" w:rsidR="00C45FC0" w:rsidRDefault="00C45FC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E75CDD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34F264E3"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521536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1A3065D2" w:rsidR="00F37172" w:rsidRPr="003C6C8D" w:rsidRDefault="006E4BC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1A3065D2" w:rsidR="00F37172" w:rsidRPr="003C6C8D" w:rsidRDefault="006E4BC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5E3387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465D23A7" w:rsidR="00540C5C" w:rsidRDefault="007174EA">
    <w:pPr>
      <w:pStyle w:val="Nagwek"/>
      <w:rPr>
        <w:noProof/>
        <w:lang w:eastAsia="pl-PL"/>
      </w:rPr>
    </w:pPr>
    <w:r w:rsidRPr="00445710">
      <w:rPr>
        <w:noProof/>
        <w:lang w:eastAsia="pl-PL"/>
      </w:rPr>
      <w:drawing>
        <wp:inline distT="0" distB="0" distL="0" distR="0" wp14:anchorId="7E2D8CDD" wp14:editId="3481FA44">
          <wp:extent cx="1783222" cy="609600"/>
          <wp:effectExtent l="0" t="0" r="762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260" cy="612006"/>
                  </a:xfrm>
                  <a:prstGeom prst="rect">
                    <a:avLst/>
                  </a:prstGeom>
                  <a:noFill/>
                  <a:ln>
                    <a:noFill/>
                  </a:ln>
                </pic:spPr>
              </pic:pic>
            </a:graphicData>
          </a:graphic>
        </wp:inline>
      </w:drawing>
    </w: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9E6F29C" w:rsidR="00F37172" w:rsidRPr="00A01B40" w:rsidRDefault="001C181E" w:rsidP="00F049AB">
                          <w:pPr>
                            <w:pStyle w:val="Datainformacjisygnalnej"/>
                          </w:pPr>
                          <w:r>
                            <w:t>30.03</w:t>
                          </w:r>
                          <w:r w:rsidR="00692E17">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14:paraId="71967FEA" w14:textId="29E6F29C" w:rsidR="00F37172" w:rsidRPr="00A01B40" w:rsidRDefault="001C181E" w:rsidP="00F049AB">
                    <w:pPr>
                      <w:pStyle w:val="Datainformacjisygnalnej"/>
                    </w:pPr>
                    <w:r>
                      <w:t>30.03</w:t>
                    </w:r>
                    <w:r w:rsidR="00692E17">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6pt;height:124.6pt;visibility:visible;mso-wrap-style:square" o:bullet="t">
        <v:imagedata r:id="rId1" o:title=""/>
      </v:shape>
    </w:pict>
  </w:numPicBullet>
  <w:numPicBullet w:numPicBulletId="1">
    <w:pict>
      <v:shape id="_x0000_i1027" type="#_x0000_t75" style="width:122.1pt;height:124.6pt;visibility:visible;mso-wrap-style:square" o:bullet="t">
        <v:imagedata r:id="rId2" o:title=""/>
      </v:shape>
    </w:pict>
  </w:numPicBullet>
  <w:numPicBullet w:numPicBulletId="2">
    <w:pict>
      <v:shape id="_x0000_i1028" type="#_x0000_t75" style="width:21.9pt;height:21.9pt;visibility:visible;mso-wrap-style:square" o:bullet="t">
        <v:imagedata r:id="rId3" o:title=""/>
      </v:shape>
    </w:pict>
  </w:numPicBullet>
  <w:numPicBullet w:numPicBulletId="3">
    <w:pict>
      <v:shape id="_x0000_i1029" type="#_x0000_t75" style="width:21.9pt;height:21.9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03E23C6"/>
    <w:multiLevelType w:val="hybridMultilevel"/>
    <w:tmpl w:val="E3A4B73E"/>
    <w:lvl w:ilvl="0" w:tplc="35043FE6">
      <w:start w:val="1"/>
      <w:numFmt w:val="decimal"/>
      <w:lvlText w:val="%1)"/>
      <w:lvlJc w:val="left"/>
      <w:pPr>
        <w:ind w:left="360" w:hanging="360"/>
      </w:pPr>
      <w:rPr>
        <w:rFonts w:hint="default"/>
        <w:i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80A"/>
    <w:rsid w:val="0000709F"/>
    <w:rsid w:val="000108B8"/>
    <w:rsid w:val="000152F5"/>
    <w:rsid w:val="00017822"/>
    <w:rsid w:val="0002153A"/>
    <w:rsid w:val="00030131"/>
    <w:rsid w:val="00033CDF"/>
    <w:rsid w:val="00036D91"/>
    <w:rsid w:val="0004582E"/>
    <w:rsid w:val="000470AA"/>
    <w:rsid w:val="00057308"/>
    <w:rsid w:val="00057CA1"/>
    <w:rsid w:val="000632AE"/>
    <w:rsid w:val="000647A9"/>
    <w:rsid w:val="000662E2"/>
    <w:rsid w:val="00066883"/>
    <w:rsid w:val="00070E79"/>
    <w:rsid w:val="00071B39"/>
    <w:rsid w:val="00074DD8"/>
    <w:rsid w:val="00075759"/>
    <w:rsid w:val="00075BD4"/>
    <w:rsid w:val="000806F7"/>
    <w:rsid w:val="00082421"/>
    <w:rsid w:val="0008401F"/>
    <w:rsid w:val="00086522"/>
    <w:rsid w:val="000868D9"/>
    <w:rsid w:val="00094866"/>
    <w:rsid w:val="00097840"/>
    <w:rsid w:val="000B0727"/>
    <w:rsid w:val="000B4BD5"/>
    <w:rsid w:val="000B4C98"/>
    <w:rsid w:val="000B6AFA"/>
    <w:rsid w:val="000C135D"/>
    <w:rsid w:val="000D16B7"/>
    <w:rsid w:val="000D1D43"/>
    <w:rsid w:val="000D225C"/>
    <w:rsid w:val="000D2A5C"/>
    <w:rsid w:val="000D39F0"/>
    <w:rsid w:val="000E0918"/>
    <w:rsid w:val="000E69D4"/>
    <w:rsid w:val="000E79A9"/>
    <w:rsid w:val="001011C3"/>
    <w:rsid w:val="001050E5"/>
    <w:rsid w:val="001069AA"/>
    <w:rsid w:val="00106DA3"/>
    <w:rsid w:val="00110214"/>
    <w:rsid w:val="00110D87"/>
    <w:rsid w:val="00111CF4"/>
    <w:rsid w:val="00112399"/>
    <w:rsid w:val="00114DB9"/>
    <w:rsid w:val="00116087"/>
    <w:rsid w:val="00117711"/>
    <w:rsid w:val="00124B93"/>
    <w:rsid w:val="00130296"/>
    <w:rsid w:val="00132C62"/>
    <w:rsid w:val="00133E7B"/>
    <w:rsid w:val="00134145"/>
    <w:rsid w:val="00136736"/>
    <w:rsid w:val="00136740"/>
    <w:rsid w:val="00136D67"/>
    <w:rsid w:val="001423B6"/>
    <w:rsid w:val="001448A7"/>
    <w:rsid w:val="00145463"/>
    <w:rsid w:val="00146621"/>
    <w:rsid w:val="00155326"/>
    <w:rsid w:val="00157074"/>
    <w:rsid w:val="001617E3"/>
    <w:rsid w:val="00162325"/>
    <w:rsid w:val="001666C7"/>
    <w:rsid w:val="001671E4"/>
    <w:rsid w:val="0017069C"/>
    <w:rsid w:val="00172133"/>
    <w:rsid w:val="001913C7"/>
    <w:rsid w:val="001922B0"/>
    <w:rsid w:val="001951DA"/>
    <w:rsid w:val="00197021"/>
    <w:rsid w:val="001A03C9"/>
    <w:rsid w:val="001A0607"/>
    <w:rsid w:val="001A062E"/>
    <w:rsid w:val="001A4528"/>
    <w:rsid w:val="001A4BFB"/>
    <w:rsid w:val="001B053D"/>
    <w:rsid w:val="001B11E9"/>
    <w:rsid w:val="001B3D45"/>
    <w:rsid w:val="001B7111"/>
    <w:rsid w:val="001C181E"/>
    <w:rsid w:val="001C3269"/>
    <w:rsid w:val="001D19B6"/>
    <w:rsid w:val="001D1DB4"/>
    <w:rsid w:val="001D23F1"/>
    <w:rsid w:val="001D25F9"/>
    <w:rsid w:val="001D61ED"/>
    <w:rsid w:val="001E0F81"/>
    <w:rsid w:val="001E5B2D"/>
    <w:rsid w:val="0020156C"/>
    <w:rsid w:val="00202371"/>
    <w:rsid w:val="00215360"/>
    <w:rsid w:val="00216634"/>
    <w:rsid w:val="00220F2C"/>
    <w:rsid w:val="0022329B"/>
    <w:rsid w:val="00227D33"/>
    <w:rsid w:val="00232382"/>
    <w:rsid w:val="00242D31"/>
    <w:rsid w:val="00253AB6"/>
    <w:rsid w:val="0025481E"/>
    <w:rsid w:val="002574F9"/>
    <w:rsid w:val="00262B61"/>
    <w:rsid w:val="00262CC6"/>
    <w:rsid w:val="00263E08"/>
    <w:rsid w:val="00264F09"/>
    <w:rsid w:val="00267936"/>
    <w:rsid w:val="00270AF8"/>
    <w:rsid w:val="002762FD"/>
    <w:rsid w:val="00276811"/>
    <w:rsid w:val="00282699"/>
    <w:rsid w:val="002926DF"/>
    <w:rsid w:val="002935D8"/>
    <w:rsid w:val="00296697"/>
    <w:rsid w:val="002A43EF"/>
    <w:rsid w:val="002A6126"/>
    <w:rsid w:val="002A7353"/>
    <w:rsid w:val="002B0472"/>
    <w:rsid w:val="002B4E81"/>
    <w:rsid w:val="002B57B5"/>
    <w:rsid w:val="002B5C00"/>
    <w:rsid w:val="002B6B12"/>
    <w:rsid w:val="002C21F0"/>
    <w:rsid w:val="002C29CD"/>
    <w:rsid w:val="002C5C2A"/>
    <w:rsid w:val="002C717D"/>
    <w:rsid w:val="002D01DF"/>
    <w:rsid w:val="002D166E"/>
    <w:rsid w:val="002D17F5"/>
    <w:rsid w:val="002E3EB3"/>
    <w:rsid w:val="002E6140"/>
    <w:rsid w:val="002E6985"/>
    <w:rsid w:val="002E6D58"/>
    <w:rsid w:val="002E71B6"/>
    <w:rsid w:val="002F35F6"/>
    <w:rsid w:val="002F77C8"/>
    <w:rsid w:val="002F7CBF"/>
    <w:rsid w:val="00304F22"/>
    <w:rsid w:val="00306C7C"/>
    <w:rsid w:val="003138FA"/>
    <w:rsid w:val="00313F5C"/>
    <w:rsid w:val="00314F86"/>
    <w:rsid w:val="00316308"/>
    <w:rsid w:val="00317F4D"/>
    <w:rsid w:val="00320023"/>
    <w:rsid w:val="00322EDD"/>
    <w:rsid w:val="00326AAE"/>
    <w:rsid w:val="003309FA"/>
    <w:rsid w:val="00331135"/>
    <w:rsid w:val="00332320"/>
    <w:rsid w:val="00340F5D"/>
    <w:rsid w:val="00343AE9"/>
    <w:rsid w:val="00345A9C"/>
    <w:rsid w:val="00345D91"/>
    <w:rsid w:val="00347D72"/>
    <w:rsid w:val="00353F45"/>
    <w:rsid w:val="00355935"/>
    <w:rsid w:val="00357611"/>
    <w:rsid w:val="00360AF4"/>
    <w:rsid w:val="0036432A"/>
    <w:rsid w:val="00364AF9"/>
    <w:rsid w:val="00367237"/>
    <w:rsid w:val="0037077F"/>
    <w:rsid w:val="00372411"/>
    <w:rsid w:val="00373882"/>
    <w:rsid w:val="00374B0E"/>
    <w:rsid w:val="00374D99"/>
    <w:rsid w:val="00377DB8"/>
    <w:rsid w:val="003809E8"/>
    <w:rsid w:val="003843DB"/>
    <w:rsid w:val="003928C4"/>
    <w:rsid w:val="00393761"/>
    <w:rsid w:val="003937A5"/>
    <w:rsid w:val="00394E26"/>
    <w:rsid w:val="00396691"/>
    <w:rsid w:val="00397D18"/>
    <w:rsid w:val="003A1B36"/>
    <w:rsid w:val="003A65B4"/>
    <w:rsid w:val="003B1454"/>
    <w:rsid w:val="003B18B6"/>
    <w:rsid w:val="003C161B"/>
    <w:rsid w:val="003C2D8A"/>
    <w:rsid w:val="003C2F10"/>
    <w:rsid w:val="003C4668"/>
    <w:rsid w:val="003C4933"/>
    <w:rsid w:val="003C59E0"/>
    <w:rsid w:val="003C6350"/>
    <w:rsid w:val="003C6C8D"/>
    <w:rsid w:val="003D2656"/>
    <w:rsid w:val="003D4F95"/>
    <w:rsid w:val="003D5F42"/>
    <w:rsid w:val="003D60A9"/>
    <w:rsid w:val="003E3F10"/>
    <w:rsid w:val="003E4367"/>
    <w:rsid w:val="003F0BD9"/>
    <w:rsid w:val="003F39AB"/>
    <w:rsid w:val="003F3F2C"/>
    <w:rsid w:val="003F4C97"/>
    <w:rsid w:val="003F666D"/>
    <w:rsid w:val="003F7FE6"/>
    <w:rsid w:val="00400193"/>
    <w:rsid w:val="00400C89"/>
    <w:rsid w:val="004059FD"/>
    <w:rsid w:val="00410EF7"/>
    <w:rsid w:val="00415D8C"/>
    <w:rsid w:val="00416EAF"/>
    <w:rsid w:val="00417B5B"/>
    <w:rsid w:val="004212E7"/>
    <w:rsid w:val="00421505"/>
    <w:rsid w:val="004217EB"/>
    <w:rsid w:val="00421E51"/>
    <w:rsid w:val="0042291C"/>
    <w:rsid w:val="00423C88"/>
    <w:rsid w:val="0042446D"/>
    <w:rsid w:val="00427BF8"/>
    <w:rsid w:val="00431C02"/>
    <w:rsid w:val="00437395"/>
    <w:rsid w:val="00445047"/>
    <w:rsid w:val="00446749"/>
    <w:rsid w:val="00453EB7"/>
    <w:rsid w:val="00460E61"/>
    <w:rsid w:val="0046150A"/>
    <w:rsid w:val="0046356B"/>
    <w:rsid w:val="00463E39"/>
    <w:rsid w:val="004657FC"/>
    <w:rsid w:val="00473086"/>
    <w:rsid w:val="004733F6"/>
    <w:rsid w:val="00474E69"/>
    <w:rsid w:val="00483DA3"/>
    <w:rsid w:val="00483E9F"/>
    <w:rsid w:val="00485A2C"/>
    <w:rsid w:val="0049589B"/>
    <w:rsid w:val="0049621B"/>
    <w:rsid w:val="00496AF4"/>
    <w:rsid w:val="004A1D19"/>
    <w:rsid w:val="004A2497"/>
    <w:rsid w:val="004B219D"/>
    <w:rsid w:val="004B4292"/>
    <w:rsid w:val="004C1895"/>
    <w:rsid w:val="004C6D40"/>
    <w:rsid w:val="004C7F90"/>
    <w:rsid w:val="004C7FB7"/>
    <w:rsid w:val="004E07EE"/>
    <w:rsid w:val="004E6AA8"/>
    <w:rsid w:val="004F0C3C"/>
    <w:rsid w:val="004F2280"/>
    <w:rsid w:val="004F23BB"/>
    <w:rsid w:val="004F3F85"/>
    <w:rsid w:val="004F63FC"/>
    <w:rsid w:val="0050041E"/>
    <w:rsid w:val="00501F8F"/>
    <w:rsid w:val="00505A92"/>
    <w:rsid w:val="00517290"/>
    <w:rsid w:val="005203F1"/>
    <w:rsid w:val="00521BC3"/>
    <w:rsid w:val="00521C11"/>
    <w:rsid w:val="00526077"/>
    <w:rsid w:val="00531873"/>
    <w:rsid w:val="00533632"/>
    <w:rsid w:val="00534013"/>
    <w:rsid w:val="00540C5C"/>
    <w:rsid w:val="00541E6E"/>
    <w:rsid w:val="0054251F"/>
    <w:rsid w:val="005520D8"/>
    <w:rsid w:val="00552A37"/>
    <w:rsid w:val="00553507"/>
    <w:rsid w:val="00555CFB"/>
    <w:rsid w:val="00556ADB"/>
    <w:rsid w:val="00556CF1"/>
    <w:rsid w:val="0056448E"/>
    <w:rsid w:val="00574CF7"/>
    <w:rsid w:val="005762A7"/>
    <w:rsid w:val="00581340"/>
    <w:rsid w:val="00581BC3"/>
    <w:rsid w:val="00583CA1"/>
    <w:rsid w:val="00585E5F"/>
    <w:rsid w:val="00587357"/>
    <w:rsid w:val="00587C14"/>
    <w:rsid w:val="00587CEE"/>
    <w:rsid w:val="005916D7"/>
    <w:rsid w:val="0059427F"/>
    <w:rsid w:val="00596788"/>
    <w:rsid w:val="005A046A"/>
    <w:rsid w:val="005A698C"/>
    <w:rsid w:val="005B3D06"/>
    <w:rsid w:val="005B4B1D"/>
    <w:rsid w:val="005C0CAC"/>
    <w:rsid w:val="005C1A4B"/>
    <w:rsid w:val="005C7662"/>
    <w:rsid w:val="005D062E"/>
    <w:rsid w:val="005D2F6B"/>
    <w:rsid w:val="005D334E"/>
    <w:rsid w:val="005D5BA5"/>
    <w:rsid w:val="005D666B"/>
    <w:rsid w:val="005D67A3"/>
    <w:rsid w:val="005E0799"/>
    <w:rsid w:val="005E10F9"/>
    <w:rsid w:val="005E1200"/>
    <w:rsid w:val="005E454B"/>
    <w:rsid w:val="005F45EE"/>
    <w:rsid w:val="005F5A80"/>
    <w:rsid w:val="005F7611"/>
    <w:rsid w:val="00600546"/>
    <w:rsid w:val="0060386C"/>
    <w:rsid w:val="006044FF"/>
    <w:rsid w:val="00607CC5"/>
    <w:rsid w:val="0061179B"/>
    <w:rsid w:val="006125F9"/>
    <w:rsid w:val="00621722"/>
    <w:rsid w:val="00633014"/>
    <w:rsid w:val="0063437B"/>
    <w:rsid w:val="0063660D"/>
    <w:rsid w:val="0064017E"/>
    <w:rsid w:val="006430F8"/>
    <w:rsid w:val="0065085C"/>
    <w:rsid w:val="00650907"/>
    <w:rsid w:val="00651BE5"/>
    <w:rsid w:val="00653157"/>
    <w:rsid w:val="00654BB6"/>
    <w:rsid w:val="00655D15"/>
    <w:rsid w:val="00657A06"/>
    <w:rsid w:val="006659E7"/>
    <w:rsid w:val="006673CA"/>
    <w:rsid w:val="006709C9"/>
    <w:rsid w:val="00673C26"/>
    <w:rsid w:val="00674DE5"/>
    <w:rsid w:val="00677ACA"/>
    <w:rsid w:val="006812AF"/>
    <w:rsid w:val="0068327D"/>
    <w:rsid w:val="00687178"/>
    <w:rsid w:val="00691534"/>
    <w:rsid w:val="00692E17"/>
    <w:rsid w:val="00693880"/>
    <w:rsid w:val="00694AF0"/>
    <w:rsid w:val="006A4686"/>
    <w:rsid w:val="006B0E9E"/>
    <w:rsid w:val="006B486D"/>
    <w:rsid w:val="006B5AE4"/>
    <w:rsid w:val="006C4541"/>
    <w:rsid w:val="006D1507"/>
    <w:rsid w:val="006D1608"/>
    <w:rsid w:val="006D4054"/>
    <w:rsid w:val="006D63F2"/>
    <w:rsid w:val="006D7409"/>
    <w:rsid w:val="006E02EC"/>
    <w:rsid w:val="006E0B7D"/>
    <w:rsid w:val="006E1CA1"/>
    <w:rsid w:val="006E3C4F"/>
    <w:rsid w:val="006E4BCD"/>
    <w:rsid w:val="006E6F41"/>
    <w:rsid w:val="006E73E6"/>
    <w:rsid w:val="006F662F"/>
    <w:rsid w:val="006F67D7"/>
    <w:rsid w:val="00701EDA"/>
    <w:rsid w:val="00703C44"/>
    <w:rsid w:val="00710E54"/>
    <w:rsid w:val="00713FF9"/>
    <w:rsid w:val="007174EA"/>
    <w:rsid w:val="007178AA"/>
    <w:rsid w:val="007211B1"/>
    <w:rsid w:val="00724A6C"/>
    <w:rsid w:val="007277DA"/>
    <w:rsid w:val="00731D27"/>
    <w:rsid w:val="00732841"/>
    <w:rsid w:val="0073533B"/>
    <w:rsid w:val="007357EB"/>
    <w:rsid w:val="00746187"/>
    <w:rsid w:val="0076254F"/>
    <w:rsid w:val="007801F5"/>
    <w:rsid w:val="00780B2B"/>
    <w:rsid w:val="00783CA4"/>
    <w:rsid w:val="007842FB"/>
    <w:rsid w:val="00786124"/>
    <w:rsid w:val="0079514B"/>
    <w:rsid w:val="00795252"/>
    <w:rsid w:val="00795B00"/>
    <w:rsid w:val="00796E43"/>
    <w:rsid w:val="007A1367"/>
    <w:rsid w:val="007A2DC1"/>
    <w:rsid w:val="007B6B7D"/>
    <w:rsid w:val="007C61E0"/>
    <w:rsid w:val="007D0869"/>
    <w:rsid w:val="007D14C4"/>
    <w:rsid w:val="007D3319"/>
    <w:rsid w:val="007D335D"/>
    <w:rsid w:val="007D5732"/>
    <w:rsid w:val="007D605C"/>
    <w:rsid w:val="007E3314"/>
    <w:rsid w:val="007E3514"/>
    <w:rsid w:val="007E4B03"/>
    <w:rsid w:val="007E7DC8"/>
    <w:rsid w:val="007F324B"/>
    <w:rsid w:val="008013C8"/>
    <w:rsid w:val="0080553C"/>
    <w:rsid w:val="00805B46"/>
    <w:rsid w:val="00805DB4"/>
    <w:rsid w:val="0081197A"/>
    <w:rsid w:val="00823593"/>
    <w:rsid w:val="00825DC2"/>
    <w:rsid w:val="00833458"/>
    <w:rsid w:val="00834AD3"/>
    <w:rsid w:val="00835E10"/>
    <w:rsid w:val="00843795"/>
    <w:rsid w:val="00846526"/>
    <w:rsid w:val="00847F0F"/>
    <w:rsid w:val="00852448"/>
    <w:rsid w:val="00856328"/>
    <w:rsid w:val="00864226"/>
    <w:rsid w:val="0087722F"/>
    <w:rsid w:val="00877F6C"/>
    <w:rsid w:val="0088258A"/>
    <w:rsid w:val="00886332"/>
    <w:rsid w:val="00891647"/>
    <w:rsid w:val="008925F0"/>
    <w:rsid w:val="008938CA"/>
    <w:rsid w:val="00894209"/>
    <w:rsid w:val="0089448A"/>
    <w:rsid w:val="00897877"/>
    <w:rsid w:val="008A0CFC"/>
    <w:rsid w:val="008A26D9"/>
    <w:rsid w:val="008A7B5B"/>
    <w:rsid w:val="008B12D2"/>
    <w:rsid w:val="008C0C29"/>
    <w:rsid w:val="008C5227"/>
    <w:rsid w:val="008D02DA"/>
    <w:rsid w:val="008D62C3"/>
    <w:rsid w:val="008D76BC"/>
    <w:rsid w:val="008E63C6"/>
    <w:rsid w:val="008E64A3"/>
    <w:rsid w:val="008E7DBA"/>
    <w:rsid w:val="008F0829"/>
    <w:rsid w:val="008F3638"/>
    <w:rsid w:val="008F4441"/>
    <w:rsid w:val="008F6B20"/>
    <w:rsid w:val="008F6F31"/>
    <w:rsid w:val="008F74DF"/>
    <w:rsid w:val="00902274"/>
    <w:rsid w:val="0090637A"/>
    <w:rsid w:val="00907272"/>
    <w:rsid w:val="009127BA"/>
    <w:rsid w:val="00913D2D"/>
    <w:rsid w:val="009162EC"/>
    <w:rsid w:val="00920AAE"/>
    <w:rsid w:val="00920C62"/>
    <w:rsid w:val="009227A6"/>
    <w:rsid w:val="00931D9E"/>
    <w:rsid w:val="00933EC1"/>
    <w:rsid w:val="00936083"/>
    <w:rsid w:val="009368D5"/>
    <w:rsid w:val="009446AD"/>
    <w:rsid w:val="00944DD8"/>
    <w:rsid w:val="009530DB"/>
    <w:rsid w:val="00953676"/>
    <w:rsid w:val="00953CA0"/>
    <w:rsid w:val="00956F30"/>
    <w:rsid w:val="00960BD2"/>
    <w:rsid w:val="009625D9"/>
    <w:rsid w:val="009664F7"/>
    <w:rsid w:val="00966C9A"/>
    <w:rsid w:val="00967527"/>
    <w:rsid w:val="0096794E"/>
    <w:rsid w:val="009705EE"/>
    <w:rsid w:val="0097352B"/>
    <w:rsid w:val="00977927"/>
    <w:rsid w:val="0098135C"/>
    <w:rsid w:val="0098156A"/>
    <w:rsid w:val="00986E7A"/>
    <w:rsid w:val="00991BAC"/>
    <w:rsid w:val="009A6EA0"/>
    <w:rsid w:val="009B2A4A"/>
    <w:rsid w:val="009B393D"/>
    <w:rsid w:val="009C1335"/>
    <w:rsid w:val="009C1AB2"/>
    <w:rsid w:val="009C308A"/>
    <w:rsid w:val="009C7251"/>
    <w:rsid w:val="009D0892"/>
    <w:rsid w:val="009D38D4"/>
    <w:rsid w:val="009D4B50"/>
    <w:rsid w:val="009D6616"/>
    <w:rsid w:val="009E2C80"/>
    <w:rsid w:val="009E2E91"/>
    <w:rsid w:val="009F7FD1"/>
    <w:rsid w:val="00A01B40"/>
    <w:rsid w:val="00A01B9A"/>
    <w:rsid w:val="00A0233A"/>
    <w:rsid w:val="00A0551A"/>
    <w:rsid w:val="00A05885"/>
    <w:rsid w:val="00A12DB3"/>
    <w:rsid w:val="00A139F5"/>
    <w:rsid w:val="00A32E16"/>
    <w:rsid w:val="00A33C08"/>
    <w:rsid w:val="00A365F4"/>
    <w:rsid w:val="00A407C8"/>
    <w:rsid w:val="00A40F45"/>
    <w:rsid w:val="00A460CD"/>
    <w:rsid w:val="00A467FD"/>
    <w:rsid w:val="00A47D80"/>
    <w:rsid w:val="00A52967"/>
    <w:rsid w:val="00A53132"/>
    <w:rsid w:val="00A5375A"/>
    <w:rsid w:val="00A54CAE"/>
    <w:rsid w:val="00A563F2"/>
    <w:rsid w:val="00A566E8"/>
    <w:rsid w:val="00A61BBA"/>
    <w:rsid w:val="00A643B6"/>
    <w:rsid w:val="00A64583"/>
    <w:rsid w:val="00A662A4"/>
    <w:rsid w:val="00A66347"/>
    <w:rsid w:val="00A66359"/>
    <w:rsid w:val="00A72D98"/>
    <w:rsid w:val="00A7430A"/>
    <w:rsid w:val="00A75751"/>
    <w:rsid w:val="00A76798"/>
    <w:rsid w:val="00A810F9"/>
    <w:rsid w:val="00A82D31"/>
    <w:rsid w:val="00A85E7E"/>
    <w:rsid w:val="00A86ECC"/>
    <w:rsid w:val="00A86FCC"/>
    <w:rsid w:val="00A90A6D"/>
    <w:rsid w:val="00A913E8"/>
    <w:rsid w:val="00A92B87"/>
    <w:rsid w:val="00A971E5"/>
    <w:rsid w:val="00A97BAF"/>
    <w:rsid w:val="00AA5214"/>
    <w:rsid w:val="00AA710D"/>
    <w:rsid w:val="00AB1F20"/>
    <w:rsid w:val="00AB58EC"/>
    <w:rsid w:val="00AB64F3"/>
    <w:rsid w:val="00AB6D25"/>
    <w:rsid w:val="00AC405C"/>
    <w:rsid w:val="00AD0E56"/>
    <w:rsid w:val="00AE229B"/>
    <w:rsid w:val="00AE2D4B"/>
    <w:rsid w:val="00AE4F99"/>
    <w:rsid w:val="00AE788F"/>
    <w:rsid w:val="00B01491"/>
    <w:rsid w:val="00B07504"/>
    <w:rsid w:val="00B07637"/>
    <w:rsid w:val="00B11B69"/>
    <w:rsid w:val="00B14952"/>
    <w:rsid w:val="00B16871"/>
    <w:rsid w:val="00B17357"/>
    <w:rsid w:val="00B22ACD"/>
    <w:rsid w:val="00B25B45"/>
    <w:rsid w:val="00B31E5A"/>
    <w:rsid w:val="00B320B1"/>
    <w:rsid w:val="00B41C57"/>
    <w:rsid w:val="00B4506B"/>
    <w:rsid w:val="00B47359"/>
    <w:rsid w:val="00B610E1"/>
    <w:rsid w:val="00B62852"/>
    <w:rsid w:val="00B653AB"/>
    <w:rsid w:val="00B65F9E"/>
    <w:rsid w:val="00B66474"/>
    <w:rsid w:val="00B66B19"/>
    <w:rsid w:val="00B7386E"/>
    <w:rsid w:val="00B765E7"/>
    <w:rsid w:val="00B84C43"/>
    <w:rsid w:val="00B914E9"/>
    <w:rsid w:val="00B92B34"/>
    <w:rsid w:val="00B956EE"/>
    <w:rsid w:val="00BA2BA1"/>
    <w:rsid w:val="00BA3447"/>
    <w:rsid w:val="00BA3562"/>
    <w:rsid w:val="00BA3DF1"/>
    <w:rsid w:val="00BA512C"/>
    <w:rsid w:val="00BB4F09"/>
    <w:rsid w:val="00BB54B5"/>
    <w:rsid w:val="00BB6C2C"/>
    <w:rsid w:val="00BC2A36"/>
    <w:rsid w:val="00BC62D3"/>
    <w:rsid w:val="00BD4728"/>
    <w:rsid w:val="00BD4E33"/>
    <w:rsid w:val="00BE0012"/>
    <w:rsid w:val="00BE5265"/>
    <w:rsid w:val="00BF2298"/>
    <w:rsid w:val="00BF3A84"/>
    <w:rsid w:val="00BF4350"/>
    <w:rsid w:val="00BF44AA"/>
    <w:rsid w:val="00C030DE"/>
    <w:rsid w:val="00C051A8"/>
    <w:rsid w:val="00C07C54"/>
    <w:rsid w:val="00C150A7"/>
    <w:rsid w:val="00C20653"/>
    <w:rsid w:val="00C22105"/>
    <w:rsid w:val="00C244B6"/>
    <w:rsid w:val="00C26678"/>
    <w:rsid w:val="00C27BF1"/>
    <w:rsid w:val="00C310E6"/>
    <w:rsid w:val="00C3521F"/>
    <w:rsid w:val="00C35C68"/>
    <w:rsid w:val="00C36A54"/>
    <w:rsid w:val="00C3702F"/>
    <w:rsid w:val="00C4500A"/>
    <w:rsid w:val="00C45FC0"/>
    <w:rsid w:val="00C471B7"/>
    <w:rsid w:val="00C5009F"/>
    <w:rsid w:val="00C62238"/>
    <w:rsid w:val="00C62F06"/>
    <w:rsid w:val="00C64A37"/>
    <w:rsid w:val="00C660A9"/>
    <w:rsid w:val="00C676BE"/>
    <w:rsid w:val="00C7158E"/>
    <w:rsid w:val="00C7250B"/>
    <w:rsid w:val="00C7346B"/>
    <w:rsid w:val="00C77C0E"/>
    <w:rsid w:val="00C806C0"/>
    <w:rsid w:val="00C90109"/>
    <w:rsid w:val="00C91687"/>
    <w:rsid w:val="00C924A8"/>
    <w:rsid w:val="00C945FE"/>
    <w:rsid w:val="00C959A1"/>
    <w:rsid w:val="00C96FAA"/>
    <w:rsid w:val="00C97A04"/>
    <w:rsid w:val="00CA107B"/>
    <w:rsid w:val="00CA2289"/>
    <w:rsid w:val="00CA2619"/>
    <w:rsid w:val="00CA286D"/>
    <w:rsid w:val="00CA484D"/>
    <w:rsid w:val="00CA4B5F"/>
    <w:rsid w:val="00CA4FB6"/>
    <w:rsid w:val="00CB0BC5"/>
    <w:rsid w:val="00CB2F90"/>
    <w:rsid w:val="00CB6AD4"/>
    <w:rsid w:val="00CB71F2"/>
    <w:rsid w:val="00CB7E6F"/>
    <w:rsid w:val="00CC2E7A"/>
    <w:rsid w:val="00CC31F2"/>
    <w:rsid w:val="00CC3AC5"/>
    <w:rsid w:val="00CC739E"/>
    <w:rsid w:val="00CD1EBB"/>
    <w:rsid w:val="00CD28CF"/>
    <w:rsid w:val="00CD2AE8"/>
    <w:rsid w:val="00CD58B7"/>
    <w:rsid w:val="00CD7967"/>
    <w:rsid w:val="00CE10F3"/>
    <w:rsid w:val="00CE36DA"/>
    <w:rsid w:val="00CE5D17"/>
    <w:rsid w:val="00CE6A09"/>
    <w:rsid w:val="00CE7152"/>
    <w:rsid w:val="00CF18EE"/>
    <w:rsid w:val="00CF2FC1"/>
    <w:rsid w:val="00CF30BD"/>
    <w:rsid w:val="00CF4099"/>
    <w:rsid w:val="00CF70BD"/>
    <w:rsid w:val="00D00796"/>
    <w:rsid w:val="00D0652A"/>
    <w:rsid w:val="00D161C5"/>
    <w:rsid w:val="00D170B3"/>
    <w:rsid w:val="00D261A2"/>
    <w:rsid w:val="00D325F4"/>
    <w:rsid w:val="00D42C9E"/>
    <w:rsid w:val="00D50DAD"/>
    <w:rsid w:val="00D52A23"/>
    <w:rsid w:val="00D616D2"/>
    <w:rsid w:val="00D6276D"/>
    <w:rsid w:val="00D63B5F"/>
    <w:rsid w:val="00D70EF7"/>
    <w:rsid w:val="00D739F2"/>
    <w:rsid w:val="00D8397C"/>
    <w:rsid w:val="00D87E88"/>
    <w:rsid w:val="00D91BCC"/>
    <w:rsid w:val="00D924BF"/>
    <w:rsid w:val="00D94EED"/>
    <w:rsid w:val="00D96026"/>
    <w:rsid w:val="00D972F6"/>
    <w:rsid w:val="00DA2AAC"/>
    <w:rsid w:val="00DA331D"/>
    <w:rsid w:val="00DA7C1C"/>
    <w:rsid w:val="00DB147A"/>
    <w:rsid w:val="00DB1B7A"/>
    <w:rsid w:val="00DB42DA"/>
    <w:rsid w:val="00DB706E"/>
    <w:rsid w:val="00DC283A"/>
    <w:rsid w:val="00DC6708"/>
    <w:rsid w:val="00DC7263"/>
    <w:rsid w:val="00DC7AFF"/>
    <w:rsid w:val="00DD011A"/>
    <w:rsid w:val="00DD16FC"/>
    <w:rsid w:val="00DD24E0"/>
    <w:rsid w:val="00DE2400"/>
    <w:rsid w:val="00DE323A"/>
    <w:rsid w:val="00DE58F1"/>
    <w:rsid w:val="00DE6B58"/>
    <w:rsid w:val="00DE7DD3"/>
    <w:rsid w:val="00DF3D1A"/>
    <w:rsid w:val="00DF5E32"/>
    <w:rsid w:val="00DF61CF"/>
    <w:rsid w:val="00E00B63"/>
    <w:rsid w:val="00E01436"/>
    <w:rsid w:val="00E03E79"/>
    <w:rsid w:val="00E045BD"/>
    <w:rsid w:val="00E04D6C"/>
    <w:rsid w:val="00E13183"/>
    <w:rsid w:val="00E146C3"/>
    <w:rsid w:val="00E151A7"/>
    <w:rsid w:val="00E17B77"/>
    <w:rsid w:val="00E210A3"/>
    <w:rsid w:val="00E231AB"/>
    <w:rsid w:val="00E23337"/>
    <w:rsid w:val="00E259EA"/>
    <w:rsid w:val="00E25D33"/>
    <w:rsid w:val="00E2752C"/>
    <w:rsid w:val="00E30119"/>
    <w:rsid w:val="00E32061"/>
    <w:rsid w:val="00E33F48"/>
    <w:rsid w:val="00E42FF9"/>
    <w:rsid w:val="00E44790"/>
    <w:rsid w:val="00E44EC5"/>
    <w:rsid w:val="00E46687"/>
    <w:rsid w:val="00E4714C"/>
    <w:rsid w:val="00E5178D"/>
    <w:rsid w:val="00E51AEB"/>
    <w:rsid w:val="00E522A7"/>
    <w:rsid w:val="00E5349E"/>
    <w:rsid w:val="00E54452"/>
    <w:rsid w:val="00E573E5"/>
    <w:rsid w:val="00E608A0"/>
    <w:rsid w:val="00E62B6F"/>
    <w:rsid w:val="00E63B0C"/>
    <w:rsid w:val="00E664C5"/>
    <w:rsid w:val="00E671A2"/>
    <w:rsid w:val="00E73012"/>
    <w:rsid w:val="00E7382E"/>
    <w:rsid w:val="00E7442C"/>
    <w:rsid w:val="00E7534D"/>
    <w:rsid w:val="00E76D26"/>
    <w:rsid w:val="00E76EE5"/>
    <w:rsid w:val="00E77D2D"/>
    <w:rsid w:val="00E81329"/>
    <w:rsid w:val="00E95036"/>
    <w:rsid w:val="00E95B8E"/>
    <w:rsid w:val="00E96D7A"/>
    <w:rsid w:val="00EA1BBA"/>
    <w:rsid w:val="00EB1390"/>
    <w:rsid w:val="00EB2C71"/>
    <w:rsid w:val="00EB3333"/>
    <w:rsid w:val="00EB4340"/>
    <w:rsid w:val="00EB5053"/>
    <w:rsid w:val="00EB556D"/>
    <w:rsid w:val="00EB5A7D"/>
    <w:rsid w:val="00EC4736"/>
    <w:rsid w:val="00EC562F"/>
    <w:rsid w:val="00ED55C0"/>
    <w:rsid w:val="00ED682B"/>
    <w:rsid w:val="00ED7E9C"/>
    <w:rsid w:val="00EE3F37"/>
    <w:rsid w:val="00EE41D5"/>
    <w:rsid w:val="00EE728B"/>
    <w:rsid w:val="00EF3CDA"/>
    <w:rsid w:val="00F0166F"/>
    <w:rsid w:val="00F037A4"/>
    <w:rsid w:val="00F03D62"/>
    <w:rsid w:val="00F049AB"/>
    <w:rsid w:val="00F121FF"/>
    <w:rsid w:val="00F142DB"/>
    <w:rsid w:val="00F2083E"/>
    <w:rsid w:val="00F265B9"/>
    <w:rsid w:val="00F27C8F"/>
    <w:rsid w:val="00F32749"/>
    <w:rsid w:val="00F37172"/>
    <w:rsid w:val="00F37727"/>
    <w:rsid w:val="00F4477E"/>
    <w:rsid w:val="00F46269"/>
    <w:rsid w:val="00F47C2D"/>
    <w:rsid w:val="00F60BA8"/>
    <w:rsid w:val="00F61BAC"/>
    <w:rsid w:val="00F637A5"/>
    <w:rsid w:val="00F63E70"/>
    <w:rsid w:val="00F64977"/>
    <w:rsid w:val="00F65A5A"/>
    <w:rsid w:val="00F67D8F"/>
    <w:rsid w:val="00F71CF6"/>
    <w:rsid w:val="00F72C1A"/>
    <w:rsid w:val="00F802BE"/>
    <w:rsid w:val="00F80E93"/>
    <w:rsid w:val="00F83EBD"/>
    <w:rsid w:val="00F86024"/>
    <w:rsid w:val="00F8611A"/>
    <w:rsid w:val="00F9273D"/>
    <w:rsid w:val="00FA3E6A"/>
    <w:rsid w:val="00FA5128"/>
    <w:rsid w:val="00FB42D4"/>
    <w:rsid w:val="00FB5906"/>
    <w:rsid w:val="00FB7150"/>
    <w:rsid w:val="00FB762F"/>
    <w:rsid w:val="00FC2AED"/>
    <w:rsid w:val="00FD08AE"/>
    <w:rsid w:val="00FD5EA7"/>
    <w:rsid w:val="00FE36CF"/>
    <w:rsid w:val="00FF0246"/>
    <w:rsid w:val="00FF03B3"/>
    <w:rsid w:val="00FF2277"/>
    <w:rsid w:val="00FF4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C31F2"/>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316308"/>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16308"/>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qFormat/>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0E69D4"/>
    <w:pPr>
      <w:spacing w:before="0"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DF3D1A"/>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CC31F2"/>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CC31F2"/>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5D666B"/>
    <w:pPr>
      <w:spacing w:line="240" w:lineRule="exact"/>
    </w:pPr>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5D666B"/>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val="0"/>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val="0"/>
      <w:bCs/>
      <w:noProof/>
      <w:color w:val="001D77"/>
      <w:sz w:val="19"/>
      <w:szCs w:val="24"/>
      <w:lang w:eastAsia="pl-PL"/>
    </w:rPr>
  </w:style>
  <w:style w:type="character" w:styleId="UyteHipercze">
    <w:name w:val="FollowedHyperlink"/>
    <w:basedOn w:val="Domylnaczcionkaakapitu"/>
    <w:uiPriority w:val="99"/>
    <w:semiHidden/>
    <w:unhideWhenUsed/>
    <w:rsid w:val="00931D9E"/>
    <w:rPr>
      <w:color w:val="954F72" w:themeColor="followedHyperlink"/>
      <w:u w:val="single"/>
    </w:rPr>
  </w:style>
  <w:style w:type="paragraph" w:styleId="Tekstprzypisukocowego">
    <w:name w:val="endnote text"/>
    <w:basedOn w:val="Normalny"/>
    <w:link w:val="TekstprzypisukocowegoZnak"/>
    <w:uiPriority w:val="99"/>
    <w:semiHidden/>
    <w:unhideWhenUsed/>
    <w:rsid w:val="009B393D"/>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B393D"/>
    <w:rPr>
      <w:rFonts w:ascii="Fira Sans" w:hAnsi="Fira Sans"/>
      <w:sz w:val="20"/>
      <w:szCs w:val="20"/>
    </w:rPr>
  </w:style>
  <w:style w:type="character" w:styleId="Odwoanieprzypisukocowego">
    <w:name w:val="endnote reference"/>
    <w:basedOn w:val="Domylnaczcionkaakapitu"/>
    <w:uiPriority w:val="99"/>
    <w:semiHidden/>
    <w:unhideWhenUsed/>
    <w:rsid w:val="009B393D"/>
    <w:rPr>
      <w:vertAlign w:val="superscript"/>
    </w:rPr>
  </w:style>
  <w:style w:type="paragraph" w:styleId="Tekstpodstawowy">
    <w:name w:val="Body Text"/>
    <w:basedOn w:val="Normalny"/>
    <w:link w:val="TekstpodstawowyZnak"/>
    <w:uiPriority w:val="99"/>
    <w:unhideWhenUsed/>
    <w:qFormat/>
    <w:rsid w:val="00692E17"/>
    <w:pPr>
      <w:spacing w:line="276" w:lineRule="auto"/>
      <w:jc w:val="both"/>
    </w:pPr>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uiPriority w:val="99"/>
    <w:rsid w:val="00692E17"/>
    <w:rPr>
      <w:rFonts w:eastAsiaTheme="minorEastAsia"/>
      <w:lang w:eastAsia="pl-PL"/>
    </w:rPr>
  </w:style>
  <w:style w:type="paragraph" w:customStyle="1" w:styleId="Default">
    <w:name w:val="Default"/>
    <w:rsid w:val="00692E17"/>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960BD2"/>
    <w:pPr>
      <w:spacing w:after="0" w:line="240" w:lineRule="auto"/>
    </w:pPr>
    <w:rPr>
      <w:rFonts w:ascii="Fira Sans" w:hAnsi="Fira Sans"/>
      <w:sz w:val="19"/>
    </w:rPr>
  </w:style>
  <w:style w:type="character" w:customStyle="1" w:styleId="UnresolvedMention">
    <w:name w:val="Unresolved Mention"/>
    <w:basedOn w:val="Domylnaczcionkaakapitu"/>
    <w:uiPriority w:val="99"/>
    <w:semiHidden/>
    <w:unhideWhenUsed/>
    <w:rsid w:val="008C5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eader" Target="head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8.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eader" Target="header2.xml"/><Relationship Id="rId29" Type="http://schemas.openxmlformats.org/officeDocument/2006/relationships/hyperlink" Target="https://stat.gov.pl/en/topics/social-economy/social-economy-third-sector/non-profit-sector-in-2020-associations-foundations-faith-based-charities-business-and-professional-associations,1,7.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6.png"/><Relationship Id="rId28" Type="http://schemas.openxmlformats.org/officeDocument/2006/relationships/image" Target="media/image11.png"/><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stat.gov.pl/en/topics/social-economy/social-economy-third-sector/cooperation-of-non-profit-organizations-with-other-entities-in-2021,10,5.html" TargetMode="External"/><Relationship Id="rId35"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yperlink" Target="mailto:obslugaprasowa@stat.gov.pl" TargetMode="External"/><Relationship Id="rId27" Type="http://schemas.openxmlformats.org/officeDocument/2006/relationships/image" Target="media/image10.png"/><Relationship Id="rId30" Type="http://schemas.openxmlformats.org/officeDocument/2006/relationships/hyperlink" Target="https://stat.gov.pl/en/topics/social-economy/social-economy-third-sector/involvement-of-social-economy-entities-in-providing-support-due-to-hostilities-in-the-territory-of-ukraine-february-24th-march-31st-2022,15,1.htm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84600601173"/>
          <c:y val="0.12148550212270466"/>
          <c:w val="0.87814990410616223"/>
          <c:h val="0.6309058891600211"/>
        </c:manualLayout>
      </c:layout>
      <c:lineChart>
        <c:grouping val="standard"/>
        <c:varyColors val="0"/>
        <c:ser>
          <c:idx val="1"/>
          <c:order val="0"/>
          <c:tx>
            <c:strRef>
              <c:f>Arkusz1!$C$1</c:f>
              <c:strCache>
                <c:ptCount val="1"/>
                <c:pt idx="0">
                  <c:v>aktywne</c:v>
                </c:pt>
              </c:strCache>
            </c:strRef>
          </c:tx>
          <c:spPr>
            <a:ln w="22225" cap="rnd" cmpd="sng" algn="ctr">
              <a:solidFill>
                <a:srgbClr val="002060"/>
              </a:solidFill>
              <a:round/>
            </a:ln>
            <a:effectLst/>
          </c:spPr>
          <c:marker>
            <c:symbol val="none"/>
          </c:marker>
          <c:dPt>
            <c:idx val="5"/>
            <c:marker>
              <c:symbol val="none"/>
            </c:marker>
            <c:bubble3D val="0"/>
            <c:extLst xmlns:c16r2="http://schemas.microsoft.com/office/drawing/2015/06/chart">
              <c:ext xmlns:c16="http://schemas.microsoft.com/office/drawing/2014/chart" uri="{C3380CC4-5D6E-409C-BE32-E72D297353CC}">
                <c16:uniqueId val="{00000002-8B67-4620-AAF2-86B0695585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Arkusz1!$A$2:$A$19</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Arkusz1!$C$2:$C$19</c:f>
              <c:numCache>
                <c:formatCode>0.0</c:formatCode>
                <c:ptCount val="18"/>
                <c:pt idx="0">
                  <c:v>2.2000000000000002</c:v>
                </c:pt>
                <c:pt idx="1">
                  <c:v>4.1059999999999999</c:v>
                </c:pt>
                <c:pt idx="2">
                  <c:v>4.9950000000000001</c:v>
                </c:pt>
                <c:pt idx="3">
                  <c:v>5.6870000000000003</c:v>
                </c:pt>
                <c:pt idx="4" formatCode="General">
                  <c:v>6.2</c:v>
                </c:pt>
                <c:pt idx="5" formatCode="General">
                  <c:v>6.8</c:v>
                </c:pt>
                <c:pt idx="6" formatCode="General">
                  <c:v>7.3</c:v>
                </c:pt>
                <c:pt idx="7">
                  <c:v>7.8607787869861943</c:v>
                </c:pt>
                <c:pt idx="8">
                  <c:v>7.952</c:v>
                </c:pt>
                <c:pt idx="9">
                  <c:v>8.1880000000000006</c:v>
                </c:pt>
                <c:pt idx="10">
                  <c:v>8.6080000000000005</c:v>
                </c:pt>
                <c:pt idx="11">
                  <c:v>8.81</c:v>
                </c:pt>
                <c:pt idx="12" formatCode="General">
                  <c:v>9.1</c:v>
                </c:pt>
                <c:pt idx="13" formatCode="General">
                  <c:v>9.1999999999999993</c:v>
                </c:pt>
                <c:pt idx="14" formatCode="General">
                  <c:v>9.3000000000000007</c:v>
                </c:pt>
                <c:pt idx="15" formatCode="General">
                  <c:v>9.4</c:v>
                </c:pt>
                <c:pt idx="16" formatCode="General">
                  <c:v>9.3000000000000007</c:v>
                </c:pt>
                <c:pt idx="17" formatCode="General">
                  <c:v>9.4</c:v>
                </c:pt>
              </c:numCache>
            </c:numRef>
          </c:val>
          <c:smooth val="0"/>
          <c:extLst xmlns:c16r2="http://schemas.microsoft.com/office/drawing/2015/06/chart">
            <c:ext xmlns:c16="http://schemas.microsoft.com/office/drawing/2014/chart" uri="{C3380CC4-5D6E-409C-BE32-E72D297353CC}">
              <c16:uniqueId val="{00000000-8B67-4620-AAF2-86B0695585C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13308432"/>
        <c:axId val="1013312784"/>
        <c:extLst xmlns:c16r2="http://schemas.microsoft.com/office/drawing/2015/06/chart">
          <c:ext xmlns:c15="http://schemas.microsoft.com/office/drawing/2012/chart" uri="{02D57815-91ED-43cb-92C2-25804820EDAC}">
            <c15:filteredLineSeries>
              <c15:ser>
                <c:idx val="0"/>
                <c:order val="1"/>
                <c:tx>
                  <c:strRef>
                    <c:extLst xmlns:c16r2="http://schemas.microsoft.com/office/drawing/2015/06/chart">
                      <c:ext uri="{02D57815-91ED-43cb-92C2-25804820EDAC}">
                        <c15:formulaRef>
                          <c15:sqref>Arkusz1!$B$1</c15:sqref>
                        </c15:formulaRef>
                      </c:ext>
                    </c:extLst>
                    <c:strCache>
                      <c:ptCount val="1"/>
                      <c:pt idx="0">
                        <c:v>zarejestrowane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a:solidFill>
                              <a:schemeClr val="dk1">
                                <a:lumMod val="35000"/>
                                <a:lumOff val="65000"/>
                              </a:schemeClr>
                            </a:solidFill>
                          </a:ln>
                          <a:effectLst/>
                        </c:spPr>
                      </c15:leaderLines>
                    </c:ext>
                  </c:extLst>
                </c:dLbls>
                <c:cat>
                  <c:numRef>
                    <c:extLst xmlns:c16r2="http://schemas.microsoft.com/office/drawing/2015/06/chart">
                      <c:ext uri="{02D57815-91ED-43cb-92C2-25804820EDAC}">
                        <c15:formulaRef>
                          <c15:sqref>Arkusz1!$A$2:$A$19</c15:sqref>
                        </c15:formulaRef>
                      </c:ext>
                    </c:extLst>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extLst xmlns:c16r2="http://schemas.microsoft.com/office/drawing/2015/06/chart">
                      <c:ext uri="{02D57815-91ED-43cb-92C2-25804820EDAC}">
                        <c15:formulaRef>
                          <c15:sqref>Arkusz1!$B$2:$B$17</c15:sqref>
                        </c15:formulaRef>
                      </c:ext>
                    </c:extLst>
                    <c:numCache>
                      <c:formatCode>0.0</c:formatCode>
                      <c:ptCount val="16"/>
                      <c:pt idx="0">
                        <c:v>2.2000000000000002</c:v>
                      </c:pt>
                      <c:pt idx="1">
                        <c:v>4.1059999999999999</c:v>
                      </c:pt>
                      <c:pt idx="2">
                        <c:v>4.9950000000000001</c:v>
                      </c:pt>
                      <c:pt idx="3">
                        <c:v>5.6870000000000003</c:v>
                      </c:pt>
                      <c:pt idx="4">
                        <c:v>6.5170000000000003</c:v>
                      </c:pt>
                      <c:pt idx="5">
                        <c:v>7.5359999999999996</c:v>
                      </c:pt>
                      <c:pt idx="6">
                        <c:v>8.1980000000000004</c:v>
                      </c:pt>
                      <c:pt idx="7">
                        <c:v>8.4939999999999998</c:v>
                      </c:pt>
                      <c:pt idx="8">
                        <c:v>8.5429999999999993</c:v>
                      </c:pt>
                      <c:pt idx="9">
                        <c:v>8.56</c:v>
                      </c:pt>
                      <c:pt idx="10">
                        <c:v>8.6590000000000007</c:v>
                      </c:pt>
                      <c:pt idx="11">
                        <c:v>8.9749999999999996</c:v>
                      </c:pt>
                      <c:pt idx="12">
                        <c:v>9.4</c:v>
                      </c:pt>
                      <c:pt idx="13">
                        <c:v>9.5</c:v>
                      </c:pt>
                      <c:pt idx="14">
                        <c:v>10</c:v>
                      </c:pt>
                      <c:pt idx="15">
                        <c:v>10</c:v>
                      </c:pt>
                    </c:numCache>
                  </c:numRef>
                </c:val>
                <c:smooth val="0"/>
                <c:extLst xmlns:c16r2="http://schemas.microsoft.com/office/drawing/2015/06/chart">
                  <c:ext xmlns:c16="http://schemas.microsoft.com/office/drawing/2014/chart" uri="{C3380CC4-5D6E-409C-BE32-E72D297353CC}">
                    <c16:uniqueId val="{00000001-8B67-4620-AAF2-86B0695585CB}"/>
                  </c:ext>
                </c:extLst>
              </c15:ser>
            </c15:filteredLineSeries>
          </c:ext>
        </c:extLst>
      </c:lineChart>
      <c:catAx>
        <c:axId val="1013308432"/>
        <c:scaling>
          <c:orientation val="minMax"/>
        </c:scaling>
        <c:delete val="0"/>
        <c:axPos val="b"/>
        <c:numFmt formatCode="General" sourceLinked="1"/>
        <c:majorTickMark val="none"/>
        <c:minorTickMark val="none"/>
        <c:tickLblPos val="nextTo"/>
        <c:spPr>
          <a:noFill/>
          <a:ln w="9525" cap="flat" cmpd="sng" algn="ctr">
            <a:solidFill>
              <a:srgbClr val="898989"/>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Fira Sans" panose="020B0503050000020004" pitchFamily="34" charset="0"/>
                <a:ea typeface="Fira Sans" panose="020B0503050000020004" pitchFamily="34" charset="0"/>
                <a:cs typeface="+mn-cs"/>
              </a:defRPr>
            </a:pPr>
            <a:endParaRPr lang="pl-PL"/>
          </a:p>
        </c:txPr>
        <c:crossAx val="1013312784"/>
        <c:crosses val="autoZero"/>
        <c:auto val="1"/>
        <c:lblAlgn val="ctr"/>
        <c:lblOffset val="100"/>
        <c:noMultiLvlLbl val="0"/>
      </c:catAx>
      <c:valAx>
        <c:axId val="1013312784"/>
        <c:scaling>
          <c:orientation val="minMax"/>
        </c:scaling>
        <c:delete val="0"/>
        <c:axPos val="l"/>
        <c:numFmt formatCode="0.0&quot; thousand&quot;" sourceLinked="0"/>
        <c:majorTickMark val="out"/>
        <c:minorTickMark val="none"/>
        <c:tickLblPos val="nextTo"/>
        <c:spPr>
          <a:noFill/>
          <a:ln>
            <a:solidFill>
              <a:srgbClr val="898989"/>
            </a:solidFill>
          </a:ln>
          <a:effectLst/>
        </c:spPr>
        <c:txPr>
          <a:bodyPr rot="-60000000" spcFirstLastPara="1" vertOverflow="ellipsis" vert="horz" wrap="square" anchor="ctr" anchorCtr="1"/>
          <a:lstStyle/>
          <a:p>
            <a:pPr>
              <a:defRPr sz="900" b="0" i="0" u="none" strike="noStrike" kern="1200" spc="20" baseline="0">
                <a:solidFill>
                  <a:schemeClr val="tx1"/>
                </a:solidFill>
                <a:latin typeface="Fira Sans" panose="020B0503050000020004" pitchFamily="34" charset="0"/>
                <a:ea typeface="Fira Sans" panose="020B0503050000020004" pitchFamily="34" charset="0"/>
                <a:cs typeface="+mn-cs"/>
              </a:defRPr>
            </a:pPr>
            <a:endParaRPr lang="pl-PL"/>
          </a:p>
        </c:txPr>
        <c:crossAx val="1013308432"/>
        <c:crossesAt val="1"/>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mn-lt"/>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69796389087742"/>
          <c:y val="8.0404040404040408E-2"/>
          <c:w val="0.43033365147538377"/>
          <c:h val="0.90266206920213399"/>
        </c:manualLayout>
      </c:layout>
      <c:barChart>
        <c:barDir val="bar"/>
        <c:grouping val="clustered"/>
        <c:varyColors val="0"/>
        <c:ser>
          <c:idx val="0"/>
          <c:order val="0"/>
          <c:tx>
            <c:strRef>
              <c:f>Arkusz1!$B$1</c:f>
              <c:strCache>
                <c:ptCount val="1"/>
                <c:pt idx="0">
                  <c:v>Kolumna1</c:v>
                </c:pt>
              </c:strCache>
            </c:strRef>
          </c:tx>
          <c:spPr>
            <a:solidFill>
              <a:srgbClr val="003399"/>
            </a:solidFill>
            <a:ln>
              <a:solidFill>
                <a:srgbClr val="7F7F7F"/>
              </a:solidFill>
            </a:ln>
          </c:spPr>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Arkusz1!$A$2:$A$14</c:f>
              <c:strCache>
                <c:ptCount val="13"/>
                <c:pt idx="0">
                  <c:v>providing tangible support</c:v>
                </c:pt>
                <c:pt idx="1">
                  <c:v>providing food support</c:v>
                </c:pt>
                <c:pt idx="2">
                  <c:v>information activities or support in organizational matters</c:v>
                </c:pt>
                <c:pt idx="3">
                  <c:v>children care services</c:v>
                </c:pt>
                <c:pt idx="4">
                  <c:v>accomodation support</c:v>
                </c:pt>
                <c:pt idx="5">
                  <c:v>transport services</c:v>
                </c:pt>
                <c:pt idx="6">
                  <c:v>providing financial support</c:v>
                </c:pt>
                <c:pt idx="7">
                  <c:v>medical support or healthcare</c:v>
                </c:pt>
                <c:pt idx="8">
                  <c:v>therapeutic or psychological services</c:v>
                </c:pt>
                <c:pt idx="9">
                  <c:v>law support</c:v>
                </c:pt>
                <c:pt idx="10">
                  <c:v>professional integration services/ providing jobs</c:v>
                </c:pt>
                <c:pt idx="11">
                  <c:v>elderly and disabled care services</c:v>
                </c:pt>
                <c:pt idx="12">
                  <c:v>other form of activities</c:v>
                </c:pt>
              </c:strCache>
            </c:strRef>
          </c:cat>
          <c:val>
            <c:numRef>
              <c:f>Arkusz1!$B$2:$B$14</c:f>
              <c:numCache>
                <c:formatCode>General</c:formatCode>
                <c:ptCount val="13"/>
                <c:pt idx="0">
                  <c:v>59.647431005196601</c:v>
                </c:pt>
                <c:pt idx="1">
                  <c:v>29.8999871071921</c:v>
                </c:pt>
                <c:pt idx="2">
                  <c:v>25.21861013801287</c:v>
                </c:pt>
                <c:pt idx="3">
                  <c:v>24.13060901815933</c:v>
                </c:pt>
                <c:pt idx="4">
                  <c:v>24.020512261110518</c:v>
                </c:pt>
                <c:pt idx="5">
                  <c:v>18.8317035584931</c:v>
                </c:pt>
                <c:pt idx="6">
                  <c:v>15.5390136652897</c:v>
                </c:pt>
                <c:pt idx="7">
                  <c:v>13.14145697676107</c:v>
                </c:pt>
                <c:pt idx="8">
                  <c:v>12.5998673871908</c:v>
                </c:pt>
                <c:pt idx="9">
                  <c:v>6.7754219252887609</c:v>
                </c:pt>
                <c:pt idx="10">
                  <c:v>4.951646724530856</c:v>
                </c:pt>
                <c:pt idx="11">
                  <c:v>4.7842217199330834</c:v>
                </c:pt>
                <c:pt idx="12">
                  <c:v>3.5261808034105773</c:v>
                </c:pt>
              </c:numCache>
            </c:numRef>
          </c:val>
          <c:extLst xmlns:c16r2="http://schemas.microsoft.com/office/drawing/2015/06/chart">
            <c:ext xmlns:c16="http://schemas.microsoft.com/office/drawing/2014/chart" uri="{C3380CC4-5D6E-409C-BE32-E72D297353CC}">
              <c16:uniqueId val="{00000000-0580-483E-877F-4BBC61A4EE69}"/>
            </c:ext>
          </c:extLst>
        </c:ser>
        <c:dLbls>
          <c:showLegendKey val="0"/>
          <c:showVal val="0"/>
          <c:showCatName val="0"/>
          <c:showSerName val="0"/>
          <c:showPercent val="0"/>
          <c:showBubbleSize val="0"/>
        </c:dLbls>
        <c:gapWidth val="78"/>
        <c:axId val="1013314416"/>
        <c:axId val="1013314960"/>
      </c:barChart>
      <c:catAx>
        <c:axId val="1013314416"/>
        <c:scaling>
          <c:orientation val="maxMin"/>
        </c:scaling>
        <c:delete val="0"/>
        <c:axPos val="l"/>
        <c:numFmt formatCode="General" sourceLinked="0"/>
        <c:majorTickMark val="none"/>
        <c:minorTickMark val="none"/>
        <c:tickLblPos val="nextTo"/>
        <c:txPr>
          <a:bodyPr/>
          <a:lstStyle/>
          <a:p>
            <a:pPr>
              <a:defRPr>
                <a:solidFill>
                  <a:schemeClr val="tx1"/>
                </a:solidFill>
              </a:defRPr>
            </a:pPr>
            <a:endParaRPr lang="pl-PL"/>
          </a:p>
        </c:txPr>
        <c:crossAx val="1013314960"/>
        <c:crosses val="autoZero"/>
        <c:auto val="1"/>
        <c:lblAlgn val="ctr"/>
        <c:lblOffset val="100"/>
        <c:noMultiLvlLbl val="0"/>
      </c:catAx>
      <c:valAx>
        <c:axId val="1013314960"/>
        <c:scaling>
          <c:orientation val="minMax"/>
          <c:max val="70"/>
          <c:min val="0"/>
        </c:scaling>
        <c:delete val="0"/>
        <c:axPos val="t"/>
        <c:numFmt formatCode="#,##0.0&quot;%&quot;" sourceLinked="0"/>
        <c:majorTickMark val="out"/>
        <c:minorTickMark val="none"/>
        <c:tickLblPos val="nextTo"/>
        <c:spPr>
          <a:ln/>
        </c:spPr>
        <c:crossAx val="1013314416"/>
        <c:crosses val="autoZero"/>
        <c:crossBetween val="between"/>
        <c:majorUnit val="70"/>
      </c:valAx>
    </c:plotArea>
    <c:plotVisOnly val="1"/>
    <c:dispBlanksAs val="gap"/>
    <c:showDLblsOverMax val="0"/>
  </c:chart>
  <c:spPr>
    <a:ln>
      <a:noFill/>
    </a:ln>
  </c:spPr>
  <c:txPr>
    <a:bodyPr/>
    <a:lstStyle/>
    <a:p>
      <a:pPr>
        <a:defRPr sz="850">
          <a:latin typeface="Fira Sans" panose="020B0503050000020004" pitchFamily="34" charset="0"/>
          <a:ea typeface="Fira Sans" panose="020B0503050000020004" pitchFamily="34" charset="0"/>
          <a:cs typeface="Arial" pitchFamily="34"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53921464464617E-2"/>
          <c:y val="0.11123590039049995"/>
          <c:w val="0.90407524332469413"/>
          <c:h val="0.73483387747263296"/>
        </c:manualLayout>
      </c:layout>
      <c:barChart>
        <c:barDir val="col"/>
        <c:grouping val="clustered"/>
        <c:varyColors val="0"/>
        <c:ser>
          <c:idx val="0"/>
          <c:order val="0"/>
          <c:tx>
            <c:strRef>
              <c:f>Arkusz1!$B$1</c:f>
              <c:strCache>
                <c:ptCount val="1"/>
                <c:pt idx="0">
                  <c:v> OPP</c:v>
                </c:pt>
              </c:strCache>
            </c:strRef>
          </c:tx>
          <c:spPr>
            <a:solidFill>
              <a:srgbClr val="003399"/>
            </a:solidFill>
            <a:ln>
              <a:solidFill>
                <a:sysClr val="window" lastClr="FFFFFF">
                  <a:lumMod val="50000"/>
                </a:sysClr>
              </a:solidFill>
            </a:ln>
          </c:spPr>
          <c:invertIfNegative val="0"/>
          <c:dLbls>
            <c:numFmt formatCode="_(* #,##0_);_(* \(#,##0\);_(* &quot;-&quot;_);_(@_)" sourceLinked="0"/>
            <c:spPr>
              <a:noFill/>
              <a:ln>
                <a:noFill/>
              </a:ln>
              <a:effectLst/>
            </c:spPr>
            <c:txPr>
              <a:bodyPr rot="0" vertOverflow="overflow" horzOverflow="overflow" wrap="square" lIns="38100" tIns="19050" rIns="38100" bIns="19050" anchor="ctr" anchorCtr="1">
                <a:spAutoFit/>
              </a:bodyPr>
              <a:lstStyle/>
              <a:p>
                <a:pPr>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Arkusz1!$A$2:$A$20</c:f>
              <c:strCach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strCache>
            </c:strRef>
          </c:cat>
          <c:val>
            <c:numRef>
              <c:f>Arkusz1!$B$2:$B$20</c:f>
              <c:numCache>
                <c:formatCode>General</c:formatCode>
                <c:ptCount val="19"/>
                <c:pt idx="0">
                  <c:v>10</c:v>
                </c:pt>
                <c:pt idx="1">
                  <c:v>42</c:v>
                </c:pt>
                <c:pt idx="2">
                  <c:v>62</c:v>
                </c:pt>
                <c:pt idx="3">
                  <c:v>105</c:v>
                </c:pt>
                <c:pt idx="4">
                  <c:v>296</c:v>
                </c:pt>
                <c:pt idx="5">
                  <c:v>380</c:v>
                </c:pt>
                <c:pt idx="6">
                  <c:v>357</c:v>
                </c:pt>
                <c:pt idx="7">
                  <c:v>400</c:v>
                </c:pt>
                <c:pt idx="8">
                  <c:v>457</c:v>
                </c:pt>
                <c:pt idx="9">
                  <c:v>480</c:v>
                </c:pt>
                <c:pt idx="10">
                  <c:v>509</c:v>
                </c:pt>
                <c:pt idx="11">
                  <c:v>558</c:v>
                </c:pt>
                <c:pt idx="12">
                  <c:v>618</c:v>
                </c:pt>
                <c:pt idx="13">
                  <c:v>660</c:v>
                </c:pt>
                <c:pt idx="14">
                  <c:v>761</c:v>
                </c:pt>
                <c:pt idx="15">
                  <c:v>874</c:v>
                </c:pt>
                <c:pt idx="16">
                  <c:v>907</c:v>
                </c:pt>
                <c:pt idx="17" formatCode="0">
                  <c:v>973</c:v>
                </c:pt>
                <c:pt idx="18" formatCode="0">
                  <c:v>1114</c:v>
                </c:pt>
              </c:numCache>
            </c:numRef>
          </c:val>
          <c:extLst xmlns:c16r2="http://schemas.microsoft.com/office/drawing/2015/06/chart">
            <c:ext xmlns:c16="http://schemas.microsoft.com/office/drawing/2014/chart" uri="{C3380CC4-5D6E-409C-BE32-E72D297353CC}">
              <c16:uniqueId val="{00000000-0E47-46D7-9624-CC902489CA2D}"/>
            </c:ext>
          </c:extLst>
        </c:ser>
        <c:dLbls>
          <c:showLegendKey val="0"/>
          <c:showVal val="0"/>
          <c:showCatName val="0"/>
          <c:showSerName val="0"/>
          <c:showPercent val="0"/>
          <c:showBubbleSize val="0"/>
        </c:dLbls>
        <c:gapWidth val="77"/>
        <c:axId val="1013300272"/>
        <c:axId val="1013300816"/>
      </c:barChart>
      <c:catAx>
        <c:axId val="1013300272"/>
        <c:scaling>
          <c:orientation val="minMax"/>
        </c:scaling>
        <c:delete val="0"/>
        <c:axPos val="b"/>
        <c:numFmt formatCode="General" sourceLinked="0"/>
        <c:majorTickMark val="none"/>
        <c:minorTickMark val="none"/>
        <c:tickLblPos val="nextTo"/>
        <c:txPr>
          <a:bodyPr rot="-5400000" vert="horz"/>
          <a:lstStyle/>
          <a:p>
            <a:pPr>
              <a:defRPr sz="900"/>
            </a:pPr>
            <a:endParaRPr lang="pl-PL"/>
          </a:p>
        </c:txPr>
        <c:crossAx val="1013300816"/>
        <c:crosses val="autoZero"/>
        <c:auto val="1"/>
        <c:lblAlgn val="ctr"/>
        <c:lblOffset val="100"/>
        <c:noMultiLvlLbl val="0"/>
      </c:catAx>
      <c:valAx>
        <c:axId val="1013300816"/>
        <c:scaling>
          <c:orientation val="minMax"/>
          <c:max val="1120"/>
          <c:min val="0"/>
        </c:scaling>
        <c:delete val="0"/>
        <c:axPos val="l"/>
        <c:numFmt formatCode="#,##0&quot; million PLN&quot;" sourceLinked="0"/>
        <c:majorTickMark val="out"/>
        <c:minorTickMark val="none"/>
        <c:tickLblPos val="nextTo"/>
        <c:spPr>
          <a:ln>
            <a:solidFill>
              <a:srgbClr val="898989"/>
            </a:solidFill>
          </a:ln>
        </c:spPr>
        <c:txPr>
          <a:bodyPr/>
          <a:lstStyle/>
          <a:p>
            <a:pPr>
              <a:defRPr sz="900"/>
            </a:pPr>
            <a:endParaRPr lang="pl-PL"/>
          </a:p>
        </c:txPr>
        <c:crossAx val="1013300272"/>
        <c:crosses val="autoZero"/>
        <c:crossBetween val="between"/>
        <c:majorUnit val="1120"/>
      </c:valAx>
    </c:plotArea>
    <c:plotVisOnly val="1"/>
    <c:dispBlanksAs val="gap"/>
    <c:showDLblsOverMax val="0"/>
  </c:chart>
  <c:spPr>
    <a:ln>
      <a:noFill/>
    </a:ln>
  </c:spPr>
  <c:txPr>
    <a:bodyPr/>
    <a:lstStyle/>
    <a:p>
      <a:pPr>
        <a:defRPr sz="900">
          <a:latin typeface="Fira Sans" panose="020B0503050000020004" pitchFamily="34" charset="0"/>
          <a:ea typeface="Fira Sans" panose="020B0503050000020004" pitchFamily="34" charset="0"/>
          <a:cs typeface="Arial"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69796389087742"/>
          <c:y val="8.0404040404040408E-2"/>
          <c:w val="0.42931082478326571"/>
          <c:h val="0.90266206920213399"/>
        </c:manualLayout>
      </c:layout>
      <c:barChart>
        <c:barDir val="bar"/>
        <c:grouping val="clustered"/>
        <c:varyColors val="0"/>
        <c:ser>
          <c:idx val="0"/>
          <c:order val="0"/>
          <c:tx>
            <c:strRef>
              <c:f>Arkusz1!$B$1</c:f>
              <c:strCache>
                <c:ptCount val="1"/>
                <c:pt idx="0">
                  <c:v>Kolumna1</c:v>
                </c:pt>
              </c:strCache>
            </c:strRef>
          </c:tx>
          <c:spPr>
            <a:solidFill>
              <a:srgbClr val="003399"/>
            </a:solidFill>
            <a:ln>
              <a:solidFill>
                <a:srgbClr val="7F7F7F"/>
              </a:solidFill>
            </a:ln>
          </c:spPr>
          <c:invertIfNegative val="0"/>
          <c:dLbls>
            <c:spPr>
              <a:noFill/>
              <a:ln>
                <a:noFill/>
              </a:ln>
              <a:effectLst/>
            </c:spPr>
            <c:txPr>
              <a:bodyPr wrap="square" lIns="38100" tIns="19050" rIns="38100" bIns="19050" anchor="ctr">
                <a:spAutoFit/>
              </a:bodyPr>
              <a:lstStyle/>
              <a:p>
                <a:pPr>
                  <a:defRPr sz="8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Arkusz1!$A$2:$A$11</c:f>
              <c:strCache>
                <c:ptCount val="10"/>
                <c:pt idx="0">
                  <c:v>charitable activities</c:v>
                </c:pt>
                <c:pt idx="1">
                  <c:v>activities for the disabled</c:v>
                </c:pt>
                <c:pt idx="2">
                  <c:v>healthcare and health promotion</c:v>
                </c:pt>
                <c:pt idx="3">
                  <c:v>social services, of which supporting the family and the foster care system</c:v>
                </c:pt>
                <c:pt idx="4">
                  <c:v>ecology and animal protection, protection of natural heritage</c:v>
                </c:pt>
                <c:pt idx="5">
                  <c:v>science, higher education, education, teaching and upbringing</c:v>
                </c:pt>
                <c:pt idx="6">
                  <c:v>supporting and disseminating physical culture</c:v>
                </c:pt>
                <c:pt idx="7">
                  <c:v>activity for children and youth, including recreation</c:v>
                </c:pt>
                <c:pt idx="8">
                  <c:v>activities for non-governmental organizations</c:v>
                </c:pt>
                <c:pt idx="9">
                  <c:v>others</c:v>
                </c:pt>
              </c:strCache>
            </c:strRef>
          </c:cat>
          <c:val>
            <c:numRef>
              <c:f>Arkusz1!$B$2:$B$11</c:f>
              <c:numCache>
                <c:formatCode>0.0</c:formatCode>
                <c:ptCount val="10"/>
                <c:pt idx="0">
                  <c:v>29.710962356336456</c:v>
                </c:pt>
                <c:pt idx="1">
                  <c:v>24.678825272497392</c:v>
                </c:pt>
                <c:pt idx="2">
                  <c:v>13.724371818578152</c:v>
                </c:pt>
                <c:pt idx="3">
                  <c:v>9.8245303763117633</c:v>
                </c:pt>
                <c:pt idx="4">
                  <c:v>7.0002275504958984</c:v>
                </c:pt>
                <c:pt idx="5">
                  <c:v>3.973802451388349</c:v>
                </c:pt>
                <c:pt idx="6">
                  <c:v>2.2240265831856987</c:v>
                </c:pt>
                <c:pt idx="7">
                  <c:v>1.6</c:v>
                </c:pt>
                <c:pt idx="8">
                  <c:v>1.5</c:v>
                </c:pt>
                <c:pt idx="9">
                  <c:v>5.8</c:v>
                </c:pt>
              </c:numCache>
            </c:numRef>
          </c:val>
          <c:extLst xmlns:c16r2="http://schemas.microsoft.com/office/drawing/2015/06/chart">
            <c:ext xmlns:c16="http://schemas.microsoft.com/office/drawing/2014/chart" uri="{C3380CC4-5D6E-409C-BE32-E72D297353CC}">
              <c16:uniqueId val="{00000000-0580-483E-877F-4BBC61A4EE69}"/>
            </c:ext>
          </c:extLst>
        </c:ser>
        <c:dLbls>
          <c:showLegendKey val="0"/>
          <c:showVal val="0"/>
          <c:showCatName val="0"/>
          <c:showSerName val="0"/>
          <c:showPercent val="0"/>
          <c:showBubbleSize val="0"/>
        </c:dLbls>
        <c:gapWidth val="90"/>
        <c:axId val="1013310064"/>
        <c:axId val="1073426880"/>
      </c:barChart>
      <c:catAx>
        <c:axId val="1013310064"/>
        <c:scaling>
          <c:orientation val="maxMin"/>
        </c:scaling>
        <c:delete val="0"/>
        <c:axPos val="l"/>
        <c:numFmt formatCode="General" sourceLinked="0"/>
        <c:majorTickMark val="none"/>
        <c:minorTickMark val="none"/>
        <c:tickLblPos val="nextTo"/>
        <c:txPr>
          <a:bodyPr/>
          <a:lstStyle/>
          <a:p>
            <a:pPr>
              <a:defRPr sz="850" baseline="0">
                <a:solidFill>
                  <a:schemeClr val="tx1"/>
                </a:solidFill>
                <a:latin typeface="Fira Sans" panose="020B0503050000020004" pitchFamily="34" charset="0"/>
              </a:defRPr>
            </a:pPr>
            <a:endParaRPr lang="pl-PL"/>
          </a:p>
        </c:txPr>
        <c:crossAx val="1073426880"/>
        <c:crosses val="autoZero"/>
        <c:auto val="1"/>
        <c:lblAlgn val="ctr"/>
        <c:lblOffset val="100"/>
        <c:noMultiLvlLbl val="0"/>
      </c:catAx>
      <c:valAx>
        <c:axId val="1073426880"/>
        <c:scaling>
          <c:orientation val="minMax"/>
          <c:max val="40"/>
          <c:min val="0"/>
        </c:scaling>
        <c:delete val="0"/>
        <c:axPos val="t"/>
        <c:numFmt formatCode="#,##0.0&quot;%&quot;" sourceLinked="0"/>
        <c:majorTickMark val="out"/>
        <c:minorTickMark val="none"/>
        <c:tickLblPos val="nextTo"/>
        <c:spPr>
          <a:ln/>
        </c:spPr>
        <c:txPr>
          <a:bodyPr/>
          <a:lstStyle/>
          <a:p>
            <a:pPr>
              <a:defRPr sz="850" baseline="0">
                <a:latin typeface="Fira Sans" panose="020B0503050000020004" pitchFamily="34" charset="0"/>
              </a:defRPr>
            </a:pPr>
            <a:endParaRPr lang="pl-PL"/>
          </a:p>
        </c:txPr>
        <c:crossAx val="1013310064"/>
        <c:crosses val="autoZero"/>
        <c:crossBetween val="between"/>
        <c:majorUnit val="40"/>
      </c:valAx>
    </c:plotArea>
    <c:plotVisOnly val="1"/>
    <c:dispBlanksAs val="gap"/>
    <c:showDLblsOverMax val="0"/>
  </c:chart>
  <c:spPr>
    <a:ln>
      <a:noFill/>
    </a:ln>
  </c:spPr>
  <c:txPr>
    <a:bodyPr/>
    <a:lstStyle/>
    <a:p>
      <a:pPr>
        <a:defRPr sz="900">
          <a:latin typeface="Fira Sans" panose="020B0503050000020004" pitchFamily="34" charset="0"/>
          <a:ea typeface="Fira Sans" panose="020B0503050000020004" pitchFamily="34" charset="0"/>
          <a:cs typeface="Arial" pitchFamily="34" charset="0"/>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344706911636046"/>
          <c:y val="6.2580887066536047E-3"/>
          <c:w val="0.68384872345502268"/>
          <c:h val="0.85618430760671049"/>
        </c:manualLayout>
      </c:layout>
      <c:barChart>
        <c:barDir val="bar"/>
        <c:grouping val="clustered"/>
        <c:varyColors val="0"/>
        <c:ser>
          <c:idx val="0"/>
          <c:order val="0"/>
          <c:tx>
            <c:strRef>
              <c:f>Arkusz1!$B$1</c:f>
              <c:strCache>
                <c:ptCount val="1"/>
                <c:pt idx="0">
                  <c:v>Kolumna1</c:v>
                </c:pt>
              </c:strCache>
            </c:strRef>
          </c:tx>
          <c:spPr>
            <a:solidFill>
              <a:srgbClr val="003399"/>
            </a:solidFill>
            <a:ln>
              <a:solidFill>
                <a:srgbClr val="7F7F7F"/>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Arkusz1!$A$2:$A$7</c:f>
              <c:strCache>
                <c:ptCount val="6"/>
                <c:pt idx="0">
                  <c:v>IN TOTAL</c:v>
                </c:pt>
                <c:pt idx="1">
                  <c:v>over PLN 1 million</c:v>
                </c:pt>
                <c:pt idx="2">
                  <c:v>over PLN 100 thousand up to PLN 1 million</c:v>
                </c:pt>
                <c:pt idx="3">
                  <c:v>over PLN 10 thousand up to PLN 100 thousand</c:v>
                </c:pt>
                <c:pt idx="4">
                  <c:v>over PLN 1 thousand up to PLN 10 thousand</c:v>
                </c:pt>
                <c:pt idx="5">
                  <c:v>up to PLN 1 thousand</c:v>
                </c:pt>
              </c:strCache>
            </c:strRef>
          </c:cat>
          <c:val>
            <c:numRef>
              <c:f>Arkusz1!$B$2:$B$7</c:f>
              <c:numCache>
                <c:formatCode>0.0</c:formatCode>
                <c:ptCount val="6"/>
                <c:pt idx="0">
                  <c:v>6.3</c:v>
                </c:pt>
                <c:pt idx="1">
                  <c:v>21.6</c:v>
                </c:pt>
                <c:pt idx="2">
                  <c:v>8.6999999999999993</c:v>
                </c:pt>
                <c:pt idx="3">
                  <c:v>7.4</c:v>
                </c:pt>
                <c:pt idx="4">
                  <c:v>5.8</c:v>
                </c:pt>
                <c:pt idx="5">
                  <c:v>4.7</c:v>
                </c:pt>
              </c:numCache>
            </c:numRef>
          </c:val>
          <c:extLst xmlns:c16r2="http://schemas.microsoft.com/office/drawing/2015/06/chart">
            <c:ext xmlns:c16="http://schemas.microsoft.com/office/drawing/2014/chart" uri="{C3380CC4-5D6E-409C-BE32-E72D297353CC}">
              <c16:uniqueId val="{00000000-0580-483E-877F-4BBC61A4EE69}"/>
            </c:ext>
          </c:extLst>
        </c:ser>
        <c:dLbls>
          <c:showLegendKey val="0"/>
          <c:showVal val="0"/>
          <c:showCatName val="0"/>
          <c:showSerName val="0"/>
          <c:showPercent val="0"/>
          <c:showBubbleSize val="0"/>
        </c:dLbls>
        <c:gapWidth val="38"/>
        <c:axId val="1073425248"/>
        <c:axId val="1073421984"/>
      </c:barChart>
      <c:catAx>
        <c:axId val="1073425248"/>
        <c:scaling>
          <c:orientation val="maxMin"/>
        </c:scaling>
        <c:delete val="0"/>
        <c:axPos val="l"/>
        <c:numFmt formatCode="General" sourceLinked="0"/>
        <c:majorTickMark val="none"/>
        <c:minorTickMark val="none"/>
        <c:tickLblPos val="nextTo"/>
        <c:txPr>
          <a:bodyPr/>
          <a:lstStyle/>
          <a:p>
            <a:pPr>
              <a:defRPr baseline="0">
                <a:latin typeface="Fira Sans" panose="020B0503050000020004" pitchFamily="34" charset="0"/>
              </a:defRPr>
            </a:pPr>
            <a:endParaRPr lang="pl-PL"/>
          </a:p>
        </c:txPr>
        <c:crossAx val="1073421984"/>
        <c:crosses val="autoZero"/>
        <c:auto val="1"/>
        <c:lblAlgn val="ctr"/>
        <c:lblOffset val="100"/>
        <c:noMultiLvlLbl val="0"/>
      </c:catAx>
      <c:valAx>
        <c:axId val="1073421984"/>
        <c:scaling>
          <c:orientation val="minMax"/>
          <c:max val="30"/>
          <c:min val="0"/>
        </c:scaling>
        <c:delete val="0"/>
        <c:axPos val="t"/>
        <c:numFmt formatCode="#,##0.0&quot;%&quot;" sourceLinked="0"/>
        <c:majorTickMark val="out"/>
        <c:minorTickMark val="none"/>
        <c:tickLblPos val="nextTo"/>
        <c:spPr>
          <a:ln/>
        </c:spPr>
        <c:txPr>
          <a:bodyPr/>
          <a:lstStyle/>
          <a:p>
            <a:pPr>
              <a:defRPr baseline="0">
                <a:latin typeface="Fira Sans" panose="020B0503050000020004" pitchFamily="34" charset="0"/>
              </a:defRPr>
            </a:pPr>
            <a:endParaRPr lang="pl-PL"/>
          </a:p>
        </c:txPr>
        <c:crossAx val="1073425248"/>
        <c:crosses val="autoZero"/>
        <c:crossBetween val="between"/>
        <c:majorUnit val="30"/>
      </c:valAx>
    </c:plotArea>
    <c:plotVisOnly val="1"/>
    <c:dispBlanksAs val="gap"/>
    <c:showDLblsOverMax val="0"/>
  </c:chart>
  <c:spPr>
    <a:ln>
      <a:noFill/>
    </a:ln>
  </c:spPr>
  <c:txPr>
    <a:bodyPr/>
    <a:lstStyle/>
    <a:p>
      <a:pPr>
        <a:defRPr sz="900">
          <a:latin typeface="Fira Sans" panose="020B0503050000020004" pitchFamily="34" charset="0"/>
          <a:ea typeface="Fira Sans" panose="020B0503050000020004" pitchFamily="34" charset="0"/>
          <a:cs typeface="Arial"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l">
              <a:defRPr sz="900" b="1"/>
            </a:pPr>
            <a:r>
              <a:rPr lang="en-GB" sz="900" b="1" i="0" u="none" strike="noStrike" baseline="0">
                <a:solidFill>
                  <a:sysClr val="windowText" lastClr="000000"/>
                </a:solidFill>
                <a:effectLst/>
              </a:rPr>
              <a:t>Does the entity expect taxpayers to indicate a specific purpose for spending funds from 1% </a:t>
            </a:r>
            <a:r>
              <a:rPr lang="pl-PL" sz="900" b="1" i="0" u="none" strike="noStrike" baseline="0">
                <a:solidFill>
                  <a:sysClr val="windowText" lastClr="000000"/>
                </a:solidFill>
                <a:effectLst/>
              </a:rPr>
              <a:t>of </a:t>
            </a:r>
            <a:r>
              <a:rPr lang="en-GB" sz="900" b="1" i="0" u="none" strike="noStrike" baseline="0">
                <a:solidFill>
                  <a:sysClr val="windowText" lastClr="000000"/>
                </a:solidFill>
                <a:effectLst/>
              </a:rPr>
              <a:t>PIT?</a:t>
            </a:r>
            <a:endParaRPr lang="pl-PL" sz="900" b="1">
              <a:solidFill>
                <a:sysClr val="windowText" lastClr="000000"/>
              </a:solidFill>
            </a:endParaRPr>
          </a:p>
        </c:rich>
      </c:tx>
      <c:layout>
        <c:manualLayout>
          <c:xMode val="edge"/>
          <c:yMode val="edge"/>
          <c:x val="0.10296746997534399"/>
          <c:y val="3.5800850643411056E-3"/>
        </c:manualLayout>
      </c:layout>
      <c:overlay val="0"/>
    </c:title>
    <c:autoTitleDeleted val="0"/>
    <c:plotArea>
      <c:layout>
        <c:manualLayout>
          <c:layoutTarget val="inner"/>
          <c:xMode val="edge"/>
          <c:yMode val="edge"/>
          <c:x val="8.9379470067797215E-2"/>
          <c:y val="0.19103485900870454"/>
          <c:w val="0.83550776201713028"/>
          <c:h val="0.67505041704326774"/>
        </c:manualLayout>
      </c:layout>
      <c:barChart>
        <c:barDir val="bar"/>
        <c:grouping val="percentStacked"/>
        <c:varyColors val="0"/>
        <c:ser>
          <c:idx val="0"/>
          <c:order val="0"/>
          <c:tx>
            <c:strRef>
              <c:f>Arkusz1!$A$2</c:f>
              <c:strCache>
                <c:ptCount val="1"/>
                <c:pt idx="0">
                  <c:v>YES</c:v>
                </c:pt>
              </c:strCache>
            </c:strRef>
          </c:tx>
          <c:spPr>
            <a:solidFill>
              <a:srgbClr val="003399"/>
            </a:solidFill>
            <a:ln>
              <a:noFill/>
            </a:ln>
          </c:spPr>
          <c:invertIfNegative val="0"/>
          <c:dLbls>
            <c:numFmt formatCode="#,##0.0" sourceLinked="0"/>
            <c:spPr>
              <a:noFill/>
              <a:ln>
                <a:noFill/>
              </a:ln>
              <a:effectLst/>
            </c:spPr>
            <c:txPr>
              <a:bodyPr/>
              <a:lstStyle/>
              <a:p>
                <a:pPr>
                  <a:defRPr>
                    <a:solidFill>
                      <a:schemeClr val="bg1"/>
                    </a:solidFill>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Arkusz1!$B$1:$G$1</c:f>
              <c:strCache>
                <c:ptCount val="6"/>
                <c:pt idx="0">
                  <c:v>2011</c:v>
                </c:pt>
                <c:pt idx="1">
                  <c:v>2013</c:v>
                </c:pt>
                <c:pt idx="2">
                  <c:v>2015</c:v>
                </c:pt>
                <c:pt idx="3">
                  <c:v>2017</c:v>
                </c:pt>
                <c:pt idx="4">
                  <c:v>2019</c:v>
                </c:pt>
                <c:pt idx="5">
                  <c:v>2021</c:v>
                </c:pt>
              </c:strCache>
            </c:strRef>
          </c:cat>
          <c:val>
            <c:numRef>
              <c:f>Arkusz1!$B$2:$G$2</c:f>
              <c:numCache>
                <c:formatCode>General</c:formatCode>
                <c:ptCount val="6"/>
                <c:pt idx="0">
                  <c:v>32</c:v>
                </c:pt>
                <c:pt idx="1">
                  <c:v>24.1</c:v>
                </c:pt>
                <c:pt idx="2">
                  <c:v>22.5</c:v>
                </c:pt>
                <c:pt idx="3">
                  <c:v>21.2</c:v>
                </c:pt>
                <c:pt idx="4" formatCode="0.0">
                  <c:v>17.2</c:v>
                </c:pt>
                <c:pt idx="5">
                  <c:v>17.8</c:v>
                </c:pt>
              </c:numCache>
            </c:numRef>
          </c:val>
          <c:extLst xmlns:c16r2="http://schemas.microsoft.com/office/drawing/2015/06/chart">
            <c:ext xmlns:c16="http://schemas.microsoft.com/office/drawing/2014/chart" uri="{C3380CC4-5D6E-409C-BE32-E72D297353CC}">
              <c16:uniqueId val="{00000000-4629-491B-AC0B-46CF82266F86}"/>
            </c:ext>
          </c:extLst>
        </c:ser>
        <c:ser>
          <c:idx val="1"/>
          <c:order val="1"/>
          <c:tx>
            <c:strRef>
              <c:f>Arkusz1!$A$3</c:f>
              <c:strCache>
                <c:ptCount val="1"/>
                <c:pt idx="0">
                  <c:v>NO</c:v>
                </c:pt>
              </c:strCache>
            </c:strRef>
          </c:tx>
          <c:spPr>
            <a:solidFill>
              <a:srgbClr val="B4C7E7"/>
            </a:solidFill>
            <a:ln>
              <a:noFill/>
            </a:ln>
          </c:spPr>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Arkusz1!$B$1:$G$1</c:f>
              <c:strCache>
                <c:ptCount val="6"/>
                <c:pt idx="0">
                  <c:v>2011</c:v>
                </c:pt>
                <c:pt idx="1">
                  <c:v>2013</c:v>
                </c:pt>
                <c:pt idx="2">
                  <c:v>2015</c:v>
                </c:pt>
                <c:pt idx="3">
                  <c:v>2017</c:v>
                </c:pt>
                <c:pt idx="4">
                  <c:v>2019</c:v>
                </c:pt>
                <c:pt idx="5">
                  <c:v>2021</c:v>
                </c:pt>
              </c:strCache>
            </c:strRef>
          </c:cat>
          <c:val>
            <c:numRef>
              <c:f>Arkusz1!$B$3:$G$3</c:f>
              <c:numCache>
                <c:formatCode>General</c:formatCode>
                <c:ptCount val="6"/>
                <c:pt idx="0">
                  <c:v>68</c:v>
                </c:pt>
                <c:pt idx="1">
                  <c:v>75.900000000000006</c:v>
                </c:pt>
                <c:pt idx="2">
                  <c:v>77.5</c:v>
                </c:pt>
                <c:pt idx="3">
                  <c:v>78.8</c:v>
                </c:pt>
                <c:pt idx="4" formatCode="0.0">
                  <c:v>82.8</c:v>
                </c:pt>
                <c:pt idx="5">
                  <c:v>82.2</c:v>
                </c:pt>
              </c:numCache>
            </c:numRef>
          </c:val>
          <c:extLst xmlns:c16r2="http://schemas.microsoft.com/office/drawing/2015/06/chart">
            <c:ext xmlns:c16="http://schemas.microsoft.com/office/drawing/2014/chart" uri="{C3380CC4-5D6E-409C-BE32-E72D297353CC}">
              <c16:uniqueId val="{00000001-4629-491B-AC0B-46CF82266F86}"/>
            </c:ext>
          </c:extLst>
        </c:ser>
        <c:dLbls>
          <c:showLegendKey val="0"/>
          <c:showVal val="0"/>
          <c:showCatName val="0"/>
          <c:showSerName val="0"/>
          <c:showPercent val="0"/>
          <c:showBubbleSize val="0"/>
        </c:dLbls>
        <c:gapWidth val="56"/>
        <c:overlap val="100"/>
        <c:axId val="1073421440"/>
        <c:axId val="1073417632"/>
      </c:barChart>
      <c:catAx>
        <c:axId val="1073421440"/>
        <c:scaling>
          <c:orientation val="minMax"/>
        </c:scaling>
        <c:delete val="0"/>
        <c:axPos val="l"/>
        <c:numFmt formatCode="General" sourceLinked="0"/>
        <c:majorTickMark val="none"/>
        <c:minorTickMark val="none"/>
        <c:tickLblPos val="nextTo"/>
        <c:spPr>
          <a:ln>
            <a:noFill/>
          </a:ln>
        </c:spPr>
        <c:crossAx val="1073417632"/>
        <c:crosses val="autoZero"/>
        <c:auto val="1"/>
        <c:lblAlgn val="ctr"/>
        <c:lblOffset val="100"/>
        <c:noMultiLvlLbl val="0"/>
      </c:catAx>
      <c:valAx>
        <c:axId val="1073417632"/>
        <c:scaling>
          <c:orientation val="minMax"/>
          <c:max val="1"/>
        </c:scaling>
        <c:delete val="0"/>
        <c:axPos val="b"/>
        <c:majorGridlines/>
        <c:numFmt formatCode="0%" sourceLinked="1"/>
        <c:majorTickMark val="none"/>
        <c:minorTickMark val="none"/>
        <c:tickLblPos val="nextTo"/>
        <c:crossAx val="1073421440"/>
        <c:crosses val="autoZero"/>
        <c:crossBetween val="between"/>
        <c:majorUnit val="1"/>
      </c:valAx>
      <c:spPr>
        <a:noFill/>
        <a:ln>
          <a:noFill/>
        </a:ln>
      </c:spPr>
    </c:plotArea>
    <c:legend>
      <c:legendPos val="r"/>
      <c:layout>
        <c:manualLayout>
          <c:xMode val="edge"/>
          <c:yMode val="edge"/>
          <c:x val="0.70426111508788669"/>
          <c:y val="0.11504205717821983"/>
          <c:w val="0.22289310427105702"/>
          <c:h val="0.10709454922785815"/>
        </c:manualLayout>
      </c:layout>
      <c:overlay val="0"/>
    </c:legend>
    <c:plotVisOnly val="1"/>
    <c:dispBlanksAs val="gap"/>
    <c:showDLblsOverMax val="0"/>
  </c:chart>
  <c:spPr>
    <a:ln>
      <a:noFill/>
    </a:ln>
  </c:spPr>
  <c:txPr>
    <a:bodyPr/>
    <a:lstStyle/>
    <a:p>
      <a:pPr>
        <a:defRPr sz="900">
          <a:latin typeface="Fira Sans" panose="020B0503050000020004" pitchFamily="34" charset="0"/>
          <a:ea typeface="Fira Sans" panose="020B0503050000020004" pitchFamily="34" charset="0"/>
          <a:cs typeface="Arial" pitchFamily="34" charset="0"/>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118432035076076"/>
          <c:y val="8.2344827586206898E-2"/>
          <c:w val="0.46265343268872999"/>
          <c:h val="0.91765517241379313"/>
        </c:manualLayout>
      </c:layout>
      <c:barChart>
        <c:barDir val="bar"/>
        <c:grouping val="clustered"/>
        <c:varyColors val="0"/>
        <c:ser>
          <c:idx val="0"/>
          <c:order val="0"/>
          <c:tx>
            <c:strRef>
              <c:f>Arkusz1!$B$1</c:f>
              <c:strCache>
                <c:ptCount val="1"/>
                <c:pt idx="0">
                  <c:v>Kolumna1</c:v>
                </c:pt>
              </c:strCache>
            </c:strRef>
          </c:tx>
          <c:spPr>
            <a:solidFill>
              <a:srgbClr val="003399"/>
            </a:solidFill>
            <a:ln>
              <a:solidFill>
                <a:sysClr val="window" lastClr="FFFFFF">
                  <a:lumMod val="50000"/>
                </a:sysClr>
              </a:solidFill>
            </a:ln>
          </c:spPr>
          <c:invertIfNegative val="0"/>
          <c:dPt>
            <c:idx val="0"/>
            <c:invertIfNegative val="0"/>
            <c:bubble3D val="0"/>
            <c:extLst xmlns:c16r2="http://schemas.microsoft.com/office/drawing/2015/06/chart">
              <c:ext xmlns:c16="http://schemas.microsoft.com/office/drawing/2014/chart" uri="{C3380CC4-5D6E-409C-BE32-E72D297353CC}">
                <c16:uniqueId val="{00000000-EB98-4267-A75F-EB07EF60D576}"/>
              </c:ext>
            </c:extLst>
          </c:dPt>
          <c:dLbls>
            <c:spPr>
              <a:noFill/>
              <a:ln>
                <a:noFill/>
              </a:ln>
              <a:effectLst/>
            </c:spPr>
            <c:txPr>
              <a:bodyPr wrap="square" lIns="38100" tIns="19050" rIns="38100" bIns="19050" anchor="ctr">
                <a:spAutoFit/>
              </a:bodyPr>
              <a:lstStyle/>
              <a:p>
                <a:pPr>
                  <a:defRPr baseline="0">
                    <a:latin typeface="Fira Sans" panose="020B05030500000200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Arkusz1!$A$2:$A$16</c:f>
              <c:strCache>
                <c:ptCount val="15"/>
                <c:pt idx="0">
                  <c:v>Exemptions from taxes and fees</c:v>
                </c:pt>
                <c:pt idx="1">
                  <c:v>from corporate tax</c:v>
                </c:pt>
                <c:pt idx="2">
                  <c:v>from real estate tax </c:v>
                </c:pt>
                <c:pt idx="3">
                  <c:v>from goods and services tax</c:v>
                </c:pt>
                <c:pt idx="4">
                  <c:v>from court fees</c:v>
                </c:pt>
                <c:pt idx="5">
                  <c:v>from stamp duty</c:v>
                </c:pt>
                <c:pt idx="6">
                  <c:v>from the tax on civil law transactions</c:v>
                </c:pt>
                <c:pt idx="7">
                  <c:v>from other exemptions</c:v>
                </c:pt>
                <c:pt idx="8">
                  <c:v>Permissions to access to real estate</c:v>
                </c:pt>
                <c:pt idx="9">
                  <c:v>lending</c:v>
                </c:pt>
                <c:pt idx="10">
                  <c:v>hire</c:v>
                </c:pt>
                <c:pt idx="11">
                  <c:v>use</c:v>
                </c:pt>
                <c:pt idx="12">
                  <c:v>lease</c:v>
                </c:pt>
                <c:pt idx="13">
                  <c:v>perpetual usufruct</c:v>
                </c:pt>
                <c:pt idx="14">
                  <c:v>ownership</c:v>
                </c:pt>
              </c:strCache>
            </c:strRef>
          </c:cat>
          <c:val>
            <c:numRef>
              <c:f>Arkusz1!$B$2:$B$16</c:f>
              <c:numCache>
                <c:formatCode>0.0</c:formatCode>
                <c:ptCount val="15"/>
                <c:pt idx="0">
                  <c:v>36.299999999999997</c:v>
                </c:pt>
                <c:pt idx="1">
                  <c:v>16.30411371957786</c:v>
                </c:pt>
                <c:pt idx="2">
                  <c:v>15.744130949816929</c:v>
                </c:pt>
                <c:pt idx="3">
                  <c:v>8.3674348481585188</c:v>
                </c:pt>
                <c:pt idx="4">
                  <c:v>5.2552229162179627</c:v>
                </c:pt>
                <c:pt idx="5">
                  <c:v>5.2336851173810039</c:v>
                </c:pt>
                <c:pt idx="6">
                  <c:v>2.6383803575274607</c:v>
                </c:pt>
                <c:pt idx="7">
                  <c:v>0.74305405987508077</c:v>
                </c:pt>
                <c:pt idx="8">
                  <c:v>18.2</c:v>
                </c:pt>
                <c:pt idx="9">
                  <c:v>8.0766745638595729</c:v>
                </c:pt>
                <c:pt idx="10">
                  <c:v>6.4613396510876591</c:v>
                </c:pt>
                <c:pt idx="11">
                  <c:v>2.8968339435709671</c:v>
                </c:pt>
                <c:pt idx="12">
                  <c:v>1.7014861081197501</c:v>
                </c:pt>
                <c:pt idx="13">
                  <c:v>0.79689855696747791</c:v>
                </c:pt>
                <c:pt idx="14">
                  <c:v>0.59228946801636873</c:v>
                </c:pt>
              </c:numCache>
            </c:numRef>
          </c:val>
          <c:extLst xmlns:c16r2="http://schemas.microsoft.com/office/drawing/2015/06/chart">
            <c:ext xmlns:c16="http://schemas.microsoft.com/office/drawing/2014/chart" uri="{C3380CC4-5D6E-409C-BE32-E72D297353CC}">
              <c16:uniqueId val="{00000000-0580-483E-877F-4BBC61A4EE69}"/>
            </c:ext>
          </c:extLst>
        </c:ser>
        <c:dLbls>
          <c:showLegendKey val="0"/>
          <c:showVal val="0"/>
          <c:showCatName val="0"/>
          <c:showSerName val="0"/>
          <c:showPercent val="0"/>
          <c:showBubbleSize val="0"/>
        </c:dLbls>
        <c:gapWidth val="38"/>
        <c:axId val="1073432320"/>
        <c:axId val="1073430688"/>
      </c:barChart>
      <c:catAx>
        <c:axId val="1073432320"/>
        <c:scaling>
          <c:orientation val="maxMin"/>
        </c:scaling>
        <c:delete val="0"/>
        <c:axPos val="l"/>
        <c:numFmt formatCode="General" sourceLinked="0"/>
        <c:majorTickMark val="none"/>
        <c:minorTickMark val="none"/>
        <c:tickLblPos val="nextTo"/>
        <c:txPr>
          <a:bodyPr/>
          <a:lstStyle/>
          <a:p>
            <a:pPr>
              <a:defRPr sz="900" baseline="0">
                <a:latin typeface="Fira Sans" panose="020B0503050000020004" pitchFamily="34" charset="0"/>
              </a:defRPr>
            </a:pPr>
            <a:endParaRPr lang="pl-PL"/>
          </a:p>
        </c:txPr>
        <c:crossAx val="1073430688"/>
        <c:crosses val="autoZero"/>
        <c:auto val="1"/>
        <c:lblAlgn val="ctr"/>
        <c:lblOffset val="100"/>
        <c:noMultiLvlLbl val="0"/>
      </c:catAx>
      <c:valAx>
        <c:axId val="1073430688"/>
        <c:scaling>
          <c:orientation val="minMax"/>
          <c:max val="50"/>
          <c:min val="0"/>
        </c:scaling>
        <c:delete val="0"/>
        <c:axPos val="t"/>
        <c:numFmt formatCode="#,##0.0&quot;%&quot;" sourceLinked="0"/>
        <c:majorTickMark val="out"/>
        <c:minorTickMark val="none"/>
        <c:tickLblPos val="nextTo"/>
        <c:spPr>
          <a:ln/>
        </c:spPr>
        <c:txPr>
          <a:bodyPr/>
          <a:lstStyle/>
          <a:p>
            <a:pPr>
              <a:defRPr baseline="0">
                <a:latin typeface="Fira Sans" panose="020B0503050000020004" pitchFamily="34" charset="0"/>
              </a:defRPr>
            </a:pPr>
            <a:endParaRPr lang="pl-PL"/>
          </a:p>
        </c:txPr>
        <c:crossAx val="1073432320"/>
        <c:crosses val="autoZero"/>
        <c:crossBetween val="between"/>
        <c:majorUnit val="50"/>
      </c:valAx>
    </c:plotArea>
    <c:plotVisOnly val="1"/>
    <c:dispBlanksAs val="gap"/>
    <c:showDLblsOverMax val="0"/>
  </c:chart>
  <c:spPr>
    <a:ln>
      <a:noFill/>
    </a:ln>
  </c:spPr>
  <c:txPr>
    <a:bodyPr/>
    <a:lstStyle/>
    <a:p>
      <a:pPr>
        <a:defRPr sz="900">
          <a:latin typeface="Fira Sans" panose="020B0503050000020004" pitchFamily="34" charset="0"/>
          <a:ea typeface="Fira Sans" panose="020B0503050000020004" pitchFamily="34" charset="0"/>
          <a:cs typeface="Arial" pitchFamily="34" charset="0"/>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Public benefit organizations and 1% in 2021.docx.docx</NazwaPliku>
    <Osoba xmlns="AD3641B4-23D9-4536-AF9E-7D0EADDEB824">STAT\GOSK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81377-3B81-4F9B-943D-DE8538A4BA46}"/>
</file>

<file path=customXml/itemProps2.xml><?xml version="1.0" encoding="utf-8"?>
<ds:datastoreItem xmlns:ds="http://schemas.openxmlformats.org/officeDocument/2006/customXml" ds:itemID="{D7CB566E-8975-4B24-9F05-F13211FBF3D2}"/>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D7CB566E-8975-4B24-9F05-F13211FB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7</Pages>
  <Words>2032</Words>
  <Characters>12195</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2023-03-28T11:42:00Z</cp:lastPrinted>
  <dcterms:created xsi:type="dcterms:W3CDTF">2023-03-10T07:10:00Z</dcterms:created>
  <dcterms:modified xsi:type="dcterms:W3CDTF">2023-03-28T11:47:00Z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