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0162C" w:rsidRPr="00230C83" w:rsidRDefault="00B0162C" w:rsidP="00B0162C">
      <w:pPr>
        <w:pStyle w:val="Tytuinfomacjisygnalnej"/>
        <w:rPr>
          <w:rFonts w:ascii="Fira Sans Condensed SemiBold" w:hAnsi="Fira Sans Condensed SemiBold"/>
          <w:szCs w:val="40"/>
          <w:shd w:val="clear" w:color="auto" w:fill="auto"/>
          <w:lang w:val="en-GB"/>
        </w:rPr>
      </w:pPr>
      <w:r w:rsidRPr="00230C83">
        <w:rPr>
          <w:rFonts w:ascii="Fira Sans Condensed SemiBold" w:hAnsi="Fira Sans Condensed SemiBold"/>
          <w:szCs w:val="40"/>
          <w:shd w:val="clear" w:color="auto" w:fill="auto"/>
          <w:lang w:val="en-GB"/>
        </w:rPr>
        <w:t xml:space="preserve">Energy consumption in households in 2021 </w:t>
      </w:r>
    </w:p>
    <w:p w:rsidR="00B0162C" w:rsidRPr="00230C83" w:rsidRDefault="00B0162C" w:rsidP="00B0162C">
      <w:pPr>
        <w:pStyle w:val="Lead"/>
        <w:rPr>
          <w:lang w:val="en-GB"/>
        </w:rPr>
      </w:pPr>
      <w:r w:rsidRPr="00230C83">
        <w:rPr>
          <w:color w:val="001D77"/>
          <w:lang w:val="en-GB"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7B9E5202" wp14:editId="03BD07CC">
                <wp:simplePos x="0" y="0"/>
                <wp:positionH relativeFrom="margin">
                  <wp:posOffset>0</wp:posOffset>
                </wp:positionH>
                <wp:positionV relativeFrom="paragraph">
                  <wp:posOffset>8255</wp:posOffset>
                </wp:positionV>
                <wp:extent cx="2204085" cy="1154430"/>
                <wp:effectExtent l="0" t="0" r="5715" b="7620"/>
                <wp:wrapSquare wrapText="bothSides"/>
                <wp:docPr id="6" name="Pole tekstowe 2" descr="Share of households in gross &#10;inland energy consumption in 2021 amounted to 20.2%.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154430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62C" w:rsidRPr="00A47949" w:rsidRDefault="00B0162C" w:rsidP="00B0162C">
                            <w:pPr>
                              <w:spacing w:before="0" w:after="0" w:line="240" w:lineRule="auto"/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</w:pPr>
                            <w:r w:rsidRPr="00A479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20</w:t>
                            </w:r>
                            <w:r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.</w:t>
                            </w:r>
                            <w:r w:rsidRPr="00A47949">
                              <w:rPr>
                                <w:rFonts w:ascii="Fira Sans SemiBold" w:hAnsi="Fira Sans SemiBold"/>
                                <w:color w:val="FFFFFF" w:themeColor="background1"/>
                                <w:sz w:val="72"/>
                                <w:lang w:val="en-GB"/>
                              </w:rPr>
                              <w:t>2%</w:t>
                            </w:r>
                          </w:p>
                          <w:p w:rsidR="00B0162C" w:rsidRPr="00E05C4D" w:rsidRDefault="00B0162C" w:rsidP="00B0162C">
                            <w:pPr>
                              <w:pStyle w:val="tekstnaniebieskimtle"/>
                              <w:spacing w:before="120"/>
                              <w:rPr>
                                <w:sz w:val="18"/>
                                <w:szCs w:val="20"/>
                                <w:lang w:val="en-GB"/>
                              </w:rPr>
                            </w:pPr>
                            <w:r w:rsidRPr="00A47949">
                              <w:rPr>
                                <w:lang w:val="en-GB"/>
                              </w:rPr>
                              <w:t xml:space="preserve">Share of households </w:t>
                            </w:r>
                            <w:r>
                              <w:rPr>
                                <w:lang w:val="en-GB"/>
                              </w:rPr>
                              <w:t>i</w:t>
                            </w:r>
                            <w:r w:rsidRPr="00A47949">
                              <w:rPr>
                                <w:lang w:val="en-GB"/>
                              </w:rPr>
                              <w:t xml:space="preserve">n gross </w:t>
                            </w:r>
                            <w:r>
                              <w:rPr>
                                <w:lang w:val="en-GB"/>
                              </w:rPr>
                              <w:br/>
                            </w:r>
                            <w:r w:rsidRPr="00A47949">
                              <w:rPr>
                                <w:lang w:val="en-GB"/>
                              </w:rPr>
                              <w:t xml:space="preserve">inland </w:t>
                            </w:r>
                            <w:r>
                              <w:rPr>
                                <w:lang w:val="en-GB"/>
                              </w:rPr>
                              <w:t xml:space="preserve">energy </w:t>
                            </w:r>
                            <w:r w:rsidRPr="00A47949">
                              <w:rPr>
                                <w:lang w:val="en-GB"/>
                              </w:rPr>
                              <w:t>consumption</w:t>
                            </w:r>
                            <w:r>
                              <w:rPr>
                                <w:lang w:val="en-GB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7B9E5202" id="Pole tekstowe 2" o:spid="_x0000_s1026" alt="Share of households in gross &#10;inland energy consumption in 2021 amounted to 20.2%." style="position:absolute;margin-left:0;margin-top:.65pt;width:173.55pt;height:90.9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" fillcolor="#001d77" stroked="f">
                <v:stroke joinstyle="miter"/>
                <v:textbox>
                  <w:txbxContent>
                    <w:p w:rsidR="00B0162C" w:rsidRPr="00A47949" w:rsidRDefault="00B0162C" w:rsidP="00B0162C">
                      <w:pPr>
                        <w:spacing w:before="0" w:after="0" w:line="240" w:lineRule="auto"/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</w:pPr>
                      <w:r w:rsidRPr="00A479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20</w:t>
                      </w:r>
                      <w:r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.</w:t>
                      </w:r>
                      <w:r w:rsidRPr="00A47949">
                        <w:rPr>
                          <w:rFonts w:ascii="Fira Sans SemiBold" w:hAnsi="Fira Sans SemiBold"/>
                          <w:color w:val="FFFFFF" w:themeColor="background1"/>
                          <w:sz w:val="72"/>
                          <w:lang w:val="en-GB"/>
                        </w:rPr>
                        <w:t>2%</w:t>
                      </w:r>
                    </w:p>
                    <w:p w:rsidR="00B0162C" w:rsidRPr="00E05C4D" w:rsidRDefault="00B0162C" w:rsidP="00B0162C">
                      <w:pPr>
                        <w:pStyle w:val="tekstnaniebieskimtle"/>
                        <w:spacing w:before="120"/>
                        <w:rPr>
                          <w:sz w:val="18"/>
                          <w:szCs w:val="20"/>
                          <w:lang w:val="en-GB"/>
                        </w:rPr>
                      </w:pPr>
                      <w:r w:rsidRPr="00A47949">
                        <w:rPr>
                          <w:lang w:val="en-GB"/>
                        </w:rPr>
                        <w:t xml:space="preserve">Share of households </w:t>
                      </w:r>
                      <w:r>
                        <w:rPr>
                          <w:lang w:val="en-GB"/>
                        </w:rPr>
                        <w:t>i</w:t>
                      </w:r>
                      <w:r w:rsidRPr="00A47949">
                        <w:rPr>
                          <w:lang w:val="en-GB"/>
                        </w:rPr>
                        <w:t xml:space="preserve">n gross </w:t>
                      </w:r>
                      <w:r>
                        <w:rPr>
                          <w:lang w:val="en-GB"/>
                        </w:rPr>
                        <w:br/>
                      </w:r>
                      <w:r w:rsidRPr="00A47949">
                        <w:rPr>
                          <w:lang w:val="en-GB"/>
                        </w:rPr>
                        <w:t xml:space="preserve">inland </w:t>
                      </w:r>
                      <w:r>
                        <w:rPr>
                          <w:lang w:val="en-GB"/>
                        </w:rPr>
                        <w:t xml:space="preserve">energy </w:t>
                      </w:r>
                      <w:r w:rsidRPr="00A47949">
                        <w:rPr>
                          <w:lang w:val="en-GB"/>
                        </w:rPr>
                        <w:t>consumption</w:t>
                      </w:r>
                      <w:r>
                        <w:rPr>
                          <w:lang w:val="en-GB"/>
                        </w:rPr>
                        <w:t xml:space="preserve"> 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230C83">
        <w:rPr>
          <w:lang w:val="en-GB"/>
        </w:rPr>
        <w:t xml:space="preserve">Households in Poland had a significant share in gross inland energy consumption (excluding motor fuels). Average electricity consumption in households in 2021 increased by 20,9 % compared </w:t>
      </w:r>
      <w:r w:rsidRPr="00FF4406">
        <w:rPr>
          <w:lang w:val="en-GB"/>
        </w:rPr>
        <w:t>to 2002.</w:t>
      </w:r>
    </w:p>
    <w:p w:rsidR="00B0162C" w:rsidRPr="00230C83" w:rsidRDefault="00B0162C" w:rsidP="00B0162C">
      <w:pPr>
        <w:pStyle w:val="Lead"/>
        <w:rPr>
          <w:rFonts w:eastAsia="Times New Roman" w:cs="Times New Roman"/>
          <w:bCs/>
          <w:noProof w:val="0"/>
          <w:color w:val="001D77"/>
          <w:lang w:val="en-GB"/>
        </w:rPr>
      </w:pPr>
    </w:p>
    <w:p w:rsidR="00B0162C" w:rsidRPr="00781158" w:rsidRDefault="00B0162C" w:rsidP="00B0162C">
      <w:pPr>
        <w:pStyle w:val="Nagwek1"/>
        <w:rPr>
          <w:rFonts w:ascii="Fira Sans SemiBold" w:hAnsi="Fira Sans SemiBold"/>
          <w:color w:val="001D77"/>
          <w:sz w:val="19"/>
          <w:szCs w:val="19"/>
          <w:lang w:val="en-GB"/>
        </w:rPr>
      </w:pPr>
      <w:r w:rsidRPr="00230C83">
        <w:rPr>
          <w:shd w:val="clear" w:color="auto" w:fill="FFFFFF"/>
          <w:lang w:val="en-GB"/>
        </w:rPr>
        <w:br/>
      </w:r>
      <w:r w:rsidRPr="00781158">
        <w:rPr>
          <w:rFonts w:ascii="Fira Sans SemiBold" w:hAnsi="Fira Sans SemiBold"/>
          <w:color w:val="001D77"/>
          <w:sz w:val="19"/>
          <w:szCs w:val="19"/>
          <w:lang w:val="en-GB"/>
        </w:rPr>
        <w:t>Structure of household energy consumption</w:t>
      </w:r>
    </w:p>
    <w:p w:rsidR="00B0162C" w:rsidRPr="00230C83" w:rsidRDefault="00B0162C" w:rsidP="00B0162C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30C83">
        <w:rPr>
          <w:rFonts w:eastAsia="Times New Roman" w:cs="Times New Roman"/>
          <w:szCs w:val="19"/>
          <w:lang w:val="en-GB" w:eastAsia="pl-PL"/>
        </w:rPr>
        <w:t xml:space="preserve">In 2021 in Poland </w:t>
      </w:r>
      <w:r>
        <w:rPr>
          <w:rFonts w:eastAsia="Times New Roman" w:cs="Times New Roman"/>
          <w:szCs w:val="19"/>
          <w:lang w:val="en-GB" w:eastAsia="pl-PL"/>
        </w:rPr>
        <w:t xml:space="preserve">share of </w:t>
      </w:r>
      <w:r w:rsidRPr="00230C83">
        <w:rPr>
          <w:rFonts w:eastAsia="Times New Roman" w:cs="Times New Roman"/>
          <w:szCs w:val="19"/>
          <w:lang w:val="en-GB" w:eastAsia="pl-PL"/>
        </w:rPr>
        <w:t>households in gross inland energy consumption (excluding motor fuels)</w:t>
      </w:r>
      <w:r>
        <w:rPr>
          <w:rFonts w:eastAsia="Times New Roman" w:cs="Times New Roman"/>
          <w:szCs w:val="19"/>
          <w:lang w:val="en-GB" w:eastAsia="pl-PL"/>
        </w:rPr>
        <w:t xml:space="preserve"> amounted to </w:t>
      </w:r>
      <w:r w:rsidRPr="00230C83">
        <w:rPr>
          <w:rFonts w:eastAsia="Times New Roman" w:cs="Times New Roman"/>
          <w:szCs w:val="19"/>
          <w:lang w:val="en-GB" w:eastAsia="pl-PL"/>
        </w:rPr>
        <w:t>20.2%. On average, households used approximately 24.6 GJ of energy per 1 inhabitant, which placed Poland at the Eu</w:t>
      </w:r>
      <w:bookmarkStart w:id="0" w:name="_GoBack"/>
      <w:bookmarkEnd w:id="0"/>
      <w:r w:rsidRPr="00230C83">
        <w:rPr>
          <w:rFonts w:eastAsia="Times New Roman" w:cs="Times New Roman"/>
          <w:szCs w:val="19"/>
          <w:lang w:val="en-GB" w:eastAsia="pl-PL"/>
        </w:rPr>
        <w:t xml:space="preserve">ropean average level of </w:t>
      </w:r>
      <w:r>
        <w:rPr>
          <w:rFonts w:eastAsia="Times New Roman" w:cs="Times New Roman"/>
          <w:szCs w:val="19"/>
          <w:lang w:val="en-GB" w:eastAsia="pl-PL"/>
        </w:rPr>
        <w:br/>
      </w:r>
      <w:r w:rsidRPr="00230C83">
        <w:rPr>
          <w:rFonts w:eastAsia="Times New Roman" w:cs="Times New Roman"/>
          <w:szCs w:val="19"/>
          <w:lang w:val="en-GB" w:eastAsia="pl-PL"/>
        </w:rPr>
        <w:t>24.5 GJ/1 inhabitant.</w:t>
      </w:r>
    </w:p>
    <w:p w:rsidR="00B0162C" w:rsidRPr="00230C83" w:rsidRDefault="00B0162C" w:rsidP="00B0162C">
      <w:pPr>
        <w:spacing w:line="288" w:lineRule="auto"/>
        <w:rPr>
          <w:rFonts w:eastAsia="Times New Roman" w:cs="Times New Roman"/>
          <w:szCs w:val="19"/>
          <w:lang w:val="en-GB" w:eastAsia="pl-PL"/>
        </w:rPr>
      </w:pPr>
      <w:r w:rsidRPr="00230C83">
        <w:rPr>
          <w:b/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659264" behindDoc="1" locked="0" layoutInCell="1" allowOverlap="1" wp14:anchorId="05E0D456" wp14:editId="1D3E95B3">
                <wp:simplePos x="0" y="0"/>
                <wp:positionH relativeFrom="column">
                  <wp:posOffset>5258460</wp:posOffset>
                </wp:positionH>
                <wp:positionV relativeFrom="paragraph">
                  <wp:posOffset>8712</wp:posOffset>
                </wp:positionV>
                <wp:extent cx="1725295" cy="831850"/>
                <wp:effectExtent l="0" t="0" r="0" b="6350"/>
                <wp:wrapTight wrapText="bothSides">
                  <wp:wrapPolygon edited="0">
                    <wp:start x="715" y="0"/>
                    <wp:lineTo x="715" y="21270"/>
                    <wp:lineTo x="20749" y="21270"/>
                    <wp:lineTo x="20749" y="0"/>
                    <wp:lineTo x="715" y="0"/>
                  </wp:wrapPolygon>
                </wp:wrapTight>
                <wp:docPr id="2" name="Pole tekstowe 2" descr="District heating (52.2%) and solid fuels (32.8%)  played a key role in space heating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8318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62C" w:rsidRPr="00A47949" w:rsidRDefault="00B0162C" w:rsidP="00B0162C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6E1816">
                              <w:rPr>
                                <w:lang w:val="en-GB"/>
                              </w:rPr>
                              <w:t>District</w:t>
                            </w:r>
                            <w:r w:rsidRPr="00F64CD9">
                              <w:rPr>
                                <w:color w:val="FF0000"/>
                                <w:lang w:val="en-GB"/>
                              </w:rPr>
                              <w:t xml:space="preserve"> </w:t>
                            </w:r>
                            <w:r w:rsidRPr="006E1816">
                              <w:rPr>
                                <w:lang w:val="en-GB"/>
                              </w:rPr>
                              <w:t xml:space="preserve">heating (52.2%) and solid fuels (32.8%) </w:t>
                            </w:r>
                            <w:r>
                              <w:rPr>
                                <w:lang w:val="en-GB"/>
                              </w:rPr>
                              <w:t xml:space="preserve">played a key role </w:t>
                            </w:r>
                            <w:r w:rsidRPr="006E1816">
                              <w:rPr>
                                <w:lang w:val="en-GB"/>
                              </w:rPr>
                              <w:t>in space heating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5E0D456"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alt="District heating (52.2%) and solid fuels (32.8%)  played a key role in space heating" style="position:absolute;margin-left:414.05pt;margin-top:.7pt;width:135.85pt;height:65.5pt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" filled="f" stroked="f">
                <v:textbox>
                  <w:txbxContent>
                    <w:p w:rsidR="00B0162C" w:rsidRPr="00A47949" w:rsidRDefault="00B0162C" w:rsidP="00B0162C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6E1816">
                        <w:rPr>
                          <w:lang w:val="en-GB"/>
                        </w:rPr>
                        <w:t>District</w:t>
                      </w:r>
                      <w:r w:rsidRPr="00F64CD9">
                        <w:rPr>
                          <w:color w:val="FF0000"/>
                          <w:lang w:val="en-GB"/>
                        </w:rPr>
                        <w:t xml:space="preserve"> </w:t>
                      </w:r>
                      <w:r w:rsidRPr="006E1816">
                        <w:rPr>
                          <w:lang w:val="en-GB"/>
                        </w:rPr>
                        <w:t xml:space="preserve">heating (52.2%) and solid fuels (32.8%) </w:t>
                      </w:r>
                      <w:r>
                        <w:rPr>
                          <w:lang w:val="en-GB"/>
                        </w:rPr>
                        <w:t xml:space="preserve">played a key role </w:t>
                      </w:r>
                      <w:r w:rsidRPr="006E1816">
                        <w:rPr>
                          <w:lang w:val="en-GB"/>
                        </w:rPr>
                        <w:t>in space heating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230C83">
        <w:rPr>
          <w:rFonts w:eastAsia="Times New Roman" w:cs="Times New Roman"/>
          <w:szCs w:val="19"/>
          <w:lang w:val="en-GB" w:eastAsia="pl-PL"/>
        </w:rPr>
        <w:t xml:space="preserve">In the structure of energy consumption in households in Poland, most </w:t>
      </w:r>
      <w:r>
        <w:rPr>
          <w:rFonts w:eastAsia="Times New Roman" w:cs="Times New Roman"/>
          <w:szCs w:val="19"/>
          <w:lang w:val="en-GB" w:eastAsia="pl-PL"/>
        </w:rPr>
        <w:t>relevant</w:t>
      </w:r>
      <w:r w:rsidRPr="00230C83">
        <w:rPr>
          <w:rFonts w:eastAsia="Times New Roman" w:cs="Times New Roman"/>
          <w:szCs w:val="19"/>
          <w:lang w:val="en-GB" w:eastAsia="pl-PL"/>
        </w:rPr>
        <w:t xml:space="preserve"> were solid fuels, </w:t>
      </w:r>
      <w:r w:rsidRPr="00157659">
        <w:rPr>
          <w:rFonts w:eastAsia="Times New Roman" w:cs="Times New Roman"/>
          <w:szCs w:val="19"/>
          <w:lang w:val="en-GB" w:eastAsia="pl-PL"/>
        </w:rPr>
        <w:t>mainly hard coal (which is an exception in the European Union) and fuel wood.</w:t>
      </w:r>
      <w:r w:rsidRPr="00230C83">
        <w:rPr>
          <w:rFonts w:eastAsia="Times New Roman" w:cs="Times New Roman"/>
          <w:szCs w:val="19"/>
          <w:lang w:val="en-GB" w:eastAsia="pl-PL"/>
        </w:rPr>
        <w:t xml:space="preserve"> They were most frequently used for space heating (by 32.8% of households). These fuels were used also for water heating (22.5% of households) and much less for cooking (1.7%).</w:t>
      </w:r>
    </w:p>
    <w:p w:rsidR="00B0162C" w:rsidRPr="00230C83" w:rsidRDefault="00B0162C" w:rsidP="00B0162C">
      <w:pPr>
        <w:spacing w:before="360" w:line="240" w:lineRule="auto"/>
        <w:ind w:left="851" w:hanging="851"/>
        <w:rPr>
          <w:rFonts w:eastAsia="Times New Roman" w:cs="Times New Roman"/>
          <w:b/>
          <w:noProof/>
          <w:szCs w:val="19"/>
          <w:lang w:val="en-GB" w:eastAsia="pl-PL"/>
        </w:rPr>
      </w:pPr>
      <w:r w:rsidRPr="00230C83">
        <w:rPr>
          <w:b/>
          <w:noProof/>
          <w:spacing w:val="-2"/>
          <w:szCs w:val="19"/>
          <w:lang w:val="en-GB"/>
        </w:rPr>
        <mc:AlternateContent>
          <mc:Choice Requires="wps">
            <w:drawing>
              <wp:anchor distT="45720" distB="45720" distL="114300" distR="114300" simplePos="0" relativeHeight="251667456" behindDoc="1" locked="0" layoutInCell="1" allowOverlap="1" wp14:anchorId="0501BF2F" wp14:editId="2F1028AB">
                <wp:simplePos x="0" y="0"/>
                <wp:positionH relativeFrom="page">
                  <wp:posOffset>5734685</wp:posOffset>
                </wp:positionH>
                <wp:positionV relativeFrom="paragraph">
                  <wp:posOffset>424180</wp:posOffset>
                </wp:positionV>
                <wp:extent cx="1725295" cy="1141095"/>
                <wp:effectExtent l="0" t="0" r="0" b="1905"/>
                <wp:wrapTight wrapText="bothSides">
                  <wp:wrapPolygon edited="0">
                    <wp:start x="715" y="0"/>
                    <wp:lineTo x="715" y="21275"/>
                    <wp:lineTo x="20749" y="21275"/>
                    <wp:lineTo x="20749" y="0"/>
                    <wp:lineTo x="715" y="0"/>
                  </wp:wrapPolygon>
                </wp:wrapTight>
                <wp:docPr id="15" name="Pole tekstowe 15" descr="65.1 per cent of the energy consumed by households was used for space heating. The share of energy used for space heating decreased by 3.7 p.p. compared to 20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141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62C" w:rsidRPr="006E1816" w:rsidRDefault="00B0162C" w:rsidP="00B0162C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  <w:r w:rsidRPr="006E1816">
                              <w:rPr>
                                <w:lang w:val="en-GB"/>
                              </w:rPr>
                              <w:t xml:space="preserve">65.1 per cent of the energy consumed by households was used for space heating. The share of energy used for space heating decreased by </w:t>
                            </w:r>
                            <w:r>
                              <w:rPr>
                                <w:lang w:val="en-GB"/>
                              </w:rPr>
                              <w:t>3.7</w:t>
                            </w:r>
                            <w:r w:rsidRPr="006E1816">
                              <w:rPr>
                                <w:lang w:val="en-GB"/>
                              </w:rPr>
                              <w:t xml:space="preserve"> p.p. compared to 20</w:t>
                            </w:r>
                            <w:r>
                              <w:rPr>
                                <w:lang w:val="en-GB"/>
                              </w:rPr>
                              <w:t>1</w:t>
                            </w:r>
                            <w:r w:rsidRPr="006E1816">
                              <w:rPr>
                                <w:lang w:val="en-GB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01BF2F" id="Pole tekstowe 15" o:spid="_x0000_s1028" type="#_x0000_t202" alt="65.1 per cent of the energy consumed by households was used for space heating. The share of energy used for space heating decreased by 3.7 p.p. compared to 2012" style="position:absolute;left:0;text-align:left;margin-left:451.55pt;margin-top:33.4pt;width:135.85pt;height:89.85pt;z-index:-25164902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" filled="f" stroked="f">
                <v:textbox>
                  <w:txbxContent>
                    <w:p w:rsidR="00B0162C" w:rsidRPr="006E1816" w:rsidRDefault="00B0162C" w:rsidP="00B0162C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  <w:r w:rsidRPr="006E1816">
                        <w:rPr>
                          <w:lang w:val="en-GB"/>
                        </w:rPr>
                        <w:t xml:space="preserve">65.1 per cent of the energy consumed by households was used for space heating. The share of energy used for space heating decreased by </w:t>
                      </w:r>
                      <w:r>
                        <w:rPr>
                          <w:lang w:val="en-GB"/>
                        </w:rPr>
                        <w:t>3.7</w:t>
                      </w:r>
                      <w:r w:rsidRPr="006E1816">
                        <w:rPr>
                          <w:lang w:val="en-GB"/>
                        </w:rPr>
                        <w:t xml:space="preserve"> p.p. compared to 20</w:t>
                      </w:r>
                      <w:r>
                        <w:rPr>
                          <w:lang w:val="en-GB"/>
                        </w:rPr>
                        <w:t>1</w:t>
                      </w:r>
                      <w:r w:rsidRPr="006E1816">
                        <w:rPr>
                          <w:lang w:val="en-GB"/>
                        </w:rPr>
                        <w:t>2</w:t>
                      </w: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30C83">
        <w:rPr>
          <w:rFonts w:eastAsia="Times New Roman" w:cs="Times New Roman"/>
          <w:b/>
          <w:noProof/>
          <w:szCs w:val="19"/>
          <w:lang w:val="en-GB" w:eastAsia="pl-PL"/>
        </w:rPr>
        <w:t>Table 1. Structure of energy consumption in households by type of use (in %)</w:t>
      </w:r>
      <w:r w:rsidRPr="00230C83">
        <w:rPr>
          <w:rStyle w:val="Odwoanieprzypisudolnego"/>
          <w:rFonts w:eastAsia="Times New Roman" w:cs="Times New Roman"/>
          <w:b/>
          <w:noProof/>
          <w:szCs w:val="19"/>
          <w:lang w:val="en-GB" w:eastAsia="pl-PL"/>
        </w:rPr>
        <w:footnoteReference w:id="1"/>
      </w:r>
    </w:p>
    <w:tbl>
      <w:tblPr>
        <w:tblpPr w:leftFromText="141" w:rightFromText="141" w:vertAnchor="text" w:horzAnchor="margin" w:tblpY="35"/>
        <w:tblW w:w="7860" w:type="dxa"/>
        <w:tblBorders>
          <w:top w:val="single" w:sz="4" w:space="0" w:color="auto"/>
          <w:insideH w:val="single" w:sz="4" w:space="0" w:color="0070C0"/>
          <w:insideV w:val="single" w:sz="4" w:space="0" w:color="0070C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  <w:tblCaption w:val="Table 1. Structure of energy consumption in households by type of use (in %) "/>
        <w:tblDescription w:val="The table shows the structure of energy consumption in households by direction of use (in %).  The data for the table are provided in the attached excel file."/>
      </w:tblPr>
      <w:tblGrid>
        <w:gridCol w:w="3964"/>
        <w:gridCol w:w="974"/>
        <w:gridCol w:w="974"/>
        <w:gridCol w:w="974"/>
        <w:gridCol w:w="974"/>
      </w:tblGrid>
      <w:tr w:rsidR="00B0162C" w:rsidRPr="00230C83" w:rsidTr="00595A4B">
        <w:trPr>
          <w:trHeight w:val="385"/>
        </w:trPr>
        <w:tc>
          <w:tcPr>
            <w:tcW w:w="3964" w:type="dxa"/>
            <w:tcBorders>
              <w:top w:val="single" w:sz="4" w:space="0" w:color="auto"/>
              <w:bottom w:val="single" w:sz="4" w:space="0" w:color="auto"/>
              <w:right w:val="single" w:sz="4" w:space="0" w:color="001D77"/>
            </w:tcBorders>
          </w:tcPr>
          <w:p w:rsidR="00B0162C" w:rsidRPr="00230C83" w:rsidRDefault="00B0162C" w:rsidP="00595A4B">
            <w:pPr>
              <w:jc w:val="center"/>
              <w:rPr>
                <w:szCs w:val="19"/>
                <w:lang w:val="en-GB"/>
              </w:rPr>
            </w:pPr>
            <w:r w:rsidRPr="00230C83">
              <w:rPr>
                <w:rFonts w:cs="Arial"/>
                <w:color w:val="000000" w:themeColor="text1"/>
                <w:szCs w:val="19"/>
                <w:lang w:val="en-GB"/>
              </w:rPr>
              <w:t>Specification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:rsidR="00B0162C" w:rsidRPr="00230C83" w:rsidRDefault="00B0162C" w:rsidP="00595A4B">
            <w:pPr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2012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single" w:sz="4" w:space="0" w:color="001D77"/>
            </w:tcBorders>
          </w:tcPr>
          <w:p w:rsidR="00B0162C" w:rsidRPr="00230C83" w:rsidRDefault="00B0162C" w:rsidP="00595A4B">
            <w:pPr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2015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nil"/>
            </w:tcBorders>
          </w:tcPr>
          <w:p w:rsidR="00B0162C" w:rsidRPr="00230C83" w:rsidRDefault="00B0162C" w:rsidP="00595A4B">
            <w:pPr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2018</w:t>
            </w:r>
          </w:p>
        </w:tc>
        <w:tc>
          <w:tcPr>
            <w:tcW w:w="974" w:type="dxa"/>
            <w:tcBorders>
              <w:top w:val="single" w:sz="4" w:space="0" w:color="auto"/>
              <w:left w:val="single" w:sz="4" w:space="0" w:color="001D77"/>
              <w:bottom w:val="single" w:sz="4" w:space="0" w:color="auto"/>
              <w:right w:val="nil"/>
            </w:tcBorders>
          </w:tcPr>
          <w:p w:rsidR="00B0162C" w:rsidRPr="00230C83" w:rsidRDefault="00B0162C" w:rsidP="00595A4B">
            <w:pPr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2021</w:t>
            </w:r>
          </w:p>
        </w:tc>
      </w:tr>
      <w:tr w:rsidR="00B0162C" w:rsidRPr="00230C83" w:rsidTr="00595A4B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B0162C" w:rsidRPr="00230C83" w:rsidRDefault="00B0162C" w:rsidP="00595A4B">
            <w:pPr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Space heating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68,8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65,5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65,1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65,1</w:t>
            </w:r>
          </w:p>
        </w:tc>
      </w:tr>
      <w:tr w:rsidR="00B0162C" w:rsidRPr="00230C83" w:rsidTr="00595A4B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B0162C" w:rsidRPr="00230C83" w:rsidRDefault="00B0162C" w:rsidP="00595A4B">
            <w:pPr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Water heating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14,8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16,2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16,6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17,3</w:t>
            </w:r>
          </w:p>
        </w:tc>
      </w:tr>
      <w:tr w:rsidR="00B0162C" w:rsidRPr="00230C83" w:rsidTr="00595A4B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single" w:sz="4" w:space="0" w:color="001D77"/>
              <w:right w:val="single" w:sz="4" w:space="0" w:color="001D77"/>
            </w:tcBorders>
          </w:tcPr>
          <w:p w:rsidR="00B0162C" w:rsidRPr="00230C83" w:rsidRDefault="00B0162C" w:rsidP="00595A4B">
            <w:pPr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Cooking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8,3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8,5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8,5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single" w:sz="4" w:space="0" w:color="001D77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8,5</w:t>
            </w:r>
          </w:p>
        </w:tc>
      </w:tr>
      <w:tr w:rsidR="00B0162C" w:rsidRPr="00230C83" w:rsidTr="00595A4B">
        <w:trPr>
          <w:trHeight w:val="385"/>
        </w:trPr>
        <w:tc>
          <w:tcPr>
            <w:tcW w:w="3964" w:type="dxa"/>
            <w:tcBorders>
              <w:top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Lighting (including electrical equipment)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8,1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single" w:sz="4" w:space="0" w:color="001D77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9,8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9,8</w:t>
            </w:r>
          </w:p>
        </w:tc>
        <w:tc>
          <w:tcPr>
            <w:tcW w:w="974" w:type="dxa"/>
            <w:tcBorders>
              <w:top w:val="single" w:sz="4" w:space="0" w:color="001D77"/>
              <w:left w:val="single" w:sz="4" w:space="0" w:color="001D77"/>
              <w:bottom w:val="nil"/>
              <w:right w:val="nil"/>
            </w:tcBorders>
            <w:vAlign w:val="center"/>
          </w:tcPr>
          <w:p w:rsidR="00B0162C" w:rsidRPr="00230C83" w:rsidRDefault="00B0162C" w:rsidP="00595A4B">
            <w:pPr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9,0</w:t>
            </w:r>
          </w:p>
        </w:tc>
      </w:tr>
    </w:tbl>
    <w:p w:rsidR="00B0162C" w:rsidRPr="00157659" w:rsidRDefault="00B0162C" w:rsidP="00B0162C">
      <w:pPr>
        <w:spacing w:line="288" w:lineRule="auto"/>
        <w:rPr>
          <w:rFonts w:eastAsia="Times New Roman" w:cs="Times New Roman"/>
          <w:noProof/>
          <w:szCs w:val="19"/>
          <w:lang w:val="en-GB" w:eastAsia="pl-PL"/>
        </w:rPr>
      </w:pPr>
      <w:r w:rsidRPr="00230C83">
        <w:rPr>
          <w:rFonts w:eastAsia="Times New Roman" w:cs="Times New Roman"/>
          <w:noProof/>
          <w:szCs w:val="19"/>
          <w:lang w:val="en-GB" w:eastAsia="pl-PL"/>
        </w:rPr>
        <w:t xml:space="preserve">A highly relevant energy carrier </w:t>
      </w:r>
      <w:r w:rsidRPr="00157659">
        <w:rPr>
          <w:rFonts w:eastAsia="Times New Roman" w:cs="Times New Roman"/>
          <w:noProof/>
          <w:szCs w:val="19"/>
          <w:lang w:val="en-GB" w:eastAsia="pl-PL"/>
        </w:rPr>
        <w:t xml:space="preserve">is district heating, which was used </w:t>
      </w:r>
      <w:r>
        <w:rPr>
          <w:rFonts w:eastAsia="Times New Roman" w:cs="Times New Roman"/>
          <w:noProof/>
          <w:szCs w:val="19"/>
          <w:lang w:val="en-GB" w:eastAsia="pl-PL"/>
        </w:rPr>
        <w:t xml:space="preserve">for space heating </w:t>
      </w:r>
      <w:r w:rsidRPr="00157659">
        <w:rPr>
          <w:rFonts w:eastAsia="Times New Roman" w:cs="Times New Roman"/>
          <w:noProof/>
          <w:szCs w:val="19"/>
          <w:lang w:val="en-GB" w:eastAsia="pl-PL"/>
        </w:rPr>
        <w:t xml:space="preserve">in </w:t>
      </w:r>
      <w:r>
        <w:rPr>
          <w:rFonts w:eastAsia="Times New Roman" w:cs="Times New Roman"/>
          <w:noProof/>
          <w:szCs w:val="19"/>
          <w:lang w:val="en-GB" w:eastAsia="pl-PL"/>
        </w:rPr>
        <w:br/>
      </w:r>
      <w:r w:rsidRPr="00157659">
        <w:rPr>
          <w:rFonts w:eastAsia="Times New Roman" w:cs="Times New Roman"/>
          <w:noProof/>
          <w:szCs w:val="19"/>
          <w:lang w:val="en-GB" w:eastAsia="pl-PL"/>
        </w:rPr>
        <w:t>52.2% of all dwellings, mainly in cities where it was the predominating commodity (74,3%). Moreover 41.1% of households, i.e. 78.2% of all district heating consumers, obtained heated water from the district installation.</w:t>
      </w:r>
    </w:p>
    <w:p w:rsidR="00B0162C" w:rsidRPr="00230C83" w:rsidRDefault="00B0162C" w:rsidP="00B0162C">
      <w:pPr>
        <w:spacing w:line="288" w:lineRule="auto"/>
        <w:rPr>
          <w:rFonts w:eastAsia="Times New Roman" w:cs="Times New Roman"/>
          <w:noProof/>
          <w:szCs w:val="19"/>
          <w:lang w:val="en-GB" w:eastAsia="pl-PL"/>
        </w:rPr>
      </w:pPr>
      <w:r w:rsidRPr="00157659">
        <w:rPr>
          <w:rFonts w:eastAsia="Times New Roman" w:cs="Times New Roman"/>
          <w:noProof/>
          <w:szCs w:val="19"/>
          <w:lang w:val="en-GB" w:eastAsia="pl-PL"/>
        </w:rPr>
        <w:t>Natural gas was used in 56.6% of households, but 30.8%</w:t>
      </w:r>
      <w:r>
        <w:rPr>
          <w:rFonts w:eastAsia="Times New Roman" w:cs="Times New Roman"/>
          <w:noProof/>
          <w:szCs w:val="19"/>
          <w:lang w:val="en-GB" w:eastAsia="pl-PL"/>
        </w:rPr>
        <w:t>of consumers</w:t>
      </w:r>
      <w:r w:rsidRPr="00157659">
        <w:rPr>
          <w:rFonts w:eastAsia="Times New Roman" w:cs="Times New Roman"/>
          <w:noProof/>
          <w:szCs w:val="19"/>
          <w:lang w:val="en-GB" w:eastAsia="pl-PL"/>
        </w:rPr>
        <w:t xml:space="preserve"> used it only for cooking, and only 14.5% for space heating. This structure of gas consumption was the result of the long-standing practice of installing gas networks</w:t>
      </w:r>
      <w:r w:rsidRPr="00B0470F">
        <w:rPr>
          <w:rFonts w:eastAsia="Times New Roman" w:cs="Times New Roman"/>
          <w:noProof/>
          <w:szCs w:val="19"/>
          <w:lang w:val="en-GB" w:eastAsia="pl-PL"/>
        </w:rPr>
        <w:t xml:space="preserve"> in multi-family buildings for the sole purpose of cooking meals.</w:t>
      </w:r>
      <w:r>
        <w:rPr>
          <w:rFonts w:eastAsia="Times New Roman" w:cs="Times New Roman"/>
          <w:noProof/>
          <w:szCs w:val="19"/>
          <w:lang w:val="en-GB" w:eastAsia="pl-PL"/>
        </w:rPr>
        <w:t xml:space="preserve"> </w:t>
      </w:r>
      <w:r w:rsidRPr="00230C83">
        <w:rPr>
          <w:rFonts w:eastAsia="Times New Roman" w:cs="Times New Roman"/>
          <w:noProof/>
          <w:szCs w:val="19"/>
          <w:lang w:val="en-GB" w:eastAsia="pl-PL"/>
        </w:rPr>
        <w:t xml:space="preserve">In those areas of the country which have no access to natural gas, </w:t>
      </w:r>
      <w:r>
        <w:rPr>
          <w:rFonts w:eastAsia="Times New Roman" w:cs="Times New Roman"/>
          <w:noProof/>
          <w:szCs w:val="19"/>
          <w:lang w:val="en-GB" w:eastAsia="pl-PL"/>
        </w:rPr>
        <w:br/>
      </w:r>
      <w:r w:rsidRPr="00230C83">
        <w:rPr>
          <w:rFonts w:eastAsia="Times New Roman" w:cs="Times New Roman"/>
          <w:noProof/>
          <w:szCs w:val="19"/>
          <w:lang w:val="en-GB" w:eastAsia="pl-PL"/>
        </w:rPr>
        <w:t xml:space="preserve">the use of LPG was more common (30.6%), though it was almost exclusively used for </w:t>
      </w:r>
      <w:r>
        <w:rPr>
          <w:rFonts w:eastAsia="Times New Roman" w:cs="Times New Roman"/>
          <w:noProof/>
          <w:szCs w:val="19"/>
          <w:lang w:val="en-GB" w:eastAsia="pl-PL"/>
        </w:rPr>
        <w:br/>
      </w:r>
      <w:r w:rsidRPr="00230C83">
        <w:rPr>
          <w:rFonts w:eastAsia="Times New Roman" w:cs="Times New Roman"/>
          <w:noProof/>
          <w:szCs w:val="19"/>
          <w:lang w:val="en-GB" w:eastAsia="pl-PL"/>
        </w:rPr>
        <w:t>cooking (30.5%).</w:t>
      </w:r>
    </w:p>
    <w:p w:rsidR="00B0162C" w:rsidRDefault="00B0162C" w:rsidP="00B0162C">
      <w:pPr>
        <w:pStyle w:val="Tablicanotka"/>
        <w:spacing w:line="288" w:lineRule="auto"/>
        <w:rPr>
          <w:rFonts w:eastAsia="Times New Roman" w:cs="Times New Roman"/>
          <w:spacing w:val="0"/>
          <w:sz w:val="19"/>
          <w:szCs w:val="19"/>
          <w:lang w:val="en-GB" w:eastAsia="pl-PL"/>
        </w:rPr>
      </w:pPr>
      <w:r w:rsidRPr="00157659">
        <w:rPr>
          <w:rFonts w:eastAsia="Times New Roman" w:cs="Times New Roman"/>
          <w:spacing w:val="0"/>
          <w:sz w:val="19"/>
          <w:szCs w:val="19"/>
          <w:lang w:val="en-GB" w:eastAsia="pl-PL"/>
        </w:rPr>
        <w:t>Fuel wood was</w:t>
      </w:r>
      <w:r w:rsidRPr="00230C83">
        <w:rPr>
          <w:rFonts w:eastAsia="Times New Roman" w:cs="Times New Roman"/>
          <w:spacing w:val="0"/>
          <w:sz w:val="19"/>
          <w:szCs w:val="19"/>
          <w:lang w:val="en-GB" w:eastAsia="pl-PL"/>
        </w:rPr>
        <w:t xml:space="preserve"> used by 21.0% of households. It was the only renewable energy commodity used by households on a massive scale. It was usually burnt in the same boilers and </w:t>
      </w:r>
      <w:r>
        <w:rPr>
          <w:rFonts w:eastAsia="Times New Roman" w:cs="Times New Roman"/>
          <w:spacing w:val="0"/>
          <w:sz w:val="19"/>
          <w:szCs w:val="19"/>
          <w:lang w:val="en-GB" w:eastAsia="pl-PL"/>
        </w:rPr>
        <w:br/>
      </w:r>
    </w:p>
    <w:p w:rsidR="00B0162C" w:rsidRPr="00157659" w:rsidRDefault="00B0162C" w:rsidP="00B0162C">
      <w:pPr>
        <w:pStyle w:val="Tablicanotka"/>
        <w:spacing w:line="288" w:lineRule="auto"/>
        <w:rPr>
          <w:rFonts w:eastAsia="Times New Roman" w:cs="Times New Roman"/>
          <w:spacing w:val="0"/>
          <w:sz w:val="19"/>
          <w:szCs w:val="19"/>
          <w:lang w:val="en-GB" w:eastAsia="pl-PL"/>
        </w:rPr>
      </w:pPr>
      <w:r w:rsidRPr="00230C83">
        <w:rPr>
          <w:b/>
          <w:szCs w:val="19"/>
          <w:lang w:val="en-GB"/>
        </w:rPr>
        <w:lastRenderedPageBreak/>
        <mc:AlternateContent>
          <mc:Choice Requires="wps">
            <w:drawing>
              <wp:anchor distT="45720" distB="45720" distL="114300" distR="114300" simplePos="0" relativeHeight="251668480" behindDoc="1" locked="0" layoutInCell="1" allowOverlap="1" wp14:anchorId="19F5039C" wp14:editId="67984931">
                <wp:simplePos x="0" y="0"/>
                <wp:positionH relativeFrom="page">
                  <wp:posOffset>5720080</wp:posOffset>
                </wp:positionH>
                <wp:positionV relativeFrom="paragraph">
                  <wp:posOffset>6350</wp:posOffset>
                </wp:positionV>
                <wp:extent cx="1725295" cy="438785"/>
                <wp:effectExtent l="0" t="0" r="0" b="0"/>
                <wp:wrapTight wrapText="bothSides">
                  <wp:wrapPolygon edited="0">
                    <wp:start x="715" y="0"/>
                    <wp:lineTo x="715" y="20631"/>
                    <wp:lineTo x="20749" y="20631"/>
                    <wp:lineTo x="20749" y="0"/>
                    <wp:lineTo x="715" y="0"/>
                  </wp:wrapPolygon>
                </wp:wrapTight>
                <wp:docPr id="17" name="Pole tekstowe 17" descr="In 2021, firewood was used in one in five households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4387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0162C" w:rsidRPr="00A47949" w:rsidRDefault="00B0162C" w:rsidP="00B0162C">
                            <w:pPr>
                              <w:pStyle w:val="tekstzboku"/>
                              <w:spacing w:before="0"/>
                              <w:rPr>
                                <w:bCs w:val="0"/>
                                <w:lang w:val="en-GB"/>
                              </w:rPr>
                            </w:pPr>
                            <w:r w:rsidRPr="00F82861">
                              <w:rPr>
                                <w:lang w:val="en-GB"/>
                              </w:rPr>
                              <w:t>In 2021, firewood was used in one in five households</w:t>
                            </w:r>
                          </w:p>
                          <w:p w:rsidR="00B0162C" w:rsidRPr="006E1816" w:rsidRDefault="00B0162C" w:rsidP="00B0162C">
                            <w:pPr>
                              <w:pStyle w:val="tekstzboku"/>
                              <w:spacing w:before="0"/>
                              <w:rPr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F5039C" id="Pole tekstowe 17" o:spid="_x0000_s1029" type="#_x0000_t202" alt="In 2021, firewood was used in one in five households" style="position:absolute;margin-left:450.4pt;margin-top:.5pt;width:135.85pt;height:34.55pt;z-index:-2516480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" filled="f" stroked="f">
                <v:textbox>
                  <w:txbxContent>
                    <w:p w:rsidR="00B0162C" w:rsidRPr="00A47949" w:rsidRDefault="00B0162C" w:rsidP="00B0162C">
                      <w:pPr>
                        <w:pStyle w:val="tekstzboku"/>
                        <w:spacing w:before="0"/>
                        <w:rPr>
                          <w:bCs w:val="0"/>
                          <w:lang w:val="en-GB"/>
                        </w:rPr>
                      </w:pPr>
                      <w:r w:rsidRPr="00F82861">
                        <w:rPr>
                          <w:lang w:val="en-GB"/>
                        </w:rPr>
                        <w:t>In 2021, firewood was used in one in five households</w:t>
                      </w:r>
                    </w:p>
                    <w:p w:rsidR="00B0162C" w:rsidRPr="006E1816" w:rsidRDefault="00B0162C" w:rsidP="00B0162C">
                      <w:pPr>
                        <w:pStyle w:val="tekstzboku"/>
                        <w:spacing w:before="0"/>
                        <w:rPr>
                          <w:lang w:val="en-GB"/>
                        </w:rPr>
                      </w:pPr>
                    </w:p>
                  </w:txbxContent>
                </v:textbox>
                <w10:wrap type="tight" anchorx="page"/>
              </v:shape>
            </w:pict>
          </mc:Fallback>
        </mc:AlternateContent>
      </w:r>
      <w:r w:rsidRPr="00230C83">
        <w:rPr>
          <w:rFonts w:eastAsia="Times New Roman" w:cs="Times New Roman"/>
          <w:spacing w:val="0"/>
          <w:sz w:val="19"/>
          <w:szCs w:val="19"/>
          <w:lang w:val="en-GB" w:eastAsia="pl-PL"/>
        </w:rPr>
        <w:t xml:space="preserve">stoves </w:t>
      </w:r>
      <w:r w:rsidRPr="00157659">
        <w:rPr>
          <w:rFonts w:eastAsia="Times New Roman" w:cs="Times New Roman"/>
          <w:spacing w:val="0"/>
          <w:sz w:val="19"/>
          <w:szCs w:val="19"/>
          <w:lang w:val="en-GB" w:eastAsia="pl-PL"/>
        </w:rPr>
        <w:t xml:space="preserve">as hard coal, either together with coal or interchangeably. Apart from fuel wood, </w:t>
      </w:r>
      <w:r w:rsidRPr="00157659">
        <w:rPr>
          <w:rFonts w:eastAsia="Times New Roman" w:cs="Times New Roman"/>
          <w:spacing w:val="0"/>
          <w:sz w:val="19"/>
          <w:szCs w:val="19"/>
          <w:lang w:val="en-GB" w:eastAsia="pl-PL"/>
        </w:rPr>
        <w:br/>
        <w:t xml:space="preserve">households also used other types of biomass, though they were far less common than wood. </w:t>
      </w:r>
    </w:p>
    <w:p w:rsidR="00B0162C" w:rsidRPr="00157659" w:rsidRDefault="00B0162C" w:rsidP="00B0162C">
      <w:pPr>
        <w:pStyle w:val="Tablicanotka"/>
        <w:spacing w:line="288" w:lineRule="auto"/>
        <w:rPr>
          <w:rFonts w:eastAsia="Times New Roman" w:cs="Times New Roman"/>
          <w:spacing w:val="0"/>
          <w:sz w:val="19"/>
          <w:szCs w:val="19"/>
          <w:lang w:val="en-GB" w:eastAsia="pl-PL"/>
        </w:rPr>
      </w:pPr>
      <w:r w:rsidRPr="00157659">
        <w:rPr>
          <w:rFonts w:eastAsia="Times New Roman" w:cs="Times New Roman"/>
          <w:spacing w:val="0"/>
          <w:sz w:val="19"/>
          <w:szCs w:val="19"/>
          <w:lang w:val="en-GB" w:eastAsia="pl-PL"/>
        </w:rPr>
        <w:t>Solar collectors were used by one out of 38 households, and heat pumps by as few as one out of 132</w:t>
      </w:r>
      <w:r>
        <w:rPr>
          <w:rFonts w:eastAsia="Times New Roman" w:cs="Times New Roman"/>
          <w:spacing w:val="0"/>
          <w:sz w:val="19"/>
          <w:szCs w:val="19"/>
          <w:lang w:val="en-GB" w:eastAsia="pl-PL"/>
        </w:rPr>
        <w:t xml:space="preserve"> </w:t>
      </w:r>
      <w:r w:rsidRPr="00157659">
        <w:rPr>
          <w:rFonts w:eastAsia="Times New Roman" w:cs="Times New Roman"/>
          <w:spacing w:val="0"/>
          <w:sz w:val="19"/>
          <w:szCs w:val="19"/>
          <w:lang w:val="en-GB" w:eastAsia="pl-PL"/>
        </w:rPr>
        <w:t>households.</w:t>
      </w:r>
    </w:p>
    <w:p w:rsidR="00B0162C" w:rsidRPr="00230C83" w:rsidRDefault="00B0162C" w:rsidP="00B0162C">
      <w:pPr>
        <w:pStyle w:val="Tekstpodstawowy"/>
        <w:spacing w:line="288" w:lineRule="auto"/>
        <w:rPr>
          <w:rFonts w:ascii="Fira Sans" w:hAnsi="Fira Sans"/>
          <w:sz w:val="19"/>
          <w:szCs w:val="19"/>
          <w:lang w:val="en-GB"/>
        </w:rPr>
      </w:pPr>
      <w:r w:rsidRPr="00157659">
        <w:rPr>
          <w:rFonts w:ascii="Fira Sans" w:hAnsi="Fira Sans"/>
          <w:sz w:val="19"/>
          <w:szCs w:val="19"/>
          <w:lang w:val="en-GB"/>
        </w:rPr>
        <w:t>Electricity was commonly used by households, mainly for lighting as well as power supply for electrical appliances</w:t>
      </w:r>
      <w:r w:rsidRPr="00230C83">
        <w:rPr>
          <w:rFonts w:ascii="Fira Sans" w:hAnsi="Fira Sans"/>
          <w:sz w:val="19"/>
          <w:szCs w:val="19"/>
          <w:lang w:val="en-GB"/>
        </w:rPr>
        <w:t xml:space="preserve"> and electronic devices. The use of electricity for heating </w:t>
      </w:r>
      <w:r>
        <w:rPr>
          <w:rFonts w:ascii="Fira Sans" w:hAnsi="Fira Sans"/>
          <w:sz w:val="19"/>
          <w:szCs w:val="19"/>
          <w:lang w:val="en-GB"/>
        </w:rPr>
        <w:br/>
      </w:r>
      <w:r w:rsidRPr="00230C83">
        <w:rPr>
          <w:rFonts w:ascii="Fira Sans" w:hAnsi="Fira Sans"/>
          <w:sz w:val="19"/>
          <w:szCs w:val="19"/>
          <w:lang w:val="en-GB"/>
        </w:rPr>
        <w:t xml:space="preserve">purposes was insignificant (5.5%), due to high prices and availability of cheaper </w:t>
      </w:r>
      <w:r>
        <w:rPr>
          <w:rFonts w:ascii="Fira Sans" w:hAnsi="Fira Sans"/>
          <w:sz w:val="19"/>
          <w:szCs w:val="19"/>
          <w:lang w:val="en-GB"/>
        </w:rPr>
        <w:br/>
      </w:r>
      <w:r w:rsidRPr="00230C83">
        <w:rPr>
          <w:rFonts w:ascii="Fira Sans" w:hAnsi="Fira Sans"/>
          <w:sz w:val="19"/>
          <w:szCs w:val="19"/>
          <w:lang w:val="en-GB"/>
        </w:rPr>
        <w:t xml:space="preserve">substitutes. Electricity was </w:t>
      </w:r>
      <w:r>
        <w:rPr>
          <w:rFonts w:ascii="Fira Sans" w:hAnsi="Fira Sans"/>
          <w:sz w:val="19"/>
          <w:szCs w:val="19"/>
          <w:lang w:val="en-GB"/>
        </w:rPr>
        <w:t xml:space="preserve">also </w:t>
      </w:r>
      <w:r w:rsidRPr="00230C83">
        <w:rPr>
          <w:rFonts w:ascii="Fira Sans" w:hAnsi="Fira Sans"/>
          <w:sz w:val="19"/>
          <w:szCs w:val="19"/>
          <w:lang w:val="en-GB"/>
        </w:rPr>
        <w:t xml:space="preserve">used for cooking and space heating, usually on a secondary basis, whereas its use for water heating was common mainly in those areas which </w:t>
      </w:r>
      <w:r>
        <w:rPr>
          <w:rFonts w:ascii="Fira Sans" w:hAnsi="Fira Sans"/>
          <w:sz w:val="19"/>
          <w:szCs w:val="19"/>
          <w:lang w:val="en-GB"/>
        </w:rPr>
        <w:br/>
      </w:r>
      <w:r w:rsidRPr="00230C83">
        <w:rPr>
          <w:rFonts w:ascii="Fira Sans" w:hAnsi="Fira Sans"/>
          <w:sz w:val="19"/>
          <w:szCs w:val="19"/>
          <w:lang w:val="en-GB"/>
        </w:rPr>
        <w:t>did not have access to the heating or gas network.</w:t>
      </w:r>
    </w:p>
    <w:p w:rsidR="00B0162C" w:rsidRDefault="00B0162C" w:rsidP="00B0162C">
      <w:pPr>
        <w:pStyle w:val="Tablicanotka"/>
        <w:rPr>
          <w:rFonts w:eastAsia="Times New Roman" w:cs="Times New Roman"/>
          <w:b/>
          <w:spacing w:val="0"/>
          <w:sz w:val="19"/>
          <w:szCs w:val="19"/>
          <w:lang w:val="en-GB" w:eastAsia="pl-PL"/>
        </w:rPr>
      </w:pPr>
    </w:p>
    <w:p w:rsidR="00B0162C" w:rsidRPr="00230C83" w:rsidRDefault="00B0162C" w:rsidP="00B0162C">
      <w:pPr>
        <w:pStyle w:val="Tablicanotka"/>
        <w:rPr>
          <w:rFonts w:eastAsia="Times New Roman" w:cs="Times New Roman"/>
          <w:b/>
          <w:spacing w:val="0"/>
          <w:sz w:val="19"/>
          <w:szCs w:val="19"/>
          <w:lang w:val="en-GB" w:eastAsia="pl-PL"/>
        </w:rPr>
      </w:pPr>
      <w:r w:rsidRPr="00230C83">
        <w:rPr>
          <w:rFonts w:eastAsia="Times New Roman" w:cs="Times New Roman"/>
          <w:b/>
          <w:spacing w:val="0"/>
          <w:sz w:val="19"/>
          <w:szCs w:val="19"/>
          <w:lang w:val="en-GB" w:eastAsia="pl-PL"/>
        </w:rPr>
        <w:t>Table 2: Share of households using various energy carriers for space heating (in %)</w:t>
      </w:r>
    </w:p>
    <w:tbl>
      <w:tblPr>
        <w:tblStyle w:val="Siatkatabelijasna1"/>
        <w:tblpPr w:leftFromText="141" w:rightFromText="141" w:vertAnchor="text" w:horzAnchor="margin" w:tblpY="-25"/>
        <w:tblW w:w="782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single" w:sz="4" w:space="0" w:color="212492"/>
          <w:insideV w:val="single" w:sz="4" w:space="0" w:color="212492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  <w:tblCaption w:val="Tabela 2."/>
        <w:tblDescription w:val="The table shows the share of households using various energy carriers for space heating (in %).  The data for the table are provided in the attached excel file."/>
      </w:tblPr>
      <w:tblGrid>
        <w:gridCol w:w="3061"/>
        <w:gridCol w:w="1192"/>
        <w:gridCol w:w="1192"/>
        <w:gridCol w:w="1192"/>
        <w:gridCol w:w="1192"/>
      </w:tblGrid>
      <w:tr w:rsidR="00B0162C" w:rsidRPr="00230C83" w:rsidTr="00595A4B">
        <w:trPr>
          <w:trHeight w:val="171"/>
        </w:trPr>
        <w:tc>
          <w:tcPr>
            <w:tcW w:w="306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center"/>
              <w:rPr>
                <w:b/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Specification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2012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2015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2018</w:t>
            </w:r>
          </w:p>
        </w:tc>
        <w:tc>
          <w:tcPr>
            <w:tcW w:w="11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center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2021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tcBorders>
              <w:top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 xml:space="preserve">Electricity 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5,4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4,5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5,1</w:t>
            </w:r>
          </w:p>
        </w:tc>
        <w:tc>
          <w:tcPr>
            <w:tcW w:w="1192" w:type="dxa"/>
            <w:tcBorders>
              <w:top w:val="single" w:sz="4" w:space="0" w:color="auto"/>
            </w:tcBorders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5,5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District heat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41,5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41,7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40,4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52,2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 xml:space="preserve">Natural </w:t>
            </w:r>
            <w:proofErr w:type="spellStart"/>
            <w:r w:rsidRPr="00230C83">
              <w:rPr>
                <w:szCs w:val="19"/>
                <w:lang w:val="en-GB"/>
              </w:rPr>
              <w:t>gas</w:t>
            </w:r>
            <w:r w:rsidRPr="00230C83">
              <w:rPr>
                <w:szCs w:val="19"/>
                <w:vertAlign w:val="superscript"/>
                <w:lang w:val="en-GB"/>
              </w:rPr>
              <w:t>a</w:t>
            </w:r>
            <w:proofErr w:type="spellEnd"/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8,8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10,1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14,0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14,6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LPG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0,3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0,3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0,8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Heating oil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0,4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0,4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0,3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Hard coal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40,8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40,4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36,5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20,9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Brown coal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1,4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1,1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0,4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Coke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0,7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0,8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0,6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0,2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Fuel wood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40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41,7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28,8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20,7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Other types of biomass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4,3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3,0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1,3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2,3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Solar energy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0,07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0,15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0,13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0,40</w:t>
            </w:r>
          </w:p>
        </w:tc>
      </w:tr>
      <w:tr w:rsidR="00B0162C" w:rsidRPr="00230C83" w:rsidTr="00595A4B">
        <w:trPr>
          <w:trHeight w:val="171"/>
        </w:trPr>
        <w:tc>
          <w:tcPr>
            <w:tcW w:w="3061" w:type="dxa"/>
            <w:vAlign w:val="center"/>
          </w:tcPr>
          <w:p w:rsidR="00B0162C" w:rsidRPr="00230C83" w:rsidRDefault="00B0162C" w:rsidP="00595A4B">
            <w:pPr>
              <w:contextualSpacing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Heat pumps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0,05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0,07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contextualSpacing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0,28</w:t>
            </w:r>
          </w:p>
        </w:tc>
        <w:tc>
          <w:tcPr>
            <w:tcW w:w="1192" w:type="dxa"/>
            <w:vAlign w:val="center"/>
          </w:tcPr>
          <w:p w:rsidR="00B0162C" w:rsidRPr="00230C83" w:rsidRDefault="00B0162C" w:rsidP="00595A4B">
            <w:pPr>
              <w:spacing w:before="0" w:after="0" w:line="240" w:lineRule="auto"/>
              <w:jc w:val="right"/>
              <w:rPr>
                <w:szCs w:val="19"/>
                <w:lang w:val="en-GB"/>
              </w:rPr>
            </w:pPr>
            <w:r w:rsidRPr="00230C83">
              <w:rPr>
                <w:szCs w:val="19"/>
                <w:lang w:val="en-GB"/>
              </w:rPr>
              <w:t>0,69</w:t>
            </w:r>
          </w:p>
        </w:tc>
      </w:tr>
    </w:tbl>
    <w:p w:rsidR="00B0162C" w:rsidRPr="00230C83" w:rsidRDefault="00B0162C" w:rsidP="00B0162C">
      <w:pPr>
        <w:pStyle w:val="Tablicanotka"/>
        <w:rPr>
          <w:rFonts w:eastAsia="Times New Roman" w:cs="Times New Roman"/>
          <w:spacing w:val="0"/>
          <w:lang w:val="en-GB" w:eastAsia="pl-PL"/>
        </w:rPr>
      </w:pPr>
      <w:r w:rsidRPr="00230C83">
        <w:rPr>
          <w:rFonts w:eastAsia="Times New Roman" w:cs="Times New Roman"/>
          <w:spacing w:val="0"/>
          <w:lang w:val="en-GB" w:eastAsia="pl-PL"/>
        </w:rPr>
        <w:t>a - data for 2012 refer to high-methane gas</w:t>
      </w:r>
    </w:p>
    <w:p w:rsidR="00B0162C" w:rsidRDefault="00B0162C" w:rsidP="00B0162C">
      <w:pPr>
        <w:pStyle w:val="Tablicanotka"/>
        <w:rPr>
          <w:rFonts w:eastAsia="Times New Roman" w:cs="Times New Roman"/>
          <w:b/>
          <w:bCs/>
          <w:noProof w:val="0"/>
          <w:color w:val="001D77"/>
          <w:spacing w:val="0"/>
          <w:sz w:val="19"/>
          <w:szCs w:val="19"/>
          <w:lang w:val="en-GB" w:eastAsia="pl-PL"/>
        </w:rPr>
      </w:pPr>
    </w:p>
    <w:p w:rsidR="00B0162C" w:rsidRPr="00230C83" w:rsidRDefault="00B0162C" w:rsidP="00B0162C">
      <w:pPr>
        <w:pStyle w:val="Tablicanotka"/>
        <w:rPr>
          <w:rFonts w:eastAsia="Times New Roman" w:cs="Times New Roman"/>
          <w:b/>
          <w:bCs/>
          <w:noProof w:val="0"/>
          <w:color w:val="001D77"/>
          <w:spacing w:val="0"/>
          <w:sz w:val="19"/>
          <w:szCs w:val="19"/>
          <w:lang w:val="en-GB" w:eastAsia="pl-PL"/>
        </w:rPr>
      </w:pPr>
      <w:r w:rsidRPr="00230C83">
        <w:rPr>
          <w:rFonts w:eastAsia="Times New Roman" w:cs="Times New Roman"/>
          <w:b/>
          <w:bCs/>
          <w:noProof w:val="0"/>
          <w:color w:val="001D77"/>
          <w:spacing w:val="0"/>
          <w:sz w:val="19"/>
          <w:szCs w:val="19"/>
          <w:lang w:val="en-GB" w:eastAsia="pl-PL"/>
        </w:rPr>
        <w:t>Appliances for space and water heating</w:t>
      </w:r>
    </w:p>
    <w:p w:rsidR="00B0162C" w:rsidRPr="00157659" w:rsidRDefault="00B0162C" w:rsidP="00B0162C">
      <w:pPr>
        <w:pStyle w:val="Tekstpodstawowy"/>
        <w:spacing w:line="288" w:lineRule="auto"/>
        <w:rPr>
          <w:rFonts w:ascii="Fira Sans" w:hAnsi="Fira Sans"/>
          <w:sz w:val="19"/>
          <w:szCs w:val="19"/>
          <w:lang w:val="en-GB"/>
        </w:rPr>
      </w:pPr>
      <w:r w:rsidRPr="00157659">
        <w:rPr>
          <w:rFonts w:ascii="Fira Sans" w:hAnsi="Fira Sans"/>
          <w:sz w:val="19"/>
          <w:szCs w:val="19"/>
          <w:lang w:val="en-GB"/>
        </w:rPr>
        <w:t>In dwellings equipped with central heating boilers (for solid fuels or natural gas), double-function boilers were most frequent present (26.3%) and used simultaneously for water heating. Single-function boilers were less popular (15.1%), though still more common than fireplaces (2.4%).</w:t>
      </w:r>
    </w:p>
    <w:p w:rsidR="00B0162C" w:rsidRPr="00230C83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Pr="00230C83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Pr="00230C83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Pr="00230C83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</w:p>
    <w:p w:rsidR="00B0162C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  <w:r w:rsidRPr="00230C83">
        <w:rPr>
          <w:b/>
          <w:spacing w:val="-2"/>
          <w:szCs w:val="19"/>
          <w:lang w:val="en-GB"/>
        </w:rPr>
        <w:lastRenderedPageBreak/>
        <w:t>Chart 1: Space heating by heating techniques in 2021 (in %)</w:t>
      </w:r>
    </w:p>
    <w:p w:rsidR="00B0162C" w:rsidRPr="00ED3599" w:rsidRDefault="00B0162C" w:rsidP="00B0162C">
      <w:pPr>
        <w:spacing w:before="0" w:after="0" w:line="240" w:lineRule="auto"/>
        <w:rPr>
          <w:b/>
          <w:spacing w:val="-2"/>
          <w:szCs w:val="19"/>
          <w:lang w:val="en-GB"/>
        </w:rPr>
      </w:pPr>
      <w:r>
        <w:rPr>
          <w:b/>
          <w:noProof/>
          <w:spacing w:val="-2"/>
          <w:szCs w:val="19"/>
          <w:lang w:val="en-GB"/>
        </w:rPr>
        <w:drawing>
          <wp:anchor distT="0" distB="0" distL="114300" distR="114300" simplePos="0" relativeHeight="251669504" behindDoc="0" locked="0" layoutInCell="1" allowOverlap="1" wp14:anchorId="583CCE9E" wp14:editId="2FCF59DE">
            <wp:simplePos x="0" y="0"/>
            <wp:positionH relativeFrom="column">
              <wp:posOffset>3658</wp:posOffset>
            </wp:positionH>
            <wp:positionV relativeFrom="paragraph">
              <wp:posOffset>127</wp:posOffset>
            </wp:positionV>
            <wp:extent cx="5122545" cy="3749426"/>
            <wp:effectExtent l="0" t="0" r="0" b="0"/>
            <wp:wrapSquare wrapText="bothSides"/>
            <wp:docPr id="4" name="Obraz 4" descr="Chart 1. The pie chart shows space heating by heating techniques in 2021. The data for the graph is provided in the attached excel fil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456" b="12106"/>
                    <a:stretch/>
                  </pic:blipFill>
                  <pic:spPr bwMode="auto">
                    <a:xfrm>
                      <a:off x="0" y="0"/>
                      <a:ext cx="5122545" cy="3749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B0162C" w:rsidRPr="00230C83" w:rsidRDefault="00B0162C" w:rsidP="00B0162C">
      <w:pPr>
        <w:pStyle w:val="Tablicanotka"/>
        <w:rPr>
          <w:noProof w:val="0"/>
          <w:spacing w:val="0"/>
          <w:sz w:val="19"/>
          <w:szCs w:val="22"/>
          <w:shd w:val="clear" w:color="auto" w:fill="FFFFFF"/>
          <w:lang w:val="en-GB"/>
        </w:rPr>
      </w:pPr>
      <w:r w:rsidRPr="00230C83">
        <w:rPr>
          <w:noProof w:val="0"/>
          <w:spacing w:val="0"/>
          <w:sz w:val="19"/>
          <w:szCs w:val="22"/>
          <w:shd w:val="clear" w:color="auto" w:fill="FFFFFF"/>
          <w:lang w:val="en-GB"/>
        </w:rPr>
        <w:t>The most common way to obtain hot water was through a district heating installation (41.1% of households), a significant share constituted also electric boilers or water heaters (19.5%) as well as bathroom heaters for natural gas (13.4%), while double-function boilers or water heaters for solid fuels were used in 13,5% of households and for natural gas in 11.2%.</w:t>
      </w:r>
    </w:p>
    <w:p w:rsidR="00B0162C" w:rsidRPr="00230C83" w:rsidRDefault="00B0162C" w:rsidP="00B0162C">
      <w:pPr>
        <w:spacing w:before="240" w:line="288" w:lineRule="auto"/>
        <w:rPr>
          <w:shd w:val="clear" w:color="auto" w:fill="FFFFFF"/>
          <w:lang w:val="en-GB"/>
        </w:rPr>
      </w:pPr>
      <w:r w:rsidRPr="00230C83">
        <w:rPr>
          <w:b/>
          <w:spacing w:val="-2"/>
          <w:szCs w:val="19"/>
          <w:lang w:val="en-GB"/>
        </w:rPr>
        <w:t>Chart 2: Water heating by heating techniques in 2021 (in %)</w:t>
      </w:r>
    </w:p>
    <w:p w:rsidR="00B0162C" w:rsidRPr="00942994" w:rsidRDefault="00B0162C" w:rsidP="00B0162C">
      <w:pPr>
        <w:spacing w:line="288" w:lineRule="auto"/>
        <w:rPr>
          <w:rFonts w:ascii="Fira Sans SemiBold" w:eastAsia="Times New Roman" w:hAnsi="Fira Sans SemiBold" w:cs="Times New Roman"/>
          <w:noProof/>
          <w:color w:val="001D77"/>
          <w:szCs w:val="19"/>
          <w:lang w:val="en-GB" w:eastAsia="pl-PL"/>
        </w:rPr>
      </w:pPr>
      <w:r>
        <w:rPr>
          <w:rFonts w:ascii="Fira Sans SemiBold" w:eastAsia="Times New Roman" w:hAnsi="Fira Sans SemiBold" w:cs="Times New Roman"/>
          <w:noProof/>
          <w:color w:val="001D77"/>
          <w:szCs w:val="19"/>
          <w:lang w:val="en-GB" w:eastAsia="pl-PL"/>
        </w:rPr>
        <w:drawing>
          <wp:inline distT="0" distB="0" distL="0" distR="0" wp14:anchorId="40B764A7" wp14:editId="569D2DB0">
            <wp:extent cx="5016719" cy="2787091"/>
            <wp:effectExtent l="0" t="0" r="0" b="0"/>
            <wp:docPr id="16" name="Obraz 16" descr="hart 2: Pie chart presents water heating by heating techniques in 2021 (in %). The data for the chart are provided in the attached excel fi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0340" b="15325"/>
                    <a:stretch/>
                  </pic:blipFill>
                  <pic:spPr bwMode="auto">
                    <a:xfrm>
                      <a:off x="0" y="0"/>
                      <a:ext cx="5017135" cy="27873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>
        <w:rPr>
          <w:rFonts w:ascii="Fira Sans SemiBold" w:eastAsia="Times New Roman" w:hAnsi="Fira Sans SemiBold" w:cs="Times New Roman"/>
          <w:noProof/>
          <w:color w:val="001D77"/>
          <w:szCs w:val="19"/>
          <w:lang w:val="en-GB" w:eastAsia="pl-PL"/>
        </w:rPr>
        <w:br/>
      </w:r>
      <w:r w:rsidRPr="00230C83">
        <w:rPr>
          <w:rFonts w:ascii="Fira Sans SemiBold" w:eastAsia="Times New Roman" w:hAnsi="Fira Sans SemiBold" w:cs="Times New Roman"/>
          <w:noProof/>
          <w:color w:val="001D77"/>
          <w:szCs w:val="19"/>
          <w:lang w:val="en-GB" w:eastAsia="pl-PL"/>
        </w:rPr>
        <w:t>Households equippedwith energy-consuming appliances</w:t>
      </w:r>
    </w:p>
    <w:p w:rsidR="00B0162C" w:rsidRDefault="00B0162C" w:rsidP="00B0162C">
      <w:pPr>
        <w:pStyle w:val="Tekstpodstawowy"/>
        <w:rPr>
          <w:rFonts w:ascii="Fira Sans" w:hAnsi="Fira Sans"/>
          <w:sz w:val="19"/>
          <w:szCs w:val="19"/>
          <w:lang w:val="en-GB"/>
        </w:rPr>
      </w:pPr>
      <w:r w:rsidRPr="00230C83">
        <w:rPr>
          <w:rFonts w:ascii="Fira Sans" w:hAnsi="Fira Sans"/>
          <w:sz w:val="19"/>
          <w:szCs w:val="19"/>
          <w:lang w:val="en-GB"/>
        </w:rPr>
        <w:t xml:space="preserve">Most households were well-equipped with </w:t>
      </w:r>
      <w:r>
        <w:rPr>
          <w:rFonts w:ascii="Fira Sans" w:hAnsi="Fira Sans"/>
          <w:sz w:val="19"/>
          <w:szCs w:val="19"/>
          <w:lang w:val="en-GB"/>
        </w:rPr>
        <w:t xml:space="preserve">basic </w:t>
      </w:r>
      <w:r w:rsidRPr="00230C83">
        <w:rPr>
          <w:rFonts w:ascii="Fira Sans" w:hAnsi="Fira Sans"/>
          <w:sz w:val="19"/>
          <w:szCs w:val="19"/>
          <w:lang w:val="en-GB"/>
        </w:rPr>
        <w:t xml:space="preserve">energy-consuming devices, both those which satisfied the principal heating needs and those which improved the living comfort of inhabitants. A vast majority of households </w:t>
      </w:r>
      <w:r>
        <w:rPr>
          <w:rFonts w:ascii="Fira Sans" w:hAnsi="Fira Sans"/>
          <w:sz w:val="19"/>
          <w:szCs w:val="19"/>
          <w:lang w:val="en-GB"/>
        </w:rPr>
        <w:t>owned</w:t>
      </w:r>
      <w:r w:rsidRPr="00230C83">
        <w:rPr>
          <w:rFonts w:ascii="Fira Sans" w:hAnsi="Fira Sans"/>
          <w:sz w:val="19"/>
          <w:szCs w:val="19"/>
          <w:lang w:val="en-GB"/>
        </w:rPr>
        <w:t xml:space="preserve"> the most important </w:t>
      </w:r>
      <w:r w:rsidRPr="00157659">
        <w:rPr>
          <w:rFonts w:ascii="Fira Sans" w:hAnsi="Fira Sans"/>
          <w:sz w:val="19"/>
          <w:szCs w:val="19"/>
          <w:lang w:val="en-GB"/>
        </w:rPr>
        <w:t>electric appliances, such as TV sets (89.9%), automatic washing machines (89.6%), combined fridge-freezers (81.3%).</w:t>
      </w:r>
    </w:p>
    <w:p w:rsidR="00B0162C" w:rsidRDefault="00B0162C" w:rsidP="00B0162C">
      <w:pPr>
        <w:pStyle w:val="Tekstpodstawowy"/>
        <w:rPr>
          <w:rFonts w:ascii="Fira Sans" w:hAnsi="Fira Sans"/>
          <w:sz w:val="19"/>
          <w:szCs w:val="19"/>
          <w:lang w:val="en-GB"/>
        </w:rPr>
      </w:pPr>
    </w:p>
    <w:p w:rsidR="00B0162C" w:rsidRPr="00157659" w:rsidRDefault="00B0162C" w:rsidP="00B0162C">
      <w:pPr>
        <w:pStyle w:val="Tekstpodstawowy"/>
        <w:rPr>
          <w:rFonts w:ascii="Fira Sans" w:hAnsi="Fira Sans"/>
          <w:sz w:val="19"/>
          <w:szCs w:val="19"/>
          <w:lang w:val="en-GB"/>
        </w:rPr>
      </w:pPr>
    </w:p>
    <w:p w:rsidR="00B0162C" w:rsidRPr="00230C83" w:rsidRDefault="00B0162C" w:rsidP="00B0162C">
      <w:pPr>
        <w:spacing w:line="274" w:lineRule="auto"/>
        <w:jc w:val="both"/>
        <w:rPr>
          <w:rFonts w:ascii="Fira Sans SemiBold" w:eastAsia="Times New Roman" w:hAnsi="Fira Sans SemiBold" w:cs="Times New Roman"/>
          <w:noProof/>
          <w:color w:val="001D77"/>
          <w:szCs w:val="19"/>
          <w:lang w:val="en-GB" w:eastAsia="pl-PL"/>
        </w:rPr>
      </w:pPr>
      <w:bookmarkStart w:id="1" w:name="_Hlk135048311"/>
      <w:r w:rsidRPr="00230C83">
        <w:rPr>
          <w:rFonts w:ascii="Fira Sans SemiBold" w:eastAsia="Times New Roman" w:hAnsi="Fira Sans SemiBold" w:cs="Times New Roman"/>
          <w:noProof/>
          <w:color w:val="001D77"/>
          <w:szCs w:val="19"/>
          <w:lang w:val="en-GB" w:eastAsia="pl-PL"/>
        </w:rPr>
        <w:lastRenderedPageBreak/>
        <w:t>Energy poverty</w:t>
      </w:r>
    </w:p>
    <w:p w:rsidR="00B0162C" w:rsidRPr="00230C83" w:rsidRDefault="00B0162C" w:rsidP="00B0162C">
      <w:pPr>
        <w:spacing w:after="160" w:line="276" w:lineRule="auto"/>
        <w:rPr>
          <w:rFonts w:eastAsia="Calibri"/>
          <w:lang w:val="en-GB"/>
        </w:rPr>
      </w:pPr>
      <w:r w:rsidRPr="00230C83">
        <w:rPr>
          <w:rFonts w:eastAsia="Calibri"/>
          <w:lang w:val="en-GB"/>
        </w:rPr>
        <w:t xml:space="preserve">Between 2012 and 2021, all 5 measures </w:t>
      </w:r>
      <w:r w:rsidRPr="00157659">
        <w:rPr>
          <w:rFonts w:eastAsia="Calibri"/>
          <w:lang w:val="en-GB"/>
        </w:rPr>
        <w:t>of energy poverty showed a downward trend. The highest value in 2021 was recorded for double median of energy expenditures, according to which in 18.8 % of households were characterised by energy poverty. Compared to 2012, the decrease was small (by 0.7 p.p.). The second of the objective indicators - high costs, low income – which covers both the technical condition of the buildings by determining the required energy costs and material status of households</w:t>
      </w:r>
      <w:r w:rsidRPr="00230C83">
        <w:rPr>
          <w:rFonts w:eastAsia="Calibri"/>
          <w:lang w:val="en-GB"/>
        </w:rPr>
        <w:t xml:space="preserve"> decreased from 11.1 % in 2012 to 10.5% in 2021.</w:t>
      </w:r>
    </w:p>
    <w:p w:rsidR="00B0162C" w:rsidRPr="00157659" w:rsidRDefault="00B0162C" w:rsidP="00B0162C">
      <w:pPr>
        <w:spacing w:after="160" w:line="276" w:lineRule="auto"/>
        <w:rPr>
          <w:rFonts w:eastAsia="Calibri"/>
          <w:lang w:val="en-GB"/>
        </w:rPr>
      </w:pPr>
      <w:r w:rsidRPr="00230C83">
        <w:rPr>
          <w:rFonts w:eastAsia="Calibri"/>
          <w:lang w:val="en-GB"/>
        </w:rPr>
        <w:t xml:space="preserve">Subjective indicators, which also relate to the severity of energy poverty, include the </w:t>
      </w:r>
      <w:r w:rsidRPr="00157659">
        <w:rPr>
          <w:rFonts w:eastAsia="Calibri"/>
          <w:lang w:val="en-GB"/>
        </w:rPr>
        <w:t>ability to pay bills on time - only a negligible number (0.8% in 2021) of households were unable to pay their bills on tim</w:t>
      </w:r>
      <w:r>
        <w:rPr>
          <w:rFonts w:eastAsia="Calibri"/>
          <w:lang w:val="en-GB"/>
        </w:rPr>
        <w:t xml:space="preserve">e </w:t>
      </w:r>
      <w:r w:rsidRPr="00CB4624">
        <w:rPr>
          <w:rFonts w:eastAsia="Calibri"/>
          <w:lang w:val="en-GB"/>
        </w:rPr>
        <w:t>which is a decrease of 2.8 p.p. compared to 2015.</w:t>
      </w:r>
    </w:p>
    <w:p w:rsidR="00B0162C" w:rsidRDefault="00B0162C" w:rsidP="00B0162C">
      <w:pPr>
        <w:spacing w:after="160" w:line="276" w:lineRule="auto"/>
        <w:rPr>
          <w:rFonts w:eastAsia="Calibri"/>
          <w:lang w:val="en-GB"/>
        </w:rPr>
      </w:pPr>
      <w:r w:rsidRPr="00157659">
        <w:rPr>
          <w:rFonts w:eastAsia="Calibri"/>
          <w:lang w:val="en-GB"/>
        </w:rPr>
        <w:t xml:space="preserve">Two indicators related to the technical and functional qualities of the buildings (buildings with leaking roofs and insufficient thermal comfort), had similar values, respectively: 3.5% and 5.2% in 2021, representing significant decreases in these </w:t>
      </w:r>
      <w:bookmarkEnd w:id="1"/>
      <w:r w:rsidRPr="00CB4624">
        <w:rPr>
          <w:rFonts w:eastAsia="Calibri"/>
          <w:lang w:val="en-GB"/>
        </w:rPr>
        <w:t>compared to 2012. (7.0 p.p. and 7.9 p.p. respectively).</w:t>
      </w:r>
    </w:p>
    <w:p w:rsidR="00B0162C" w:rsidRDefault="00B0162C" w:rsidP="00B0162C">
      <w:pPr>
        <w:spacing w:after="160" w:line="276" w:lineRule="auto"/>
        <w:rPr>
          <w:b/>
          <w:spacing w:val="-2"/>
          <w:szCs w:val="19"/>
          <w:lang w:val="en-GB"/>
        </w:rPr>
      </w:pPr>
      <w:r w:rsidRPr="00B77B5A">
        <w:rPr>
          <w:b/>
          <w:spacing w:val="-2"/>
          <w:szCs w:val="19"/>
          <w:lang w:val="en-GB"/>
        </w:rPr>
        <w:t>Chart 3. Energy poverty</w:t>
      </w:r>
      <w:r>
        <w:rPr>
          <w:noProof/>
          <w:spacing w:val="-2"/>
          <w:szCs w:val="19"/>
          <w:lang w:val="en-GB"/>
        </w:rPr>
        <w:drawing>
          <wp:inline distT="0" distB="0" distL="0" distR="0" wp14:anchorId="66EE9CAA" wp14:editId="6AFD1CE4">
            <wp:extent cx="5090497" cy="2984602"/>
            <wp:effectExtent l="0" t="0" r="0" b="6350"/>
            <wp:docPr id="34" name="Obraz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93717" cy="29864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0162C" w:rsidRPr="00DC2C36" w:rsidRDefault="00B0162C" w:rsidP="00B0162C">
      <w:pPr>
        <w:rPr>
          <w:sz w:val="16"/>
          <w:szCs w:val="16"/>
          <w:lang w:val="en-GB"/>
        </w:rPr>
      </w:pPr>
      <w:r w:rsidRPr="00DC2C36">
        <w:rPr>
          <w:sz w:val="16"/>
          <w:szCs w:val="16"/>
          <w:lang w:val="en-GB"/>
        </w:rPr>
        <w:t>a. not available</w:t>
      </w:r>
    </w:p>
    <w:p w:rsidR="00B0162C" w:rsidRPr="0046203D" w:rsidRDefault="00B0162C" w:rsidP="00B0162C">
      <w:pPr>
        <w:spacing w:line="288" w:lineRule="auto"/>
        <w:rPr>
          <w:lang w:val="en-GB"/>
        </w:rPr>
      </w:pPr>
      <w:r>
        <w:rPr>
          <w:lang w:val="en-GB"/>
        </w:rPr>
        <w:t>When quoting Statistics Poland data, please provide information: “Source of data: Statistics Poland”, and when publishing calculations made on data published by Statistics Poland, please provide information: “Own study based on Statistics Poland data”.</w:t>
      </w:r>
    </w:p>
    <w:p w:rsidR="00B0162C" w:rsidRDefault="00B0162C" w:rsidP="00B0162C">
      <w:pPr>
        <w:spacing w:before="360"/>
        <w:rPr>
          <w:sz w:val="18"/>
          <w:lang w:val="en-GB"/>
        </w:rPr>
      </w:pPr>
    </w:p>
    <w:p w:rsidR="00B0162C" w:rsidRPr="00230C83" w:rsidRDefault="00B0162C" w:rsidP="00B0162C">
      <w:pPr>
        <w:spacing w:before="360"/>
        <w:rPr>
          <w:sz w:val="18"/>
          <w:lang w:val="en-GB"/>
        </w:rPr>
        <w:sectPr w:rsidR="00B0162C" w:rsidRPr="00230C83" w:rsidSect="003B18B6">
          <w:headerReference w:type="default" r:id="rId11"/>
          <w:footerReference w:type="default" r:id="rId12"/>
          <w:headerReference w:type="first" r:id="rId13"/>
          <w:footerReference w:type="first" r:id="rId14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</w:p>
    <w:tbl>
      <w:tblPr>
        <w:tblStyle w:val="Tabela-Siatka"/>
        <w:tblW w:w="9853" w:type="dxa"/>
        <w:tblInd w:w="27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B0162C" w:rsidRPr="00230C83" w:rsidTr="00595A4B">
        <w:trPr>
          <w:trHeight w:val="1626"/>
        </w:trPr>
        <w:tc>
          <w:tcPr>
            <w:tcW w:w="4926" w:type="dxa"/>
          </w:tcPr>
          <w:p w:rsidR="00B0162C" w:rsidRPr="00960C40" w:rsidRDefault="00B0162C" w:rsidP="00595A4B">
            <w:pPr>
              <w:spacing w:before="0" w:after="0" w:line="276" w:lineRule="auto"/>
              <w:rPr>
                <w:rFonts w:cs="Arial"/>
                <w:sz w:val="20"/>
                <w:lang w:val="en-GB"/>
              </w:rPr>
            </w:pPr>
            <w:r w:rsidRPr="00960C40">
              <w:rPr>
                <w:rFonts w:cs="Arial"/>
                <w:sz w:val="20"/>
                <w:lang w:val="en-GB"/>
              </w:rPr>
              <w:lastRenderedPageBreak/>
              <w:t>Prepared by:</w:t>
            </w:r>
          </w:p>
          <w:p w:rsidR="00B0162C" w:rsidRPr="00C84F38" w:rsidRDefault="00B0162C" w:rsidP="00595A4B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  <w:lang w:val="en-GB"/>
              </w:rPr>
            </w:pPr>
            <w:r w:rsidRPr="00C84F38">
              <w:rPr>
                <w:rFonts w:cs="Arial"/>
                <w:b/>
                <w:color w:val="000000" w:themeColor="text1"/>
                <w:sz w:val="20"/>
                <w:lang w:val="en-GB"/>
              </w:rPr>
              <w:t>Statistical Office in Rzeszó</w:t>
            </w:r>
            <w:r>
              <w:rPr>
                <w:rFonts w:cs="Arial"/>
                <w:b/>
                <w:color w:val="000000" w:themeColor="text1"/>
                <w:sz w:val="20"/>
                <w:lang w:val="en-GB"/>
              </w:rPr>
              <w:t>w</w:t>
            </w:r>
          </w:p>
          <w:p w:rsidR="00B0162C" w:rsidRPr="00C84F38" w:rsidRDefault="00B0162C" w:rsidP="00595A4B">
            <w:pPr>
              <w:pStyle w:val="Nagwek3"/>
              <w:spacing w:before="0" w:after="120" w:line="276" w:lineRule="auto"/>
              <w:outlineLvl w:val="2"/>
              <w:rPr>
                <w:rFonts w:ascii="Fira Sans" w:eastAsiaTheme="minorHAnsi" w:hAnsi="Fira Sans" w:cstheme="minorBidi"/>
                <w:b/>
                <w:color w:val="auto"/>
                <w:sz w:val="20"/>
                <w:szCs w:val="20"/>
                <w:lang w:val="en-GB"/>
              </w:rPr>
            </w:pPr>
            <w:r w:rsidRPr="00C84F38">
              <w:rPr>
                <w:rFonts w:ascii="Fira Sans" w:eastAsiaTheme="minorHAnsi" w:hAnsi="Fira Sans" w:cstheme="minorBidi"/>
                <w:b/>
                <w:color w:val="auto"/>
                <w:sz w:val="20"/>
                <w:szCs w:val="20"/>
                <w:lang w:val="en-GB"/>
              </w:rPr>
              <w:t>Director Marek Cierpiał-Wolan</w:t>
            </w:r>
          </w:p>
          <w:p w:rsidR="00B0162C" w:rsidRPr="00230C83" w:rsidRDefault="00B0162C" w:rsidP="00595A4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230C8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 xml:space="preserve">Phone: (+48 </w:t>
            </w:r>
            <w:r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48</w:t>
            </w:r>
            <w:r w:rsidRPr="00230C8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) </w:t>
            </w:r>
            <w:r w:rsidRPr="00C84F38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17 853 52 10</w:t>
            </w:r>
          </w:p>
        </w:tc>
        <w:tc>
          <w:tcPr>
            <w:tcW w:w="4927" w:type="dxa"/>
          </w:tcPr>
          <w:p w:rsidR="00B0162C" w:rsidRPr="00230C83" w:rsidRDefault="00B0162C" w:rsidP="00595A4B">
            <w:pPr>
              <w:spacing w:before="0" w:line="276" w:lineRule="auto"/>
              <w:rPr>
                <w:rFonts w:cs="Arial"/>
                <w:b/>
                <w:sz w:val="20"/>
                <w:lang w:val="en-GB"/>
              </w:rPr>
            </w:pPr>
            <w:r w:rsidRPr="00230C83">
              <w:rPr>
                <w:rFonts w:cs="Arial"/>
                <w:sz w:val="20"/>
                <w:lang w:val="en-GB"/>
              </w:rPr>
              <w:t>Issued by:</w:t>
            </w:r>
            <w:r w:rsidRPr="00230C83">
              <w:rPr>
                <w:rFonts w:cs="Arial"/>
                <w:sz w:val="20"/>
                <w:lang w:val="en-GB"/>
              </w:rPr>
              <w:br/>
            </w:r>
            <w:r w:rsidRPr="00230C83">
              <w:rPr>
                <w:rFonts w:cs="Arial"/>
                <w:b/>
                <w:sz w:val="20"/>
                <w:lang w:val="en-GB"/>
              </w:rPr>
              <w:t>The Spokesperson for the President</w:t>
            </w:r>
            <w:r w:rsidRPr="00230C83">
              <w:rPr>
                <w:rFonts w:cs="Arial"/>
                <w:b/>
                <w:sz w:val="20"/>
                <w:lang w:val="en-GB"/>
              </w:rPr>
              <w:br/>
              <w:t>of Statistics Poland</w:t>
            </w:r>
          </w:p>
          <w:p w:rsidR="00B0162C" w:rsidRPr="00230C83" w:rsidRDefault="00B0162C" w:rsidP="00595A4B">
            <w:pPr>
              <w:pStyle w:val="Nagwek3"/>
              <w:spacing w:before="0" w:line="276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</w:pPr>
            <w:r w:rsidRPr="00230C83">
              <w:rPr>
                <w:rFonts w:ascii="Fira Sans" w:hAnsi="Fira Sans" w:cs="Arial"/>
                <w:b/>
                <w:color w:val="auto"/>
                <w:sz w:val="20"/>
                <w:szCs w:val="28"/>
                <w:lang w:val="en-GB"/>
              </w:rPr>
              <w:t>Karolina Banaszek</w:t>
            </w:r>
          </w:p>
          <w:p w:rsidR="00B0162C" w:rsidRPr="00230C83" w:rsidRDefault="00B0162C" w:rsidP="00595A4B">
            <w:pPr>
              <w:pStyle w:val="Nagwek3"/>
              <w:spacing w:before="0" w:after="120" w:line="276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en-GB"/>
              </w:rPr>
            </w:pPr>
            <w:r w:rsidRPr="00230C83">
              <w:rPr>
                <w:rFonts w:ascii="Fira Sans" w:hAnsi="Fira Sans" w:cs="Arial"/>
                <w:color w:val="000000" w:themeColor="text1"/>
                <w:sz w:val="20"/>
                <w:lang w:val="en-GB"/>
              </w:rPr>
              <w:t>Phone: (+48) 695 255 011</w:t>
            </w:r>
          </w:p>
          <w:p w:rsidR="00B0162C" w:rsidRPr="00230C83" w:rsidRDefault="00B0162C" w:rsidP="00595A4B">
            <w:pPr>
              <w:rPr>
                <w:sz w:val="18"/>
                <w:lang w:val="en-GB"/>
              </w:rPr>
            </w:pPr>
          </w:p>
        </w:tc>
      </w:tr>
      <w:tr w:rsidR="00B0162C" w:rsidRPr="00230C83" w:rsidTr="00595A4B">
        <w:trPr>
          <w:trHeight w:val="418"/>
        </w:trPr>
        <w:tc>
          <w:tcPr>
            <w:tcW w:w="4926" w:type="dxa"/>
            <w:vMerge w:val="restart"/>
          </w:tcPr>
          <w:p w:rsidR="00B0162C" w:rsidRPr="00230C83" w:rsidRDefault="00B0162C" w:rsidP="00595A4B">
            <w:pPr>
              <w:rPr>
                <w:b/>
                <w:sz w:val="20"/>
                <w:lang w:val="en-GB"/>
              </w:rPr>
            </w:pPr>
            <w:r w:rsidRPr="00230C83">
              <w:rPr>
                <w:b/>
                <w:sz w:val="20"/>
                <w:lang w:val="en-GB"/>
              </w:rPr>
              <w:t xml:space="preserve">Press Office </w:t>
            </w:r>
          </w:p>
          <w:p w:rsidR="00B0162C" w:rsidRPr="00230C83" w:rsidRDefault="00B0162C" w:rsidP="00595A4B">
            <w:pPr>
              <w:rPr>
                <w:sz w:val="20"/>
                <w:lang w:val="en-GB"/>
              </w:rPr>
            </w:pPr>
            <w:r w:rsidRPr="00230C83">
              <w:rPr>
                <w:sz w:val="20"/>
                <w:lang w:val="en-GB"/>
              </w:rPr>
              <w:t xml:space="preserve">Phone: (+48 22) 608 38 04 </w:t>
            </w:r>
          </w:p>
          <w:p w:rsidR="00B0162C" w:rsidRPr="00230C83" w:rsidRDefault="00B0162C" w:rsidP="00595A4B">
            <w:pPr>
              <w:rPr>
                <w:sz w:val="18"/>
                <w:lang w:val="en-GB"/>
              </w:rPr>
            </w:pPr>
            <w:r w:rsidRPr="00230C83">
              <w:rPr>
                <w:b/>
                <w:sz w:val="20"/>
                <w:lang w:val="en-GB"/>
              </w:rPr>
              <w:t>e-mail:</w:t>
            </w:r>
            <w:r w:rsidRPr="00230C83">
              <w:rPr>
                <w:sz w:val="20"/>
                <w:lang w:val="en-GB"/>
              </w:rPr>
              <w:t xml:space="preserve"> </w:t>
            </w:r>
            <w:hyperlink r:id="rId15" w:history="1">
              <w:r w:rsidRPr="00230C83">
                <w:rPr>
                  <w:rStyle w:val="Hipercze"/>
                  <w:rFonts w:eastAsiaTheme="majorEastAsia" w:cs="Arial"/>
                  <w:b/>
                  <w:lang w:val="en-GB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B0162C" w:rsidRPr="00230C83" w:rsidRDefault="00B0162C" w:rsidP="00595A4B">
            <w:pPr>
              <w:ind w:firstLine="680"/>
              <w:rPr>
                <w:sz w:val="18"/>
                <w:lang w:val="en-GB"/>
              </w:rPr>
            </w:pPr>
            <w:r w:rsidRPr="00230C83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660288" behindDoc="0" locked="0" layoutInCell="1" allowOverlap="1" wp14:anchorId="0B4A4FB1" wp14:editId="3CDFEC54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Websit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C83">
              <w:rPr>
                <w:sz w:val="20"/>
                <w:lang w:val="en-GB"/>
              </w:rPr>
              <w:t>stat.gov.pl/</w:t>
            </w:r>
            <w:proofErr w:type="spellStart"/>
            <w:r w:rsidRPr="00230C83">
              <w:rPr>
                <w:sz w:val="20"/>
                <w:lang w:val="en-GB"/>
              </w:rPr>
              <w:t>en</w:t>
            </w:r>
            <w:proofErr w:type="spellEnd"/>
            <w:r w:rsidRPr="00230C83">
              <w:rPr>
                <w:sz w:val="20"/>
                <w:lang w:val="en-GB"/>
              </w:rPr>
              <w:t>/</w:t>
            </w:r>
            <w:r w:rsidRPr="00230C83">
              <w:rPr>
                <w:sz w:val="18"/>
                <w:lang w:val="en-GB"/>
              </w:rPr>
              <w:t xml:space="preserve">     </w:t>
            </w:r>
          </w:p>
        </w:tc>
      </w:tr>
      <w:tr w:rsidR="00B0162C" w:rsidRPr="00230C83" w:rsidTr="00595A4B">
        <w:trPr>
          <w:trHeight w:val="418"/>
        </w:trPr>
        <w:tc>
          <w:tcPr>
            <w:tcW w:w="4926" w:type="dxa"/>
            <w:vMerge/>
          </w:tcPr>
          <w:p w:rsidR="00B0162C" w:rsidRPr="00230C83" w:rsidRDefault="00B0162C" w:rsidP="00595A4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  <w:vAlign w:val="center"/>
          </w:tcPr>
          <w:p w:rsidR="00B0162C" w:rsidRPr="00230C83" w:rsidRDefault="00B0162C" w:rsidP="00595A4B">
            <w:pPr>
              <w:ind w:firstLine="680"/>
              <w:rPr>
                <w:sz w:val="18"/>
                <w:lang w:val="en-GB"/>
              </w:rPr>
            </w:pPr>
            <w:r w:rsidRPr="00230C83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661312" behindDoc="0" locked="0" layoutInCell="1" allowOverlap="1" wp14:anchorId="757A20BD" wp14:editId="6946E4C6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Twitter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C83">
              <w:rPr>
                <w:sz w:val="20"/>
                <w:lang w:val="en-GB"/>
              </w:rPr>
              <w:t>@</w:t>
            </w:r>
            <w:proofErr w:type="spellStart"/>
            <w:r w:rsidRPr="00230C83">
              <w:rPr>
                <w:noProof/>
                <w:sz w:val="20"/>
                <w:lang w:val="en-GB" w:eastAsia="pl-PL"/>
              </w:rPr>
              <w:t>StatPoland</w:t>
            </w:r>
            <w:proofErr w:type="spellEnd"/>
          </w:p>
        </w:tc>
      </w:tr>
      <w:tr w:rsidR="00B0162C" w:rsidRPr="00230C83" w:rsidTr="00595A4B">
        <w:trPr>
          <w:trHeight w:val="480"/>
        </w:trPr>
        <w:tc>
          <w:tcPr>
            <w:tcW w:w="4926" w:type="dxa"/>
            <w:vMerge/>
          </w:tcPr>
          <w:p w:rsidR="00B0162C" w:rsidRPr="00230C83" w:rsidRDefault="00B0162C" w:rsidP="00595A4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B0162C" w:rsidRPr="00230C83" w:rsidRDefault="00B0162C" w:rsidP="00595A4B">
            <w:pPr>
              <w:ind w:firstLine="680"/>
              <w:rPr>
                <w:sz w:val="18"/>
                <w:lang w:val="en-GB"/>
              </w:rPr>
            </w:pPr>
            <w:r w:rsidRPr="00230C83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662336" behindDoc="0" locked="0" layoutInCell="1" allowOverlap="1" wp14:anchorId="5FC37258" wp14:editId="680681D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Facebook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230C83">
              <w:rPr>
                <w:sz w:val="20"/>
                <w:lang w:val="en-GB"/>
              </w:rPr>
              <w:t>@</w:t>
            </w:r>
            <w:proofErr w:type="spellStart"/>
            <w:r w:rsidRPr="00230C83">
              <w:rPr>
                <w:sz w:val="20"/>
                <w:lang w:val="en-GB"/>
              </w:rPr>
              <w:t>GlownyUrzadStatystyczny</w:t>
            </w:r>
            <w:proofErr w:type="spellEnd"/>
            <w:r w:rsidRPr="00230C83">
              <w:rPr>
                <w:noProof/>
                <w:sz w:val="20"/>
                <w:lang w:val="en-GB" w:eastAsia="pl-PL"/>
              </w:rPr>
              <w:t xml:space="preserve"> </w:t>
            </w:r>
          </w:p>
        </w:tc>
      </w:tr>
      <w:tr w:rsidR="00B0162C" w:rsidRPr="00230C83" w:rsidTr="00595A4B">
        <w:trPr>
          <w:trHeight w:val="480"/>
        </w:trPr>
        <w:tc>
          <w:tcPr>
            <w:tcW w:w="4926" w:type="dxa"/>
          </w:tcPr>
          <w:p w:rsidR="00B0162C" w:rsidRPr="00230C83" w:rsidRDefault="00B0162C" w:rsidP="00595A4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B0162C" w:rsidRPr="00230C83" w:rsidRDefault="00B0162C" w:rsidP="00595A4B">
            <w:pPr>
              <w:ind w:firstLine="680"/>
              <w:rPr>
                <w:sz w:val="20"/>
                <w:lang w:val="en-GB"/>
              </w:rPr>
            </w:pPr>
            <w:r w:rsidRPr="00230C83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663360" behindDoc="0" locked="0" layoutInCell="1" allowOverlap="1" wp14:anchorId="5CAF25B0" wp14:editId="4645A6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5" name="Obraz 5" descr="Instagram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30C83">
              <w:rPr>
                <w:sz w:val="20"/>
                <w:lang w:val="en-GB"/>
              </w:rPr>
              <w:t>gus_stat</w:t>
            </w:r>
            <w:proofErr w:type="spellEnd"/>
          </w:p>
        </w:tc>
      </w:tr>
      <w:tr w:rsidR="00B0162C" w:rsidRPr="00230C83" w:rsidTr="00595A4B">
        <w:trPr>
          <w:trHeight w:val="480"/>
        </w:trPr>
        <w:tc>
          <w:tcPr>
            <w:tcW w:w="4926" w:type="dxa"/>
          </w:tcPr>
          <w:p w:rsidR="00B0162C" w:rsidRPr="00230C83" w:rsidRDefault="00B0162C" w:rsidP="00595A4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B0162C" w:rsidRPr="00230C83" w:rsidRDefault="00B0162C" w:rsidP="00595A4B">
            <w:pPr>
              <w:ind w:firstLine="680"/>
              <w:rPr>
                <w:sz w:val="20"/>
                <w:lang w:val="en-GB"/>
              </w:rPr>
            </w:pPr>
            <w:r w:rsidRPr="00230C83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664384" behindDoc="0" locked="0" layoutInCell="1" allowOverlap="1" wp14:anchorId="7922CC8F" wp14:editId="470E75B2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Youtube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230C83">
              <w:rPr>
                <w:sz w:val="20"/>
                <w:lang w:val="en-GB"/>
              </w:rPr>
              <w:t>glownyurzadstatystycznygus</w:t>
            </w:r>
            <w:proofErr w:type="spellEnd"/>
          </w:p>
        </w:tc>
      </w:tr>
      <w:tr w:rsidR="00B0162C" w:rsidRPr="00230C83" w:rsidTr="00595A4B">
        <w:trPr>
          <w:trHeight w:val="953"/>
        </w:trPr>
        <w:tc>
          <w:tcPr>
            <w:tcW w:w="4926" w:type="dxa"/>
          </w:tcPr>
          <w:p w:rsidR="00B0162C" w:rsidRPr="00230C83" w:rsidRDefault="00B0162C" w:rsidP="00595A4B">
            <w:pPr>
              <w:rPr>
                <w:b/>
                <w:sz w:val="20"/>
                <w:lang w:val="en-GB"/>
              </w:rPr>
            </w:pPr>
          </w:p>
        </w:tc>
        <w:tc>
          <w:tcPr>
            <w:tcW w:w="4927" w:type="dxa"/>
          </w:tcPr>
          <w:p w:rsidR="00B0162C" w:rsidRPr="00230C83" w:rsidRDefault="00B0162C" w:rsidP="00595A4B">
            <w:pPr>
              <w:ind w:firstLine="680"/>
              <w:rPr>
                <w:sz w:val="20"/>
                <w:lang w:val="en-GB"/>
              </w:rPr>
            </w:pPr>
            <w:r w:rsidRPr="00230C83">
              <w:rPr>
                <w:noProof/>
                <w:sz w:val="20"/>
                <w:lang w:val="en-GB" w:eastAsia="pl-PL"/>
              </w:rPr>
              <w:t>glownyurzadstatystyczny</w:t>
            </w:r>
            <w:r w:rsidRPr="00230C83">
              <w:rPr>
                <w:noProof/>
                <w:sz w:val="20"/>
                <w:lang w:val="en-GB" w:eastAsia="pl-PL"/>
              </w:rPr>
              <w:drawing>
                <wp:anchor distT="0" distB="0" distL="114300" distR="114300" simplePos="0" relativeHeight="251665408" behindDoc="0" locked="0" layoutInCell="1" allowOverlap="1" wp14:anchorId="10C60F4D" wp14:editId="1945A417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Linkedin ic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B0162C" w:rsidRPr="00FD7650" w:rsidTr="00595A4B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="00B0162C" w:rsidRPr="00230C83" w:rsidRDefault="00B0162C" w:rsidP="00595A4B">
            <w:pPr>
              <w:shd w:val="clear" w:color="auto" w:fill="D9D9D9" w:themeFill="background1" w:themeFillShade="D9"/>
              <w:rPr>
                <w:b/>
                <w:lang w:val="en-GB"/>
              </w:rPr>
            </w:pPr>
            <w:r w:rsidRPr="00230C83">
              <w:rPr>
                <w:b/>
                <w:lang w:val="en-GB"/>
              </w:rPr>
              <w:t>Related information</w:t>
            </w:r>
          </w:p>
          <w:p w:rsidR="00B0162C" w:rsidRPr="00960C40" w:rsidRDefault="00B0162C" w:rsidP="00595A4B">
            <w:pPr>
              <w:rPr>
                <w:rStyle w:val="Hipercze"/>
                <w:lang w:val="en-GB"/>
              </w:rPr>
            </w:pPr>
            <w:r w:rsidRPr="00230C83">
              <w:rPr>
                <w:rFonts w:cs="Times New Roman"/>
                <w:lang w:val="en-GB"/>
              </w:rPr>
              <w:fldChar w:fldCharType="begin"/>
            </w:r>
            <w:r>
              <w:rPr>
                <w:rFonts w:cs="Times New Roman"/>
                <w:lang w:val="en-GB"/>
              </w:rPr>
              <w:instrText>HYPERLINK "https://stat.gov.pl/en/topics/environment-energy/energy/energy-statistics-in-2020-and-2021,4,17.html" \o "description hyperlink "</w:instrText>
            </w:r>
            <w:r w:rsidRPr="00230C83">
              <w:rPr>
                <w:rFonts w:cs="Times New Roman"/>
                <w:lang w:val="en-GB"/>
              </w:rPr>
              <w:fldChar w:fldCharType="separate"/>
            </w:r>
            <w:r w:rsidRPr="00960C40">
              <w:rPr>
                <w:rStyle w:val="Hipercze"/>
                <w:lang w:val="en-GB"/>
              </w:rPr>
              <w:t xml:space="preserve">Energy statistics </w:t>
            </w:r>
          </w:p>
          <w:p w:rsidR="00B0162C" w:rsidRDefault="00B0162C" w:rsidP="00595A4B">
            <w:pPr>
              <w:rPr>
                <w:rFonts w:cs="Times New Roman"/>
                <w:lang w:val="en-GB"/>
              </w:rPr>
            </w:pPr>
            <w:r w:rsidRPr="00230C83">
              <w:rPr>
                <w:rFonts w:cs="Times New Roman"/>
                <w:lang w:val="en-GB"/>
              </w:rPr>
              <w:fldChar w:fldCharType="end"/>
            </w:r>
            <w:hyperlink r:id="rId22" w:history="1">
              <w:r w:rsidRPr="00960C40">
                <w:rPr>
                  <w:rStyle w:val="Hipercze"/>
                  <w:lang w:val="en-GB"/>
                </w:rPr>
                <w:t>Energy efficiency in Poland 2010-2020</w:t>
              </w:r>
            </w:hyperlink>
            <w:r>
              <w:rPr>
                <w:rFonts w:cs="Times New Roman"/>
                <w:lang w:val="en-GB"/>
              </w:rPr>
              <w:t xml:space="preserve"> </w:t>
            </w:r>
          </w:p>
          <w:p w:rsidR="00B0162C" w:rsidRPr="00230C83" w:rsidRDefault="00B0162C" w:rsidP="00595A4B">
            <w:pPr>
              <w:rPr>
                <w:rStyle w:val="Hipercze"/>
                <w:lang w:val="en-GB"/>
              </w:rPr>
            </w:pPr>
            <w:r w:rsidRPr="00230C83">
              <w:rPr>
                <w:rFonts w:cs="Times New Roman"/>
                <w:lang w:val="en-GB"/>
              </w:rPr>
              <w:fldChar w:fldCharType="begin"/>
            </w:r>
            <w:r w:rsidRPr="00230C83">
              <w:rPr>
                <w:rFonts w:cs="Times New Roman"/>
                <w:lang w:val="en-GB"/>
              </w:rPr>
              <w:instrText>HYPERLINK "https://stat.gov.pl/" \o "description hyperlink "</w:instrText>
            </w:r>
            <w:r w:rsidRPr="00230C83">
              <w:rPr>
                <w:rFonts w:cs="Times New Roman"/>
                <w:lang w:val="en-GB"/>
              </w:rPr>
              <w:fldChar w:fldCharType="separate"/>
            </w:r>
            <w:r w:rsidRPr="00230C83">
              <w:rPr>
                <w:rStyle w:val="Hipercze"/>
                <w:lang w:val="en-GB"/>
              </w:rPr>
              <w:t xml:space="preserve">Lorem ipsum </w:t>
            </w:r>
            <w:proofErr w:type="spellStart"/>
            <w:r w:rsidRPr="00230C83">
              <w:rPr>
                <w:rStyle w:val="Hipercze"/>
                <w:lang w:val="en-GB"/>
              </w:rPr>
              <w:t>dolor</w:t>
            </w:r>
            <w:proofErr w:type="spellEnd"/>
            <w:r w:rsidRPr="00230C83">
              <w:rPr>
                <w:rStyle w:val="Hipercze"/>
                <w:lang w:val="en-GB"/>
              </w:rPr>
              <w:t xml:space="preserve"> sit </w:t>
            </w:r>
            <w:proofErr w:type="spellStart"/>
            <w:r w:rsidRPr="00230C83">
              <w:rPr>
                <w:rStyle w:val="Hipercze"/>
                <w:lang w:val="en-GB"/>
              </w:rPr>
              <w:t>amet</w:t>
            </w:r>
            <w:proofErr w:type="spellEnd"/>
            <w:r w:rsidRPr="00230C83">
              <w:rPr>
                <w:rStyle w:val="Hipercze"/>
                <w:lang w:val="en-GB"/>
              </w:rPr>
              <w:t xml:space="preserve">, </w:t>
            </w:r>
            <w:proofErr w:type="spellStart"/>
            <w:r w:rsidRPr="00230C83">
              <w:rPr>
                <w:rStyle w:val="Hipercze"/>
                <w:lang w:val="en-GB"/>
              </w:rPr>
              <w:t>consectetur</w:t>
            </w:r>
            <w:proofErr w:type="spellEnd"/>
          </w:p>
          <w:p w:rsidR="00B0162C" w:rsidRPr="00230C83" w:rsidRDefault="00B0162C" w:rsidP="00595A4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230C83">
              <w:rPr>
                <w:rFonts w:cs="Times New Roman"/>
                <w:lang w:val="en-GB"/>
              </w:rPr>
              <w:fldChar w:fldCharType="end"/>
            </w:r>
            <w:r w:rsidRPr="00230C83">
              <w:rPr>
                <w:b/>
                <w:color w:val="000000" w:themeColor="text1"/>
                <w:szCs w:val="24"/>
                <w:lang w:val="en-GB"/>
              </w:rPr>
              <w:t>Data available in databases</w:t>
            </w:r>
          </w:p>
          <w:p w:rsidR="00B0162C" w:rsidRPr="005868B6" w:rsidRDefault="00B0162C" w:rsidP="00595A4B">
            <w:pPr>
              <w:rPr>
                <w:color w:val="001D77"/>
                <w:lang w:val="en-US"/>
              </w:rPr>
            </w:pPr>
            <w:r w:rsidRPr="00230C83">
              <w:rPr>
                <w:rFonts w:cs="Times New Roman"/>
                <w:lang w:val="en-GB"/>
              </w:rPr>
              <w:fldChar w:fldCharType="begin"/>
            </w:r>
            <w:r w:rsidRPr="00230C83">
              <w:rPr>
                <w:rFonts w:cs="Times New Roman"/>
                <w:lang w:val="en-GB"/>
              </w:rPr>
              <w:instrText>HYPERLINK "https://stat.gov.pl/" \o "description hyperlink "</w:instrText>
            </w:r>
            <w:r w:rsidRPr="00230C83">
              <w:rPr>
                <w:rFonts w:cs="Times New Roman"/>
                <w:lang w:val="en-GB"/>
              </w:rPr>
              <w:fldChar w:fldCharType="separate"/>
            </w:r>
            <w:hyperlink r:id="rId23" w:history="1">
              <w:r w:rsidRPr="005868B6">
                <w:rPr>
                  <w:rStyle w:val="Hipercze"/>
                  <w:color w:val="001D77"/>
                  <w:lang w:val="en-US"/>
                </w:rPr>
                <w:t>Knowledge Database – Energy statistcs</w:t>
              </w:r>
            </w:hyperlink>
          </w:p>
          <w:p w:rsidR="00B0162C" w:rsidRPr="005868B6" w:rsidRDefault="00B0162C" w:rsidP="00595A4B">
            <w:pPr>
              <w:rPr>
                <w:rStyle w:val="Hipercze"/>
                <w:lang w:val="en-US"/>
              </w:rPr>
            </w:pPr>
            <w:r>
              <w:fldChar w:fldCharType="begin"/>
            </w:r>
            <w:r w:rsidRPr="005868B6">
              <w:rPr>
                <w:lang w:val="en-US"/>
              </w:rPr>
              <w:instrText>HYPERLINK "https://stat.gov.pl/en/poland-macroeconomic-indicators/"</w:instrText>
            </w:r>
            <w:r>
              <w:fldChar w:fldCharType="separate"/>
            </w:r>
            <w:r w:rsidRPr="005868B6">
              <w:rPr>
                <w:rStyle w:val="Hipercze"/>
                <w:lang w:val="en-US"/>
              </w:rPr>
              <w:t>Poland macroeconomic indicators</w:t>
            </w:r>
          </w:p>
          <w:p w:rsidR="00B0162C" w:rsidRPr="005868B6" w:rsidRDefault="00B0162C" w:rsidP="00595A4B">
            <w:pPr>
              <w:rPr>
                <w:color w:val="001D77"/>
                <w:lang w:val="en-US"/>
              </w:rPr>
            </w:pPr>
            <w:r>
              <w:fldChar w:fldCharType="end"/>
            </w:r>
            <w:hyperlink r:id="rId24" w:history="1">
              <w:r w:rsidRPr="005868B6">
                <w:rPr>
                  <w:rStyle w:val="Hipercze"/>
                  <w:color w:val="001D77"/>
                  <w:lang w:val="en-US"/>
                </w:rPr>
                <w:t>Macroeconomi</w:t>
              </w:r>
              <w:r>
                <w:rPr>
                  <w:rStyle w:val="Hipercze"/>
                  <w:color w:val="001D77"/>
                  <w:lang w:val="en-US"/>
                </w:rPr>
                <w:t>c</w:t>
              </w:r>
              <w:r w:rsidRPr="005868B6">
                <w:rPr>
                  <w:rStyle w:val="Hipercze"/>
                  <w:color w:val="001D77"/>
                  <w:lang w:val="en-US"/>
                </w:rPr>
                <w:t xml:space="preserve"> Data Bank</w:t>
              </w:r>
            </w:hyperlink>
          </w:p>
          <w:p w:rsidR="00B0162C" w:rsidRPr="00230C83" w:rsidRDefault="00B0162C" w:rsidP="00595A4B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  <w:lang w:val="en-GB"/>
              </w:rPr>
            </w:pPr>
            <w:r w:rsidRPr="00230C83">
              <w:rPr>
                <w:rFonts w:cs="Times New Roman"/>
                <w:lang w:val="en-GB"/>
              </w:rPr>
              <w:fldChar w:fldCharType="end"/>
            </w:r>
            <w:r w:rsidRPr="00230C83">
              <w:rPr>
                <w:b/>
                <w:color w:val="000000" w:themeColor="text1"/>
                <w:szCs w:val="24"/>
                <w:lang w:val="en-GB"/>
              </w:rPr>
              <w:t>Terms used inn official statistics</w:t>
            </w:r>
          </w:p>
          <w:p w:rsidR="00B0162C" w:rsidRPr="005868B6" w:rsidRDefault="000C0CEF" w:rsidP="00595A4B">
            <w:pPr>
              <w:rPr>
                <w:color w:val="001D77"/>
                <w:szCs w:val="19"/>
                <w:lang w:val="en-US"/>
              </w:rPr>
            </w:pPr>
            <w:hyperlink r:id="rId25" w:history="1">
              <w:r w:rsidR="00B0162C" w:rsidRPr="005868B6">
                <w:rPr>
                  <w:rStyle w:val="Hipercze"/>
                  <w:color w:val="001D77"/>
                  <w:szCs w:val="19"/>
                  <w:lang w:val="en-US"/>
                </w:rPr>
                <w:t>Primary energy</w:t>
              </w:r>
            </w:hyperlink>
          </w:p>
          <w:p w:rsidR="00B0162C" w:rsidRPr="00577BA5" w:rsidRDefault="000C0CEF" w:rsidP="00595A4B">
            <w:pPr>
              <w:rPr>
                <w:color w:val="001D77"/>
                <w:szCs w:val="19"/>
                <w:lang w:val="en-US"/>
              </w:rPr>
            </w:pPr>
            <w:hyperlink r:id="rId26" w:history="1">
              <w:r w:rsidR="00B0162C" w:rsidRPr="00577BA5">
                <w:rPr>
                  <w:rStyle w:val="Hipercze"/>
                  <w:color w:val="001D77"/>
                  <w:szCs w:val="19"/>
                  <w:lang w:val="en-US"/>
                </w:rPr>
                <w:t>Derived energy</w:t>
              </w:r>
            </w:hyperlink>
          </w:p>
          <w:p w:rsidR="00B0162C" w:rsidRPr="00577BA5" w:rsidRDefault="000C0CEF" w:rsidP="00595A4B">
            <w:pPr>
              <w:rPr>
                <w:color w:val="001D77"/>
                <w:szCs w:val="19"/>
                <w:lang w:val="en-US"/>
              </w:rPr>
            </w:pPr>
            <w:hyperlink r:id="rId27" w:history="1">
              <w:r w:rsidR="00B0162C" w:rsidRPr="00577BA5">
                <w:rPr>
                  <w:rStyle w:val="Hipercze"/>
                  <w:color w:val="001D77"/>
                  <w:szCs w:val="19"/>
                  <w:lang w:val="en-US"/>
                </w:rPr>
                <w:t>Energy consumption</w:t>
              </w:r>
            </w:hyperlink>
          </w:p>
          <w:p w:rsidR="00B0162C" w:rsidRPr="00230C83" w:rsidRDefault="00B0162C" w:rsidP="00595A4B">
            <w:pPr>
              <w:rPr>
                <w:b/>
                <w:color w:val="000000" w:themeColor="text1"/>
                <w:szCs w:val="24"/>
                <w:lang w:val="en-GB"/>
              </w:rPr>
            </w:pPr>
          </w:p>
        </w:tc>
      </w:tr>
    </w:tbl>
    <w:p w:rsidR="00B0162C" w:rsidRPr="00230C83" w:rsidRDefault="00B0162C" w:rsidP="00B0162C">
      <w:pPr>
        <w:rPr>
          <w:sz w:val="18"/>
          <w:lang w:val="en-GB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="00B0162C" w:rsidRPr="00FD7650" w:rsidTr="00595A4B">
        <w:trPr>
          <w:trHeight w:val="1912"/>
        </w:trPr>
        <w:tc>
          <w:tcPr>
            <w:tcW w:w="4379" w:type="dxa"/>
          </w:tcPr>
          <w:p w:rsidR="00B0162C" w:rsidRPr="00230C83" w:rsidRDefault="00B0162C" w:rsidP="00595A4B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en-GB"/>
              </w:rPr>
            </w:pPr>
          </w:p>
        </w:tc>
        <w:tc>
          <w:tcPr>
            <w:tcW w:w="3942" w:type="dxa"/>
          </w:tcPr>
          <w:p w:rsidR="00B0162C" w:rsidRPr="00230C83" w:rsidRDefault="00B0162C" w:rsidP="00595A4B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  <w:lang w:val="en-GB"/>
              </w:rPr>
            </w:pPr>
          </w:p>
        </w:tc>
      </w:tr>
    </w:tbl>
    <w:p w:rsidR="00B0162C" w:rsidRPr="00230C83" w:rsidRDefault="00B0162C" w:rsidP="00B0162C">
      <w:pPr>
        <w:rPr>
          <w:sz w:val="20"/>
          <w:lang w:val="en-GB"/>
        </w:rPr>
      </w:pPr>
    </w:p>
    <w:p w:rsidR="00B0162C" w:rsidRPr="00230C83" w:rsidRDefault="00B0162C" w:rsidP="00B0162C">
      <w:pPr>
        <w:rPr>
          <w:sz w:val="18"/>
          <w:lang w:val="en-GB"/>
        </w:rPr>
      </w:pPr>
    </w:p>
    <w:p w:rsidR="00B0162C" w:rsidRPr="00230C83" w:rsidRDefault="00B0162C" w:rsidP="00B0162C">
      <w:pPr>
        <w:rPr>
          <w:sz w:val="18"/>
          <w:lang w:val="en-GB"/>
        </w:rPr>
      </w:pPr>
    </w:p>
    <w:p w:rsidR="00403E76" w:rsidRPr="00B0162C" w:rsidRDefault="00403E76" w:rsidP="00B0162C"/>
    <w:sectPr w:rsidR="00403E76" w:rsidRPr="00B0162C" w:rsidSect="003B18B6">
      <w:headerReference w:type="default" r:id="rId28"/>
      <w:footerReference w:type="default" r:id="rId29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0CEF" w:rsidRDefault="000C0CEF" w:rsidP="00B0162C">
      <w:pPr>
        <w:spacing w:before="0" w:after="0" w:line="240" w:lineRule="auto"/>
      </w:pPr>
      <w:r>
        <w:separator/>
      </w:r>
    </w:p>
  </w:endnote>
  <w:endnote w:type="continuationSeparator" w:id="0">
    <w:p w:rsidR="000C0CEF" w:rsidRDefault="000C0CEF" w:rsidP="00B0162C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Fira Sans Condensed SemiBold">
    <w:panose1 w:val="020B0603050000020004"/>
    <w:charset w:val="00"/>
    <w:family w:val="swiss"/>
    <w:notTrueType/>
    <w:pitch w:val="variable"/>
    <w:sig w:usb0="00000007" w:usb1="00000001" w:usb2="00000000" w:usb3="00000000" w:csb0="000000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510575277"/>
      <w:docPartObj>
        <w:docPartGallery w:val="Page Numbers (Bottom of Page)"/>
        <w:docPartUnique/>
      </w:docPartObj>
    </w:sdtPr>
    <w:sdtEndPr/>
    <w:sdtContent>
      <w:p w:rsidR="00B0162C" w:rsidRDefault="00B0162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41836088"/>
      <w:docPartObj>
        <w:docPartGallery w:val="Page Numbers (Bottom of Page)"/>
        <w:docPartUnique/>
      </w:docPartObj>
    </w:sdtPr>
    <w:sdtEndPr/>
    <w:sdtContent>
      <w:p w:rsidR="00B0162C" w:rsidRDefault="00B0162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745636839"/>
      <w:docPartObj>
        <w:docPartGallery w:val="Page Numbers (Bottom of Page)"/>
        <w:docPartUnique/>
      </w:docPartObj>
    </w:sdtPr>
    <w:sdtEndPr/>
    <w:sdtContent>
      <w:p w:rsidR="003B18B6" w:rsidRDefault="00B0162C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7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0CEF" w:rsidRDefault="000C0CEF" w:rsidP="00B0162C">
      <w:pPr>
        <w:spacing w:before="0" w:after="0" w:line="240" w:lineRule="auto"/>
      </w:pPr>
      <w:r>
        <w:separator/>
      </w:r>
    </w:p>
  </w:footnote>
  <w:footnote w:type="continuationSeparator" w:id="0">
    <w:p w:rsidR="000C0CEF" w:rsidRDefault="000C0CEF" w:rsidP="00B0162C">
      <w:pPr>
        <w:spacing w:before="0" w:after="0" w:line="240" w:lineRule="auto"/>
      </w:pPr>
      <w:r>
        <w:continuationSeparator/>
      </w:r>
    </w:p>
  </w:footnote>
  <w:footnote w:id="1">
    <w:p w:rsidR="00B0162C" w:rsidRPr="00B44EB3" w:rsidRDefault="00B0162C" w:rsidP="00B0162C">
      <w:pPr>
        <w:pStyle w:val="Tekstprzypisudolnego"/>
        <w:rPr>
          <w:lang w:val="en-GB"/>
        </w:rPr>
      </w:pPr>
      <w:r>
        <w:rPr>
          <w:rStyle w:val="Odwoanieprzypisudolnego"/>
        </w:rPr>
        <w:footnoteRef/>
      </w:r>
      <w:r w:rsidRPr="00B44EB3">
        <w:rPr>
          <w:lang w:val="en-GB"/>
        </w:rPr>
        <w:t xml:space="preserve"> </w:t>
      </w:r>
      <w:r w:rsidRPr="00250B72">
        <w:rPr>
          <w:sz w:val="16"/>
          <w:szCs w:val="16"/>
          <w:lang w:val="en-GB"/>
        </w:rPr>
        <w:t>Relative numbers were calculated on the basis of absolute data expressed with greater precision than given in the tables.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62C" w:rsidRDefault="00B0162C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4E1E4AC3" wp14:editId="7B26EE3B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0E3448D" id="Prostokąt 12" o:spid="_x0000_s1026" style="position:absolute;margin-left:411.2pt;margin-top:-322.85pt;width:147.4pt;height:1803.5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  <w:p w:rsidR="00B0162C" w:rsidRDefault="00B0162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0162C" w:rsidRDefault="00B0162C">
    <w:pPr>
      <w:pStyle w:val="Nagwek"/>
      <w:rPr>
        <w:noProof/>
        <w:lang w:eastAsia="pl-PL"/>
      </w:rPr>
    </w:pPr>
    <w:r>
      <w:rPr>
        <w:noProof/>
        <w:shd w:val="clear" w:color="auto" w:fill="FFFFFF"/>
        <w:lang w:eastAsia="pl-PL"/>
      </w:rPr>
      <w:drawing>
        <wp:anchor distT="0" distB="0" distL="114300" distR="114300" simplePos="0" relativeHeight="251662336" behindDoc="0" locked="0" layoutInCell="1" allowOverlap="1" wp14:anchorId="1F8E5402" wp14:editId="32398CE5">
          <wp:simplePos x="0" y="0"/>
          <wp:positionH relativeFrom="column">
            <wp:posOffset>8890</wp:posOffset>
          </wp:positionH>
          <wp:positionV relativeFrom="paragraph">
            <wp:posOffset>42545</wp:posOffset>
          </wp:positionV>
          <wp:extent cx="1838325" cy="696595"/>
          <wp:effectExtent l="0" t="0" r="9525" b="0"/>
          <wp:wrapSquare wrapText="bothSides"/>
          <wp:docPr id="7" name="Obraz 7" descr="Statistics Poland logoty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LogoNSP_color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838325" cy="69659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4DF018F" wp14:editId="5A4BB905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ews releas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B0162C" w:rsidRPr="003C6C8D" w:rsidRDefault="00B0162C" w:rsidP="00156F04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 w:rsidRPr="00962B00">
                            <w:rPr>
                              <w:rFonts w:ascii="Fira Sans SemiBold" w:hAnsi="Fira Sans SemiBold"/>
                            </w:rPr>
                            <w:t>NEWS RELEASES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4DF018F" id="Schemat blokowy: opóźnienie 6" o:spid="_x0000_s1030" alt="News releases" style="position:absolute;margin-left:396.6pt;margin-top:15.65pt;width:162.25pt;height:28.1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:rsidR="00B0162C" w:rsidRPr="003C6C8D" w:rsidRDefault="00B0162C" w:rsidP="00156F04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 w:rsidRPr="00962B00">
                      <w:rPr>
                        <w:rFonts w:ascii="Fira Sans SemiBold" w:hAnsi="Fira Sans SemiBold"/>
                      </w:rPr>
                      <w:t>NEWS RELEASES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59264" behindDoc="1" locked="0" layoutInCell="1" allowOverlap="1" wp14:anchorId="2605C823" wp14:editId="46DBBFF4">
              <wp:simplePos x="0" y="0"/>
              <wp:positionH relativeFrom="column">
                <wp:posOffset>5219065</wp:posOffset>
              </wp:positionH>
              <wp:positionV relativeFrom="paragraph">
                <wp:posOffset>511810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65BF02A" id="Prostokąt 10" o:spid="_x0000_s1026" style="position:absolute;margin-left:410.95pt;margin-top:40.3pt;width:147.4pt;height:1803.5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KayJs7kAAAADAEAAA8AAABkcnMvZG93bnJl&#10;di54bWxMj8FOg0AQhu8mfYfNmHizCzUBRJamUUlMvGhbor1t2RFI2VlktxR9ercne5vJfPnn+7Pl&#10;pDs24mBbQwLCeQAMqTKqpVrAdlPcJsCsk6RkZwgF/KCFZT67ymSqzInecVy7mvkQsqkU0DjXp5zb&#10;qkEt7dz0SP72ZQYtnV+HmqtBnny47vgiCCKuZUv+QyN7fGywOqyPWoDZjZtXVRSHsvx9+nhLnj/L&#10;792LEDfX0+oBmMPJ/cNw1vfqkHunvTmSsqwTkCzCe4/6IYiAnYEwjGJgewF3URLHwPOMX5bI/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CmsibO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>
      <w:rPr>
        <w:noProof/>
        <w:lang w:eastAsia="pl-PL"/>
      </w:rPr>
      <w:t xml:space="preserve"> </w:t>
    </w:r>
    <w:r w:rsidRPr="00540C5C">
      <w:rPr>
        <w:noProof/>
      </w:rPr>
      <w:t xml:space="preserve"> </w:t>
    </w:r>
  </w:p>
  <w:p w:rsidR="00B0162C" w:rsidRDefault="00B0162C">
    <w:pPr>
      <w:pStyle w:val="Nagwek"/>
      <w:rPr>
        <w:noProof/>
        <w:lang w:eastAsia="pl-PL"/>
      </w:rPr>
    </w:pPr>
  </w:p>
  <w:p w:rsidR="00B0162C" w:rsidRDefault="00B0162C">
    <w:pPr>
      <w:pStyle w:val="Nagwek"/>
      <w:rPr>
        <w:noProof/>
        <w:lang w:eastAsia="pl-PL"/>
      </w:rPr>
    </w:pPr>
  </w:p>
  <w:p w:rsidR="00B0162C" w:rsidRDefault="00B0162C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75FDA4A" wp14:editId="3346433E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Publication Data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B0162C" w:rsidRPr="00A01B40" w:rsidRDefault="00B0162C" w:rsidP="00F049AB">
                          <w:pPr>
                            <w:pStyle w:val="Datainformacjisygnalnej"/>
                          </w:pPr>
                          <w:r>
                            <w:t>19.05.2023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75FDA4A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Publication Data" style="position:absolute;margin-left:416.4pt;margin-top:20.95pt;width:112.8pt;height:26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WLIRoCACAAAX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:rsidR="00B0162C" w:rsidRPr="00A01B40" w:rsidRDefault="00B0162C" w:rsidP="00F049AB">
                    <w:pPr>
                      <w:pStyle w:val="Datainformacjisygnalnej"/>
                    </w:pPr>
                    <w:r>
                      <w:t>19.05.2023</w:t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07CC5" w:rsidRDefault="000C0CEF">
    <w:pPr>
      <w:pStyle w:val="Nagwek"/>
    </w:pPr>
  </w:p>
  <w:p w:rsidR="00607CC5" w:rsidRDefault="000C0CEF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C6F"/>
    <w:rsid w:val="000C0CEF"/>
    <w:rsid w:val="00290F61"/>
    <w:rsid w:val="003A5991"/>
    <w:rsid w:val="003B3762"/>
    <w:rsid w:val="00403E76"/>
    <w:rsid w:val="006A0C6F"/>
    <w:rsid w:val="00781158"/>
    <w:rsid w:val="00B0162C"/>
    <w:rsid w:val="00D51F8C"/>
    <w:rsid w:val="00FF4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3399356-A1D4-4B90-80FD-5608A6330F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Tekst informacji"/>
    <w:qFormat/>
    <w:rsid w:val="006A0C6F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0162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6A0C6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rsid w:val="006A0C6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Hipercze">
    <w:name w:val="Hyperlink"/>
    <w:semiHidden/>
    <w:rsid w:val="006A0C6F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6A0C6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B0162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">
    <w:name w:val="header"/>
    <w:basedOn w:val="Normalny"/>
    <w:link w:val="NagwekZnak"/>
    <w:uiPriority w:val="99"/>
    <w:unhideWhenUsed/>
    <w:rsid w:val="00B01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0162C"/>
    <w:rPr>
      <w:rFonts w:ascii="Fira Sans" w:hAnsi="Fira Sans"/>
      <w:sz w:val="19"/>
    </w:rPr>
  </w:style>
  <w:style w:type="paragraph" w:styleId="Stopka">
    <w:name w:val="footer"/>
    <w:basedOn w:val="Normalny"/>
    <w:link w:val="StopkaZnak"/>
    <w:uiPriority w:val="99"/>
    <w:unhideWhenUsed/>
    <w:rsid w:val="00B016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0162C"/>
    <w:rPr>
      <w:rFonts w:ascii="Fira Sans" w:hAnsi="Fira Sans"/>
      <w:sz w:val="19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0162C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0162C"/>
    <w:rPr>
      <w:rFonts w:ascii="Fira Sans" w:hAnsi="Fira Sans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0162C"/>
    <w:rPr>
      <w:vertAlign w:val="superscript"/>
    </w:rPr>
  </w:style>
  <w:style w:type="paragraph" w:customStyle="1" w:styleId="tekstzboku">
    <w:name w:val="tekst z boku"/>
    <w:basedOn w:val="Normalny"/>
    <w:qFormat/>
    <w:rsid w:val="00B0162C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ekstnaniebieskimtle">
    <w:name w:val="tekst na niebieskim tle"/>
    <w:basedOn w:val="Normalny"/>
    <w:link w:val="tekstnaniebieskimtleZnak"/>
    <w:qFormat/>
    <w:rsid w:val="00B0162C"/>
    <w:pPr>
      <w:spacing w:before="0" w:after="0" w:line="240" w:lineRule="auto"/>
    </w:pPr>
    <w:rPr>
      <w:sz w:val="20"/>
    </w:rPr>
  </w:style>
  <w:style w:type="paragraph" w:customStyle="1" w:styleId="Tytuinfomacjisygnalnej">
    <w:name w:val="Tytuł infomacji sygnalnej"/>
    <w:basedOn w:val="Normalny"/>
    <w:link w:val="TytuinfomacjisygnalnejZnak"/>
    <w:qFormat/>
    <w:rsid w:val="00B0162C"/>
    <w:pPr>
      <w:suppressAutoHyphens/>
      <w:spacing w:after="600" w:line="240" w:lineRule="auto"/>
    </w:pPr>
    <w:rPr>
      <w:rFonts w:ascii="Fira Sans Extra Condensed SemiB" w:hAnsi="Fira Sans Extra Condensed SemiB"/>
      <w:color w:val="000000" w:themeColor="text1"/>
      <w:sz w:val="40"/>
      <w:szCs w:val="26"/>
      <w:shd w:val="clear" w:color="auto" w:fill="FFFFFF"/>
    </w:rPr>
  </w:style>
  <w:style w:type="character" w:customStyle="1" w:styleId="TytuinfomacjisygnalnejZnak">
    <w:name w:val="Tytuł infomacji sygnalnej Znak"/>
    <w:basedOn w:val="Domylnaczcionkaakapitu"/>
    <w:link w:val="Tytuinfomacjisygnalnej"/>
    <w:rsid w:val="00B0162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Lead">
    <w:name w:val="Lead"/>
    <w:basedOn w:val="Normalny"/>
    <w:link w:val="LeadZnak"/>
    <w:qFormat/>
    <w:rsid w:val="00B0162C"/>
    <w:pPr>
      <w:spacing w:before="360"/>
    </w:pPr>
    <w:rPr>
      <w:b/>
      <w:noProof/>
      <w:szCs w:val="19"/>
      <w:lang w:eastAsia="pl-PL"/>
    </w:rPr>
  </w:style>
  <w:style w:type="character" w:customStyle="1" w:styleId="tekstnaniebieskimtleZnak">
    <w:name w:val="tekst na niebieskim tle Znak"/>
    <w:basedOn w:val="Domylnaczcionkaakapitu"/>
    <w:link w:val="tekstnaniebieskimtle"/>
    <w:rsid w:val="00B0162C"/>
    <w:rPr>
      <w:rFonts w:ascii="Fira Sans" w:hAnsi="Fira Sans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B0162C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eadZnak">
    <w:name w:val="Lead Znak"/>
    <w:basedOn w:val="Domylnaczcionkaakapitu"/>
    <w:link w:val="Lead"/>
    <w:rsid w:val="00B0162C"/>
    <w:rPr>
      <w:rFonts w:ascii="Fira Sans" w:hAnsi="Fira Sans"/>
      <w:b/>
      <w:noProof/>
      <w:sz w:val="19"/>
      <w:szCs w:val="19"/>
      <w:lang w:eastAsia="pl-PL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B0162C"/>
    <w:rPr>
      <w:rFonts w:ascii="Fira Sans SemiBold" w:hAnsi="Fira Sans SemiBold"/>
      <w:color w:val="001D77"/>
      <w:sz w:val="20"/>
      <w:szCs w:val="20"/>
    </w:rPr>
  </w:style>
  <w:style w:type="paragraph" w:customStyle="1" w:styleId="Tablicanotka">
    <w:name w:val="Tablica notka"/>
    <w:basedOn w:val="Normalny"/>
    <w:link w:val="TablicanotkaZnak"/>
    <w:qFormat/>
    <w:rsid w:val="00B0162C"/>
    <w:rPr>
      <w:noProof/>
      <w:spacing w:val="-2"/>
      <w:sz w:val="16"/>
      <w:szCs w:val="16"/>
    </w:rPr>
  </w:style>
  <w:style w:type="character" w:customStyle="1" w:styleId="TablicanotkaZnak">
    <w:name w:val="Tablica notka Znak"/>
    <w:basedOn w:val="Domylnaczcionkaakapitu"/>
    <w:link w:val="Tablicanotka"/>
    <w:rsid w:val="00B0162C"/>
    <w:rPr>
      <w:rFonts w:ascii="Fira Sans" w:hAnsi="Fira Sans"/>
      <w:noProof/>
      <w:spacing w:val="-2"/>
      <w:sz w:val="16"/>
      <w:szCs w:val="16"/>
    </w:rPr>
  </w:style>
  <w:style w:type="paragraph" w:styleId="Tekstpodstawowy">
    <w:name w:val="Body Text"/>
    <w:basedOn w:val="Normalny"/>
    <w:link w:val="TekstpodstawowyZnak"/>
    <w:rsid w:val="00B0162C"/>
    <w:pPr>
      <w:spacing w:line="276" w:lineRule="auto"/>
    </w:pPr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0162C"/>
    <w:rPr>
      <w:rFonts w:ascii="Times New Roman" w:eastAsia="Times New Roman" w:hAnsi="Times New Roman" w:cs="Times New Roman"/>
      <w:noProof/>
      <w:sz w:val="24"/>
      <w:szCs w:val="24"/>
      <w:lang w:eastAsia="pl-PL"/>
    </w:rPr>
  </w:style>
  <w:style w:type="table" w:customStyle="1" w:styleId="Siatkatabelijasna1">
    <w:name w:val="Siatka tabeli — jasna1"/>
    <w:basedOn w:val="Standardowy"/>
    <w:uiPriority w:val="40"/>
    <w:rsid w:val="00B0162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18" Type="http://schemas.openxmlformats.org/officeDocument/2006/relationships/image" Target="media/image7.png"/><Relationship Id="rId26" Type="http://schemas.openxmlformats.org/officeDocument/2006/relationships/hyperlink" Target="https://stat.gov.pl/en/metainformation/glossary/terms-used-in-official-statistics/94,term.html" TargetMode="Externa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6.png"/><Relationship Id="rId25" Type="http://schemas.openxmlformats.org/officeDocument/2006/relationships/hyperlink" Target="https://stat.gov.pl/en/metainformation/glossary/terms-used-in-official-statistics/93,term.html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5.png"/><Relationship Id="rId20" Type="http://schemas.openxmlformats.org/officeDocument/2006/relationships/image" Target="media/image9.png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24" Type="http://schemas.openxmlformats.org/officeDocument/2006/relationships/hyperlink" Target="http://bdm.stat.gov.pl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obslugaprasowa@stat.gov.pl" TargetMode="External"/><Relationship Id="rId23" Type="http://schemas.openxmlformats.org/officeDocument/2006/relationships/hyperlink" Target="http://swaid.stat.gov.pl/en/SitePagesDBW/GospodarkaPaliwowoEn.aspx" TargetMode="External"/><Relationship Id="rId28" Type="http://schemas.openxmlformats.org/officeDocument/2006/relationships/header" Target="header3.xml"/><Relationship Id="rId10" Type="http://schemas.openxmlformats.org/officeDocument/2006/relationships/image" Target="media/image3.png"/><Relationship Id="rId19" Type="http://schemas.openxmlformats.org/officeDocument/2006/relationships/image" Target="media/image8.png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Relationship Id="rId22" Type="http://schemas.openxmlformats.org/officeDocument/2006/relationships/hyperlink" Target="https://stat.gov.pl/en/topics/environment-energy/energy/energy-efficiency-in-poland-2010-2020,5,19.html" TargetMode="External"/><Relationship Id="rId27" Type="http://schemas.openxmlformats.org/officeDocument/2006/relationships/hyperlink" Target="https://stat.gov.pl/en/metainformation/glossary/terms-used-in-official-statistics/672,term.html" TargetMode="External"/><Relationship Id="rId30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ontentTypeId xmlns="http://schemas.microsoft.com/sharepoint/v3">0x00B44136ADD9233645AF9E7D0EADDEB824</ContentTypeId>
    <TemplateUrl xmlns="http://schemas.microsoft.com/sharepoint/v3" xsi:nil="true"/>
    <NazwaPliku xmlns="AD3641B4-23D9-4536-AF9E-7D0EADDEB824">Energy consumption in households in 2021.docx.docx</NazwaPliku>
    <Osoba xmlns="AD3641B4-23D9-4536-AF9E-7D0EADDEB824">STAT\CZARNECKAK</Osoba>
    <_SourceUrl xmlns="http://schemas.microsoft.com/sharepoint/v3" xsi:nil="true"/>
    <Odbiorcy2 xmlns="AD3641B4-23D9-4536-AF9E-7D0EADDEB824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FB15264D-798E-432C-9F2D-BAE50758E4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D3641B4-23D9-4536-AF9E-7D0EADDEB8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088220F-09B4-4E8E-BFC2-1E96E206CC1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AD3641B4-23D9-4536-AF9E-7D0EADDEB824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1117</Words>
  <Characters>6705</Characters>
  <Application>Microsoft Office Word</Application>
  <DocSecurity>0</DocSecurity>
  <Lines>55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Walaszczak Karolina</cp:lastModifiedBy>
  <cp:revision>3</cp:revision>
  <dcterms:created xsi:type="dcterms:W3CDTF">2023-05-17T07:07:00Z</dcterms:created>
  <dcterms:modified xsi:type="dcterms:W3CDTF">2023-05-19T07:09:00Z</dcterms:modified>
</cp:coreProperties>
</file>