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00567A11" w:rsidR="00393761" w:rsidRPr="00FA47D4" w:rsidRDefault="00417461" w:rsidP="005B5788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FA47D4">
        <w:rPr>
          <w:lang w:val="en-GB"/>
        </w:rPr>
        <w:t>Cinematography i</w:t>
      </w:r>
      <w:r w:rsidR="00930880" w:rsidRPr="00FA47D4">
        <w:rPr>
          <w:rFonts w:cs="Fira Sans Extra Condensed SemiB"/>
          <w:bCs/>
          <w:spacing w:val="-2"/>
          <w:szCs w:val="40"/>
          <w:lang w:val="en-GB"/>
        </w:rPr>
        <w:t xml:space="preserve">n </w:t>
      </w:r>
      <w:r w:rsidR="004E67C4" w:rsidRPr="00FA47D4">
        <w:rPr>
          <w:rFonts w:cs="Fira Sans Extra Condensed SemiB"/>
          <w:bCs/>
          <w:spacing w:val="-2"/>
          <w:szCs w:val="40"/>
          <w:lang w:val="en-GB"/>
        </w:rPr>
        <w:t>2022</w:t>
      </w:r>
    </w:p>
    <w:p w14:paraId="5E19DBDB" w14:textId="63BDB85B" w:rsidR="00054744" w:rsidRPr="00FA47D4" w:rsidRDefault="008B48F3" w:rsidP="00040D97">
      <w:pPr>
        <w:pStyle w:val="Lead"/>
        <w:spacing w:before="840" w:after="960"/>
        <w:rPr>
          <w:lang w:val="en-GB"/>
        </w:rPr>
      </w:pPr>
      <w:r w:rsidRPr="00FA47D4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4A30BA1" wp14:editId="54522D3B">
                <wp:simplePos x="0" y="0"/>
                <wp:positionH relativeFrom="margin">
                  <wp:posOffset>-73025</wp:posOffset>
                </wp:positionH>
                <wp:positionV relativeFrom="paragraph">
                  <wp:posOffset>5995</wp:posOffset>
                </wp:positionV>
                <wp:extent cx="2204085" cy="1302385"/>
                <wp:effectExtent l="0" t="0" r="5715" b="0"/>
                <wp:wrapSquare wrapText="bothSides"/>
                <wp:docPr id="4" name="Pole tekstowe 2" descr="Arrow icon pointing upwards, presenting 50.8% increase of the audience in indoor cinemas in comparison to 2021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0238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29D5" w14:textId="1D95A1ED" w:rsidR="00417461" w:rsidRPr="009A27A9" w:rsidRDefault="00417461" w:rsidP="0041746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9A27A9">
                              <w:rPr>
                                <w:rStyle w:val="WartowskanikaZnak"/>
                                <w:lang w:val="en-GB"/>
                              </w:rPr>
                              <w:t xml:space="preserve"> </w:t>
                            </w:r>
                            <w:r w:rsidRPr="009A27A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50</w:t>
                            </w:r>
                            <w:r w:rsidR="00631847" w:rsidRPr="009A27A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Pr="009A27A9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8%</w:t>
                            </w:r>
                          </w:p>
                          <w:p w14:paraId="74B8EB99" w14:textId="49807620" w:rsidR="00417461" w:rsidRPr="00054744" w:rsidRDefault="00054744" w:rsidP="00417461">
                            <w:pPr>
                              <w:pStyle w:val="Opiswskanika"/>
                              <w:rPr>
                                <w:lang w:val="en-GB"/>
                              </w:rPr>
                            </w:pPr>
                            <w:r w:rsidRPr="0043691D">
                              <w:rPr>
                                <w:lang w:val="en-GB"/>
                              </w:rPr>
                              <w:t xml:space="preserve">Increase of the </w:t>
                            </w:r>
                            <w:r>
                              <w:rPr>
                                <w:lang w:val="en-GB"/>
                              </w:rPr>
                              <w:t>audience in indoor cinemas in comparison to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A30BA1" id="Pole tekstowe 2" o:spid="_x0000_s1026" alt="Arrow icon pointing upwards, presenting 50.8% increase of the audience in indoor cinemas in comparison to 2021.&#10;" style="position:absolute;margin-left:-5.75pt;margin-top:.45pt;width:173.55pt;height:102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" fillcolor="#001d77" stroked="f">
                <v:stroke joinstyle="miter"/>
                <v:textbox>
                  <w:txbxContent>
                    <w:p w14:paraId="49E129D5" w14:textId="1D95A1ED" w:rsidR="00417461" w:rsidRPr="009A27A9" w:rsidRDefault="00417461" w:rsidP="0041746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9A27A9">
                        <w:rPr>
                          <w:rStyle w:val="WartowskanikaZnak"/>
                          <w:lang w:val="en-GB"/>
                        </w:rPr>
                        <w:t xml:space="preserve"> </w:t>
                      </w:r>
                      <w:r w:rsidRPr="009A27A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50</w:t>
                      </w:r>
                      <w:r w:rsidR="00631847" w:rsidRPr="009A27A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 w:rsidRPr="009A27A9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8%</w:t>
                      </w:r>
                    </w:p>
                    <w:p w14:paraId="74B8EB99" w14:textId="49807620" w:rsidR="00417461" w:rsidRPr="00054744" w:rsidRDefault="00054744" w:rsidP="00417461">
                      <w:pPr>
                        <w:pStyle w:val="Opiswskanika"/>
                        <w:rPr>
                          <w:lang w:val="en-GB"/>
                        </w:rPr>
                      </w:pPr>
                      <w:r w:rsidRPr="0043691D">
                        <w:rPr>
                          <w:lang w:val="en-GB"/>
                        </w:rPr>
                        <w:t xml:space="preserve">Increase of the </w:t>
                      </w:r>
                      <w:r>
                        <w:rPr>
                          <w:lang w:val="en-GB"/>
                        </w:rPr>
                        <w:t>audience in indoor cinemas in comparison to 2021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54744" w:rsidRPr="00FA47D4">
        <w:rPr>
          <w:lang w:val="en-GB"/>
        </w:rPr>
        <w:t>2.1 mill</w:t>
      </w:r>
      <w:r w:rsidR="00E57FD2">
        <w:rPr>
          <w:lang w:val="en-GB"/>
        </w:rPr>
        <w:t>i</w:t>
      </w:r>
      <w:r w:rsidR="00054744" w:rsidRPr="00FA47D4">
        <w:rPr>
          <w:lang w:val="en-GB"/>
        </w:rPr>
        <w:t>on screenings were shown in indoo</w:t>
      </w:r>
      <w:r w:rsidR="001E6AF8">
        <w:rPr>
          <w:lang w:val="en-GB"/>
        </w:rPr>
        <w:t xml:space="preserve">r cinemas, </w:t>
      </w:r>
      <w:r w:rsidR="00054744" w:rsidRPr="00FA47D4">
        <w:rPr>
          <w:lang w:val="en-GB"/>
        </w:rPr>
        <w:t>watched by 41.4 million viewers. As of the end of 2022, there were 532 indoor cinemas operating in Poland.</w:t>
      </w:r>
      <w:r w:rsidR="00B95357">
        <w:rPr>
          <w:lang w:val="en-GB"/>
        </w:rPr>
        <w:t xml:space="preserve"> I</w:t>
      </w:r>
      <w:r w:rsidR="00B95357" w:rsidRPr="00B95357">
        <w:rPr>
          <w:lang w:val="en-GB"/>
        </w:rPr>
        <w:t>n 2022, 367 films were produced in Poland for presentation in cinemas and television</w:t>
      </w:r>
      <w:r w:rsidR="00B95357">
        <w:rPr>
          <w:lang w:val="en-GB"/>
        </w:rPr>
        <w:t>.</w:t>
      </w:r>
    </w:p>
    <w:p w14:paraId="741076F2" w14:textId="44E18B58" w:rsidR="00417461" w:rsidRPr="00FA47D4" w:rsidRDefault="00054744" w:rsidP="00417461">
      <w:pPr>
        <w:pStyle w:val="Nagwek1"/>
        <w:rPr>
          <w:noProof/>
          <w:lang w:val="en-GB"/>
        </w:rPr>
      </w:pPr>
      <w:r w:rsidRPr="00FA47D4">
        <w:rPr>
          <w:noProof/>
          <w:lang w:val="en-GB"/>
        </w:rPr>
        <w:t>Cinemas activity</w:t>
      </w:r>
    </w:p>
    <w:p w14:paraId="54D27C0B" w14:textId="5BFFD15D" w:rsidR="007C065A" w:rsidRPr="00FA47D4" w:rsidRDefault="007C065A" w:rsidP="00417461">
      <w:pPr>
        <w:rPr>
          <w:lang w:val="en-GB"/>
        </w:rPr>
      </w:pPr>
      <w:r w:rsidRPr="00FA47D4">
        <w:rPr>
          <w:lang w:val="en-GB"/>
        </w:rPr>
        <w:t xml:space="preserve">There were 1.6 thousand screens with 296.9 thousand seats for the audience in indoor cinemas. Compared to 2021, </w:t>
      </w:r>
      <w:r w:rsidR="00B95357">
        <w:rPr>
          <w:lang w:val="en-GB"/>
        </w:rPr>
        <w:t xml:space="preserve">the number of screenings increased by </w:t>
      </w:r>
      <w:r w:rsidRPr="00FA47D4">
        <w:rPr>
          <w:lang w:val="en-GB"/>
        </w:rPr>
        <w:t xml:space="preserve">57.2% and </w:t>
      </w:r>
      <w:r w:rsidR="00B95357">
        <w:rPr>
          <w:lang w:val="en-GB"/>
        </w:rPr>
        <w:t>audience by 50.8%</w:t>
      </w:r>
      <w:r w:rsidRPr="00FA47D4">
        <w:rPr>
          <w:lang w:val="en-GB"/>
        </w:rPr>
        <w:t xml:space="preserve">. </w:t>
      </w:r>
      <w:proofErr w:type="spellStart"/>
      <w:r w:rsidRPr="00FA47D4">
        <w:rPr>
          <w:lang w:val="en-GB"/>
        </w:rPr>
        <w:t>Mazowieckie</w:t>
      </w:r>
      <w:proofErr w:type="spellEnd"/>
      <w:r w:rsidRPr="00FA47D4">
        <w:rPr>
          <w:lang w:val="en-GB"/>
        </w:rPr>
        <w:t xml:space="preserve"> </w:t>
      </w:r>
      <w:r w:rsidR="00B95357">
        <w:rPr>
          <w:lang w:val="en-GB"/>
        </w:rPr>
        <w:t>v</w:t>
      </w:r>
      <w:r w:rsidRPr="00FA47D4">
        <w:rPr>
          <w:lang w:val="en-GB"/>
        </w:rPr>
        <w:t xml:space="preserve">oivodship </w:t>
      </w:r>
      <w:r w:rsidR="00B95357" w:rsidRPr="00FA47D4">
        <w:rPr>
          <w:lang w:val="en-GB"/>
        </w:rPr>
        <w:t>definitely prevailed</w:t>
      </w:r>
      <w:r w:rsidRPr="00FA47D4">
        <w:rPr>
          <w:lang w:val="en-GB"/>
        </w:rPr>
        <w:t xml:space="preserve"> in terms of the num</w:t>
      </w:r>
      <w:r w:rsidR="00BB0EFB" w:rsidRPr="00FA47D4">
        <w:rPr>
          <w:lang w:val="en-GB"/>
        </w:rPr>
        <w:t>b</w:t>
      </w:r>
      <w:r w:rsidRPr="00FA47D4">
        <w:rPr>
          <w:lang w:val="en-GB"/>
        </w:rPr>
        <w:t>er of screenings</w:t>
      </w:r>
      <w:r w:rsidR="00BB0EFB" w:rsidRPr="00FA47D4">
        <w:rPr>
          <w:lang w:val="en-GB"/>
        </w:rPr>
        <w:t xml:space="preserve"> </w:t>
      </w:r>
      <w:r w:rsidRPr="00FA47D4">
        <w:rPr>
          <w:lang w:val="en-GB"/>
        </w:rPr>
        <w:t>in indo</w:t>
      </w:r>
      <w:r w:rsidR="00BB0EFB" w:rsidRPr="00FA47D4">
        <w:rPr>
          <w:lang w:val="en-GB"/>
        </w:rPr>
        <w:t>o</w:t>
      </w:r>
      <w:r w:rsidRPr="00FA47D4">
        <w:rPr>
          <w:lang w:val="en-GB"/>
        </w:rPr>
        <w:t>r cinemas</w:t>
      </w:r>
      <w:r w:rsidR="00BB0EFB" w:rsidRPr="00FA47D4">
        <w:rPr>
          <w:lang w:val="en-GB"/>
        </w:rPr>
        <w:t xml:space="preserve"> (83)</w:t>
      </w:r>
      <w:r w:rsidR="00596AC4" w:rsidRPr="00FA47D4">
        <w:rPr>
          <w:lang w:val="en-GB"/>
        </w:rPr>
        <w:t xml:space="preserve">. </w:t>
      </w:r>
      <w:proofErr w:type="spellStart"/>
      <w:r w:rsidR="00BB0EFB" w:rsidRPr="00FA47D4">
        <w:rPr>
          <w:lang w:val="en-GB"/>
        </w:rPr>
        <w:t>Śląskie</w:t>
      </w:r>
      <w:proofErr w:type="spellEnd"/>
      <w:r w:rsidR="00BB0EFB" w:rsidRPr="00FA47D4">
        <w:rPr>
          <w:lang w:val="en-GB"/>
        </w:rPr>
        <w:t xml:space="preserve"> (54), </w:t>
      </w:r>
      <w:proofErr w:type="spellStart"/>
      <w:r w:rsidR="00BB0EFB" w:rsidRPr="00FA47D4">
        <w:rPr>
          <w:lang w:val="en-GB"/>
        </w:rPr>
        <w:t>Wielkopolskie</w:t>
      </w:r>
      <w:proofErr w:type="spellEnd"/>
      <w:r w:rsidR="00BB0EFB" w:rsidRPr="00FA47D4">
        <w:rPr>
          <w:lang w:val="en-GB"/>
        </w:rPr>
        <w:t xml:space="preserve"> (50), </w:t>
      </w:r>
      <w:proofErr w:type="spellStart"/>
      <w:r w:rsidR="00BB0EFB" w:rsidRPr="00FA47D4">
        <w:rPr>
          <w:lang w:val="en-GB"/>
        </w:rPr>
        <w:t>Dolnośląskie</w:t>
      </w:r>
      <w:proofErr w:type="spellEnd"/>
      <w:r w:rsidR="00BB0EFB" w:rsidRPr="00FA47D4">
        <w:rPr>
          <w:lang w:val="en-GB"/>
        </w:rPr>
        <w:t xml:space="preserve"> (49) and </w:t>
      </w:r>
      <w:proofErr w:type="spellStart"/>
      <w:r w:rsidR="00BB0EFB" w:rsidRPr="00FA47D4">
        <w:rPr>
          <w:lang w:val="en-GB"/>
        </w:rPr>
        <w:t>Małopolskie</w:t>
      </w:r>
      <w:proofErr w:type="spellEnd"/>
      <w:r w:rsidR="00BB0EFB" w:rsidRPr="00FA47D4">
        <w:rPr>
          <w:lang w:val="en-GB"/>
        </w:rPr>
        <w:t xml:space="preserve"> (46) </w:t>
      </w:r>
      <w:r w:rsidR="00B95357">
        <w:rPr>
          <w:lang w:val="en-GB"/>
        </w:rPr>
        <w:t>v</w:t>
      </w:r>
      <w:r w:rsidR="00BB0EFB" w:rsidRPr="00FA47D4">
        <w:rPr>
          <w:lang w:val="en-GB"/>
        </w:rPr>
        <w:t>oivodships</w:t>
      </w:r>
      <w:r w:rsidR="00596AC4" w:rsidRPr="00FA47D4">
        <w:rPr>
          <w:lang w:val="en-GB"/>
        </w:rPr>
        <w:t xml:space="preserve"> </w:t>
      </w:r>
      <w:r w:rsidR="00B95357">
        <w:rPr>
          <w:lang w:val="en-GB"/>
        </w:rPr>
        <w:t xml:space="preserve">also stood out. </w:t>
      </w:r>
      <w:r w:rsidR="00BB0EFB" w:rsidRPr="00FA47D4">
        <w:rPr>
          <w:lang w:val="en-GB"/>
        </w:rPr>
        <w:t>The largest num</w:t>
      </w:r>
      <w:r w:rsidR="00784ECA">
        <w:rPr>
          <w:lang w:val="en-GB"/>
        </w:rPr>
        <w:t>b</w:t>
      </w:r>
      <w:r w:rsidR="00BB0EFB" w:rsidRPr="00FA47D4">
        <w:rPr>
          <w:lang w:val="en-GB"/>
        </w:rPr>
        <w:t>er of screenings</w:t>
      </w:r>
      <w:r w:rsidRPr="00FA47D4">
        <w:rPr>
          <w:lang w:val="en-GB"/>
        </w:rPr>
        <w:t xml:space="preserve"> per 1 indoor </w:t>
      </w:r>
      <w:r w:rsidR="00BB0EFB" w:rsidRPr="00FA47D4">
        <w:rPr>
          <w:lang w:val="en-GB"/>
        </w:rPr>
        <w:t xml:space="preserve">cinema was recorded in </w:t>
      </w:r>
      <w:proofErr w:type="spellStart"/>
      <w:r w:rsidR="00BB0EFB" w:rsidRPr="00FA47D4">
        <w:rPr>
          <w:lang w:val="en-GB"/>
        </w:rPr>
        <w:t>Kujawsko-Pomorskie</w:t>
      </w:r>
      <w:proofErr w:type="spellEnd"/>
      <w:r w:rsidR="00BB0EFB" w:rsidRPr="00FA47D4">
        <w:rPr>
          <w:lang w:val="en-GB"/>
        </w:rPr>
        <w:t xml:space="preserve"> </w:t>
      </w:r>
      <w:r w:rsidR="00B95357">
        <w:rPr>
          <w:lang w:val="en-GB"/>
        </w:rPr>
        <w:t>v</w:t>
      </w:r>
      <w:r w:rsidR="00BB0EFB" w:rsidRPr="00FA47D4">
        <w:rPr>
          <w:lang w:val="en-GB"/>
        </w:rPr>
        <w:t xml:space="preserve">oivodship (119.2 thousand), and the least in </w:t>
      </w:r>
      <w:proofErr w:type="spellStart"/>
      <w:r w:rsidR="00BB0EFB" w:rsidRPr="00FA47D4">
        <w:rPr>
          <w:lang w:val="en-GB"/>
        </w:rPr>
        <w:t>Świętokrzyskie</w:t>
      </w:r>
      <w:proofErr w:type="spellEnd"/>
      <w:r w:rsidR="00BB0EFB" w:rsidRPr="00FA47D4">
        <w:rPr>
          <w:lang w:val="en-GB"/>
        </w:rPr>
        <w:t xml:space="preserve"> Voivodship (48.7 thousand).</w:t>
      </w:r>
    </w:p>
    <w:p w14:paraId="1CC679E8" w14:textId="7D8A2E1B" w:rsidR="00417461" w:rsidRPr="00FA47D4" w:rsidRDefault="00631847" w:rsidP="00417461">
      <w:pPr>
        <w:pStyle w:val="Tytuwykresu0"/>
        <w:rPr>
          <w:rFonts w:ascii="Fira Sans" w:hAnsi="Fira Sans"/>
          <w:shd w:val="clear" w:color="auto" w:fill="FFFFFF"/>
          <w:lang w:val="en-GB"/>
        </w:rPr>
      </w:pPr>
      <w:r w:rsidRPr="00FA47D4">
        <w:rPr>
          <w:rFonts w:ascii="Fira Sans" w:hAnsi="Fira Sans"/>
          <w:shd w:val="clear" w:color="auto" w:fill="FFFFFF"/>
        </w:rPr>
        <w:drawing>
          <wp:anchor distT="0" distB="0" distL="114300" distR="114300" simplePos="0" relativeHeight="251805696" behindDoc="0" locked="0" layoutInCell="1" allowOverlap="1" wp14:anchorId="351F2BF3" wp14:editId="5D38F8E8">
            <wp:simplePos x="0" y="0"/>
            <wp:positionH relativeFrom="margin">
              <wp:align>right</wp:align>
            </wp:positionH>
            <wp:positionV relativeFrom="paragraph">
              <wp:posOffset>358112</wp:posOffset>
            </wp:positionV>
            <wp:extent cx="5120640" cy="3665855"/>
            <wp:effectExtent l="0" t="0" r="3810" b="0"/>
            <wp:wrapTopAndBottom/>
            <wp:docPr id="13" name="Obraz 13" descr="Map 1. Map of Poland by voivodships presenting the number of indoor cinemas (as of 31 December) and number of audience per 1 indoor cinemas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7461" w:rsidRPr="00FA47D4">
        <w:rPr>
          <w:rFonts w:ascii="Fira Sans" w:hAnsi="Fira Sans"/>
          <w:b w:val="0"/>
          <w:szCs w:val="19"/>
          <w:highlight w:val="yellow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52110EB4" wp14:editId="3C9EFF7B">
                <wp:simplePos x="0" y="0"/>
                <wp:positionH relativeFrom="column">
                  <wp:posOffset>5237480</wp:posOffset>
                </wp:positionH>
                <wp:positionV relativeFrom="paragraph">
                  <wp:posOffset>1140278</wp:posOffset>
                </wp:positionV>
                <wp:extent cx="1812290" cy="803910"/>
                <wp:effectExtent l="0" t="0" r="0" b="0"/>
                <wp:wrapTight wrapText="bothSides">
                  <wp:wrapPolygon edited="0">
                    <wp:start x="681" y="0"/>
                    <wp:lineTo x="681" y="20986"/>
                    <wp:lineTo x="20889" y="20986"/>
                    <wp:lineTo x="20889" y="0"/>
                    <wp:lineTo x="681" y="0"/>
                  </wp:wrapPolygon>
                </wp:wrapTight>
                <wp:docPr id="385" name="Pole tekstowe 385" descr="18.5% of the total number of audience in indoor cinemas watched films in Mazowieckie voivod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80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CA82C" w14:textId="0997E9C2" w:rsidR="00417461" w:rsidRPr="00FA47D4" w:rsidRDefault="00596AC4" w:rsidP="0041746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A47D4">
                              <w:rPr>
                                <w:lang w:val="en-GB"/>
                              </w:rPr>
                              <w:t>18.5% of the total number of</w:t>
                            </w:r>
                            <w:r w:rsidR="00040D97"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 w:rsidRPr="00FA47D4">
                              <w:rPr>
                                <w:lang w:val="en-GB"/>
                              </w:rPr>
                              <w:t>audience</w:t>
                            </w:r>
                            <w:proofErr w:type="gramEnd"/>
                            <w:r w:rsidRPr="00FA47D4">
                              <w:rPr>
                                <w:lang w:val="en-GB"/>
                              </w:rPr>
                              <w:t xml:space="preserve"> in indo</w:t>
                            </w:r>
                            <w:r w:rsidR="00FA47D4">
                              <w:rPr>
                                <w:lang w:val="en-GB"/>
                              </w:rPr>
                              <w:t>o</w:t>
                            </w:r>
                            <w:r w:rsidRPr="00FA47D4">
                              <w:rPr>
                                <w:lang w:val="en-GB"/>
                              </w:rPr>
                              <w:t>r cinema</w:t>
                            </w:r>
                            <w:r w:rsidR="00BF7DCA">
                              <w:rPr>
                                <w:lang w:val="en-GB"/>
                              </w:rPr>
                              <w:t xml:space="preserve">s watched films in </w:t>
                            </w:r>
                            <w:proofErr w:type="spellStart"/>
                            <w:r w:rsidR="00BF7DCA">
                              <w:rPr>
                                <w:lang w:val="en-GB"/>
                              </w:rPr>
                              <w:t>Mazowieckie</w:t>
                            </w:r>
                            <w:proofErr w:type="spellEnd"/>
                            <w:r w:rsidR="00BF7DCA">
                              <w:rPr>
                                <w:lang w:val="en-GB"/>
                              </w:rPr>
                              <w:t xml:space="preserve"> v</w:t>
                            </w:r>
                            <w:r w:rsidRPr="00FA47D4">
                              <w:rPr>
                                <w:lang w:val="en-GB"/>
                              </w:rPr>
                              <w:t>oivodship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10EB4" id="_x0000_t202" coordsize="21600,21600" o:spt="202" path="m,l,21600r21600,l21600,xe">
                <v:stroke joinstyle="miter"/>
                <v:path gradientshapeok="t" o:connecttype="rect"/>
              </v:shapetype>
              <v:shape id="Pole tekstowe 385" o:spid="_x0000_s1027" type="#_x0000_t202" alt="18.5% of the total number of audience in indoor cinemas watched films in Mazowieckie voivodship" style="position:absolute;margin-left:412.4pt;margin-top:89.8pt;width:142.7pt;height:63.3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" filled="f" stroked="f">
                <v:textbox>
                  <w:txbxContent>
                    <w:p w14:paraId="651CA82C" w14:textId="0997E9C2" w:rsidR="00417461" w:rsidRPr="00FA47D4" w:rsidRDefault="00596AC4" w:rsidP="00417461">
                      <w:pPr>
                        <w:pStyle w:val="tekstzboku"/>
                        <w:rPr>
                          <w:lang w:val="en-GB"/>
                        </w:rPr>
                      </w:pPr>
                      <w:r w:rsidRPr="00FA47D4">
                        <w:rPr>
                          <w:lang w:val="en-GB"/>
                        </w:rPr>
                        <w:t>18.5% of the total number of</w:t>
                      </w:r>
                      <w:r w:rsidR="00040D97">
                        <w:rPr>
                          <w:lang w:val="en-GB"/>
                        </w:rPr>
                        <w:t xml:space="preserve"> </w:t>
                      </w:r>
                      <w:proofErr w:type="gramStart"/>
                      <w:r w:rsidRPr="00FA47D4">
                        <w:rPr>
                          <w:lang w:val="en-GB"/>
                        </w:rPr>
                        <w:t>audience</w:t>
                      </w:r>
                      <w:proofErr w:type="gramEnd"/>
                      <w:r w:rsidRPr="00FA47D4">
                        <w:rPr>
                          <w:lang w:val="en-GB"/>
                        </w:rPr>
                        <w:t xml:space="preserve"> in indo</w:t>
                      </w:r>
                      <w:r w:rsidR="00FA47D4">
                        <w:rPr>
                          <w:lang w:val="en-GB"/>
                        </w:rPr>
                        <w:t>o</w:t>
                      </w:r>
                      <w:r w:rsidRPr="00FA47D4">
                        <w:rPr>
                          <w:lang w:val="en-GB"/>
                        </w:rPr>
                        <w:t>r cinema</w:t>
                      </w:r>
                      <w:r w:rsidR="00BF7DCA">
                        <w:rPr>
                          <w:lang w:val="en-GB"/>
                        </w:rPr>
                        <w:t xml:space="preserve">s watched films in </w:t>
                      </w:r>
                      <w:proofErr w:type="spellStart"/>
                      <w:r w:rsidR="00BF7DCA">
                        <w:rPr>
                          <w:lang w:val="en-GB"/>
                        </w:rPr>
                        <w:t>Mazowieckie</w:t>
                      </w:r>
                      <w:proofErr w:type="spellEnd"/>
                      <w:r w:rsidR="00BF7DCA">
                        <w:rPr>
                          <w:lang w:val="en-GB"/>
                        </w:rPr>
                        <w:t xml:space="preserve"> v</w:t>
                      </w:r>
                      <w:r w:rsidRPr="00FA47D4">
                        <w:rPr>
                          <w:lang w:val="en-GB"/>
                        </w:rPr>
                        <w:t>oivodship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065A" w:rsidRPr="00FA47D4">
        <w:rPr>
          <w:rFonts w:ascii="Fira Sans" w:hAnsi="Fira Sans"/>
          <w:lang w:val="en-GB"/>
        </w:rPr>
        <w:t>Map 1. Indoor cinemas in 2022</w:t>
      </w:r>
    </w:p>
    <w:p w14:paraId="6D6C2174" w14:textId="651EE609" w:rsidR="00596AC4" w:rsidRPr="00FA47D4" w:rsidRDefault="00FA47D4" w:rsidP="00417461">
      <w:pPr>
        <w:spacing w:before="360"/>
        <w:rPr>
          <w:shd w:val="clear" w:color="auto" w:fill="FFFFFF"/>
          <w:lang w:val="en-GB"/>
        </w:rPr>
      </w:pPr>
      <w:r w:rsidRPr="00FA47D4">
        <w:rPr>
          <w:bCs/>
          <w:noProof/>
          <w:highlight w:val="yellow"/>
          <w:shd w:val="clear" w:color="auto" w:fill="FFFFFF"/>
          <w:lang w:eastAsia="pl-PL"/>
        </w:rPr>
        <mc:AlternateContent>
          <mc:Choice Requires="wps">
            <w:drawing>
              <wp:anchor distT="0" distB="45720" distL="114300" distR="114300" simplePos="0" relativeHeight="251799552" behindDoc="1" locked="0" layoutInCell="1" allowOverlap="1" wp14:anchorId="44262DF5" wp14:editId="53140A35">
                <wp:simplePos x="0" y="0"/>
                <wp:positionH relativeFrom="rightMargin">
                  <wp:posOffset>113030</wp:posOffset>
                </wp:positionH>
                <wp:positionV relativeFrom="paragraph">
                  <wp:posOffset>4125595</wp:posOffset>
                </wp:positionV>
                <wp:extent cx="1780540" cy="523875"/>
                <wp:effectExtent l="0" t="0" r="0" b="0"/>
                <wp:wrapTight wrapText="bothSides">
                  <wp:wrapPolygon edited="0">
                    <wp:start x="1734" y="0"/>
                    <wp:lineTo x="1734" y="19636"/>
                    <wp:lineTo x="19654" y="19636"/>
                    <wp:lineTo x="19654" y="0"/>
                    <wp:lineTo x="1734" y="0"/>
                  </wp:wrapPolygon>
                </wp:wrapTight>
                <wp:docPr id="386" name="Pole tekstowe 2" descr="67.7% of the total number of cinemas had 1–2 scree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9912" w14:textId="6F887051" w:rsidR="00417461" w:rsidRPr="00FA47D4" w:rsidRDefault="00596AC4" w:rsidP="0041746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A47D4">
                              <w:rPr>
                                <w:lang w:val="en-GB"/>
                              </w:rPr>
                              <w:t>67.7</w:t>
                            </w:r>
                            <w:r w:rsidR="00417461" w:rsidRPr="00FA47D4">
                              <w:rPr>
                                <w:lang w:val="en-GB"/>
                              </w:rPr>
                              <w:t>%</w:t>
                            </w:r>
                            <w:r w:rsidRPr="00FA47D4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BF7DCA"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FA47D4">
                              <w:rPr>
                                <w:lang w:val="en-GB"/>
                              </w:rPr>
                              <w:t>total number of cinemas had 1–2 screens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62DF5" id="_x0000_s1028" type="#_x0000_t202" alt="67.7% of the total number of cinemas had 1–2 screens" style="position:absolute;margin-left:8.9pt;margin-top:324.85pt;width:140.2pt;height:41.25pt;z-index:-251516928;visibility:visible;mso-wrap-style:square;mso-width-percent:0;mso-height-percent:0;mso-wrap-distance-left:9pt;mso-wrap-distance-top:0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" filled="f" stroked="f">
                <v:textbox>
                  <w:txbxContent>
                    <w:p w14:paraId="176C9912" w14:textId="6F887051" w:rsidR="00417461" w:rsidRPr="00FA47D4" w:rsidRDefault="00596AC4" w:rsidP="00417461">
                      <w:pPr>
                        <w:pStyle w:val="tekstzboku"/>
                        <w:rPr>
                          <w:lang w:val="en-GB"/>
                        </w:rPr>
                      </w:pPr>
                      <w:r w:rsidRPr="00FA47D4">
                        <w:rPr>
                          <w:lang w:val="en-GB"/>
                        </w:rPr>
                        <w:t>67.7</w:t>
                      </w:r>
                      <w:r w:rsidR="00417461" w:rsidRPr="00FA47D4">
                        <w:rPr>
                          <w:lang w:val="en-GB"/>
                        </w:rPr>
                        <w:t>%</w:t>
                      </w:r>
                      <w:r w:rsidRPr="00FA47D4">
                        <w:rPr>
                          <w:lang w:val="en-GB"/>
                        </w:rPr>
                        <w:t xml:space="preserve"> of </w:t>
                      </w:r>
                      <w:r w:rsidR="00BF7DCA">
                        <w:rPr>
                          <w:lang w:val="en-GB"/>
                        </w:rPr>
                        <w:t xml:space="preserve">the </w:t>
                      </w:r>
                      <w:r w:rsidRPr="00FA47D4">
                        <w:rPr>
                          <w:lang w:val="en-GB"/>
                        </w:rPr>
                        <w:t>total number of cinemas had 1–2 screens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96AC4" w:rsidRPr="00FA47D4">
        <w:rPr>
          <w:shd w:val="clear" w:color="auto" w:fill="FFFFFF"/>
          <w:lang w:val="en-GB"/>
        </w:rPr>
        <w:t>In the year under review there w</w:t>
      </w:r>
      <w:r w:rsidR="001E612E" w:rsidRPr="00FA47D4">
        <w:rPr>
          <w:shd w:val="clear" w:color="auto" w:fill="FFFFFF"/>
          <w:lang w:val="en-GB"/>
        </w:rPr>
        <w:t xml:space="preserve">ere 360 indoor cinemas with one or two screens, 111 </w:t>
      </w:r>
      <w:proofErr w:type="spellStart"/>
      <w:r w:rsidR="001E612E" w:rsidRPr="00FA47D4">
        <w:rPr>
          <w:shd w:val="clear" w:color="auto" w:fill="FFFFFF"/>
          <w:lang w:val="en-GB"/>
        </w:rPr>
        <w:t>miniplexes</w:t>
      </w:r>
      <w:proofErr w:type="spellEnd"/>
      <w:r w:rsidR="001E612E" w:rsidRPr="00FA47D4">
        <w:rPr>
          <w:shd w:val="clear" w:color="auto" w:fill="FFFFFF"/>
          <w:lang w:val="en-GB"/>
        </w:rPr>
        <w:t xml:space="preserve"> (with 3 to 7 screens) and 61 multiplexes (with 8 or more screens). The multiplexes displayed 49.3% of the total number of screenings, watched by 47.6% of the total audience. The </w:t>
      </w:r>
      <w:proofErr w:type="spellStart"/>
      <w:r w:rsidR="001E612E" w:rsidRPr="00FA47D4">
        <w:rPr>
          <w:shd w:val="clear" w:color="auto" w:fill="FFFFFF"/>
          <w:lang w:val="en-GB"/>
        </w:rPr>
        <w:t>miniplexes</w:t>
      </w:r>
      <w:proofErr w:type="spellEnd"/>
      <w:r w:rsidR="001E612E" w:rsidRPr="00FA47D4">
        <w:rPr>
          <w:shd w:val="clear" w:color="auto" w:fill="FFFFFF"/>
          <w:lang w:val="en-GB"/>
        </w:rPr>
        <w:t xml:space="preserve"> displayed 37.8% of the total number of screenings, watched by 37.6%</w:t>
      </w:r>
      <w:r w:rsidRPr="00FA47D4">
        <w:rPr>
          <w:shd w:val="clear" w:color="auto" w:fill="FFFFFF"/>
          <w:lang w:val="en-GB"/>
        </w:rPr>
        <w:t xml:space="preserve"> of the total audience. One multiplex had an average of 2.0 thousand seats for the audience and displayed </w:t>
      </w:r>
      <w:r w:rsidR="00B95357">
        <w:rPr>
          <w:shd w:val="clear" w:color="auto" w:fill="FFFFFF"/>
          <w:lang w:val="en-GB"/>
        </w:rPr>
        <w:t xml:space="preserve">an average of </w:t>
      </w:r>
      <w:r w:rsidRPr="00FA47D4">
        <w:rPr>
          <w:shd w:val="clear" w:color="auto" w:fill="FFFFFF"/>
          <w:lang w:val="en-GB"/>
        </w:rPr>
        <w:t>17.2 thousand screenings.</w:t>
      </w:r>
    </w:p>
    <w:p w14:paraId="7218C826" w14:textId="7C8D3688" w:rsidR="00417461" w:rsidRPr="00FA47D4" w:rsidRDefault="00FA47D4" w:rsidP="00417461">
      <w:pPr>
        <w:pStyle w:val="Tytuwykresu0"/>
        <w:spacing w:before="120" w:after="0"/>
        <w:rPr>
          <w:rFonts w:ascii="Fira Sans" w:hAnsi="Fira Sans"/>
          <w:shd w:val="clear" w:color="auto" w:fill="FFFFFF"/>
          <w:lang w:val="en-GB"/>
        </w:rPr>
      </w:pPr>
      <w:r w:rsidRPr="00FA47D4">
        <w:rPr>
          <w:rFonts w:ascii="Fira Sans" w:hAnsi="Fira Sans"/>
          <w:shd w:val="clear" w:color="auto" w:fill="FFFFFF"/>
          <w:lang w:val="en-GB"/>
        </w:rPr>
        <w:lastRenderedPageBreak/>
        <w:t>Chart 1. The structure of indoor cinemas by number of screens in 2022</w:t>
      </w:r>
    </w:p>
    <w:p w14:paraId="3BC345DA" w14:textId="59E936A4" w:rsidR="00417461" w:rsidRPr="00FA47D4" w:rsidRDefault="003D56AF" w:rsidP="00417461">
      <w:pPr>
        <w:pStyle w:val="Tytuwykresu0"/>
        <w:spacing w:before="0"/>
        <w:ind w:firstLine="851"/>
        <w:rPr>
          <w:rFonts w:ascii="Fira Sans" w:hAnsi="Fira Sans"/>
          <w:b w:val="0"/>
          <w:lang w:val="en-GB"/>
        </w:rPr>
      </w:pPr>
      <w:r w:rsidRPr="00FA47D4">
        <w:rPr>
          <w:rFonts w:ascii="Fira Sans" w:hAnsi="Fira Sans"/>
          <w:b w:val="0"/>
        </w:rPr>
        <w:drawing>
          <wp:anchor distT="0" distB="0" distL="114300" distR="114300" simplePos="0" relativeHeight="251806720" behindDoc="0" locked="0" layoutInCell="1" allowOverlap="1" wp14:anchorId="2437E482" wp14:editId="18802FA5">
            <wp:simplePos x="0" y="0"/>
            <wp:positionH relativeFrom="margin">
              <wp:align>left</wp:align>
            </wp:positionH>
            <wp:positionV relativeFrom="paragraph">
              <wp:posOffset>208887</wp:posOffset>
            </wp:positionV>
            <wp:extent cx="5090795" cy="1304925"/>
            <wp:effectExtent l="0" t="0" r="0" b="0"/>
            <wp:wrapTopAndBottom/>
            <wp:docPr id="14" name="Obraz 14" descr="Chart 1. Bar chart presenting the structure of indoor cinemas by number of screens in 2022 (as of 31 December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47D4" w:rsidRPr="00FA47D4">
        <w:rPr>
          <w:rFonts w:ascii="Fira Sans" w:hAnsi="Fira Sans"/>
          <w:b w:val="0"/>
          <w:lang w:val="en-GB"/>
        </w:rPr>
        <w:t>As of 31 December</w:t>
      </w:r>
    </w:p>
    <w:p w14:paraId="4D5B9356" w14:textId="65EAD5A9" w:rsidR="00417461" w:rsidRPr="00FA47D4" w:rsidRDefault="00FA47D4" w:rsidP="00417461">
      <w:pPr>
        <w:pStyle w:val="Nagwek1"/>
        <w:rPr>
          <w:noProof/>
          <w:lang w:val="en-GB"/>
        </w:rPr>
      </w:pPr>
      <w:r>
        <w:rPr>
          <w:noProof/>
          <w:lang w:val="en-GB"/>
        </w:rPr>
        <w:t>Film production</w:t>
      </w:r>
    </w:p>
    <w:p w14:paraId="7B4A24A2" w14:textId="1C6336F4" w:rsidR="00FA47D4" w:rsidRDefault="00FA47D4" w:rsidP="00417461">
      <w:pPr>
        <w:rPr>
          <w:lang w:val="en-GB"/>
        </w:rPr>
      </w:pPr>
      <w:r>
        <w:rPr>
          <w:lang w:val="en-GB"/>
        </w:rPr>
        <w:t>112 full-length films and 255 medium- and short-length films (intended for cinemas and television) were produced in Poland (85 and 217 respectively in 2021). O</w:t>
      </w:r>
      <w:r w:rsidR="00B95357">
        <w:rPr>
          <w:lang w:val="en-GB"/>
        </w:rPr>
        <w:t>n an annual basis</w:t>
      </w:r>
      <w:r>
        <w:rPr>
          <w:lang w:val="en-GB"/>
        </w:rPr>
        <w:t xml:space="preserve">, the number of </w:t>
      </w:r>
      <w:r w:rsidR="00784ECA">
        <w:rPr>
          <w:lang w:val="en-GB"/>
        </w:rPr>
        <w:t xml:space="preserve">produced </w:t>
      </w:r>
      <w:r>
        <w:rPr>
          <w:lang w:val="en-GB"/>
        </w:rPr>
        <w:t>full-length fe</w:t>
      </w:r>
      <w:r w:rsidR="0034484C">
        <w:rPr>
          <w:lang w:val="en-GB"/>
        </w:rPr>
        <w:t>ature films</w:t>
      </w:r>
      <w:r>
        <w:rPr>
          <w:lang w:val="en-GB"/>
        </w:rPr>
        <w:t xml:space="preserve"> increased by 41.7% (from 60 to 85)</w:t>
      </w:r>
      <w:r w:rsidR="008A79F1">
        <w:rPr>
          <w:lang w:val="en-GB"/>
        </w:rPr>
        <w:t xml:space="preserve">, </w:t>
      </w:r>
      <w:r w:rsidR="00B95357">
        <w:rPr>
          <w:lang w:val="en-GB"/>
        </w:rPr>
        <w:t>of which</w:t>
      </w:r>
      <w:r w:rsidR="00784ECA">
        <w:rPr>
          <w:lang w:val="en-GB"/>
        </w:rPr>
        <w:t xml:space="preserve"> cinema feature films</w:t>
      </w:r>
      <w:r w:rsidR="0034484C">
        <w:rPr>
          <w:lang w:val="en-GB"/>
        </w:rPr>
        <w:t xml:space="preserve"> increased by 34.1% (from 41 to 55) and television</w:t>
      </w:r>
      <w:r w:rsidR="00784ECA">
        <w:rPr>
          <w:lang w:val="en-GB"/>
        </w:rPr>
        <w:t xml:space="preserve"> feature films</w:t>
      </w:r>
      <w:r w:rsidR="0034484C">
        <w:rPr>
          <w:lang w:val="en-GB"/>
        </w:rPr>
        <w:t xml:space="preserve"> increased by 57.9% (from 19 to 30). The number of full-length documentary films increased by 25.9% (from 166 to 209)</w:t>
      </w:r>
      <w:r w:rsidR="00BF7DCA">
        <w:rPr>
          <w:lang w:val="en-GB"/>
        </w:rPr>
        <w:t xml:space="preserve"> with the increase mainly in </w:t>
      </w:r>
      <w:r w:rsidR="003E0F30">
        <w:rPr>
          <w:lang w:val="en-GB"/>
        </w:rPr>
        <w:t>medium- and short-length films (29.2%). 178 documentary films were intended for television and 31 for cinemas.</w:t>
      </w:r>
    </w:p>
    <w:p w14:paraId="4C521AE0" w14:textId="0231C702" w:rsidR="00417461" w:rsidRPr="00FA47D4" w:rsidRDefault="00C32D4C" w:rsidP="00417461">
      <w:pPr>
        <w:pStyle w:val="Tytuwykresu0"/>
        <w:rPr>
          <w:rFonts w:ascii="Fira Sans" w:hAnsi="Fira Sans"/>
          <w:lang w:val="en-GB"/>
        </w:rPr>
      </w:pPr>
      <w:r w:rsidRPr="00FA47D4">
        <w:rPr>
          <w:rFonts w:ascii="Fira Sans" w:hAnsi="Fira Sans"/>
        </w:rPr>
        <w:drawing>
          <wp:anchor distT="0" distB="0" distL="114300" distR="114300" simplePos="0" relativeHeight="251807744" behindDoc="0" locked="0" layoutInCell="1" allowOverlap="1" wp14:anchorId="6D4E4BC2" wp14:editId="4CB7339E">
            <wp:simplePos x="0" y="0"/>
            <wp:positionH relativeFrom="margin">
              <wp:align>left</wp:align>
            </wp:positionH>
            <wp:positionV relativeFrom="paragraph">
              <wp:posOffset>374070</wp:posOffset>
            </wp:positionV>
            <wp:extent cx="5041900" cy="2060575"/>
            <wp:effectExtent l="0" t="0" r="0" b="0"/>
            <wp:wrapTopAndBottom/>
            <wp:docPr id="16" name="Obraz 16" descr="Chart 2. Bar chart presenting films produced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17461" w:rsidRPr="00FA47D4">
        <w:rPr>
          <w:rFonts w:ascii="Fira Sans" w:hAnsi="Fira Sans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6B395E1F" wp14:editId="07563B6F">
                <wp:simplePos x="0" y="0"/>
                <wp:positionH relativeFrom="page">
                  <wp:posOffset>5791656</wp:posOffset>
                </wp:positionH>
                <wp:positionV relativeFrom="paragraph">
                  <wp:posOffset>378410</wp:posOffset>
                </wp:positionV>
                <wp:extent cx="1676400" cy="786765"/>
                <wp:effectExtent l="0" t="0" r="0" b="0"/>
                <wp:wrapTight wrapText="bothSides">
                  <wp:wrapPolygon edited="0">
                    <wp:start x="736" y="0"/>
                    <wp:lineTo x="736" y="20920"/>
                    <wp:lineTo x="20618" y="20920"/>
                    <wp:lineTo x="20618" y="0"/>
                    <wp:lineTo x="736" y="0"/>
                  </wp:wrapPolygon>
                </wp:wrapTight>
                <wp:docPr id="474" name="Pole tekstowe 474" descr="Documentary films accounted for 56.9% of the total number of fil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90F65" w14:textId="6BA6814B" w:rsidR="00417461" w:rsidRPr="0034484C" w:rsidRDefault="0034484C" w:rsidP="00417461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4484C">
                              <w:rPr>
                                <w:lang w:val="en-GB"/>
                              </w:rPr>
                              <w:t>Documentary films accounted for 56.9% of the total number of films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95E1F" id="Pole tekstowe 474" o:spid="_x0000_s1029" type="#_x0000_t202" alt="Documentary films accounted for 56.9% of the total number of films" style="position:absolute;margin-left:456.05pt;margin-top:29.8pt;width:132pt;height:61.9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" filled="f" stroked="f">
                <v:textbox>
                  <w:txbxContent>
                    <w:p w14:paraId="3C390F65" w14:textId="6BA6814B" w:rsidR="00417461" w:rsidRPr="0034484C" w:rsidRDefault="0034484C" w:rsidP="00417461">
                      <w:pPr>
                        <w:pStyle w:val="tekstzboku"/>
                        <w:rPr>
                          <w:lang w:val="en-GB"/>
                        </w:rPr>
                      </w:pPr>
                      <w:r w:rsidRPr="0034484C">
                        <w:rPr>
                          <w:lang w:val="en-GB"/>
                        </w:rPr>
                        <w:t>Documentary films accounted for 56.9% of the total number of films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4484C">
        <w:rPr>
          <w:rFonts w:ascii="Fira Sans" w:hAnsi="Fira Sans"/>
          <w:lang w:val="en-GB"/>
        </w:rPr>
        <w:t>Chart 2. Films produced in 2022</w:t>
      </w:r>
    </w:p>
    <w:p w14:paraId="4E3CFA16" w14:textId="6337DF94" w:rsidR="00784ECA" w:rsidRDefault="00784ECA" w:rsidP="00417461">
      <w:pPr>
        <w:spacing w:before="24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The most frequently produced type of full-length films </w:t>
      </w:r>
      <w:proofErr w:type="gramStart"/>
      <w:r>
        <w:rPr>
          <w:shd w:val="clear" w:color="auto" w:fill="FFFFFF"/>
          <w:lang w:val="en-GB"/>
        </w:rPr>
        <w:t>were</w:t>
      </w:r>
      <w:proofErr w:type="gramEnd"/>
      <w:r>
        <w:rPr>
          <w:shd w:val="clear" w:color="auto" w:fill="FFFFFF"/>
          <w:lang w:val="en-GB"/>
        </w:rPr>
        <w:t xml:space="preserve"> feature films </w:t>
      </w:r>
      <w:r w:rsidR="00BF7DCA">
        <w:rPr>
          <w:shd w:val="clear" w:color="auto" w:fill="FFFFFF"/>
          <w:lang w:val="en-GB"/>
        </w:rPr>
        <w:t xml:space="preserve">which accounted for </w:t>
      </w:r>
      <w:r>
        <w:rPr>
          <w:shd w:val="clear" w:color="auto" w:fill="FFFFFF"/>
          <w:lang w:val="en-GB"/>
        </w:rPr>
        <w:t>75.9% of the total number of cinema and television feature films, while documentary films dominated among medium- and short-length films (72.9% of the total number of cinema and television medium- and short-length films).</w:t>
      </w:r>
    </w:p>
    <w:p w14:paraId="4E1772AF" w14:textId="02FD97FD" w:rsidR="002A5D4C" w:rsidRDefault="009A27A9" w:rsidP="00F51F81">
      <w:pPr>
        <w:pStyle w:val="Tytuwykresu0"/>
        <w:keepNext w:val="0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anchor distT="0" distB="0" distL="114300" distR="114300" simplePos="0" relativeHeight="251808768" behindDoc="0" locked="0" layoutInCell="1" allowOverlap="1" wp14:anchorId="2EE05D6B" wp14:editId="1E8BF64C">
            <wp:simplePos x="0" y="0"/>
            <wp:positionH relativeFrom="margin">
              <wp:align>left</wp:align>
            </wp:positionH>
            <wp:positionV relativeFrom="paragraph">
              <wp:posOffset>355524</wp:posOffset>
            </wp:positionV>
            <wp:extent cx="5126990" cy="1444625"/>
            <wp:effectExtent l="0" t="0" r="0" b="3175"/>
            <wp:wrapTopAndBottom/>
            <wp:docPr id="8" name="Obraz 8" descr="Chart 3. Bar chart presenting the structure of films by type in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162A">
        <w:rPr>
          <w:rFonts w:ascii="Fira Sans" w:hAnsi="Fira Sans"/>
          <w:lang w:val="en-GB"/>
        </w:rPr>
        <w:t>Chart 3. The structure of films by type in 2022</w:t>
      </w:r>
    </w:p>
    <w:p w14:paraId="48110BD0" w14:textId="77777777" w:rsidR="007762FA" w:rsidRPr="00FA47D4" w:rsidRDefault="007762FA" w:rsidP="00721390">
      <w:pPr>
        <w:suppressAutoHyphens/>
        <w:spacing w:before="1560" w:line="288" w:lineRule="auto"/>
        <w:rPr>
          <w:sz w:val="18"/>
          <w:lang w:val="en-GB"/>
        </w:rPr>
        <w:sectPr w:rsidR="007762FA" w:rsidRPr="00FA47D4" w:rsidSect="003B18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A47D4">
        <w:rPr>
          <w:shd w:val="clear" w:color="auto" w:fill="FFFFFF"/>
          <w:lang w:val="en-GB"/>
        </w:rPr>
        <w:t xml:space="preserve">In </w:t>
      </w:r>
      <w:r w:rsidRPr="00FA47D4">
        <w:rPr>
          <w:spacing w:val="-2"/>
          <w:szCs w:val="19"/>
          <w:lang w:val="en-GB" w:eastAsia="pl-PL"/>
        </w:rPr>
        <w:t>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863791" w:rsidRPr="00FA47D4" w14:paraId="58BEDCB7" w14:textId="77777777" w:rsidTr="00412D3F">
        <w:trPr>
          <w:cantSplit/>
          <w:trHeight w:val="1626"/>
        </w:trPr>
        <w:tc>
          <w:tcPr>
            <w:tcW w:w="4926" w:type="dxa"/>
          </w:tcPr>
          <w:p w14:paraId="498780DE" w14:textId="77777777" w:rsidR="00A56D33" w:rsidRPr="00FA47D4" w:rsidRDefault="00A56D33" w:rsidP="00A56D33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lastRenderedPageBreak/>
              <w:t>Prepared by:</w:t>
            </w:r>
          </w:p>
          <w:p w14:paraId="6E679E13" w14:textId="77777777" w:rsidR="00A56D33" w:rsidRPr="00FA47D4" w:rsidRDefault="00A56D33" w:rsidP="00A56D3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A47D4">
              <w:rPr>
                <w:b/>
                <w:bCs/>
                <w:sz w:val="20"/>
                <w:szCs w:val="20"/>
                <w:lang w:val="en-GB"/>
              </w:rPr>
              <w:t>Statistical Office in Kraków</w:t>
            </w:r>
          </w:p>
          <w:p w14:paraId="182823C2" w14:textId="77777777" w:rsidR="00A56D33" w:rsidRPr="00FA47D4" w:rsidRDefault="00A56D33" w:rsidP="00A56D33">
            <w:pPr>
              <w:rPr>
                <w:sz w:val="20"/>
                <w:szCs w:val="20"/>
                <w:lang w:val="en-GB"/>
              </w:rPr>
            </w:pPr>
          </w:p>
          <w:p w14:paraId="56F08FD5" w14:textId="77777777" w:rsidR="00A56D33" w:rsidRPr="00FA47D4" w:rsidRDefault="00A56D33" w:rsidP="00A56D33">
            <w:pPr>
              <w:rPr>
                <w:b/>
                <w:bCs/>
                <w:sz w:val="20"/>
                <w:szCs w:val="20"/>
                <w:lang w:val="en-GB"/>
              </w:rPr>
            </w:pPr>
            <w:r w:rsidRPr="00FA47D4">
              <w:rPr>
                <w:b/>
                <w:bCs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FA47D4">
              <w:rPr>
                <w:b/>
                <w:bCs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3A0D79EC" w14:textId="1C63D2DE" w:rsidR="00863791" w:rsidRPr="00FA47D4" w:rsidRDefault="00A56D33" w:rsidP="00A56D33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t>Office: tel. (+48 22) 420 40 50</w:t>
            </w:r>
          </w:p>
        </w:tc>
        <w:tc>
          <w:tcPr>
            <w:tcW w:w="4927" w:type="dxa"/>
          </w:tcPr>
          <w:p w14:paraId="75566D87" w14:textId="77777777" w:rsidR="00A56D33" w:rsidRPr="00FA47D4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FA47D4">
              <w:rPr>
                <w:rFonts w:cs="Arial"/>
                <w:bCs/>
                <w:sz w:val="20"/>
                <w:lang w:val="en-GB"/>
              </w:rPr>
              <w:t>Issued by:</w:t>
            </w:r>
          </w:p>
          <w:p w14:paraId="0FB4C0C4" w14:textId="77777777" w:rsidR="00A56D33" w:rsidRPr="00FA47D4" w:rsidRDefault="00A56D33" w:rsidP="00A56D33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FA47D4">
              <w:rPr>
                <w:rFonts w:cs="Arial"/>
                <w:b/>
                <w:sz w:val="20"/>
                <w:lang w:val="en-GB"/>
              </w:rPr>
              <w:t>The Spokesperson for the President of Statistics Poland</w:t>
            </w:r>
          </w:p>
          <w:p w14:paraId="2453E843" w14:textId="77777777" w:rsidR="00A56D33" w:rsidRPr="00FA47D4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</w:p>
          <w:p w14:paraId="420209A3" w14:textId="77777777" w:rsidR="00A56D33" w:rsidRPr="00FA47D4" w:rsidRDefault="00A56D33" w:rsidP="00A56D33">
            <w:pPr>
              <w:spacing w:before="0" w:line="288" w:lineRule="auto"/>
              <w:rPr>
                <w:rFonts w:cs="Arial"/>
                <w:b/>
                <w:sz w:val="20"/>
                <w:lang w:val="en-GB"/>
              </w:rPr>
            </w:pPr>
            <w:r w:rsidRPr="00FA47D4">
              <w:rPr>
                <w:rFonts w:cs="Arial"/>
                <w:b/>
                <w:sz w:val="20"/>
                <w:lang w:val="en-GB"/>
              </w:rPr>
              <w:t xml:space="preserve">Karolina </w:t>
            </w:r>
            <w:proofErr w:type="spellStart"/>
            <w:r w:rsidRPr="00FA47D4">
              <w:rPr>
                <w:rFonts w:cs="Arial"/>
                <w:b/>
                <w:sz w:val="20"/>
                <w:lang w:val="en-GB"/>
              </w:rPr>
              <w:t>Banaszek</w:t>
            </w:r>
            <w:proofErr w:type="spellEnd"/>
          </w:p>
          <w:p w14:paraId="08CBA38D" w14:textId="5A3AC9FD" w:rsidR="00863791" w:rsidRPr="00FA47D4" w:rsidRDefault="00A56D33" w:rsidP="00A56D33">
            <w:pPr>
              <w:spacing w:before="0" w:line="288" w:lineRule="auto"/>
              <w:rPr>
                <w:rFonts w:cs="Arial"/>
                <w:bCs/>
                <w:sz w:val="20"/>
                <w:lang w:val="en-GB"/>
              </w:rPr>
            </w:pPr>
            <w:r w:rsidRPr="00FA47D4">
              <w:rPr>
                <w:rFonts w:cs="Arial"/>
                <w:bCs/>
                <w:sz w:val="20"/>
                <w:lang w:val="en-GB"/>
              </w:rPr>
              <w:t>Mobile: (+48) 695 255 011</w:t>
            </w:r>
          </w:p>
          <w:p w14:paraId="074E0FC0" w14:textId="77777777" w:rsidR="00863791" w:rsidRPr="00FA47D4" w:rsidRDefault="00863791" w:rsidP="00412D3F">
            <w:pPr>
              <w:rPr>
                <w:sz w:val="18"/>
                <w:lang w:val="en-GB"/>
              </w:rPr>
            </w:pPr>
          </w:p>
        </w:tc>
      </w:tr>
      <w:tr w:rsidR="00863791" w:rsidRPr="00FA47D4" w14:paraId="7A532510" w14:textId="77777777" w:rsidTr="00412D3F">
        <w:trPr>
          <w:cantSplit/>
          <w:trHeight w:val="418"/>
        </w:trPr>
        <w:tc>
          <w:tcPr>
            <w:tcW w:w="4926" w:type="dxa"/>
            <w:vMerge w:val="restart"/>
          </w:tcPr>
          <w:p w14:paraId="6D4EC8BB" w14:textId="77777777" w:rsidR="00A56D33" w:rsidRPr="00FA47D4" w:rsidRDefault="00A56D33" w:rsidP="00A56D33">
            <w:pPr>
              <w:rPr>
                <w:b/>
                <w:sz w:val="20"/>
                <w:szCs w:val="20"/>
                <w:lang w:val="en-GB"/>
              </w:rPr>
            </w:pPr>
            <w:r w:rsidRPr="00FA47D4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0277999C" w14:textId="77777777" w:rsidR="00A56D33" w:rsidRPr="00FA47D4" w:rsidRDefault="00A56D33" w:rsidP="00A56D33">
            <w:pPr>
              <w:rPr>
                <w:sz w:val="20"/>
                <w:szCs w:val="20"/>
                <w:lang w:val="en-GB"/>
              </w:rPr>
            </w:pPr>
            <w:r w:rsidRPr="00FA47D4">
              <w:rPr>
                <w:sz w:val="20"/>
                <w:szCs w:val="20"/>
                <w:lang w:val="en-GB"/>
              </w:rPr>
              <w:t xml:space="preserve">Office: </w:t>
            </w:r>
            <w:proofErr w:type="spellStart"/>
            <w:r w:rsidRPr="00FA47D4">
              <w:rPr>
                <w:sz w:val="20"/>
                <w:szCs w:val="20"/>
                <w:lang w:val="en-GB"/>
              </w:rPr>
              <w:t>tel</w:t>
            </w:r>
            <w:proofErr w:type="spellEnd"/>
            <w:r w:rsidRPr="00FA47D4">
              <w:rPr>
                <w:sz w:val="20"/>
                <w:szCs w:val="20"/>
                <w:lang w:val="en-GB"/>
              </w:rPr>
              <w:t xml:space="preserve">: +48 22 608 38 04 </w:t>
            </w:r>
          </w:p>
          <w:p w14:paraId="414CA9E6" w14:textId="77777777" w:rsidR="00A56D33" w:rsidRPr="00FA47D4" w:rsidRDefault="00A56D33" w:rsidP="00A56D33">
            <w:pPr>
              <w:spacing w:before="0" w:line="288" w:lineRule="auto"/>
              <w:rPr>
                <w:sz w:val="20"/>
                <w:szCs w:val="20"/>
                <w:lang w:val="en-GB"/>
              </w:rPr>
            </w:pPr>
            <w:r w:rsidRPr="00FA47D4">
              <w:rPr>
                <w:b/>
                <w:sz w:val="20"/>
                <w:szCs w:val="20"/>
                <w:lang w:val="en-GB"/>
              </w:rPr>
              <w:t>e-mail:</w:t>
            </w:r>
            <w:r w:rsidRPr="00FA47D4">
              <w:rPr>
                <w:sz w:val="20"/>
                <w:szCs w:val="20"/>
                <w:lang w:val="en-GB"/>
              </w:rPr>
              <w:t xml:space="preserve"> </w:t>
            </w:r>
            <w:hyperlink r:id="rId21" w:history="1">
              <w:r w:rsidRPr="00FA47D4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  <w:p w14:paraId="7B8E4EC2" w14:textId="30920822" w:rsidR="00863791" w:rsidRPr="00FA47D4" w:rsidRDefault="00863791" w:rsidP="00412D3F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0C7472BA" w:rsidR="00863791" w:rsidRPr="00FA47D4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3589FC47" wp14:editId="4E8FD24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stat.gov.pl</w:t>
            </w:r>
            <w:r w:rsidR="00A56D33" w:rsidRPr="00FA47D4">
              <w:rPr>
                <w:sz w:val="20"/>
                <w:lang w:val="en-GB"/>
              </w:rPr>
              <w:t>/</w:t>
            </w:r>
            <w:proofErr w:type="spellStart"/>
            <w:r w:rsidR="00A56D33" w:rsidRPr="00FA47D4">
              <w:rPr>
                <w:sz w:val="20"/>
                <w:lang w:val="en-GB"/>
              </w:rPr>
              <w:t>en</w:t>
            </w:r>
            <w:proofErr w:type="spellEnd"/>
          </w:p>
        </w:tc>
      </w:tr>
      <w:tr w:rsidR="00863791" w:rsidRPr="00FA47D4" w14:paraId="4880347E" w14:textId="77777777" w:rsidTr="00412D3F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863791" w:rsidRPr="00FA47D4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1D2A13B" w14:textId="5551E5B9" w:rsidR="00863791" w:rsidRPr="00FA47D4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5C2E170E" wp14:editId="7E82F0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5" name="Obraz 25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@</w:t>
            </w:r>
            <w:proofErr w:type="spellStart"/>
            <w:r w:rsidR="00A56D33" w:rsidRPr="00FA47D4">
              <w:rPr>
                <w:sz w:val="20"/>
                <w:lang w:val="en-GB"/>
              </w:rPr>
              <w:t>StatPoland</w:t>
            </w:r>
            <w:proofErr w:type="spellEnd"/>
            <w:r w:rsidRPr="00FA47D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863791" w:rsidRPr="00FA47D4" w14:paraId="6244D3CC" w14:textId="77777777" w:rsidTr="00412D3F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863791" w:rsidRPr="00FA47D4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9B0E4C3" w14:textId="77777777" w:rsidR="00863791" w:rsidRPr="00FA47D4" w:rsidRDefault="00863791" w:rsidP="00412D3F">
            <w:pPr>
              <w:ind w:firstLine="680"/>
              <w:rPr>
                <w:sz w:val="18"/>
                <w:lang w:val="en-GB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3B41A5E7" wp14:editId="005B7C8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47D4">
              <w:rPr>
                <w:sz w:val="20"/>
                <w:lang w:val="en-GB"/>
              </w:rPr>
              <w:t>@</w:t>
            </w:r>
            <w:proofErr w:type="spellStart"/>
            <w:r w:rsidRPr="00FA47D4">
              <w:rPr>
                <w:sz w:val="20"/>
                <w:lang w:val="en-GB"/>
              </w:rPr>
              <w:t>GlownyUrzadStatystyczny</w:t>
            </w:r>
            <w:proofErr w:type="spellEnd"/>
            <w:r w:rsidRPr="00FA47D4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863791" w:rsidRPr="00FA47D4" w14:paraId="2008B9E7" w14:textId="77777777" w:rsidTr="00412D3F">
        <w:trPr>
          <w:cantSplit/>
          <w:trHeight w:val="426"/>
        </w:trPr>
        <w:tc>
          <w:tcPr>
            <w:tcW w:w="4926" w:type="dxa"/>
          </w:tcPr>
          <w:p w14:paraId="057E137A" w14:textId="77777777" w:rsidR="00863791" w:rsidRPr="00FA47D4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0BDE50B" w14:textId="77777777" w:rsidR="00863791" w:rsidRPr="00FA47D4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FB2A90C" wp14:editId="50C4FB1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47D4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863791" w:rsidRPr="00FA47D4" w14:paraId="17F3C851" w14:textId="77777777" w:rsidTr="00412D3F">
        <w:trPr>
          <w:cantSplit/>
          <w:trHeight w:val="504"/>
        </w:trPr>
        <w:tc>
          <w:tcPr>
            <w:tcW w:w="4926" w:type="dxa"/>
          </w:tcPr>
          <w:p w14:paraId="09D0A3C5" w14:textId="77777777" w:rsidR="00863791" w:rsidRPr="00FA47D4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4276FAB" w14:textId="77777777" w:rsidR="00863791" w:rsidRPr="00FA47D4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79B25C41" wp14:editId="2FE290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A47D4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863791" w:rsidRPr="00FA47D4" w14:paraId="7056FFE8" w14:textId="77777777" w:rsidTr="00412D3F">
        <w:trPr>
          <w:cantSplit/>
          <w:trHeight w:val="1546"/>
        </w:trPr>
        <w:tc>
          <w:tcPr>
            <w:tcW w:w="4926" w:type="dxa"/>
          </w:tcPr>
          <w:p w14:paraId="7E58930E" w14:textId="77777777" w:rsidR="00863791" w:rsidRPr="00FA47D4" w:rsidRDefault="00863791" w:rsidP="00412D3F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70E72CE" w14:textId="77777777" w:rsidR="00863791" w:rsidRPr="00FA47D4" w:rsidRDefault="00863791" w:rsidP="00412D3F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FA47D4">
              <w:rPr>
                <w:noProof/>
                <w:sz w:val="20"/>
                <w:lang w:val="en-GB" w:eastAsia="pl-PL"/>
              </w:rPr>
              <w:t>glownyurzadstatystyczny</w:t>
            </w:r>
            <w:r w:rsidRPr="00FA47D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2E2BAE70" wp14:editId="21DFCDD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63791" w:rsidRPr="00FA47D4" w14:paraId="4BF9499D" w14:textId="77777777" w:rsidTr="00412D3F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C8E8517" w14:textId="77777777" w:rsidR="00C66A05" w:rsidRPr="00FA47D4" w:rsidRDefault="00C66A05" w:rsidP="00C66A05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FA47D4">
              <w:rPr>
                <w:b/>
                <w:lang w:val="en-GB"/>
              </w:rPr>
              <w:t>Related information</w:t>
            </w:r>
          </w:p>
          <w:p w14:paraId="69769FF7" w14:textId="6971D45B" w:rsidR="00827142" w:rsidRPr="00FA47D4" w:rsidRDefault="000C3211" w:rsidP="00827142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8" w:tooltip="link to the publication &quot;Culture and national heritage in 2021&quot;" w:history="1">
              <w:r w:rsidR="00827142" w:rsidRPr="00FA47D4">
                <w:rPr>
                  <w:rStyle w:val="Hipercze"/>
                  <w:lang w:val="en-GB"/>
                </w:rPr>
                <w:t>Culture and national heritage in 2021</w:t>
              </w:r>
            </w:hyperlink>
          </w:p>
          <w:p w14:paraId="47711A97" w14:textId="63A39A26" w:rsidR="00C66A05" w:rsidRPr="00FA47D4" w:rsidRDefault="000C3211" w:rsidP="00827142">
            <w:pPr>
              <w:shd w:val="clear" w:color="auto" w:fill="D9D9D9" w:themeFill="background1" w:themeFillShade="D9"/>
              <w:rPr>
                <w:rStyle w:val="Hipercze"/>
                <w:lang w:val="en-GB"/>
              </w:rPr>
            </w:pPr>
            <w:hyperlink r:id="rId29" w:tooltip="link to publication &quot;Cinematography in 2021&quot;" w:history="1">
              <w:r w:rsidR="00212C8A" w:rsidRPr="00FA47D4">
                <w:rPr>
                  <w:rStyle w:val="Hipercze"/>
                  <w:lang w:val="en-GB"/>
                </w:rPr>
                <w:t>Cinematography in 2021</w:t>
              </w:r>
            </w:hyperlink>
          </w:p>
          <w:p w14:paraId="5915EDBE" w14:textId="77777777" w:rsidR="00C66A05" w:rsidRPr="00FA47D4" w:rsidRDefault="00C66A05" w:rsidP="00C66A05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FA47D4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0B4608FB" w14:textId="5B1198D9" w:rsidR="00212C8A" w:rsidRPr="00FA47D4" w:rsidRDefault="000C3211" w:rsidP="00212C8A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0" w:tooltip="link to term &quot;indoor cinema&quot;" w:history="1">
              <w:r w:rsidR="00212C8A" w:rsidRPr="00FA47D4">
                <w:rPr>
                  <w:rStyle w:val="Hipercze"/>
                  <w:lang w:val="en-GB"/>
                </w:rPr>
                <w:t>Indoor cinema</w:t>
              </w:r>
            </w:hyperlink>
          </w:p>
          <w:p w14:paraId="18D33358" w14:textId="4717430C" w:rsidR="00212C8A" w:rsidRPr="00FA47D4" w:rsidRDefault="000C3211" w:rsidP="00212C8A">
            <w:pPr>
              <w:shd w:val="clear" w:color="auto" w:fill="D9D9D9" w:themeFill="background1" w:themeFillShade="D9"/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erm &quot;audience&quot;" w:history="1">
              <w:r w:rsidR="00212C8A" w:rsidRPr="00FA47D4">
                <w:rPr>
                  <w:rStyle w:val="Hipercze"/>
                  <w:lang w:val="en-GB"/>
                </w:rPr>
                <w:t>Audience</w:t>
              </w:r>
            </w:hyperlink>
          </w:p>
          <w:p w14:paraId="68A2E35D" w14:textId="2680E2D6" w:rsidR="00863791" w:rsidRPr="00FA47D4" w:rsidRDefault="000C3211" w:rsidP="00212C8A">
            <w:pPr>
              <w:rPr>
                <w:rFonts w:cs="Times New Roman"/>
                <w:color w:val="0000FF"/>
                <w:u w:val="single"/>
                <w:lang w:val="en-GB"/>
              </w:rPr>
            </w:pPr>
            <w:hyperlink r:id="rId32" w:tooltip="link to term &quot;film&quot;" w:history="1">
              <w:r w:rsidR="00212C8A" w:rsidRPr="00FA47D4">
                <w:rPr>
                  <w:rStyle w:val="Hipercze"/>
                  <w:lang w:val="en-GB"/>
                </w:rPr>
                <w:t>Film</w:t>
              </w:r>
            </w:hyperlink>
          </w:p>
        </w:tc>
      </w:tr>
    </w:tbl>
    <w:p w14:paraId="7C19EFAE" w14:textId="1156A8A9" w:rsidR="00D261A2" w:rsidRPr="00FA47D4" w:rsidRDefault="00D261A2" w:rsidP="00863791">
      <w:pPr>
        <w:spacing w:before="0" w:after="0" w:line="276" w:lineRule="auto"/>
        <w:rPr>
          <w:sz w:val="18"/>
          <w:lang w:val="en-GB"/>
        </w:rPr>
      </w:pPr>
    </w:p>
    <w:sectPr w:rsidR="00D261A2" w:rsidRPr="00FA47D4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2DAA3" w14:textId="77777777" w:rsidR="000C3211" w:rsidRDefault="000C3211" w:rsidP="000662E2">
      <w:pPr>
        <w:spacing w:after="0" w:line="240" w:lineRule="auto"/>
      </w:pPr>
      <w:r>
        <w:separator/>
      </w:r>
    </w:p>
  </w:endnote>
  <w:endnote w:type="continuationSeparator" w:id="0">
    <w:p w14:paraId="0358848C" w14:textId="77777777" w:rsidR="000C3211" w:rsidRDefault="000C321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orbe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5473" w14:textId="77777777" w:rsidR="00040D97" w:rsidRDefault="00040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9568"/>
      <w:docPartObj>
        <w:docPartGallery w:val="Page Numbers (Bottom of Page)"/>
        <w:docPartUnique/>
      </w:docPartObj>
    </w:sdtPr>
    <w:sdtEndPr/>
    <w:sdtContent>
      <w:p w14:paraId="3F08A182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D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2508488"/>
      <w:docPartObj>
        <w:docPartGallery w:val="Page Numbers (Bottom of Page)"/>
        <w:docPartUnique/>
      </w:docPartObj>
    </w:sdtPr>
    <w:sdtEndPr/>
    <w:sdtContent>
      <w:p w14:paraId="14584E7D" w14:textId="77777777" w:rsidR="007762FA" w:rsidRDefault="007762F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D2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D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AAE67" w14:textId="77777777" w:rsidR="000C3211" w:rsidRDefault="000C3211" w:rsidP="000662E2">
      <w:pPr>
        <w:spacing w:after="0" w:line="240" w:lineRule="auto"/>
      </w:pPr>
      <w:r>
        <w:separator/>
      </w:r>
    </w:p>
  </w:footnote>
  <w:footnote w:type="continuationSeparator" w:id="0">
    <w:p w14:paraId="1DB3B9AB" w14:textId="77777777" w:rsidR="000C3211" w:rsidRDefault="000C321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CE45F" w14:textId="77777777" w:rsidR="00040D97" w:rsidRDefault="00040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AE39F" w14:textId="77777777" w:rsidR="007762FA" w:rsidRDefault="007762F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D7FC2A2" wp14:editId="295AB7C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5" name="Prostokąt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84C3E" id="Prostokąt 15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F061C" w14:textId="1F04F741" w:rsidR="007762FA" w:rsidRDefault="00A82936" w:rsidP="00627887">
    <w:pPr>
      <w:pStyle w:val="Nagwek"/>
      <w:spacing w:before="240" w:after="480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472533F" wp14:editId="5A2D997C">
              <wp:simplePos x="0" y="0"/>
              <wp:positionH relativeFrom="column">
                <wp:posOffset>5155454</wp:posOffset>
              </wp:positionH>
              <wp:positionV relativeFrom="paragraph">
                <wp:posOffset>535664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" name="Prostokąt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BFB883" id="Prostokąt 21" o:spid="_x0000_s1026" style="position:absolute;margin-left:405.95pt;margin-top:42.2pt;width:147.4pt;height:1803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7762FA">
      <w:rPr>
        <w:noProof/>
        <w:lang w:eastAsia="pl-PL"/>
      </w:rPr>
      <w:drawing>
        <wp:inline distT="0" distB="0" distL="0" distR="0" wp14:anchorId="184897DF" wp14:editId="33F70C4C">
          <wp:extent cx="1867489" cy="468000"/>
          <wp:effectExtent l="0" t="0" r="0" b="8255"/>
          <wp:docPr id="7" name="Obraz 7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762FA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279F819F" wp14:editId="5D4F19D7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7" name="Pole tekstowe 2" descr="Publication data 18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3FAD6" w14:textId="5C0431A1" w:rsidR="007762FA" w:rsidRPr="00A01B40" w:rsidRDefault="004E67C4" w:rsidP="0057332C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417461">
                            <w:t>8</w:t>
                          </w:r>
                          <w:r w:rsidR="007762FA">
                            <w:t>.0</w:t>
                          </w:r>
                          <w:r w:rsidR="002A5D4C">
                            <w:t>5</w:t>
                          </w:r>
                          <w:r w:rsidR="007762FA"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F81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a 18.05.2023" style="position:absolute;margin-left:416.6pt;margin-top:73.25pt;width:112.8pt;height:26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" filled="f" stroked="f">
              <v:textbox>
                <w:txbxContent>
                  <w:p w14:paraId="2103FAD6" w14:textId="5C0431A1" w:rsidR="007762FA" w:rsidRPr="00A01B40" w:rsidRDefault="004E67C4" w:rsidP="0057332C">
                    <w:pPr>
                      <w:pStyle w:val="Datainformacjisygnalnej"/>
                    </w:pPr>
                    <w:r>
                      <w:t>1</w:t>
                    </w:r>
                    <w:r w:rsidR="00417461">
                      <w:t>8</w:t>
                    </w:r>
                    <w:r w:rsidR="007762FA">
                      <w:t>.0</w:t>
                    </w:r>
                    <w:r w:rsidR="002A5D4C">
                      <w:t>5</w:t>
                    </w:r>
                    <w:r w:rsidR="007762FA">
                      <w:t>.2023</w:t>
                    </w:r>
                  </w:p>
                </w:txbxContent>
              </v:textbox>
            </v:shape>
          </w:pict>
        </mc:Fallback>
      </mc:AlternateContent>
    </w:r>
    <w:r w:rsidR="007762FA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6C365F1" wp14:editId="1D50D75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0B05B2" w14:textId="77777777" w:rsidR="007762FA" w:rsidRPr="003C6C8D" w:rsidRDefault="007762FA" w:rsidP="0000296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365F1" id="Schemat blokowy: opóźnienie 6" o:spid="_x0000_s1031" alt="News releases" style="position:absolute;margin-left:396.6pt;margin-top:15.65pt;width:162.25pt;height:28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GdUgYAACg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DKLxnVIGAAAo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50B05B2" w14:textId="77777777" w:rsidR="007762FA" w:rsidRPr="003C6C8D" w:rsidRDefault="007762FA" w:rsidP="0000296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E4E9" w14:textId="77777777" w:rsidR="00607CC5" w:rsidRDefault="00607CC5">
    <w:pPr>
      <w:pStyle w:val="Nagwek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05pt;height:130.05pt;visibility:visible;mso-wrap-style:square" o:bullet="t">
        <v:imagedata r:id="rId1" o:title=""/>
      </v:shape>
    </w:pict>
  </w:numPicBullet>
  <w:numPicBullet w:numPicBulletId="1">
    <w:pict>
      <v:shape id="_x0000_i1035" type="#_x0000_t75" style="width:122.5pt;height:130.0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4D"/>
    <w:rsid w:val="00001C5B"/>
    <w:rsid w:val="00002B65"/>
    <w:rsid w:val="00003437"/>
    <w:rsid w:val="00004119"/>
    <w:rsid w:val="00006639"/>
    <w:rsid w:val="00006843"/>
    <w:rsid w:val="0000709F"/>
    <w:rsid w:val="00010159"/>
    <w:rsid w:val="000108B8"/>
    <w:rsid w:val="00011984"/>
    <w:rsid w:val="00011A62"/>
    <w:rsid w:val="000134C6"/>
    <w:rsid w:val="000152F5"/>
    <w:rsid w:val="00017EE0"/>
    <w:rsid w:val="00021C39"/>
    <w:rsid w:val="00025AC2"/>
    <w:rsid w:val="00026804"/>
    <w:rsid w:val="000303D7"/>
    <w:rsid w:val="00040D97"/>
    <w:rsid w:val="00044667"/>
    <w:rsid w:val="0004582E"/>
    <w:rsid w:val="000470AA"/>
    <w:rsid w:val="0004788F"/>
    <w:rsid w:val="00054744"/>
    <w:rsid w:val="000564CC"/>
    <w:rsid w:val="00057CA1"/>
    <w:rsid w:val="0006380D"/>
    <w:rsid w:val="000647A9"/>
    <w:rsid w:val="000662E2"/>
    <w:rsid w:val="00066883"/>
    <w:rsid w:val="00071B39"/>
    <w:rsid w:val="000725A9"/>
    <w:rsid w:val="0007265D"/>
    <w:rsid w:val="0007301F"/>
    <w:rsid w:val="00074DD8"/>
    <w:rsid w:val="00075742"/>
    <w:rsid w:val="00075759"/>
    <w:rsid w:val="000758EC"/>
    <w:rsid w:val="000806F7"/>
    <w:rsid w:val="00080C64"/>
    <w:rsid w:val="0008656F"/>
    <w:rsid w:val="00086906"/>
    <w:rsid w:val="00092305"/>
    <w:rsid w:val="00097840"/>
    <w:rsid w:val="000A16D8"/>
    <w:rsid w:val="000A7BED"/>
    <w:rsid w:val="000A7C30"/>
    <w:rsid w:val="000B0727"/>
    <w:rsid w:val="000B19C5"/>
    <w:rsid w:val="000B323E"/>
    <w:rsid w:val="000B3F66"/>
    <w:rsid w:val="000B3F99"/>
    <w:rsid w:val="000C135D"/>
    <w:rsid w:val="000C3211"/>
    <w:rsid w:val="000C4742"/>
    <w:rsid w:val="000C4C2E"/>
    <w:rsid w:val="000D1D43"/>
    <w:rsid w:val="000D225C"/>
    <w:rsid w:val="000D2A5C"/>
    <w:rsid w:val="000D2F00"/>
    <w:rsid w:val="000D39F0"/>
    <w:rsid w:val="000D7E5C"/>
    <w:rsid w:val="000E0918"/>
    <w:rsid w:val="000E7199"/>
    <w:rsid w:val="000E7901"/>
    <w:rsid w:val="000E79A9"/>
    <w:rsid w:val="000F2E7E"/>
    <w:rsid w:val="001011C3"/>
    <w:rsid w:val="00102CD1"/>
    <w:rsid w:val="00106DA3"/>
    <w:rsid w:val="00107A55"/>
    <w:rsid w:val="00110214"/>
    <w:rsid w:val="00110D87"/>
    <w:rsid w:val="00112399"/>
    <w:rsid w:val="00114DB9"/>
    <w:rsid w:val="00116087"/>
    <w:rsid w:val="00117711"/>
    <w:rsid w:val="00122E88"/>
    <w:rsid w:val="00123C9E"/>
    <w:rsid w:val="00124153"/>
    <w:rsid w:val="00125525"/>
    <w:rsid w:val="00130296"/>
    <w:rsid w:val="00131443"/>
    <w:rsid w:val="0013205B"/>
    <w:rsid w:val="00134145"/>
    <w:rsid w:val="00136736"/>
    <w:rsid w:val="00136D67"/>
    <w:rsid w:val="001423B6"/>
    <w:rsid w:val="00143957"/>
    <w:rsid w:val="001448A7"/>
    <w:rsid w:val="00146621"/>
    <w:rsid w:val="00151077"/>
    <w:rsid w:val="00153446"/>
    <w:rsid w:val="00156EC0"/>
    <w:rsid w:val="001617E3"/>
    <w:rsid w:val="00162325"/>
    <w:rsid w:val="00163D43"/>
    <w:rsid w:val="00172B95"/>
    <w:rsid w:val="00174A1D"/>
    <w:rsid w:val="00180822"/>
    <w:rsid w:val="00193AA0"/>
    <w:rsid w:val="001951DA"/>
    <w:rsid w:val="00197D40"/>
    <w:rsid w:val="001B011C"/>
    <w:rsid w:val="001B053D"/>
    <w:rsid w:val="001B313A"/>
    <w:rsid w:val="001B52E0"/>
    <w:rsid w:val="001C147B"/>
    <w:rsid w:val="001C3269"/>
    <w:rsid w:val="001D19B6"/>
    <w:rsid w:val="001D1C78"/>
    <w:rsid w:val="001D1DB4"/>
    <w:rsid w:val="001D23F1"/>
    <w:rsid w:val="001D25F9"/>
    <w:rsid w:val="001D2EEB"/>
    <w:rsid w:val="001D4695"/>
    <w:rsid w:val="001D61ED"/>
    <w:rsid w:val="001E0386"/>
    <w:rsid w:val="001E0B4B"/>
    <w:rsid w:val="001E5B2D"/>
    <w:rsid w:val="001E612E"/>
    <w:rsid w:val="001E6AF8"/>
    <w:rsid w:val="001F1ADC"/>
    <w:rsid w:val="001F4ABF"/>
    <w:rsid w:val="001F770C"/>
    <w:rsid w:val="00200D3A"/>
    <w:rsid w:val="0020156C"/>
    <w:rsid w:val="00203905"/>
    <w:rsid w:val="00212C8A"/>
    <w:rsid w:val="002130F5"/>
    <w:rsid w:val="00213AEF"/>
    <w:rsid w:val="002153B1"/>
    <w:rsid w:val="00216634"/>
    <w:rsid w:val="00217196"/>
    <w:rsid w:val="002200E0"/>
    <w:rsid w:val="002214CE"/>
    <w:rsid w:val="002239FF"/>
    <w:rsid w:val="00226513"/>
    <w:rsid w:val="00231082"/>
    <w:rsid w:val="00231B77"/>
    <w:rsid w:val="0023674F"/>
    <w:rsid w:val="00241963"/>
    <w:rsid w:val="00241FA7"/>
    <w:rsid w:val="00242D31"/>
    <w:rsid w:val="00243E07"/>
    <w:rsid w:val="002442BD"/>
    <w:rsid w:val="00247B69"/>
    <w:rsid w:val="00253348"/>
    <w:rsid w:val="0025481E"/>
    <w:rsid w:val="002574F9"/>
    <w:rsid w:val="00260894"/>
    <w:rsid w:val="00262B61"/>
    <w:rsid w:val="00262CC6"/>
    <w:rsid w:val="00263E08"/>
    <w:rsid w:val="002669F1"/>
    <w:rsid w:val="00266DDB"/>
    <w:rsid w:val="0027180D"/>
    <w:rsid w:val="00271D23"/>
    <w:rsid w:val="00272C59"/>
    <w:rsid w:val="00276811"/>
    <w:rsid w:val="00280BDF"/>
    <w:rsid w:val="00282699"/>
    <w:rsid w:val="00285253"/>
    <w:rsid w:val="00286680"/>
    <w:rsid w:val="00290A7E"/>
    <w:rsid w:val="002926DF"/>
    <w:rsid w:val="00296697"/>
    <w:rsid w:val="00297B38"/>
    <w:rsid w:val="002A2E23"/>
    <w:rsid w:val="002A471E"/>
    <w:rsid w:val="002A5D4C"/>
    <w:rsid w:val="002A655D"/>
    <w:rsid w:val="002B0472"/>
    <w:rsid w:val="002B3C0D"/>
    <w:rsid w:val="002B3CE8"/>
    <w:rsid w:val="002B6282"/>
    <w:rsid w:val="002B6B12"/>
    <w:rsid w:val="002C157F"/>
    <w:rsid w:val="002C21F0"/>
    <w:rsid w:val="002C3E5F"/>
    <w:rsid w:val="002C4469"/>
    <w:rsid w:val="002C70F6"/>
    <w:rsid w:val="002D01DF"/>
    <w:rsid w:val="002D2B89"/>
    <w:rsid w:val="002D30C7"/>
    <w:rsid w:val="002D6769"/>
    <w:rsid w:val="002E1608"/>
    <w:rsid w:val="002E175E"/>
    <w:rsid w:val="002E229C"/>
    <w:rsid w:val="002E386D"/>
    <w:rsid w:val="002E3EB3"/>
    <w:rsid w:val="002E4DAD"/>
    <w:rsid w:val="002E6140"/>
    <w:rsid w:val="002E6985"/>
    <w:rsid w:val="002E71B6"/>
    <w:rsid w:val="002F1645"/>
    <w:rsid w:val="002F35F6"/>
    <w:rsid w:val="002F44E9"/>
    <w:rsid w:val="002F77C8"/>
    <w:rsid w:val="00302A3F"/>
    <w:rsid w:val="00304F22"/>
    <w:rsid w:val="00306C7C"/>
    <w:rsid w:val="0031107D"/>
    <w:rsid w:val="00314F86"/>
    <w:rsid w:val="00315802"/>
    <w:rsid w:val="00315FB4"/>
    <w:rsid w:val="00317F4D"/>
    <w:rsid w:val="00321B3E"/>
    <w:rsid w:val="00322EDD"/>
    <w:rsid w:val="00323407"/>
    <w:rsid w:val="003260BE"/>
    <w:rsid w:val="003309FA"/>
    <w:rsid w:val="00330D24"/>
    <w:rsid w:val="00332320"/>
    <w:rsid w:val="00335908"/>
    <w:rsid w:val="00342D75"/>
    <w:rsid w:val="0034484C"/>
    <w:rsid w:val="00347D72"/>
    <w:rsid w:val="003521FF"/>
    <w:rsid w:val="00352E86"/>
    <w:rsid w:val="00353F45"/>
    <w:rsid w:val="0035677A"/>
    <w:rsid w:val="00357611"/>
    <w:rsid w:val="0036229D"/>
    <w:rsid w:val="00362A9B"/>
    <w:rsid w:val="0036432A"/>
    <w:rsid w:val="00364AF9"/>
    <w:rsid w:val="00367237"/>
    <w:rsid w:val="0037077F"/>
    <w:rsid w:val="003718CD"/>
    <w:rsid w:val="00372411"/>
    <w:rsid w:val="00373882"/>
    <w:rsid w:val="00377A43"/>
    <w:rsid w:val="003806A0"/>
    <w:rsid w:val="003843DB"/>
    <w:rsid w:val="00386015"/>
    <w:rsid w:val="0039064A"/>
    <w:rsid w:val="00390CE5"/>
    <w:rsid w:val="00393761"/>
    <w:rsid w:val="003946F9"/>
    <w:rsid w:val="00394E26"/>
    <w:rsid w:val="00396691"/>
    <w:rsid w:val="00397D18"/>
    <w:rsid w:val="003A1B36"/>
    <w:rsid w:val="003A2B07"/>
    <w:rsid w:val="003B1454"/>
    <w:rsid w:val="003B18B6"/>
    <w:rsid w:val="003B3863"/>
    <w:rsid w:val="003B3D7D"/>
    <w:rsid w:val="003B54B6"/>
    <w:rsid w:val="003B668D"/>
    <w:rsid w:val="003C025A"/>
    <w:rsid w:val="003C161B"/>
    <w:rsid w:val="003C430B"/>
    <w:rsid w:val="003C59E0"/>
    <w:rsid w:val="003C5CC0"/>
    <w:rsid w:val="003C6C8D"/>
    <w:rsid w:val="003C75B2"/>
    <w:rsid w:val="003D2656"/>
    <w:rsid w:val="003D4F95"/>
    <w:rsid w:val="003D56AF"/>
    <w:rsid w:val="003D5F42"/>
    <w:rsid w:val="003D60A9"/>
    <w:rsid w:val="003E0F30"/>
    <w:rsid w:val="003E16FF"/>
    <w:rsid w:val="003E76F6"/>
    <w:rsid w:val="003F3525"/>
    <w:rsid w:val="003F3FFD"/>
    <w:rsid w:val="003F458E"/>
    <w:rsid w:val="003F4C97"/>
    <w:rsid w:val="003F5475"/>
    <w:rsid w:val="003F666D"/>
    <w:rsid w:val="003F7FE6"/>
    <w:rsid w:val="00400193"/>
    <w:rsid w:val="0040084E"/>
    <w:rsid w:val="00401D2E"/>
    <w:rsid w:val="00403EAE"/>
    <w:rsid w:val="00404EA3"/>
    <w:rsid w:val="00410F71"/>
    <w:rsid w:val="00411A97"/>
    <w:rsid w:val="00414903"/>
    <w:rsid w:val="00416EAF"/>
    <w:rsid w:val="00417461"/>
    <w:rsid w:val="00420219"/>
    <w:rsid w:val="004212E7"/>
    <w:rsid w:val="00423C88"/>
    <w:rsid w:val="0042403F"/>
    <w:rsid w:val="0042446D"/>
    <w:rsid w:val="004267AC"/>
    <w:rsid w:val="00427BF8"/>
    <w:rsid w:val="00431BF5"/>
    <w:rsid w:val="00431C02"/>
    <w:rsid w:val="00434FE7"/>
    <w:rsid w:val="00437395"/>
    <w:rsid w:val="00441DCD"/>
    <w:rsid w:val="004442D0"/>
    <w:rsid w:val="00444D37"/>
    <w:rsid w:val="00445047"/>
    <w:rsid w:val="00445AA3"/>
    <w:rsid w:val="00446749"/>
    <w:rsid w:val="00446D34"/>
    <w:rsid w:val="004528E0"/>
    <w:rsid w:val="00453672"/>
    <w:rsid w:val="00453EB7"/>
    <w:rsid w:val="00457427"/>
    <w:rsid w:val="00463E39"/>
    <w:rsid w:val="004657FC"/>
    <w:rsid w:val="00466A99"/>
    <w:rsid w:val="004733F6"/>
    <w:rsid w:val="00473557"/>
    <w:rsid w:val="00474E69"/>
    <w:rsid w:val="0048136E"/>
    <w:rsid w:val="00481DCB"/>
    <w:rsid w:val="00483E9F"/>
    <w:rsid w:val="00485759"/>
    <w:rsid w:val="00485A2C"/>
    <w:rsid w:val="00491E76"/>
    <w:rsid w:val="0049246F"/>
    <w:rsid w:val="00492DD5"/>
    <w:rsid w:val="0049621B"/>
    <w:rsid w:val="004A1D19"/>
    <w:rsid w:val="004A28E4"/>
    <w:rsid w:val="004A399C"/>
    <w:rsid w:val="004B0408"/>
    <w:rsid w:val="004B56CA"/>
    <w:rsid w:val="004B678F"/>
    <w:rsid w:val="004B6CDA"/>
    <w:rsid w:val="004C1895"/>
    <w:rsid w:val="004C1D0E"/>
    <w:rsid w:val="004C6D40"/>
    <w:rsid w:val="004C7FB6"/>
    <w:rsid w:val="004D004E"/>
    <w:rsid w:val="004D06EF"/>
    <w:rsid w:val="004E28B4"/>
    <w:rsid w:val="004E67C4"/>
    <w:rsid w:val="004E6AA8"/>
    <w:rsid w:val="004F0C3C"/>
    <w:rsid w:val="004F2280"/>
    <w:rsid w:val="004F23BB"/>
    <w:rsid w:val="004F63FC"/>
    <w:rsid w:val="0050328A"/>
    <w:rsid w:val="00505A92"/>
    <w:rsid w:val="005067F2"/>
    <w:rsid w:val="00511823"/>
    <w:rsid w:val="00511E14"/>
    <w:rsid w:val="00513768"/>
    <w:rsid w:val="00513C95"/>
    <w:rsid w:val="005203F1"/>
    <w:rsid w:val="00521BC3"/>
    <w:rsid w:val="0052286B"/>
    <w:rsid w:val="005232C7"/>
    <w:rsid w:val="005233CF"/>
    <w:rsid w:val="005244EC"/>
    <w:rsid w:val="0052656C"/>
    <w:rsid w:val="00531FB0"/>
    <w:rsid w:val="00533632"/>
    <w:rsid w:val="00534013"/>
    <w:rsid w:val="00535CD1"/>
    <w:rsid w:val="005361AE"/>
    <w:rsid w:val="00540C5C"/>
    <w:rsid w:val="00541E6E"/>
    <w:rsid w:val="00542252"/>
    <w:rsid w:val="0054251F"/>
    <w:rsid w:val="00543DA2"/>
    <w:rsid w:val="00550234"/>
    <w:rsid w:val="00551392"/>
    <w:rsid w:val="005520D8"/>
    <w:rsid w:val="005520F3"/>
    <w:rsid w:val="00555CFB"/>
    <w:rsid w:val="00556CF1"/>
    <w:rsid w:val="00556DCC"/>
    <w:rsid w:val="00564EB9"/>
    <w:rsid w:val="0057109D"/>
    <w:rsid w:val="0057289C"/>
    <w:rsid w:val="0057332C"/>
    <w:rsid w:val="00573991"/>
    <w:rsid w:val="005762A7"/>
    <w:rsid w:val="00576EBF"/>
    <w:rsid w:val="00587CEE"/>
    <w:rsid w:val="00590015"/>
    <w:rsid w:val="005916D7"/>
    <w:rsid w:val="00593C33"/>
    <w:rsid w:val="0059427F"/>
    <w:rsid w:val="0059603E"/>
    <w:rsid w:val="00596AC4"/>
    <w:rsid w:val="0059780C"/>
    <w:rsid w:val="005A0E54"/>
    <w:rsid w:val="005A698C"/>
    <w:rsid w:val="005B1F61"/>
    <w:rsid w:val="005B26E9"/>
    <w:rsid w:val="005B538E"/>
    <w:rsid w:val="005B5488"/>
    <w:rsid w:val="005B5788"/>
    <w:rsid w:val="005B5820"/>
    <w:rsid w:val="005C0CAC"/>
    <w:rsid w:val="005C1525"/>
    <w:rsid w:val="005D062E"/>
    <w:rsid w:val="005D1394"/>
    <w:rsid w:val="005D1A32"/>
    <w:rsid w:val="005D1CDA"/>
    <w:rsid w:val="005D3C7C"/>
    <w:rsid w:val="005D564A"/>
    <w:rsid w:val="005D6955"/>
    <w:rsid w:val="005E0799"/>
    <w:rsid w:val="005E10F9"/>
    <w:rsid w:val="005E1200"/>
    <w:rsid w:val="005E1389"/>
    <w:rsid w:val="005E2CC7"/>
    <w:rsid w:val="005E3FC8"/>
    <w:rsid w:val="005F45EE"/>
    <w:rsid w:val="005F4A8B"/>
    <w:rsid w:val="005F5A80"/>
    <w:rsid w:val="006044FF"/>
    <w:rsid w:val="00607CC5"/>
    <w:rsid w:val="0061179B"/>
    <w:rsid w:val="006125F9"/>
    <w:rsid w:val="00620D6C"/>
    <w:rsid w:val="006254CD"/>
    <w:rsid w:val="00627887"/>
    <w:rsid w:val="00631847"/>
    <w:rsid w:val="00633014"/>
    <w:rsid w:val="0063437B"/>
    <w:rsid w:val="00636E2C"/>
    <w:rsid w:val="0064017E"/>
    <w:rsid w:val="00643272"/>
    <w:rsid w:val="00645703"/>
    <w:rsid w:val="006523BA"/>
    <w:rsid w:val="0065267F"/>
    <w:rsid w:val="006530C5"/>
    <w:rsid w:val="00654BB6"/>
    <w:rsid w:val="00664FFB"/>
    <w:rsid w:val="00666100"/>
    <w:rsid w:val="006673CA"/>
    <w:rsid w:val="00670C24"/>
    <w:rsid w:val="00671156"/>
    <w:rsid w:val="00673C26"/>
    <w:rsid w:val="00674DE5"/>
    <w:rsid w:val="006764FF"/>
    <w:rsid w:val="00677ACA"/>
    <w:rsid w:val="006812AF"/>
    <w:rsid w:val="0068327D"/>
    <w:rsid w:val="00687523"/>
    <w:rsid w:val="00691534"/>
    <w:rsid w:val="0069194C"/>
    <w:rsid w:val="00693880"/>
    <w:rsid w:val="00694493"/>
    <w:rsid w:val="00694AF0"/>
    <w:rsid w:val="0069552C"/>
    <w:rsid w:val="00695A5C"/>
    <w:rsid w:val="006A2932"/>
    <w:rsid w:val="006A4686"/>
    <w:rsid w:val="006A472D"/>
    <w:rsid w:val="006A53B2"/>
    <w:rsid w:val="006A5DC0"/>
    <w:rsid w:val="006B0E9E"/>
    <w:rsid w:val="006B486D"/>
    <w:rsid w:val="006B5AE4"/>
    <w:rsid w:val="006B5B9D"/>
    <w:rsid w:val="006C10E2"/>
    <w:rsid w:val="006C1B76"/>
    <w:rsid w:val="006C67D6"/>
    <w:rsid w:val="006D1507"/>
    <w:rsid w:val="006D167E"/>
    <w:rsid w:val="006D4054"/>
    <w:rsid w:val="006D4224"/>
    <w:rsid w:val="006D74F0"/>
    <w:rsid w:val="006E02EC"/>
    <w:rsid w:val="006E1229"/>
    <w:rsid w:val="006E3371"/>
    <w:rsid w:val="006E3C4F"/>
    <w:rsid w:val="006E5DA5"/>
    <w:rsid w:val="006E6F41"/>
    <w:rsid w:val="006E73E6"/>
    <w:rsid w:val="006F0F11"/>
    <w:rsid w:val="006F1F24"/>
    <w:rsid w:val="006F7BE1"/>
    <w:rsid w:val="00701680"/>
    <w:rsid w:val="0070216F"/>
    <w:rsid w:val="00705D19"/>
    <w:rsid w:val="00710F28"/>
    <w:rsid w:val="007211B1"/>
    <w:rsid w:val="00721390"/>
    <w:rsid w:val="00727559"/>
    <w:rsid w:val="007277DA"/>
    <w:rsid w:val="00730795"/>
    <w:rsid w:val="00730AB3"/>
    <w:rsid w:val="00731BEB"/>
    <w:rsid w:val="00731D27"/>
    <w:rsid w:val="007346B2"/>
    <w:rsid w:val="00737525"/>
    <w:rsid w:val="007424B6"/>
    <w:rsid w:val="007440C6"/>
    <w:rsid w:val="00746187"/>
    <w:rsid w:val="00746814"/>
    <w:rsid w:val="00746B84"/>
    <w:rsid w:val="007500BD"/>
    <w:rsid w:val="00750AB8"/>
    <w:rsid w:val="00751277"/>
    <w:rsid w:val="00754D5D"/>
    <w:rsid w:val="00755481"/>
    <w:rsid w:val="0076254F"/>
    <w:rsid w:val="0076383B"/>
    <w:rsid w:val="00766EE4"/>
    <w:rsid w:val="0077121F"/>
    <w:rsid w:val="00772293"/>
    <w:rsid w:val="0077314A"/>
    <w:rsid w:val="00774668"/>
    <w:rsid w:val="007762FA"/>
    <w:rsid w:val="007801F5"/>
    <w:rsid w:val="00783A20"/>
    <w:rsid w:val="00783CA4"/>
    <w:rsid w:val="007842FB"/>
    <w:rsid w:val="00784ECA"/>
    <w:rsid w:val="00785608"/>
    <w:rsid w:val="00786124"/>
    <w:rsid w:val="00790EC3"/>
    <w:rsid w:val="00792546"/>
    <w:rsid w:val="0079514B"/>
    <w:rsid w:val="00795252"/>
    <w:rsid w:val="00797434"/>
    <w:rsid w:val="007A2DC1"/>
    <w:rsid w:val="007A6717"/>
    <w:rsid w:val="007A6932"/>
    <w:rsid w:val="007B49E9"/>
    <w:rsid w:val="007C0389"/>
    <w:rsid w:val="007C065A"/>
    <w:rsid w:val="007D05A1"/>
    <w:rsid w:val="007D0869"/>
    <w:rsid w:val="007D14C4"/>
    <w:rsid w:val="007D1899"/>
    <w:rsid w:val="007D3319"/>
    <w:rsid w:val="007D335D"/>
    <w:rsid w:val="007D605C"/>
    <w:rsid w:val="007E00CB"/>
    <w:rsid w:val="007E03F6"/>
    <w:rsid w:val="007E3314"/>
    <w:rsid w:val="007E3514"/>
    <w:rsid w:val="007E4B03"/>
    <w:rsid w:val="007E59A0"/>
    <w:rsid w:val="007E6F11"/>
    <w:rsid w:val="007F0108"/>
    <w:rsid w:val="007F14B1"/>
    <w:rsid w:val="007F2BC9"/>
    <w:rsid w:val="007F324B"/>
    <w:rsid w:val="00800827"/>
    <w:rsid w:val="00805072"/>
    <w:rsid w:val="0080553C"/>
    <w:rsid w:val="00805B46"/>
    <w:rsid w:val="00805DB4"/>
    <w:rsid w:val="008066FE"/>
    <w:rsid w:val="008077CE"/>
    <w:rsid w:val="00810599"/>
    <w:rsid w:val="008170A6"/>
    <w:rsid w:val="00817DDF"/>
    <w:rsid w:val="00821B53"/>
    <w:rsid w:val="00822E90"/>
    <w:rsid w:val="00823593"/>
    <w:rsid w:val="00825DC2"/>
    <w:rsid w:val="00827142"/>
    <w:rsid w:val="00834AD3"/>
    <w:rsid w:val="00843795"/>
    <w:rsid w:val="00843F2E"/>
    <w:rsid w:val="00846E76"/>
    <w:rsid w:val="00847F0F"/>
    <w:rsid w:val="00850FAD"/>
    <w:rsid w:val="00851428"/>
    <w:rsid w:val="00852448"/>
    <w:rsid w:val="008529EF"/>
    <w:rsid w:val="00863791"/>
    <w:rsid w:val="008641DA"/>
    <w:rsid w:val="00870FA8"/>
    <w:rsid w:val="00873E14"/>
    <w:rsid w:val="00877F6C"/>
    <w:rsid w:val="0088258A"/>
    <w:rsid w:val="00886332"/>
    <w:rsid w:val="008867DC"/>
    <w:rsid w:val="00887A8A"/>
    <w:rsid w:val="008911E2"/>
    <w:rsid w:val="008925F0"/>
    <w:rsid w:val="00893E27"/>
    <w:rsid w:val="0089448A"/>
    <w:rsid w:val="00896D9D"/>
    <w:rsid w:val="00897115"/>
    <w:rsid w:val="00897877"/>
    <w:rsid w:val="00897922"/>
    <w:rsid w:val="008A26D9"/>
    <w:rsid w:val="008A47B0"/>
    <w:rsid w:val="008A4B6E"/>
    <w:rsid w:val="008A5C1E"/>
    <w:rsid w:val="008A79F1"/>
    <w:rsid w:val="008A7B5B"/>
    <w:rsid w:val="008B12D2"/>
    <w:rsid w:val="008B48F3"/>
    <w:rsid w:val="008C0C29"/>
    <w:rsid w:val="008C77F9"/>
    <w:rsid w:val="008C7F39"/>
    <w:rsid w:val="008D02DA"/>
    <w:rsid w:val="008D6BC2"/>
    <w:rsid w:val="008D754D"/>
    <w:rsid w:val="008D76BC"/>
    <w:rsid w:val="008D79B2"/>
    <w:rsid w:val="008E0411"/>
    <w:rsid w:val="008E3275"/>
    <w:rsid w:val="008E7DBA"/>
    <w:rsid w:val="008F0829"/>
    <w:rsid w:val="008F3638"/>
    <w:rsid w:val="008F385A"/>
    <w:rsid w:val="008F4441"/>
    <w:rsid w:val="008F67D8"/>
    <w:rsid w:val="008F695A"/>
    <w:rsid w:val="008F6B20"/>
    <w:rsid w:val="008F6F31"/>
    <w:rsid w:val="008F74DF"/>
    <w:rsid w:val="00901EEA"/>
    <w:rsid w:val="00902274"/>
    <w:rsid w:val="00905935"/>
    <w:rsid w:val="0090684A"/>
    <w:rsid w:val="009104D4"/>
    <w:rsid w:val="00911ACF"/>
    <w:rsid w:val="009127BA"/>
    <w:rsid w:val="00916135"/>
    <w:rsid w:val="00920436"/>
    <w:rsid w:val="00920AAE"/>
    <w:rsid w:val="009227A6"/>
    <w:rsid w:val="00930880"/>
    <w:rsid w:val="00933EC1"/>
    <w:rsid w:val="00936CE3"/>
    <w:rsid w:val="009408B9"/>
    <w:rsid w:val="00940AE5"/>
    <w:rsid w:val="00941C34"/>
    <w:rsid w:val="009425C0"/>
    <w:rsid w:val="009446AD"/>
    <w:rsid w:val="0094749C"/>
    <w:rsid w:val="00950C92"/>
    <w:rsid w:val="0095206E"/>
    <w:rsid w:val="009530DB"/>
    <w:rsid w:val="00953676"/>
    <w:rsid w:val="00956B1E"/>
    <w:rsid w:val="00956F30"/>
    <w:rsid w:val="009611B4"/>
    <w:rsid w:val="00966C9A"/>
    <w:rsid w:val="009705EE"/>
    <w:rsid w:val="00974A54"/>
    <w:rsid w:val="00974D29"/>
    <w:rsid w:val="00977927"/>
    <w:rsid w:val="0098135C"/>
    <w:rsid w:val="0098156A"/>
    <w:rsid w:val="009826E4"/>
    <w:rsid w:val="0098398B"/>
    <w:rsid w:val="00986D3C"/>
    <w:rsid w:val="009873E1"/>
    <w:rsid w:val="009906D4"/>
    <w:rsid w:val="00991BAC"/>
    <w:rsid w:val="00993775"/>
    <w:rsid w:val="009A0B98"/>
    <w:rsid w:val="009A1EAC"/>
    <w:rsid w:val="009A26B9"/>
    <w:rsid w:val="009A27A9"/>
    <w:rsid w:val="009A6EA0"/>
    <w:rsid w:val="009B155D"/>
    <w:rsid w:val="009B162A"/>
    <w:rsid w:val="009B1972"/>
    <w:rsid w:val="009C12A7"/>
    <w:rsid w:val="009C1335"/>
    <w:rsid w:val="009C1AB2"/>
    <w:rsid w:val="009C7251"/>
    <w:rsid w:val="009D466C"/>
    <w:rsid w:val="009E0D43"/>
    <w:rsid w:val="009E25E1"/>
    <w:rsid w:val="009E2E91"/>
    <w:rsid w:val="009E4F15"/>
    <w:rsid w:val="00A01B40"/>
    <w:rsid w:val="00A05677"/>
    <w:rsid w:val="00A10BA5"/>
    <w:rsid w:val="00A139F5"/>
    <w:rsid w:val="00A14146"/>
    <w:rsid w:val="00A23CC1"/>
    <w:rsid w:val="00A24A85"/>
    <w:rsid w:val="00A2668F"/>
    <w:rsid w:val="00A32B36"/>
    <w:rsid w:val="00A32E16"/>
    <w:rsid w:val="00A3528D"/>
    <w:rsid w:val="00A365F4"/>
    <w:rsid w:val="00A36FCB"/>
    <w:rsid w:val="00A44B8F"/>
    <w:rsid w:val="00A47D80"/>
    <w:rsid w:val="00A47F5A"/>
    <w:rsid w:val="00A52B4E"/>
    <w:rsid w:val="00A53132"/>
    <w:rsid w:val="00A563F2"/>
    <w:rsid w:val="00A566E8"/>
    <w:rsid w:val="00A56D33"/>
    <w:rsid w:val="00A61856"/>
    <w:rsid w:val="00A61E4F"/>
    <w:rsid w:val="00A62D30"/>
    <w:rsid w:val="00A66347"/>
    <w:rsid w:val="00A73F73"/>
    <w:rsid w:val="00A810F9"/>
    <w:rsid w:val="00A82936"/>
    <w:rsid w:val="00A82D31"/>
    <w:rsid w:val="00A82EED"/>
    <w:rsid w:val="00A85E7E"/>
    <w:rsid w:val="00A86ECC"/>
    <w:rsid w:val="00A86FCC"/>
    <w:rsid w:val="00A90A6D"/>
    <w:rsid w:val="00A910B5"/>
    <w:rsid w:val="00A971E5"/>
    <w:rsid w:val="00AA0698"/>
    <w:rsid w:val="00AA710D"/>
    <w:rsid w:val="00AB2F1E"/>
    <w:rsid w:val="00AB36ED"/>
    <w:rsid w:val="00AB5FC7"/>
    <w:rsid w:val="00AB64F3"/>
    <w:rsid w:val="00AB6D25"/>
    <w:rsid w:val="00AC0DF2"/>
    <w:rsid w:val="00AC3ECE"/>
    <w:rsid w:val="00AD062C"/>
    <w:rsid w:val="00AD086E"/>
    <w:rsid w:val="00AD0C58"/>
    <w:rsid w:val="00AD0E56"/>
    <w:rsid w:val="00AD1704"/>
    <w:rsid w:val="00AD5C35"/>
    <w:rsid w:val="00AD7641"/>
    <w:rsid w:val="00AD7D81"/>
    <w:rsid w:val="00AE02E2"/>
    <w:rsid w:val="00AE229B"/>
    <w:rsid w:val="00AE2D4B"/>
    <w:rsid w:val="00AE4F99"/>
    <w:rsid w:val="00AF1E52"/>
    <w:rsid w:val="00AF2A4D"/>
    <w:rsid w:val="00AF499E"/>
    <w:rsid w:val="00B01F63"/>
    <w:rsid w:val="00B06F75"/>
    <w:rsid w:val="00B11B69"/>
    <w:rsid w:val="00B13BAC"/>
    <w:rsid w:val="00B1432B"/>
    <w:rsid w:val="00B14952"/>
    <w:rsid w:val="00B14FBA"/>
    <w:rsid w:val="00B16871"/>
    <w:rsid w:val="00B23582"/>
    <w:rsid w:val="00B25B45"/>
    <w:rsid w:val="00B267FF"/>
    <w:rsid w:val="00B30564"/>
    <w:rsid w:val="00B31DB9"/>
    <w:rsid w:val="00B31E5A"/>
    <w:rsid w:val="00B465D8"/>
    <w:rsid w:val="00B46CBE"/>
    <w:rsid w:val="00B47359"/>
    <w:rsid w:val="00B579AB"/>
    <w:rsid w:val="00B62D0B"/>
    <w:rsid w:val="00B653AB"/>
    <w:rsid w:val="00B65F9E"/>
    <w:rsid w:val="00B6639B"/>
    <w:rsid w:val="00B66B19"/>
    <w:rsid w:val="00B81C8F"/>
    <w:rsid w:val="00B8473F"/>
    <w:rsid w:val="00B872AC"/>
    <w:rsid w:val="00B914E9"/>
    <w:rsid w:val="00B916F1"/>
    <w:rsid w:val="00B92C97"/>
    <w:rsid w:val="00B95357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B0BDB"/>
    <w:rsid w:val="00BB0EFB"/>
    <w:rsid w:val="00BB4793"/>
    <w:rsid w:val="00BB4F09"/>
    <w:rsid w:val="00BC0EDF"/>
    <w:rsid w:val="00BC12E2"/>
    <w:rsid w:val="00BC2D48"/>
    <w:rsid w:val="00BC36E6"/>
    <w:rsid w:val="00BC66BD"/>
    <w:rsid w:val="00BD039E"/>
    <w:rsid w:val="00BD200F"/>
    <w:rsid w:val="00BD4E33"/>
    <w:rsid w:val="00BE077B"/>
    <w:rsid w:val="00BE2813"/>
    <w:rsid w:val="00BE383F"/>
    <w:rsid w:val="00BE7F14"/>
    <w:rsid w:val="00BF27FA"/>
    <w:rsid w:val="00BF2E69"/>
    <w:rsid w:val="00BF4AA9"/>
    <w:rsid w:val="00BF768F"/>
    <w:rsid w:val="00BF7DCA"/>
    <w:rsid w:val="00C003E1"/>
    <w:rsid w:val="00C013B9"/>
    <w:rsid w:val="00C030DE"/>
    <w:rsid w:val="00C051A8"/>
    <w:rsid w:val="00C10C66"/>
    <w:rsid w:val="00C14F50"/>
    <w:rsid w:val="00C1689D"/>
    <w:rsid w:val="00C20615"/>
    <w:rsid w:val="00C21F58"/>
    <w:rsid w:val="00C22105"/>
    <w:rsid w:val="00C244B6"/>
    <w:rsid w:val="00C247E0"/>
    <w:rsid w:val="00C24B22"/>
    <w:rsid w:val="00C27BF1"/>
    <w:rsid w:val="00C32D4C"/>
    <w:rsid w:val="00C32E34"/>
    <w:rsid w:val="00C3442E"/>
    <w:rsid w:val="00C34FFB"/>
    <w:rsid w:val="00C35801"/>
    <w:rsid w:val="00C35E76"/>
    <w:rsid w:val="00C36C83"/>
    <w:rsid w:val="00C3702F"/>
    <w:rsid w:val="00C4379C"/>
    <w:rsid w:val="00C4500A"/>
    <w:rsid w:val="00C50128"/>
    <w:rsid w:val="00C52FFC"/>
    <w:rsid w:val="00C56B13"/>
    <w:rsid w:val="00C62238"/>
    <w:rsid w:val="00C64A37"/>
    <w:rsid w:val="00C66A05"/>
    <w:rsid w:val="00C7158E"/>
    <w:rsid w:val="00C7250B"/>
    <w:rsid w:val="00C72EF8"/>
    <w:rsid w:val="00C72FE2"/>
    <w:rsid w:val="00C7346B"/>
    <w:rsid w:val="00C76710"/>
    <w:rsid w:val="00C77C0E"/>
    <w:rsid w:val="00C83715"/>
    <w:rsid w:val="00C845E3"/>
    <w:rsid w:val="00C91687"/>
    <w:rsid w:val="00C924A8"/>
    <w:rsid w:val="00C945FE"/>
    <w:rsid w:val="00C96FAA"/>
    <w:rsid w:val="00C97A04"/>
    <w:rsid w:val="00CA09BB"/>
    <w:rsid w:val="00CA1065"/>
    <w:rsid w:val="00CA107B"/>
    <w:rsid w:val="00CA300E"/>
    <w:rsid w:val="00CA37FA"/>
    <w:rsid w:val="00CA484D"/>
    <w:rsid w:val="00CA4FB6"/>
    <w:rsid w:val="00CB1E65"/>
    <w:rsid w:val="00CB2CEB"/>
    <w:rsid w:val="00CB2F90"/>
    <w:rsid w:val="00CB689D"/>
    <w:rsid w:val="00CB6AD4"/>
    <w:rsid w:val="00CC0A00"/>
    <w:rsid w:val="00CC0FE6"/>
    <w:rsid w:val="00CC1CB1"/>
    <w:rsid w:val="00CC4420"/>
    <w:rsid w:val="00CC4EBB"/>
    <w:rsid w:val="00CC635A"/>
    <w:rsid w:val="00CC739E"/>
    <w:rsid w:val="00CC73D2"/>
    <w:rsid w:val="00CD09A1"/>
    <w:rsid w:val="00CD0C94"/>
    <w:rsid w:val="00CD1EBB"/>
    <w:rsid w:val="00CD2410"/>
    <w:rsid w:val="00CD28CF"/>
    <w:rsid w:val="00CD402E"/>
    <w:rsid w:val="00CD58B7"/>
    <w:rsid w:val="00CD7967"/>
    <w:rsid w:val="00CE04FB"/>
    <w:rsid w:val="00CE4B64"/>
    <w:rsid w:val="00CF076D"/>
    <w:rsid w:val="00CF0D68"/>
    <w:rsid w:val="00CF111C"/>
    <w:rsid w:val="00CF18EE"/>
    <w:rsid w:val="00CF278D"/>
    <w:rsid w:val="00CF30BD"/>
    <w:rsid w:val="00CF4099"/>
    <w:rsid w:val="00CF5EBF"/>
    <w:rsid w:val="00D00796"/>
    <w:rsid w:val="00D0314E"/>
    <w:rsid w:val="00D04A10"/>
    <w:rsid w:val="00D11050"/>
    <w:rsid w:val="00D1265D"/>
    <w:rsid w:val="00D261A2"/>
    <w:rsid w:val="00D262A8"/>
    <w:rsid w:val="00D2709F"/>
    <w:rsid w:val="00D307AD"/>
    <w:rsid w:val="00D30ADE"/>
    <w:rsid w:val="00D31400"/>
    <w:rsid w:val="00D40538"/>
    <w:rsid w:val="00D43306"/>
    <w:rsid w:val="00D616D2"/>
    <w:rsid w:val="00D6351C"/>
    <w:rsid w:val="00D63B5F"/>
    <w:rsid w:val="00D66006"/>
    <w:rsid w:val="00D70EF7"/>
    <w:rsid w:val="00D70FAD"/>
    <w:rsid w:val="00D76F96"/>
    <w:rsid w:val="00D8397C"/>
    <w:rsid w:val="00D94EED"/>
    <w:rsid w:val="00D96026"/>
    <w:rsid w:val="00D96860"/>
    <w:rsid w:val="00D972F6"/>
    <w:rsid w:val="00DA331D"/>
    <w:rsid w:val="00DA3C88"/>
    <w:rsid w:val="00DA7C1C"/>
    <w:rsid w:val="00DB0536"/>
    <w:rsid w:val="00DB147A"/>
    <w:rsid w:val="00DB1B7A"/>
    <w:rsid w:val="00DB3752"/>
    <w:rsid w:val="00DB706E"/>
    <w:rsid w:val="00DC34C4"/>
    <w:rsid w:val="00DC6708"/>
    <w:rsid w:val="00DC7C19"/>
    <w:rsid w:val="00DC7DCB"/>
    <w:rsid w:val="00DD011A"/>
    <w:rsid w:val="00DD21BA"/>
    <w:rsid w:val="00DD382C"/>
    <w:rsid w:val="00DD62BE"/>
    <w:rsid w:val="00DD7810"/>
    <w:rsid w:val="00DE2400"/>
    <w:rsid w:val="00DE58F1"/>
    <w:rsid w:val="00DE6B58"/>
    <w:rsid w:val="00DF0BAD"/>
    <w:rsid w:val="00DF587A"/>
    <w:rsid w:val="00DF5D38"/>
    <w:rsid w:val="00DF5E32"/>
    <w:rsid w:val="00E01436"/>
    <w:rsid w:val="00E027F0"/>
    <w:rsid w:val="00E02F90"/>
    <w:rsid w:val="00E03E79"/>
    <w:rsid w:val="00E045BD"/>
    <w:rsid w:val="00E04D6C"/>
    <w:rsid w:val="00E17B77"/>
    <w:rsid w:val="00E22FB8"/>
    <w:rsid w:val="00E231AB"/>
    <w:rsid w:val="00E23337"/>
    <w:rsid w:val="00E245B1"/>
    <w:rsid w:val="00E259EA"/>
    <w:rsid w:val="00E25D33"/>
    <w:rsid w:val="00E2641A"/>
    <w:rsid w:val="00E32061"/>
    <w:rsid w:val="00E33F48"/>
    <w:rsid w:val="00E33F66"/>
    <w:rsid w:val="00E40A56"/>
    <w:rsid w:val="00E42FF9"/>
    <w:rsid w:val="00E44790"/>
    <w:rsid w:val="00E4714C"/>
    <w:rsid w:val="00E47AC0"/>
    <w:rsid w:val="00E5178D"/>
    <w:rsid w:val="00E51AEB"/>
    <w:rsid w:val="00E522A7"/>
    <w:rsid w:val="00E52651"/>
    <w:rsid w:val="00E5349E"/>
    <w:rsid w:val="00E54452"/>
    <w:rsid w:val="00E55166"/>
    <w:rsid w:val="00E56776"/>
    <w:rsid w:val="00E57FD2"/>
    <w:rsid w:val="00E60642"/>
    <w:rsid w:val="00E610C8"/>
    <w:rsid w:val="00E61970"/>
    <w:rsid w:val="00E63B0C"/>
    <w:rsid w:val="00E664C5"/>
    <w:rsid w:val="00E671A2"/>
    <w:rsid w:val="00E70F8F"/>
    <w:rsid w:val="00E76D26"/>
    <w:rsid w:val="00E76EE5"/>
    <w:rsid w:val="00E93DB8"/>
    <w:rsid w:val="00E948B2"/>
    <w:rsid w:val="00E953FE"/>
    <w:rsid w:val="00E95B8E"/>
    <w:rsid w:val="00EA3CB1"/>
    <w:rsid w:val="00EB0537"/>
    <w:rsid w:val="00EB1390"/>
    <w:rsid w:val="00EB185E"/>
    <w:rsid w:val="00EB2C71"/>
    <w:rsid w:val="00EB2E72"/>
    <w:rsid w:val="00EB3333"/>
    <w:rsid w:val="00EB4340"/>
    <w:rsid w:val="00EB4F67"/>
    <w:rsid w:val="00EB504A"/>
    <w:rsid w:val="00EB556D"/>
    <w:rsid w:val="00EB5A7D"/>
    <w:rsid w:val="00EC2817"/>
    <w:rsid w:val="00EC3032"/>
    <w:rsid w:val="00EC73D3"/>
    <w:rsid w:val="00ED460F"/>
    <w:rsid w:val="00ED55C0"/>
    <w:rsid w:val="00ED5DBC"/>
    <w:rsid w:val="00ED682B"/>
    <w:rsid w:val="00ED727F"/>
    <w:rsid w:val="00EE41D5"/>
    <w:rsid w:val="00EE4563"/>
    <w:rsid w:val="00EE4784"/>
    <w:rsid w:val="00EE673E"/>
    <w:rsid w:val="00EE79FF"/>
    <w:rsid w:val="00EF1488"/>
    <w:rsid w:val="00F0166F"/>
    <w:rsid w:val="00F037A4"/>
    <w:rsid w:val="00F049AB"/>
    <w:rsid w:val="00F07A42"/>
    <w:rsid w:val="00F107D9"/>
    <w:rsid w:val="00F10AD7"/>
    <w:rsid w:val="00F142DB"/>
    <w:rsid w:val="00F145A8"/>
    <w:rsid w:val="00F15EA6"/>
    <w:rsid w:val="00F16054"/>
    <w:rsid w:val="00F16692"/>
    <w:rsid w:val="00F24AFD"/>
    <w:rsid w:val="00F24B16"/>
    <w:rsid w:val="00F2640F"/>
    <w:rsid w:val="00F27C8F"/>
    <w:rsid w:val="00F27EAD"/>
    <w:rsid w:val="00F27FDC"/>
    <w:rsid w:val="00F32742"/>
    <w:rsid w:val="00F32749"/>
    <w:rsid w:val="00F33074"/>
    <w:rsid w:val="00F3358C"/>
    <w:rsid w:val="00F33B9E"/>
    <w:rsid w:val="00F37172"/>
    <w:rsid w:val="00F403A0"/>
    <w:rsid w:val="00F4359C"/>
    <w:rsid w:val="00F435E5"/>
    <w:rsid w:val="00F4477E"/>
    <w:rsid w:val="00F46269"/>
    <w:rsid w:val="00F46E9C"/>
    <w:rsid w:val="00F47FF9"/>
    <w:rsid w:val="00F51F81"/>
    <w:rsid w:val="00F526E6"/>
    <w:rsid w:val="00F54972"/>
    <w:rsid w:val="00F56F3E"/>
    <w:rsid w:val="00F60BA8"/>
    <w:rsid w:val="00F619F2"/>
    <w:rsid w:val="00F62E3D"/>
    <w:rsid w:val="00F654F7"/>
    <w:rsid w:val="00F67D8F"/>
    <w:rsid w:val="00F70AB2"/>
    <w:rsid w:val="00F71EF0"/>
    <w:rsid w:val="00F72040"/>
    <w:rsid w:val="00F72306"/>
    <w:rsid w:val="00F740EB"/>
    <w:rsid w:val="00F74F10"/>
    <w:rsid w:val="00F802BE"/>
    <w:rsid w:val="00F80E93"/>
    <w:rsid w:val="00F80F5A"/>
    <w:rsid w:val="00F81003"/>
    <w:rsid w:val="00F8306D"/>
    <w:rsid w:val="00F8530B"/>
    <w:rsid w:val="00F85BAE"/>
    <w:rsid w:val="00F86024"/>
    <w:rsid w:val="00F8611A"/>
    <w:rsid w:val="00F86991"/>
    <w:rsid w:val="00F87D74"/>
    <w:rsid w:val="00F93C28"/>
    <w:rsid w:val="00F95292"/>
    <w:rsid w:val="00F96CFE"/>
    <w:rsid w:val="00FA1273"/>
    <w:rsid w:val="00FA1FD6"/>
    <w:rsid w:val="00FA2171"/>
    <w:rsid w:val="00FA47D4"/>
    <w:rsid w:val="00FA5128"/>
    <w:rsid w:val="00FB42D4"/>
    <w:rsid w:val="00FB5417"/>
    <w:rsid w:val="00FB5906"/>
    <w:rsid w:val="00FB762F"/>
    <w:rsid w:val="00FB78C8"/>
    <w:rsid w:val="00FC2AED"/>
    <w:rsid w:val="00FC3E51"/>
    <w:rsid w:val="00FD5EA7"/>
    <w:rsid w:val="00FD63C7"/>
    <w:rsid w:val="00FD7AC4"/>
    <w:rsid w:val="00FE0121"/>
    <w:rsid w:val="00FE11F9"/>
    <w:rsid w:val="00FE36CF"/>
    <w:rsid w:val="00FE5069"/>
    <w:rsid w:val="00FF0246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,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,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customStyle="1" w:styleId="Zawartoramki">
    <w:name w:val="Zawartość ramki"/>
    <w:basedOn w:val="Normalny"/>
    <w:qFormat/>
    <w:rsid w:val="006D4224"/>
    <w:rPr>
      <w:color w:val="00000A"/>
    </w:rPr>
  </w:style>
  <w:style w:type="table" w:customStyle="1" w:styleId="Siatkatabelijasna1">
    <w:name w:val="Siatka tabeli — jasna1"/>
    <w:basedOn w:val="Standardowy"/>
    <w:uiPriority w:val="40"/>
    <w:rsid w:val="006D422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217196"/>
    <w:pPr>
      <w:spacing w:after="0" w:line="240" w:lineRule="auto"/>
    </w:pPr>
    <w:rPr>
      <w:rFonts w:ascii="Fira Sans" w:hAnsi="Fira Sans"/>
      <w:sz w:val="19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6D3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81D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image" Target="media/image11.png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stat.gov.pl/en/topics/culture-tourism-sport/culture/cinematography-in-2021,15,3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hyperlink" Target="https://stat.gov.pl/en/metainformation/glossary/terms-used-in-official-statistics/96,ter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9.png"/><Relationship Id="rId28" Type="http://schemas.openxmlformats.org/officeDocument/2006/relationships/hyperlink" Target="https://stat.gov.pl/en/topics/culture-tourism-sport/culture/culture-and-national-heritage-in-2021,1,14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openxmlformats.org/officeDocument/2006/relationships/hyperlink" Target="https://stat.gov.pl/en/metainformation/glossary/terms-used-in-official-statistics/566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yperlink" Target="https://stat.gov.pl/en/metainformation/glossary/terms-used-in-official-statistics/2115,term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1. Wyniki finansowe instytucji kultury w okresie styczeń–wrzesień 2022 r.docx.docx</NazwaPliku>
    <Osoba xmlns="AD3641B4-23D9-4536-AF9E-7D0EADDEB824">STAT\piwowarczykm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7B78-E118-4B87-A243-489012129A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F71997DC-6A44-4874-B679-7B6E4EB4B882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42DA3-D659-4AFA-B7C2-C2146B2B0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Cinematography in 2022</vt:lpstr>
    </vt:vector>
  </TitlesOfParts>
  <Company>Główny Urząd Statystyczny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Cinematography in 2022</dc:title>
  <dc:subject>Wyniki finansowe instytucji kultury</dc:subject>
  <cp:keywords>Cinematography</cp:keywords>
  <dc:description/>
  <cp:lastPrinted>2023-02-24T09:20:00Z</cp:lastPrinted>
  <dcterms:created xsi:type="dcterms:W3CDTF">2023-05-15T09:13:00Z</dcterms:created>
  <dcterms:modified xsi:type="dcterms:W3CDTF">2023-05-15T09:13:00Z</dcterms:modified>
  <cp:category>Kultura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  <property fmtid="{D5CDD505-2E9C-101B-9397-08002B2CF9AE}" pid="36" name="GrammarlyDocumentId">
    <vt:lpwstr>3fa2aaccc103368f2528d71f56f9990d86d46a9ac83ac3359e3b6033cc95aec1</vt:lpwstr>
  </property>
</Properties>
</file>