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8B5C" w14:textId="4BE8FEB8" w:rsidR="00393761" w:rsidRPr="00EE4AAC" w:rsidRDefault="00F16692" w:rsidP="005B5788">
      <w:pPr>
        <w:pStyle w:val="Tytuinfomacjisygnalnej"/>
        <w:rPr>
          <w:rFonts w:cs="Fira Sans Extra Condensed SemiB"/>
          <w:bCs/>
          <w:spacing w:val="-2"/>
          <w:szCs w:val="40"/>
          <w:lang w:val="en-GB"/>
        </w:rPr>
      </w:pPr>
      <w:bookmarkStart w:id="0" w:name="_GoBack"/>
      <w:bookmarkEnd w:id="0"/>
      <w:r w:rsidRPr="00EE4AAC">
        <w:rPr>
          <w:rFonts w:cs="Fira Sans Extra Condensed SemiB"/>
          <w:bCs/>
          <w:spacing w:val="-2"/>
          <w:szCs w:val="40"/>
          <w:lang w:val="en-GB"/>
        </w:rPr>
        <w:t>Cultural and creative industries in</w:t>
      </w:r>
      <w:r w:rsidR="004D004E" w:rsidRPr="00EE4AAC">
        <w:rPr>
          <w:rFonts w:cs="Fira Sans Extra Condensed SemiB"/>
          <w:bCs/>
          <w:spacing w:val="-2"/>
          <w:szCs w:val="40"/>
          <w:lang w:val="en-GB"/>
        </w:rPr>
        <w:t xml:space="preserve"> 2021</w:t>
      </w:r>
    </w:p>
    <w:p w14:paraId="0B027D9A" w14:textId="3BAE275D" w:rsidR="004267AC" w:rsidRPr="00EE4AAC" w:rsidRDefault="00241FA7" w:rsidP="0027669C">
      <w:pPr>
        <w:pStyle w:val="LID"/>
        <w:spacing w:before="360" w:after="840"/>
        <w:rPr>
          <w:lang w:val="en-GB"/>
        </w:rPr>
      </w:pPr>
      <w:r w:rsidRPr="00EE4AAC">
        <w:rPr>
          <w:color w:val="001D77"/>
          <w:lang w:val="en-GB"/>
        </w:rPr>
        <mc:AlternateContent>
          <mc:Choice Requires="wps">
            <w:drawing>
              <wp:anchor distT="45720" distB="45720" distL="114300" distR="114300" simplePos="0" relativeHeight="251784192" behindDoc="0" locked="0" layoutInCell="1" allowOverlap="1" wp14:anchorId="309455C4" wp14:editId="4D62B88F">
                <wp:simplePos x="0" y="0"/>
                <wp:positionH relativeFrom="margin">
                  <wp:align>left</wp:align>
                </wp:positionH>
                <wp:positionV relativeFrom="paragraph">
                  <wp:posOffset>6985</wp:posOffset>
                </wp:positionV>
                <wp:extent cx="2095500" cy="1604010"/>
                <wp:effectExtent l="0" t="0" r="0" b="0"/>
                <wp:wrapSquare wrapText="bothSides"/>
                <wp:docPr id="3" name="Pole tekstowe 2" descr="Arrow icon pointing upwards, representing 8.8% increase in the number of enterprises belonging to the cultural and creative industries as compared with 2020&#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604513"/>
                        </a:xfrm>
                        <a:prstGeom prst="roundRect">
                          <a:avLst/>
                        </a:prstGeom>
                        <a:solidFill>
                          <a:srgbClr val="001D77"/>
                        </a:solidFill>
                        <a:ln w="9525">
                          <a:noFill/>
                          <a:miter lim="800000"/>
                          <a:headEnd/>
                          <a:tailEnd/>
                        </a:ln>
                      </wps:spPr>
                      <wps:txbx>
                        <w:txbxContent>
                          <w:p w14:paraId="4F5165EB" w14:textId="4DB11CDA" w:rsidR="00241FA7" w:rsidRPr="003521FF" w:rsidRDefault="00241FA7" w:rsidP="00241FA7">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sidRPr="003521FF">
                              <w:rPr>
                                <w:rStyle w:val="WartowskanikaZnak"/>
                                <w:lang w:val="en-GB"/>
                              </w:rPr>
                              <w:t xml:space="preserve"> </w:t>
                            </w:r>
                            <w:r w:rsidR="008077CE" w:rsidRPr="003521FF">
                              <w:rPr>
                                <w:rStyle w:val="WartowskanikaZnak"/>
                                <w:sz w:val="72"/>
                                <w:szCs w:val="72"/>
                                <w:lang w:val="en-GB"/>
                              </w:rPr>
                              <w:t>8</w:t>
                            </w:r>
                            <w:r w:rsidR="00CC3A88">
                              <w:rPr>
                                <w:rStyle w:val="WartowskanikaZnak"/>
                                <w:sz w:val="72"/>
                                <w:szCs w:val="72"/>
                                <w:lang w:val="en-GB"/>
                              </w:rPr>
                              <w:t>.</w:t>
                            </w:r>
                            <w:r w:rsidR="006D4224" w:rsidRPr="003521FF">
                              <w:rPr>
                                <w:rStyle w:val="WartowskanikaZnak"/>
                                <w:sz w:val="72"/>
                                <w:szCs w:val="72"/>
                                <w:lang w:val="en-GB"/>
                              </w:rPr>
                              <w:t>8</w:t>
                            </w:r>
                            <w:r w:rsidRPr="003521FF">
                              <w:rPr>
                                <w:rStyle w:val="WartowskanikaZnak"/>
                                <w:sz w:val="72"/>
                                <w:szCs w:val="72"/>
                                <w:lang w:val="en-GB"/>
                              </w:rPr>
                              <w:t>%</w:t>
                            </w:r>
                          </w:p>
                          <w:p w14:paraId="569EB95B" w14:textId="2805F4E2" w:rsidR="00241FA7" w:rsidRPr="00F16692" w:rsidRDefault="00F16692" w:rsidP="00241FA7">
                            <w:pPr>
                              <w:pStyle w:val="Opiswskanika"/>
                              <w:spacing w:before="120"/>
                              <w:rPr>
                                <w:sz w:val="18"/>
                                <w:szCs w:val="20"/>
                                <w:lang w:val="en-US"/>
                              </w:rPr>
                            </w:pPr>
                            <w:r>
                              <w:rPr>
                                <w:lang w:val="en-GB"/>
                              </w:rPr>
                              <w:t xml:space="preserve">The increase in the number of enterprises belonging to the cultural and creative industries as compared with </w:t>
                            </w:r>
                            <w:r w:rsidR="006D4224" w:rsidRPr="00F16692">
                              <w:rPr>
                                <w:color w:val="FFFFFF"/>
                                <w:szCs w:val="20"/>
                                <w:lang w:val="en-US"/>
                              </w:rPr>
                              <w:t>2020</w:t>
                            </w:r>
                            <w:r>
                              <w:rPr>
                                <w:color w:val="FFFFFF"/>
                                <w:szCs w:val="20"/>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9455C4" id="Pole tekstowe 2" o:spid="_x0000_s1026" alt="Arrow icon pointing upwards, representing 8.8% increase in the number of enterprises belonging to the cultural and creative industries as compared with 2020&#10;&#10;&#10;" style="position:absolute;margin-left:0;margin-top:.55pt;width:165pt;height:126.3pt;z-index:251784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" fillcolor="#001d77" stroked="f">
                <v:stroke joinstyle="miter"/>
                <v:textbox>
                  <w:txbxContent>
                    <w:p w14:paraId="4F5165EB" w14:textId="4DB11CDA" w:rsidR="00241FA7" w:rsidRPr="003521FF" w:rsidRDefault="00241FA7" w:rsidP="00241FA7">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4B4292">
                        <w:rPr>
                          <w:rStyle w:val="IkonawskanikaZnak"/>
                          <w:sz w:val="76"/>
                          <w:szCs w:val="76"/>
                        </w:rPr>
                        <w:sym w:font="Wingdings" w:char="F0F1"/>
                      </w:r>
                      <w:r w:rsidRPr="003521FF">
                        <w:rPr>
                          <w:rStyle w:val="WartowskanikaZnak"/>
                          <w:lang w:val="en-GB"/>
                        </w:rPr>
                        <w:t xml:space="preserve"> </w:t>
                      </w:r>
                      <w:r w:rsidR="008077CE" w:rsidRPr="003521FF">
                        <w:rPr>
                          <w:rStyle w:val="WartowskanikaZnak"/>
                          <w:sz w:val="72"/>
                          <w:szCs w:val="72"/>
                          <w:lang w:val="en-GB"/>
                        </w:rPr>
                        <w:t>8</w:t>
                      </w:r>
                      <w:r w:rsidR="00CC3A88">
                        <w:rPr>
                          <w:rStyle w:val="WartowskanikaZnak"/>
                          <w:sz w:val="72"/>
                          <w:szCs w:val="72"/>
                          <w:lang w:val="en-GB"/>
                        </w:rPr>
                        <w:t>.</w:t>
                      </w:r>
                      <w:bookmarkStart w:id="1" w:name="_GoBack"/>
                      <w:bookmarkEnd w:id="1"/>
                      <w:r w:rsidR="006D4224" w:rsidRPr="003521FF">
                        <w:rPr>
                          <w:rStyle w:val="WartowskanikaZnak"/>
                          <w:sz w:val="72"/>
                          <w:szCs w:val="72"/>
                          <w:lang w:val="en-GB"/>
                        </w:rPr>
                        <w:t>8</w:t>
                      </w:r>
                      <w:r w:rsidRPr="003521FF">
                        <w:rPr>
                          <w:rStyle w:val="WartowskanikaZnak"/>
                          <w:sz w:val="72"/>
                          <w:szCs w:val="72"/>
                          <w:lang w:val="en-GB"/>
                        </w:rPr>
                        <w:t>%</w:t>
                      </w:r>
                    </w:p>
                    <w:p w14:paraId="569EB95B" w14:textId="2805F4E2" w:rsidR="00241FA7" w:rsidRPr="00F16692" w:rsidRDefault="00F16692" w:rsidP="00241FA7">
                      <w:pPr>
                        <w:pStyle w:val="Opiswskanika"/>
                        <w:spacing w:before="120"/>
                        <w:rPr>
                          <w:sz w:val="18"/>
                          <w:szCs w:val="20"/>
                          <w:lang w:val="en-US"/>
                        </w:rPr>
                      </w:pPr>
                      <w:r>
                        <w:rPr>
                          <w:lang w:val="en-GB"/>
                        </w:rPr>
                        <w:t xml:space="preserve">The increase in the number of enterprises belonging to the cultural and creative industries as compared with </w:t>
                      </w:r>
                      <w:r w:rsidR="006D4224" w:rsidRPr="00F16692">
                        <w:rPr>
                          <w:color w:val="FFFFFF"/>
                          <w:szCs w:val="20"/>
                          <w:lang w:val="en-US"/>
                        </w:rPr>
                        <w:t>2020</w:t>
                      </w:r>
                      <w:r>
                        <w:rPr>
                          <w:color w:val="FFFFFF"/>
                          <w:szCs w:val="20"/>
                          <w:lang w:val="en-US"/>
                        </w:rPr>
                        <w:t>.</w:t>
                      </w:r>
                    </w:p>
                  </w:txbxContent>
                </v:textbox>
                <w10:wrap type="square" anchorx="margin"/>
              </v:roundrect>
            </w:pict>
          </mc:Fallback>
        </mc:AlternateContent>
      </w:r>
      <w:r w:rsidR="004267AC" w:rsidRPr="00EE4AAC">
        <w:rPr>
          <w:lang w:val="en-GB"/>
        </w:rPr>
        <w:t>130.0 thousand enterprises belonging to the cultural and creative industries operated in 2021. The overwhelming majority of entities (99.2%) were micro</w:t>
      </w:r>
      <w:r w:rsidR="00F56F3E" w:rsidRPr="00EE4AAC">
        <w:rPr>
          <w:lang w:val="en-GB"/>
        </w:rPr>
        <w:t>-</w:t>
      </w:r>
      <w:r w:rsidR="004267AC" w:rsidRPr="00EE4AAC">
        <w:rPr>
          <w:lang w:val="en-GB"/>
        </w:rPr>
        <w:t>enterprises, comprising 75.8% of those working in the area of cultural and creative industries. Gross monthly salary per employee amounted to PLN 6,927, i.e. PLN 592 more than in 2020; it was higher by PLN 994 in comparison with all non-financial enterprises.</w:t>
      </w:r>
    </w:p>
    <w:p w14:paraId="5DFA0854" w14:textId="7E95325D" w:rsidR="004267AC" w:rsidRPr="00EE4AAC" w:rsidRDefault="004267AC" w:rsidP="002A471E">
      <w:pPr>
        <w:spacing w:before="360" w:line="288" w:lineRule="auto"/>
        <w:rPr>
          <w:lang w:val="en-GB"/>
        </w:rPr>
      </w:pPr>
      <w:r w:rsidRPr="00EE4AAC">
        <w:rPr>
          <w:lang w:val="en-GB"/>
        </w:rPr>
        <w:t xml:space="preserve">The results for 2021 suggest that after a temporary slowdown and declines recorded in the area of cultural and creative industries in 2020, in many cases one can talk about a </w:t>
      </w:r>
      <w:r w:rsidR="003521FF" w:rsidRPr="00EE4AAC">
        <w:rPr>
          <w:lang w:val="en-GB"/>
        </w:rPr>
        <w:t>slight</w:t>
      </w:r>
      <w:r w:rsidRPr="00EE4AAC">
        <w:rPr>
          <w:lang w:val="en-GB"/>
        </w:rPr>
        <w:t xml:space="preserve"> improvement and return to pre-pandemic trends.</w:t>
      </w:r>
    </w:p>
    <w:p w14:paraId="3884FF75" w14:textId="5A2DFF06" w:rsidR="006D4224" w:rsidRPr="00EE4AAC" w:rsidRDefault="00DD62BE" w:rsidP="006D4224">
      <w:pPr>
        <w:pStyle w:val="Nagwek1"/>
        <w:rPr>
          <w:lang w:val="en-GB"/>
        </w:rPr>
      </w:pPr>
      <w:r w:rsidRPr="00EE4AAC">
        <w:rPr>
          <w:lang w:val="en-GB"/>
        </w:rPr>
        <w:t>The number and types of enterprises belonging to the cultural and creative industries</w:t>
      </w:r>
    </w:p>
    <w:p w14:paraId="61B83984" w14:textId="23DADFD0" w:rsidR="004267AC" w:rsidRPr="00EE4AAC" w:rsidRDefault="004267AC" w:rsidP="008911E2">
      <w:pPr>
        <w:spacing w:line="288" w:lineRule="auto"/>
        <w:rPr>
          <w:lang w:val="en-GB"/>
        </w:rPr>
      </w:pPr>
      <w:r w:rsidRPr="00EE4AAC">
        <w:rPr>
          <w:lang w:val="en-GB"/>
        </w:rPr>
        <w:t>Since 2015, an increase in the number of entities included in the cultural and creative industries has been recorded annually. In 2021, the growth rate was higher than in previous years</w:t>
      </w:r>
      <w:r w:rsidR="00323B17">
        <w:rPr>
          <w:lang w:val="en-GB"/>
        </w:rPr>
        <w:t> –</w:t>
      </w:r>
      <w:r w:rsidRPr="00EE4AAC">
        <w:rPr>
          <w:lang w:val="en-GB"/>
        </w:rPr>
        <w:t xml:space="preserve"> the number of entities increased by 8.8% and amounted to 135.0 thousand. Entities </w:t>
      </w:r>
      <w:r w:rsidR="004D004E" w:rsidRPr="00EE4AAC">
        <w:rPr>
          <w:lang w:val="en-GB"/>
        </w:rPr>
        <w:t>categorized</w:t>
      </w:r>
      <w:r w:rsidR="0008656F" w:rsidRPr="00EE4AAC">
        <w:rPr>
          <w:lang w:val="en-GB"/>
        </w:rPr>
        <w:t xml:space="preserve"> </w:t>
      </w:r>
      <w:r w:rsidRPr="00EE4AAC">
        <w:rPr>
          <w:lang w:val="en-GB"/>
        </w:rPr>
        <w:t>the cultural and creative industries accounted for 5.7% of all non-financial enterprises.</w:t>
      </w:r>
    </w:p>
    <w:p w14:paraId="3EC51CB7" w14:textId="7BEF025C" w:rsidR="00905935" w:rsidRPr="00EE4AAC" w:rsidRDefault="006F0F11" w:rsidP="00F15EA6">
      <w:pPr>
        <w:pStyle w:val="Tytuwykresu0"/>
        <w:ind w:left="709" w:hanging="709"/>
        <w:rPr>
          <w:shd w:val="clear" w:color="auto" w:fill="FFFFFF"/>
          <w:lang w:val="en-GB"/>
        </w:rPr>
      </w:pPr>
      <w:r w:rsidRPr="00EE4AAC">
        <w:rPr>
          <w:rFonts w:ascii="Fira Sans" w:hAnsi="Fira Sans"/>
          <w:lang w:val="en-GB"/>
        </w:rPr>
        <w:drawing>
          <wp:anchor distT="0" distB="0" distL="114300" distR="114300" simplePos="0" relativeHeight="251809792" behindDoc="0" locked="0" layoutInCell="1" allowOverlap="1" wp14:anchorId="12993207" wp14:editId="12D58D3F">
            <wp:simplePos x="0" y="0"/>
            <wp:positionH relativeFrom="margin">
              <wp:align>left</wp:align>
            </wp:positionH>
            <wp:positionV relativeFrom="paragraph">
              <wp:posOffset>399199</wp:posOffset>
            </wp:positionV>
            <wp:extent cx="5047615" cy="2749550"/>
            <wp:effectExtent l="0" t="0" r="0" b="0"/>
            <wp:wrapTopAndBottom/>
            <wp:docPr id="13" name="Obraz 13" descr="Chart 1. The bar chart presenting number of enterprises belonging to the cultural and creative indu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2749550"/>
                    </a:xfrm>
                    <a:prstGeom prst="rect">
                      <a:avLst/>
                    </a:prstGeom>
                    <a:noFill/>
                  </pic:spPr>
                </pic:pic>
              </a:graphicData>
            </a:graphic>
          </wp:anchor>
        </w:drawing>
      </w:r>
      <w:r w:rsidR="008911E2" w:rsidRPr="00EE4AAC">
        <w:rPr>
          <w:lang w:val="en-GB"/>
        </w:rPr>
        <mc:AlternateContent>
          <mc:Choice Requires="wps">
            <w:drawing>
              <wp:anchor distT="45720" distB="45720" distL="114300" distR="114300" simplePos="0" relativeHeight="251798528" behindDoc="1" locked="0" layoutInCell="1" allowOverlap="1" wp14:anchorId="24A9C92F" wp14:editId="150EA991">
                <wp:simplePos x="0" y="0"/>
                <wp:positionH relativeFrom="column">
                  <wp:posOffset>5276311</wp:posOffset>
                </wp:positionH>
                <wp:positionV relativeFrom="paragraph">
                  <wp:posOffset>3007576</wp:posOffset>
                </wp:positionV>
                <wp:extent cx="1725295" cy="1200647"/>
                <wp:effectExtent l="0" t="0" r="0" b="0"/>
                <wp:wrapTight wrapText="bothSides">
                  <wp:wrapPolygon edited="0">
                    <wp:start x="715" y="0"/>
                    <wp:lineTo x="715" y="21257"/>
                    <wp:lineTo x="20749" y="21257"/>
                    <wp:lineTo x="20749" y="0"/>
                    <wp:lineTo x="715" y="0"/>
                  </wp:wrapPolygon>
                </wp:wrapTight>
                <wp:docPr id="24" name="Prostokąt 24" descr="The largest number of en-terprises belonging to the cultural and creative indus-tries operated in the domain of Visual arts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5295" cy="1200647"/>
                        </a:xfrm>
                        <a:prstGeom prst="rect">
                          <a:avLst/>
                        </a:prstGeom>
                        <a:noFill/>
                        <a:ln w="9360">
                          <a:noFill/>
                        </a:ln>
                      </wps:spPr>
                      <wps:style>
                        <a:lnRef idx="0">
                          <a:scrgbClr r="0" g="0" b="0"/>
                        </a:lnRef>
                        <a:fillRef idx="0">
                          <a:scrgbClr r="0" g="0" b="0"/>
                        </a:fillRef>
                        <a:effectRef idx="0">
                          <a:scrgbClr r="0" g="0" b="0"/>
                        </a:effectRef>
                        <a:fontRef idx="minor"/>
                      </wps:style>
                      <wps:txbx>
                        <w:txbxContent>
                          <w:p w14:paraId="369CA229" w14:textId="0831D075" w:rsidR="00FB78C8" w:rsidRPr="00DD62BE" w:rsidRDefault="00DD62BE" w:rsidP="00FB78C8">
                            <w:pPr>
                              <w:pStyle w:val="tekstzboku"/>
                              <w:rPr>
                                <w:lang w:val="en-US"/>
                              </w:rPr>
                            </w:pPr>
                            <w:r>
                              <w:rPr>
                                <w:lang w:val="en-US"/>
                              </w:rPr>
                              <w:t xml:space="preserve">The largest number of enterprises belonging to the cultural and creative industries operated in the domain of Visual arts </w:t>
                            </w:r>
                            <w:r w:rsidR="00E02F90" w:rsidRPr="00DD62BE">
                              <w:rPr>
                                <w:lang w:val="en-US"/>
                              </w:rPr>
                              <w:t>(2</w:t>
                            </w:r>
                            <w:r>
                              <w:rPr>
                                <w:lang w:val="en-US"/>
                              </w:rPr>
                              <w:t>6</w:t>
                            </w:r>
                            <w:r w:rsidR="00E02F90" w:rsidRPr="00DD62BE">
                              <w:rPr>
                                <w:lang w:val="en-US"/>
                              </w:rPr>
                              <w:t>,</w:t>
                            </w:r>
                            <w:r>
                              <w:rPr>
                                <w:lang w:val="en-US"/>
                              </w:rPr>
                              <w:t>3</w:t>
                            </w:r>
                            <w:r w:rsidR="00E02F90" w:rsidRPr="00DD62BE">
                              <w:rPr>
                                <w:lang w:val="en-US"/>
                              </w:rPr>
                              <w:t>%).</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24A9C92F" id="Prostokąt 24" o:spid="_x0000_s1027" alt="The largest number of en-terprises belonging to the cultural and creative indus-tries operated in the domain of Visual arts (26,3%)." style="position:absolute;left:0;text-align:left;margin-left:415.45pt;margin-top:236.8pt;width:135.85pt;height:94.55pt;z-index:-25151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" filled="f" stroked="f" strokeweight=".26mm">
                <v:textbox>
                  <w:txbxContent>
                    <w:p w14:paraId="369CA229" w14:textId="0831D075" w:rsidR="00FB78C8" w:rsidRPr="00DD62BE" w:rsidRDefault="00DD62BE" w:rsidP="00FB78C8">
                      <w:pPr>
                        <w:pStyle w:val="tekstzboku"/>
                        <w:rPr>
                          <w:lang w:val="en-US"/>
                        </w:rPr>
                      </w:pPr>
                      <w:r>
                        <w:rPr>
                          <w:lang w:val="en-US"/>
                        </w:rPr>
                        <w:t xml:space="preserve">The largest number of enterprises belonging to the cultural and creative industries operated in the domain of Visual arts </w:t>
                      </w:r>
                      <w:r w:rsidR="00E02F90" w:rsidRPr="00DD62BE">
                        <w:rPr>
                          <w:lang w:val="en-US"/>
                        </w:rPr>
                        <w:t>(2</w:t>
                      </w:r>
                      <w:r>
                        <w:rPr>
                          <w:lang w:val="en-US"/>
                        </w:rPr>
                        <w:t>6</w:t>
                      </w:r>
                      <w:r w:rsidR="00E02F90" w:rsidRPr="00DD62BE">
                        <w:rPr>
                          <w:lang w:val="en-US"/>
                        </w:rPr>
                        <w:t>,</w:t>
                      </w:r>
                      <w:r>
                        <w:rPr>
                          <w:lang w:val="en-US"/>
                        </w:rPr>
                        <w:t>3</w:t>
                      </w:r>
                      <w:r w:rsidR="00E02F90" w:rsidRPr="00DD62BE">
                        <w:rPr>
                          <w:lang w:val="en-US"/>
                        </w:rPr>
                        <w:t>%).</w:t>
                      </w:r>
                    </w:p>
                  </w:txbxContent>
                </v:textbox>
                <w10:wrap type="tight"/>
              </v:rect>
            </w:pict>
          </mc:Fallback>
        </mc:AlternateContent>
      </w:r>
      <w:r w:rsidR="00DD62BE" w:rsidRPr="00EE4AAC">
        <w:rPr>
          <w:rFonts w:ascii="Fira Sans" w:hAnsi="Fira Sans"/>
          <w:lang w:val="en-GB"/>
        </w:rPr>
        <w:t>Chart 1. Number of enterprises belonging to the cultural and creative industries</w:t>
      </w:r>
    </w:p>
    <w:p w14:paraId="74E6CFEC" w14:textId="5442B963" w:rsidR="002C157F" w:rsidRPr="00EE4AAC" w:rsidRDefault="002C157F" w:rsidP="006F0F11">
      <w:pPr>
        <w:spacing w:before="240" w:line="288" w:lineRule="auto"/>
        <w:rPr>
          <w:lang w:val="en-GB"/>
        </w:rPr>
      </w:pPr>
      <w:r w:rsidRPr="00EE4AAC">
        <w:rPr>
          <w:lang w:val="en-GB"/>
        </w:rPr>
        <w:t xml:space="preserve">The largest number of </w:t>
      </w:r>
      <w:r w:rsidR="0008656F" w:rsidRPr="00EE4AAC">
        <w:rPr>
          <w:lang w:val="en-GB"/>
        </w:rPr>
        <w:t xml:space="preserve">the </w:t>
      </w:r>
      <w:r w:rsidRPr="00EE4AAC">
        <w:rPr>
          <w:lang w:val="en-GB"/>
        </w:rPr>
        <w:t xml:space="preserve">entities conducted activities related to the field of </w:t>
      </w:r>
      <w:r w:rsidRPr="00EE4AAC">
        <w:rPr>
          <w:i/>
          <w:iCs/>
          <w:lang w:val="en-GB"/>
        </w:rPr>
        <w:t>Visual Arts</w:t>
      </w:r>
      <w:r w:rsidRPr="00EE4AAC">
        <w:rPr>
          <w:lang w:val="en-GB"/>
        </w:rPr>
        <w:t xml:space="preserve"> (26.3%). Compared to 2020, the largest increase in the number of operating entities was recorded in the field of </w:t>
      </w:r>
      <w:r w:rsidRPr="00EE4AAC">
        <w:rPr>
          <w:i/>
          <w:iCs/>
          <w:lang w:val="en-GB"/>
        </w:rPr>
        <w:t>Architecture</w:t>
      </w:r>
      <w:r w:rsidRPr="00EE4AAC">
        <w:rPr>
          <w:lang w:val="en-GB"/>
        </w:rPr>
        <w:t xml:space="preserve"> (by 5.8 percentage points). The decrease in the number of entities occurred mainly in the field of </w:t>
      </w:r>
      <w:r w:rsidRPr="00EE4AAC">
        <w:rPr>
          <w:i/>
          <w:iCs/>
          <w:lang w:val="en-GB"/>
        </w:rPr>
        <w:t>Audio</w:t>
      </w:r>
      <w:r w:rsidR="004D004E" w:rsidRPr="00EE4AAC">
        <w:rPr>
          <w:i/>
          <w:iCs/>
          <w:lang w:val="en-GB"/>
        </w:rPr>
        <w:t>-</w:t>
      </w:r>
      <w:r w:rsidRPr="00EE4AAC">
        <w:rPr>
          <w:i/>
          <w:iCs/>
          <w:lang w:val="en-GB"/>
        </w:rPr>
        <w:t>visual Arts and Multimedia</w:t>
      </w:r>
      <w:r w:rsidRPr="00EE4AAC">
        <w:rPr>
          <w:lang w:val="en-GB"/>
        </w:rPr>
        <w:t xml:space="preserve"> (by 9.8 percentage points). In the years 2015-2021, the share of entities in the field of </w:t>
      </w:r>
      <w:r w:rsidRPr="00EE4AAC">
        <w:rPr>
          <w:i/>
          <w:iCs/>
          <w:lang w:val="en-GB"/>
        </w:rPr>
        <w:t>Visual Arts</w:t>
      </w:r>
      <w:r w:rsidRPr="00EE4AAC">
        <w:rPr>
          <w:lang w:val="en-GB"/>
        </w:rPr>
        <w:t xml:space="preserve"> in the total number of entities classified as cultural and creative industries almost doubled, while the share of entities operating in the field of </w:t>
      </w:r>
      <w:r w:rsidRPr="00EE4AAC">
        <w:rPr>
          <w:i/>
          <w:iCs/>
          <w:lang w:val="en-GB"/>
        </w:rPr>
        <w:t>Books and Press</w:t>
      </w:r>
      <w:r w:rsidRPr="00EE4AAC">
        <w:rPr>
          <w:lang w:val="en-GB"/>
        </w:rPr>
        <w:t xml:space="preserve"> decreased by more than half.</w:t>
      </w:r>
    </w:p>
    <w:p w14:paraId="29D838F2" w14:textId="169DB57C" w:rsidR="00FB78C8" w:rsidRPr="00EE4AAC" w:rsidRDefault="00F46E9C" w:rsidP="00F15EA6">
      <w:pPr>
        <w:pStyle w:val="Tytuwykresu0"/>
        <w:ind w:left="709" w:hanging="709"/>
        <w:rPr>
          <w:rFonts w:ascii="Fira Sans" w:hAnsi="Fira Sans"/>
          <w:lang w:val="en-GB"/>
        </w:rPr>
      </w:pPr>
      <w:r w:rsidRPr="00EE4AAC">
        <w:rPr>
          <w:rFonts w:ascii="Fira Sans" w:hAnsi="Fira Sans"/>
          <w:lang w:val="en-GB"/>
        </w:rPr>
        <w:lastRenderedPageBreak/>
        <w:drawing>
          <wp:anchor distT="0" distB="0" distL="114300" distR="114300" simplePos="0" relativeHeight="251811840" behindDoc="0" locked="0" layoutInCell="1" allowOverlap="1" wp14:anchorId="3081915C" wp14:editId="5D350198">
            <wp:simplePos x="0" y="0"/>
            <wp:positionH relativeFrom="margin">
              <wp:align>left</wp:align>
            </wp:positionH>
            <wp:positionV relativeFrom="paragraph">
              <wp:posOffset>327744</wp:posOffset>
            </wp:positionV>
            <wp:extent cx="5041900" cy="3042285"/>
            <wp:effectExtent l="0" t="0" r="0" b="0"/>
            <wp:wrapTopAndBottom/>
            <wp:docPr id="23" name="Obraz 23" descr="Chart 2. The pie chart presenting the structure of entities belonging to the cultural and creative industries by domain of culture in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3042285"/>
                    </a:xfrm>
                    <a:prstGeom prst="rect">
                      <a:avLst/>
                    </a:prstGeom>
                    <a:noFill/>
                  </pic:spPr>
                </pic:pic>
              </a:graphicData>
            </a:graphic>
          </wp:anchor>
        </w:drawing>
      </w:r>
      <w:r w:rsidR="00DD62BE" w:rsidRPr="00EE4AAC">
        <w:rPr>
          <w:rFonts w:ascii="Fira Sans" w:hAnsi="Fira Sans"/>
          <w:lang w:val="en-GB"/>
        </w:rPr>
        <w:t>Chart 2. The structure of entities belonging to the cultural and creative industries by domain of culture in</w:t>
      </w:r>
      <w:r w:rsidR="00DD62BE" w:rsidRPr="00EE4AAC">
        <w:rPr>
          <w:rFonts w:ascii="Fira Sans" w:hAnsi="Fira Sans"/>
          <w:lang w:val="en-GB"/>
        </w:rPr>
        <mc:AlternateContent>
          <mc:Choice Requires="wps">
            <w:drawing>
              <wp:anchor distT="45720" distB="45720" distL="114300" distR="114300" simplePos="0" relativeHeight="251806720" behindDoc="1" locked="0" layoutInCell="1" allowOverlap="1" wp14:anchorId="65E14A63" wp14:editId="5E698CA7">
                <wp:simplePos x="0" y="0"/>
                <wp:positionH relativeFrom="page">
                  <wp:posOffset>5746966</wp:posOffset>
                </wp:positionH>
                <wp:positionV relativeFrom="paragraph">
                  <wp:posOffset>2800074</wp:posOffset>
                </wp:positionV>
                <wp:extent cx="1726565" cy="1259205"/>
                <wp:effectExtent l="0" t="0" r="0" b="0"/>
                <wp:wrapTight wrapText="bothSides">
                  <wp:wrapPolygon edited="0">
                    <wp:start x="715" y="0"/>
                    <wp:lineTo x="715" y="21241"/>
                    <wp:lineTo x="20734" y="21241"/>
                    <wp:lineTo x="20734" y="0"/>
                    <wp:lineTo x="715" y="0"/>
                  </wp:wrapPolygon>
                </wp:wrapTight>
                <wp:docPr id="7" name="Pole tekstowe 16" descr="Most of the entities classified as cultural and creative industries were micro-enterprises. They accounted for 5.9% of all non-financial micro-enterpris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6565" cy="1259205"/>
                        </a:xfrm>
                        <a:prstGeom prst="rect">
                          <a:avLst/>
                        </a:prstGeom>
                        <a:noFill/>
                        <a:ln w="9360">
                          <a:noFill/>
                        </a:ln>
                      </wps:spPr>
                      <wps:style>
                        <a:lnRef idx="0">
                          <a:scrgbClr r="0" g="0" b="0"/>
                        </a:lnRef>
                        <a:fillRef idx="0">
                          <a:scrgbClr r="0" g="0" b="0"/>
                        </a:fillRef>
                        <a:effectRef idx="0">
                          <a:scrgbClr r="0" g="0" b="0"/>
                        </a:effectRef>
                        <a:fontRef idx="minor"/>
                      </wps:style>
                      <wps:txbx>
                        <w:txbxContent>
                          <w:p w14:paraId="61075B9F" w14:textId="7860FBF0" w:rsidR="00DD62BE" w:rsidRDefault="0008656F" w:rsidP="00DD62BE">
                            <w:pPr>
                              <w:pStyle w:val="Zawartoramki"/>
                              <w:suppressAutoHyphens/>
                              <w:spacing w:before="0" w:after="0"/>
                              <w:rPr>
                                <w:lang w:val="en-US"/>
                              </w:rPr>
                            </w:pPr>
                            <w:r>
                              <w:rPr>
                                <w:rFonts w:eastAsia="Times New Roman" w:cs="Times New Roman"/>
                                <w:bCs/>
                                <w:color w:val="001D77"/>
                                <w:sz w:val="18"/>
                                <w:szCs w:val="18"/>
                                <w:lang w:val="en-US" w:eastAsia="pl-PL"/>
                              </w:rPr>
                              <w:t>M</w:t>
                            </w:r>
                            <w:r w:rsidR="00DD62BE">
                              <w:rPr>
                                <w:rFonts w:eastAsia="Times New Roman" w:cs="Times New Roman"/>
                                <w:bCs/>
                                <w:color w:val="001D77"/>
                                <w:sz w:val="18"/>
                                <w:szCs w:val="18"/>
                                <w:lang w:val="en-US" w:eastAsia="pl-PL"/>
                              </w:rPr>
                              <w:t>ost of the entities classified as cultural and creative industries were micro</w:t>
                            </w:r>
                            <w:r w:rsidR="00F56F3E">
                              <w:rPr>
                                <w:rFonts w:eastAsia="Times New Roman" w:cs="Times New Roman"/>
                                <w:bCs/>
                                <w:color w:val="001D77"/>
                                <w:sz w:val="18"/>
                                <w:szCs w:val="18"/>
                                <w:lang w:val="en-US" w:eastAsia="pl-PL"/>
                              </w:rPr>
                              <w:t>-</w:t>
                            </w:r>
                            <w:r w:rsidR="00DD62BE">
                              <w:rPr>
                                <w:rFonts w:eastAsia="Times New Roman" w:cs="Times New Roman"/>
                                <w:bCs/>
                                <w:color w:val="001D77"/>
                                <w:sz w:val="18"/>
                                <w:szCs w:val="18"/>
                                <w:lang w:val="en-US" w:eastAsia="pl-PL"/>
                              </w:rPr>
                              <w:t>enterprises. They accounted for 5.</w:t>
                            </w:r>
                            <w:r w:rsidR="002C157F">
                              <w:rPr>
                                <w:rFonts w:eastAsia="Times New Roman" w:cs="Times New Roman"/>
                                <w:bCs/>
                                <w:color w:val="001D77"/>
                                <w:sz w:val="18"/>
                                <w:szCs w:val="18"/>
                                <w:lang w:val="en-US" w:eastAsia="pl-PL"/>
                              </w:rPr>
                              <w:t>9</w:t>
                            </w:r>
                            <w:r w:rsidR="00DD62BE">
                              <w:rPr>
                                <w:rFonts w:eastAsia="Times New Roman" w:cs="Times New Roman"/>
                                <w:bCs/>
                                <w:color w:val="001D77"/>
                                <w:sz w:val="18"/>
                                <w:szCs w:val="18"/>
                                <w:lang w:val="en-US" w:eastAsia="pl-PL"/>
                              </w:rPr>
                              <w:t>% of all non-financial micro</w:t>
                            </w:r>
                            <w:r w:rsidR="00F56F3E">
                              <w:rPr>
                                <w:rFonts w:eastAsia="Times New Roman" w:cs="Times New Roman"/>
                                <w:bCs/>
                                <w:color w:val="001D77"/>
                                <w:sz w:val="18"/>
                                <w:szCs w:val="18"/>
                                <w:lang w:val="en-US" w:eastAsia="pl-PL"/>
                              </w:rPr>
                              <w:t>-</w:t>
                            </w:r>
                            <w:r w:rsidR="00DD62BE">
                              <w:rPr>
                                <w:rFonts w:eastAsia="Times New Roman" w:cs="Times New Roman"/>
                                <w:bCs/>
                                <w:color w:val="001D77"/>
                                <w:sz w:val="18"/>
                                <w:szCs w:val="18"/>
                                <w:lang w:val="en-US" w:eastAsia="pl-PL"/>
                              </w:rPr>
                              <w:t>enterprises.</w:t>
                            </w:r>
                          </w:p>
                          <w:p w14:paraId="7252C85D" w14:textId="77777777" w:rsidR="00DD62BE" w:rsidRPr="00700917" w:rsidRDefault="00DD62BE" w:rsidP="00DD62BE">
                            <w:pPr>
                              <w:pStyle w:val="Zawartoramki"/>
                              <w:spacing w:after="0"/>
                              <w:rPr>
                                <w:lang w:val="en-GB"/>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65E14A63" id="Pole tekstowe 16" o:spid="_x0000_s1028" alt="Most of the entities classified as cultural and creative industries were micro-enterprises. They accounted for 5.9% of all non-financial micro-enterprises." style="position:absolute;left:0;text-align:left;margin-left:452.5pt;margin-top:220.5pt;width:135.95pt;height:99.15pt;z-index:-2515097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" filled="f" stroked="f" strokeweight=".26mm">
                <v:textbox>
                  <w:txbxContent>
                    <w:p w14:paraId="61075B9F" w14:textId="7860FBF0" w:rsidR="00DD62BE" w:rsidRDefault="0008656F" w:rsidP="00DD62BE">
                      <w:pPr>
                        <w:pStyle w:val="Zawartoramki"/>
                        <w:suppressAutoHyphens/>
                        <w:spacing w:before="0" w:after="0"/>
                        <w:rPr>
                          <w:lang w:val="en-US"/>
                        </w:rPr>
                      </w:pPr>
                      <w:r>
                        <w:rPr>
                          <w:rFonts w:eastAsia="Times New Roman" w:cs="Times New Roman"/>
                          <w:bCs/>
                          <w:color w:val="001D77"/>
                          <w:sz w:val="18"/>
                          <w:szCs w:val="18"/>
                          <w:lang w:val="en-US" w:eastAsia="pl-PL"/>
                        </w:rPr>
                        <w:t>M</w:t>
                      </w:r>
                      <w:r w:rsidR="00DD62BE">
                        <w:rPr>
                          <w:rFonts w:eastAsia="Times New Roman" w:cs="Times New Roman"/>
                          <w:bCs/>
                          <w:color w:val="001D77"/>
                          <w:sz w:val="18"/>
                          <w:szCs w:val="18"/>
                          <w:lang w:val="en-US" w:eastAsia="pl-PL"/>
                        </w:rPr>
                        <w:t>ost of the entities classified as cultural and creative industries were micro</w:t>
                      </w:r>
                      <w:r w:rsidR="00F56F3E">
                        <w:rPr>
                          <w:rFonts w:eastAsia="Times New Roman" w:cs="Times New Roman"/>
                          <w:bCs/>
                          <w:color w:val="001D77"/>
                          <w:sz w:val="18"/>
                          <w:szCs w:val="18"/>
                          <w:lang w:val="en-US" w:eastAsia="pl-PL"/>
                        </w:rPr>
                        <w:t>-</w:t>
                      </w:r>
                      <w:r w:rsidR="00DD62BE">
                        <w:rPr>
                          <w:rFonts w:eastAsia="Times New Roman" w:cs="Times New Roman"/>
                          <w:bCs/>
                          <w:color w:val="001D77"/>
                          <w:sz w:val="18"/>
                          <w:szCs w:val="18"/>
                          <w:lang w:val="en-US" w:eastAsia="pl-PL"/>
                        </w:rPr>
                        <w:t>enterprises. They accounted for 5.</w:t>
                      </w:r>
                      <w:r w:rsidR="002C157F">
                        <w:rPr>
                          <w:rFonts w:eastAsia="Times New Roman" w:cs="Times New Roman"/>
                          <w:bCs/>
                          <w:color w:val="001D77"/>
                          <w:sz w:val="18"/>
                          <w:szCs w:val="18"/>
                          <w:lang w:val="en-US" w:eastAsia="pl-PL"/>
                        </w:rPr>
                        <w:t>9</w:t>
                      </w:r>
                      <w:r w:rsidR="00DD62BE">
                        <w:rPr>
                          <w:rFonts w:eastAsia="Times New Roman" w:cs="Times New Roman"/>
                          <w:bCs/>
                          <w:color w:val="001D77"/>
                          <w:sz w:val="18"/>
                          <w:szCs w:val="18"/>
                          <w:lang w:val="en-US" w:eastAsia="pl-PL"/>
                        </w:rPr>
                        <w:t>% of all non-financial micro</w:t>
                      </w:r>
                      <w:r w:rsidR="00F56F3E">
                        <w:rPr>
                          <w:rFonts w:eastAsia="Times New Roman" w:cs="Times New Roman"/>
                          <w:bCs/>
                          <w:color w:val="001D77"/>
                          <w:sz w:val="18"/>
                          <w:szCs w:val="18"/>
                          <w:lang w:val="en-US" w:eastAsia="pl-PL"/>
                        </w:rPr>
                        <w:t>-</w:t>
                      </w:r>
                      <w:r w:rsidR="00DD62BE">
                        <w:rPr>
                          <w:rFonts w:eastAsia="Times New Roman" w:cs="Times New Roman"/>
                          <w:bCs/>
                          <w:color w:val="001D77"/>
                          <w:sz w:val="18"/>
                          <w:szCs w:val="18"/>
                          <w:lang w:val="en-US" w:eastAsia="pl-PL"/>
                        </w:rPr>
                        <w:t>enterprises.</w:t>
                      </w:r>
                    </w:p>
                    <w:p w14:paraId="7252C85D" w14:textId="77777777" w:rsidR="00DD62BE" w:rsidRPr="00700917" w:rsidRDefault="00DD62BE" w:rsidP="00DD62BE">
                      <w:pPr>
                        <w:pStyle w:val="Zawartoramki"/>
                        <w:spacing w:after="0"/>
                        <w:rPr>
                          <w:lang w:val="en-GB"/>
                        </w:rPr>
                      </w:pPr>
                    </w:p>
                  </w:txbxContent>
                </v:textbox>
                <w10:wrap type="tight" anchorx="page"/>
              </v:rect>
            </w:pict>
          </mc:Fallback>
        </mc:AlternateContent>
      </w:r>
      <w:r w:rsidR="00DD62BE" w:rsidRPr="00EE4AAC">
        <w:rPr>
          <w:rFonts w:ascii="Fira Sans" w:hAnsi="Fira Sans"/>
          <w:lang w:val="en-GB"/>
        </w:rPr>
        <w:t xml:space="preserve"> </w:t>
      </w:r>
      <w:r w:rsidR="00FB78C8" w:rsidRPr="00EE4AAC">
        <w:rPr>
          <w:rFonts w:ascii="Fira Sans" w:hAnsi="Fira Sans"/>
          <w:lang w:val="en-GB"/>
        </w:rPr>
        <w:t>2021</w:t>
      </w:r>
    </w:p>
    <w:p w14:paraId="616EF507" w14:textId="4CA4E9BA" w:rsidR="002C157F" w:rsidRPr="00EE4AAC" w:rsidRDefault="002C157F" w:rsidP="00F46E9C">
      <w:pPr>
        <w:spacing w:before="240" w:line="288" w:lineRule="auto"/>
        <w:rPr>
          <w:lang w:val="en-GB"/>
        </w:rPr>
      </w:pPr>
      <w:r w:rsidRPr="00EE4AAC">
        <w:rPr>
          <w:lang w:val="en-GB"/>
        </w:rPr>
        <w:t xml:space="preserve">The majority of entities were classified as micro-enterprises (99.2% of all entities belonging to the cultural and creative industries). In total, in 2021 there were 133.9 thousand of them, which accounted for 5.9% of all non-financial micro-enterprises. In other size classes of enterprises, the share of cultural and creative industries in the group of non-financial enterprises was as follows: small </w:t>
      </w:r>
      <w:r w:rsidR="00550234" w:rsidRPr="00EE4AAC">
        <w:rPr>
          <w:lang w:val="en-GB"/>
        </w:rPr>
        <w:t>enterprises –</w:t>
      </w:r>
      <w:r w:rsidRPr="00EE4AAC">
        <w:rPr>
          <w:lang w:val="en-GB"/>
        </w:rPr>
        <w:t xml:space="preserve"> 1.8%, medium and large </w:t>
      </w:r>
      <w:r w:rsidR="00550234" w:rsidRPr="00EE4AAC">
        <w:rPr>
          <w:lang w:val="en-GB"/>
        </w:rPr>
        <w:t>–</w:t>
      </w:r>
      <w:r w:rsidRPr="00EE4AAC">
        <w:rPr>
          <w:lang w:val="en-GB"/>
        </w:rPr>
        <w:t xml:space="preserve"> 1.2% each.</w:t>
      </w:r>
    </w:p>
    <w:p w14:paraId="674D298A" w14:textId="1665E8D6" w:rsidR="006D4224" w:rsidRPr="00EE4AAC" w:rsidRDefault="00DD62BE" w:rsidP="00550234">
      <w:pPr>
        <w:pStyle w:val="Nagwek1"/>
        <w:suppressAutoHyphens/>
        <w:rPr>
          <w:rFonts w:ascii="Fira Sans" w:hAnsi="Fira Sans"/>
          <w:b/>
          <w:szCs w:val="19"/>
          <w:lang w:val="en-GB"/>
        </w:rPr>
      </w:pPr>
      <w:r w:rsidRPr="00EE4AAC">
        <w:rPr>
          <w:lang w:val="en-GB"/>
        </w:rPr>
        <w:t>Employed persons, average employment and salaries</w:t>
      </w:r>
      <w:r w:rsidR="002C157F" w:rsidRPr="00EE4AAC">
        <w:rPr>
          <w:noProof/>
          <w:lang w:val="en-GB"/>
        </w:rPr>
        <mc:AlternateContent>
          <mc:Choice Requires="wps">
            <w:drawing>
              <wp:anchor distT="45720" distB="45720" distL="114300" distR="114300" simplePos="0" relativeHeight="251789312" behindDoc="1" locked="0" layoutInCell="1" allowOverlap="1" wp14:anchorId="1C5DC3C7" wp14:editId="371F2373">
                <wp:simplePos x="0" y="0"/>
                <wp:positionH relativeFrom="page">
                  <wp:posOffset>5732780</wp:posOffset>
                </wp:positionH>
                <wp:positionV relativeFrom="paragraph">
                  <wp:posOffset>600710</wp:posOffset>
                </wp:positionV>
                <wp:extent cx="1742440" cy="1200150"/>
                <wp:effectExtent l="0" t="0" r="0" b="0"/>
                <wp:wrapTight wrapText="bothSides">
                  <wp:wrapPolygon edited="0">
                    <wp:start x="708" y="0"/>
                    <wp:lineTo x="708" y="21257"/>
                    <wp:lineTo x="20781" y="21257"/>
                    <wp:lineTo x="20781" y="0"/>
                    <wp:lineTo x="708" y="0"/>
                  </wp:wrapPolygon>
                </wp:wrapTight>
                <wp:docPr id="11" name="Prostokąt 11" descr="Gross monthly remuneration per 1 employee in the cultur-al and creative industries was higher by PLN 994 compared to the total non-financial enterpris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40" cy="1200150"/>
                        </a:xfrm>
                        <a:prstGeom prst="rect">
                          <a:avLst/>
                        </a:prstGeom>
                        <a:noFill/>
                        <a:ln w="9360">
                          <a:noFill/>
                        </a:ln>
                      </wps:spPr>
                      <wps:style>
                        <a:lnRef idx="0">
                          <a:scrgbClr r="0" g="0" b="0"/>
                        </a:lnRef>
                        <a:fillRef idx="0">
                          <a:scrgbClr r="0" g="0" b="0"/>
                        </a:fillRef>
                        <a:effectRef idx="0">
                          <a:scrgbClr r="0" g="0" b="0"/>
                        </a:effectRef>
                        <a:fontRef idx="minor"/>
                      </wps:style>
                      <wps:txbx>
                        <w:txbxContent>
                          <w:p w14:paraId="58E8E69B" w14:textId="3DEBA454" w:rsidR="002C157F" w:rsidRPr="002C157F" w:rsidRDefault="002C157F" w:rsidP="00543DA2">
                            <w:pPr>
                              <w:pStyle w:val="tekstzboku"/>
                              <w:rPr>
                                <w:lang w:val="en-US"/>
                              </w:rPr>
                            </w:pPr>
                            <w:r w:rsidRPr="002C157F">
                              <w:rPr>
                                <w:lang w:val="en-US"/>
                              </w:rPr>
                              <w:t xml:space="preserve">Gross monthly remuneration per 1 employee in the cultural and creative industries was higher by PLN 994 compared to </w:t>
                            </w:r>
                            <w:r>
                              <w:rPr>
                                <w:lang w:val="en-US"/>
                              </w:rPr>
                              <w:t xml:space="preserve">the </w:t>
                            </w:r>
                            <w:r w:rsidRPr="002C157F">
                              <w:rPr>
                                <w:lang w:val="en-US"/>
                              </w:rPr>
                              <w:t>total non-financial enterprises</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1C5DC3C7" id="Prostokąt 11" o:spid="_x0000_s1029" alt="Gross monthly remuneration per 1 employee in the cultur-al and creative industries was higher by PLN 994 compared to the total non-financial enterprises" style="position:absolute;margin-left:451.4pt;margin-top:47.3pt;width:137.2pt;height:94.5pt;z-index:-251527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" filled="f" stroked="f" strokeweight=".26mm">
                <v:textbox>
                  <w:txbxContent>
                    <w:p w14:paraId="58E8E69B" w14:textId="3DEBA454" w:rsidR="002C157F" w:rsidRPr="002C157F" w:rsidRDefault="002C157F" w:rsidP="00543DA2">
                      <w:pPr>
                        <w:pStyle w:val="tekstzboku"/>
                        <w:rPr>
                          <w:lang w:val="en-US"/>
                        </w:rPr>
                      </w:pPr>
                      <w:r w:rsidRPr="002C157F">
                        <w:rPr>
                          <w:lang w:val="en-US"/>
                        </w:rPr>
                        <w:t xml:space="preserve">Gross monthly remuneration per 1 employee in the cultural and creative industries was higher by PLN 994 compared to </w:t>
                      </w:r>
                      <w:r>
                        <w:rPr>
                          <w:lang w:val="en-US"/>
                        </w:rPr>
                        <w:t xml:space="preserve">the </w:t>
                      </w:r>
                      <w:r w:rsidRPr="002C157F">
                        <w:rPr>
                          <w:lang w:val="en-US"/>
                        </w:rPr>
                        <w:t>total non-financial enterprises</w:t>
                      </w:r>
                    </w:p>
                  </w:txbxContent>
                </v:textbox>
                <w10:wrap type="tight" anchorx="page"/>
              </v:rect>
            </w:pict>
          </mc:Fallback>
        </mc:AlternateContent>
      </w:r>
      <w:r w:rsidR="006D4224" w:rsidRPr="00EE4AAC">
        <w:rPr>
          <w:lang w:val="en-GB"/>
        </w:rPr>
        <w:t xml:space="preserve"> </w:t>
      </w:r>
    </w:p>
    <w:p w14:paraId="599F2838" w14:textId="0028E7F4" w:rsidR="00550234" w:rsidRPr="00EE4AAC" w:rsidRDefault="00550234" w:rsidP="00CA09BB">
      <w:pPr>
        <w:spacing w:line="288" w:lineRule="auto"/>
        <w:rPr>
          <w:lang w:val="en-GB"/>
        </w:rPr>
      </w:pPr>
      <w:r w:rsidRPr="00EE4AAC">
        <w:rPr>
          <w:lang w:val="en-GB"/>
        </w:rPr>
        <w:t>As compared to 2020, the number of employees increased by 6.1% and reached 257.3 thousand people. This accounted for 2.5% of the total number of employees in non-financial enterprises (0.1 percentage point more than in 2020). The percentage of people working in micro</w:t>
      </w:r>
      <w:r w:rsidR="00F56F3E" w:rsidRPr="00EE4AAC">
        <w:rPr>
          <w:lang w:val="en-GB"/>
        </w:rPr>
        <w:t>-</w:t>
      </w:r>
      <w:r w:rsidRPr="00EE4AAC">
        <w:rPr>
          <w:lang w:val="en-GB"/>
        </w:rPr>
        <w:t>enterprises amounted to 75.8% (</w:t>
      </w:r>
      <w:r w:rsidR="0008656F" w:rsidRPr="00EE4AAC">
        <w:rPr>
          <w:lang w:val="en-GB"/>
        </w:rPr>
        <w:t xml:space="preserve">an </w:t>
      </w:r>
      <w:r w:rsidRPr="00EE4AAC">
        <w:rPr>
          <w:lang w:val="en-GB"/>
        </w:rPr>
        <w:t>increase by 1.9 percentage points). Despite the greater number of large enterprises, the percentage of employees working in entities of this size class decreased (by 1.1 percentage points) and amounted to 10.6%</w:t>
      </w:r>
      <w:r w:rsidR="0008656F" w:rsidRPr="00EE4AAC">
        <w:rPr>
          <w:lang w:val="en-GB"/>
        </w:rPr>
        <w:t xml:space="preserve"> of all culture and creative industries</w:t>
      </w:r>
      <w:r w:rsidRPr="00EE4AAC">
        <w:rPr>
          <w:lang w:val="en-GB"/>
        </w:rPr>
        <w:t>. Small enterprises employed 7.0% of the total number of employees in the cultural and creative industries, and medium-sized enterprises</w:t>
      </w:r>
      <w:r w:rsidR="0008656F" w:rsidRPr="00EE4AAC">
        <w:rPr>
          <w:lang w:val="en-GB"/>
        </w:rPr>
        <w:t xml:space="preserve"> – 6.7%</w:t>
      </w:r>
      <w:r w:rsidRPr="00EE4AAC">
        <w:rPr>
          <w:lang w:val="en-GB"/>
        </w:rPr>
        <w:t>. The analysis of average employment allowed to conclude that the structure of employment was more balanced: out of the total number of 100.1 thousand full-time jobs, 43.3 thousand of them were in micro-enterprises (43.2%), large enterprises offered 25.0 thousand full-time jobs (24.9%), small enterprises – 16.1 thousand (16.1%), and the medium - 15.8 thousand (15.8%).</w:t>
      </w:r>
    </w:p>
    <w:p w14:paraId="0C84DF08" w14:textId="73A15981" w:rsidR="006A5DC0" w:rsidRPr="00EE4AAC" w:rsidRDefault="006A5DC0" w:rsidP="00CA09BB">
      <w:pPr>
        <w:spacing w:line="288" w:lineRule="auto"/>
        <w:rPr>
          <w:shd w:val="clear" w:color="auto" w:fill="FFFFFF"/>
          <w:lang w:val="en-GB"/>
        </w:rPr>
      </w:pPr>
      <w:r w:rsidRPr="00EE4AAC">
        <w:rPr>
          <w:shd w:val="clear" w:color="auto" w:fill="FFFFFF"/>
          <w:lang w:val="en-GB"/>
        </w:rPr>
        <w:t>Both in non-financial enterprises and in the cultural and creative industries, the gross monthly salary per 1 employee increased compared to the previous year (by 10.0% and 9.3%, respectively). In the cultural and creative industries, the monthly gross remuneration per employee amounted to PLN 6,927 and was PLN 592 higher than in the previous year. The increase in salaries was visible in all size classes of entities classified as cultural and creative industries, with the highest increase in medium-sized enterprises (by PLN 1,102). The monthly gross remuneration per 1 employee in large enterprises increased by PLN 901, in small enterprises by PLN 624, and in micro</w:t>
      </w:r>
      <w:r w:rsidR="00F56F3E" w:rsidRPr="00EE4AAC">
        <w:rPr>
          <w:shd w:val="clear" w:color="auto" w:fill="FFFFFF"/>
          <w:lang w:val="en-GB"/>
        </w:rPr>
        <w:t>-</w:t>
      </w:r>
      <w:r w:rsidRPr="00EE4AAC">
        <w:rPr>
          <w:shd w:val="clear" w:color="auto" w:fill="FFFFFF"/>
          <w:lang w:val="en-GB"/>
        </w:rPr>
        <w:t xml:space="preserve">enterprises by PLN 438. Regardless of the size class of enterprises, in the cultural and creative industries, the monthly gross remuneration per 1 employee was higher than in </w:t>
      </w:r>
      <w:r w:rsidR="0008656F" w:rsidRPr="00EE4AAC">
        <w:rPr>
          <w:shd w:val="clear" w:color="auto" w:fill="FFFFFF"/>
          <w:lang w:val="en-GB"/>
        </w:rPr>
        <w:t xml:space="preserve">all </w:t>
      </w:r>
      <w:r w:rsidRPr="00EE4AAC">
        <w:rPr>
          <w:shd w:val="clear" w:color="auto" w:fill="FFFFFF"/>
          <w:lang w:val="en-GB"/>
        </w:rPr>
        <w:t>non-financial enterprises</w:t>
      </w:r>
      <w:r w:rsidR="0008656F" w:rsidRPr="00EE4AAC">
        <w:rPr>
          <w:shd w:val="clear" w:color="auto" w:fill="FFFFFF"/>
          <w:lang w:val="en-GB"/>
        </w:rPr>
        <w:t xml:space="preserve"> together</w:t>
      </w:r>
      <w:r w:rsidRPr="00EE4AAC">
        <w:rPr>
          <w:shd w:val="clear" w:color="auto" w:fill="FFFFFF"/>
          <w:lang w:val="en-GB"/>
        </w:rPr>
        <w:t>. In total, this difference was PLN 994, but in the largest group of entities, i.e. in micro</w:t>
      </w:r>
      <w:r w:rsidR="00F56F3E" w:rsidRPr="00EE4AAC">
        <w:rPr>
          <w:shd w:val="clear" w:color="auto" w:fill="FFFFFF"/>
          <w:lang w:val="en-GB"/>
        </w:rPr>
        <w:t>-</w:t>
      </w:r>
      <w:r w:rsidRPr="00EE4AAC">
        <w:rPr>
          <w:shd w:val="clear" w:color="auto" w:fill="FFFFFF"/>
          <w:lang w:val="en-GB"/>
        </w:rPr>
        <w:t xml:space="preserve">enterprises, </w:t>
      </w:r>
      <w:r w:rsidR="001F770C" w:rsidRPr="00EE4AAC">
        <w:rPr>
          <w:shd w:val="clear" w:color="auto" w:fill="FFFFFF"/>
          <w:lang w:val="en-GB"/>
        </w:rPr>
        <w:t xml:space="preserve">it was </w:t>
      </w:r>
      <w:r w:rsidRPr="00EE4AAC">
        <w:rPr>
          <w:shd w:val="clear" w:color="auto" w:fill="FFFFFF"/>
          <w:lang w:val="en-GB"/>
        </w:rPr>
        <w:t xml:space="preserve">only PLN 340 (in small enterprises </w:t>
      </w:r>
      <w:r w:rsidR="001F770C" w:rsidRPr="00EE4AAC">
        <w:rPr>
          <w:shd w:val="clear" w:color="auto" w:fill="FFFFFF"/>
          <w:lang w:val="en-GB"/>
        </w:rPr>
        <w:t>–</w:t>
      </w:r>
      <w:r w:rsidRPr="00EE4AAC">
        <w:rPr>
          <w:shd w:val="clear" w:color="auto" w:fill="FFFFFF"/>
          <w:lang w:val="en-GB"/>
        </w:rPr>
        <w:t xml:space="preserve"> PLN</w:t>
      </w:r>
      <w:r w:rsidR="001F770C" w:rsidRPr="00EE4AAC">
        <w:rPr>
          <w:shd w:val="clear" w:color="auto" w:fill="FFFFFF"/>
          <w:lang w:val="en-GB"/>
        </w:rPr>
        <w:t xml:space="preserve"> </w:t>
      </w:r>
      <w:r w:rsidRPr="00EE4AAC">
        <w:rPr>
          <w:shd w:val="clear" w:color="auto" w:fill="FFFFFF"/>
          <w:lang w:val="en-GB"/>
        </w:rPr>
        <w:t xml:space="preserve">1,944, </w:t>
      </w:r>
      <w:r w:rsidR="001F770C" w:rsidRPr="00EE4AAC">
        <w:rPr>
          <w:shd w:val="clear" w:color="auto" w:fill="FFFFFF"/>
          <w:lang w:val="en-GB"/>
        </w:rPr>
        <w:t>in medium enterprises</w:t>
      </w:r>
      <w:r w:rsidRPr="00EE4AAC">
        <w:rPr>
          <w:shd w:val="clear" w:color="auto" w:fill="FFFFFF"/>
          <w:lang w:val="en-GB"/>
        </w:rPr>
        <w:t xml:space="preserve"> </w:t>
      </w:r>
      <w:r w:rsidR="001F770C" w:rsidRPr="00EE4AAC">
        <w:rPr>
          <w:shd w:val="clear" w:color="auto" w:fill="FFFFFF"/>
          <w:lang w:val="en-GB"/>
        </w:rPr>
        <w:t>–</w:t>
      </w:r>
      <w:r w:rsidRPr="00EE4AAC">
        <w:rPr>
          <w:shd w:val="clear" w:color="auto" w:fill="FFFFFF"/>
          <w:lang w:val="en-GB"/>
        </w:rPr>
        <w:t xml:space="preserve"> PLN</w:t>
      </w:r>
      <w:r w:rsidR="001F770C" w:rsidRPr="00EE4AAC">
        <w:rPr>
          <w:shd w:val="clear" w:color="auto" w:fill="FFFFFF"/>
          <w:lang w:val="en-GB"/>
        </w:rPr>
        <w:t xml:space="preserve"> </w:t>
      </w:r>
      <w:r w:rsidRPr="00EE4AAC">
        <w:rPr>
          <w:shd w:val="clear" w:color="auto" w:fill="FFFFFF"/>
          <w:lang w:val="en-GB"/>
        </w:rPr>
        <w:t xml:space="preserve">2,825 and </w:t>
      </w:r>
      <w:r w:rsidR="001F770C" w:rsidRPr="00EE4AAC">
        <w:rPr>
          <w:shd w:val="clear" w:color="auto" w:fill="FFFFFF"/>
          <w:lang w:val="en-GB"/>
        </w:rPr>
        <w:t xml:space="preserve">in </w:t>
      </w:r>
      <w:r w:rsidRPr="00EE4AAC">
        <w:rPr>
          <w:shd w:val="clear" w:color="auto" w:fill="FFFFFF"/>
          <w:lang w:val="en-GB"/>
        </w:rPr>
        <w:t xml:space="preserve">large </w:t>
      </w:r>
      <w:r w:rsidR="001F770C" w:rsidRPr="00EE4AAC">
        <w:rPr>
          <w:shd w:val="clear" w:color="auto" w:fill="FFFFFF"/>
          <w:lang w:val="en-GB"/>
        </w:rPr>
        <w:t>ones –</w:t>
      </w:r>
      <w:r w:rsidRPr="00EE4AAC">
        <w:rPr>
          <w:shd w:val="clear" w:color="auto" w:fill="FFFFFF"/>
          <w:lang w:val="en-GB"/>
        </w:rPr>
        <w:t xml:space="preserve"> PLN 3,038). The share of gross salaries in</w:t>
      </w:r>
      <w:r w:rsidR="001F770C" w:rsidRPr="00EE4AAC">
        <w:rPr>
          <w:shd w:val="clear" w:color="auto" w:fill="FFFFFF"/>
          <w:lang w:val="en-GB"/>
        </w:rPr>
        <w:t xml:space="preserve"> the</w:t>
      </w:r>
      <w:r w:rsidRPr="00EE4AAC">
        <w:rPr>
          <w:shd w:val="clear" w:color="auto" w:fill="FFFFFF"/>
          <w:lang w:val="en-GB"/>
        </w:rPr>
        <w:t xml:space="preserve"> total costs in the case of enterprises classified as cultural and creative industries amounted to 10.7%.</w:t>
      </w:r>
    </w:p>
    <w:p w14:paraId="5C613671" w14:textId="5C1D0A4D" w:rsidR="006D4224" w:rsidRPr="00EE4AAC" w:rsidRDefault="00DD62BE" w:rsidP="00F15EA6">
      <w:pPr>
        <w:pStyle w:val="Tytutablicy"/>
        <w:suppressAutoHyphens/>
        <w:ind w:left="709" w:hanging="709"/>
        <w:rPr>
          <w:lang w:val="en-GB"/>
        </w:rPr>
      </w:pPr>
      <w:r w:rsidRPr="00EE4AAC">
        <w:rPr>
          <w:lang w:val="en-GB"/>
        </w:rPr>
        <w:lastRenderedPageBreak/>
        <w:t xml:space="preserve">Table 1. Employed persons, average paid employment, gross wages, and salaries in the cultural and creative industries in </w:t>
      </w:r>
      <w:r w:rsidR="006D4224" w:rsidRPr="00EE4AAC">
        <w:rPr>
          <w:lang w:val="en-GB"/>
        </w:rPr>
        <w:t>202</w:t>
      </w:r>
      <w:r w:rsidR="00E953FE" w:rsidRPr="00EE4AAC">
        <w:rPr>
          <w:lang w:val="en-GB"/>
        </w:rPr>
        <w:t>1</w:t>
      </w:r>
    </w:p>
    <w:tbl>
      <w:tblPr>
        <w:tblStyle w:val="Siatkatabelijasna1"/>
        <w:tblW w:w="7768" w:type="dxa"/>
        <w:tblInd w:w="0" w:type="dxa"/>
        <w:tblBorders>
          <w:top w:val="single" w:sz="4" w:space="0" w:color="001D77"/>
          <w:left w:val="none" w:sz="0" w:space="0" w:color="auto"/>
          <w:bottom w:val="single" w:sz="4" w:space="0" w:color="001D77"/>
          <w:right w:val="none" w:sz="0" w:space="0" w:color="auto"/>
          <w:insideH w:val="single" w:sz="4" w:space="0" w:color="001D77"/>
          <w:insideV w:val="single" w:sz="2" w:space="0" w:color="001D77"/>
        </w:tblBorders>
        <w:tblLayout w:type="fixed"/>
        <w:tblCellMar>
          <w:top w:w="57" w:type="dxa"/>
          <w:bottom w:w="57" w:type="dxa"/>
        </w:tblCellMar>
        <w:tblLook w:val="0400" w:firstRow="0" w:lastRow="0" w:firstColumn="0" w:lastColumn="0" w:noHBand="0" w:noVBand="1"/>
        <w:tblCaption w:val="layout"/>
      </w:tblPr>
      <w:tblGrid>
        <w:gridCol w:w="2401"/>
        <w:gridCol w:w="1341"/>
        <w:gridCol w:w="1342"/>
        <w:gridCol w:w="1342"/>
        <w:gridCol w:w="1342"/>
      </w:tblGrid>
      <w:tr w:rsidR="00DD62BE" w:rsidRPr="00EE4AAC" w14:paraId="13B1404D" w14:textId="77777777" w:rsidTr="00412466">
        <w:trPr>
          <w:trHeight w:val="227"/>
          <w:tblHeader/>
        </w:trPr>
        <w:tc>
          <w:tcPr>
            <w:tcW w:w="2401" w:type="dxa"/>
            <w:vAlign w:val="center"/>
            <w:hideMark/>
          </w:tcPr>
          <w:p w14:paraId="28D459F1" w14:textId="207318B8" w:rsidR="00DD62BE" w:rsidRPr="00EE4AAC" w:rsidRDefault="00DD62BE" w:rsidP="00DD62BE">
            <w:pPr>
              <w:pStyle w:val="Tablicagwkarodek"/>
              <w:rPr>
                <w:rFonts w:cs="Arial"/>
                <w:color w:val="00000A"/>
                <w:sz w:val="16"/>
                <w:szCs w:val="16"/>
                <w:lang w:val="en-GB" w:eastAsia="en-US"/>
              </w:rPr>
            </w:pPr>
            <w:r w:rsidRPr="00EE4AAC">
              <w:rPr>
                <w:rFonts w:cs="Arial"/>
                <w:bCs/>
                <w:color w:val="000000" w:themeColor="text1"/>
                <w:lang w:val="en-GB"/>
              </w:rPr>
              <w:t>Specification</w:t>
            </w:r>
          </w:p>
        </w:tc>
        <w:tc>
          <w:tcPr>
            <w:tcW w:w="1341" w:type="dxa"/>
            <w:tcMar>
              <w:top w:w="57" w:type="dxa"/>
              <w:left w:w="102" w:type="dxa"/>
              <w:bottom w:w="57" w:type="dxa"/>
              <w:right w:w="108" w:type="dxa"/>
            </w:tcMar>
            <w:vAlign w:val="center"/>
            <w:hideMark/>
          </w:tcPr>
          <w:p w14:paraId="6E4F7B8C" w14:textId="77777777" w:rsidR="00DD62BE" w:rsidRPr="00EE4AAC" w:rsidRDefault="00DD62BE" w:rsidP="00DD62BE">
            <w:pPr>
              <w:pStyle w:val="Tablicagwkarodek"/>
              <w:spacing w:before="0" w:after="0" w:line="240" w:lineRule="auto"/>
              <w:rPr>
                <w:rFonts w:cs="Arial"/>
                <w:bCs/>
                <w:color w:val="000000" w:themeColor="text1"/>
                <w:lang w:val="en-GB"/>
              </w:rPr>
            </w:pPr>
            <w:r w:rsidRPr="00EE4AAC">
              <w:rPr>
                <w:rFonts w:cs="Arial"/>
                <w:bCs/>
                <w:color w:val="000000" w:themeColor="text1"/>
                <w:lang w:val="en-GB"/>
              </w:rPr>
              <w:t xml:space="preserve">Number of persons </w:t>
            </w:r>
          </w:p>
          <w:p w14:paraId="7724A1DE" w14:textId="0E4B0019" w:rsidR="00DD62BE" w:rsidRPr="00EE4AAC" w:rsidRDefault="00DD62BE" w:rsidP="00DD62BE">
            <w:pPr>
              <w:pStyle w:val="Tablicagwkarodek"/>
              <w:spacing w:before="0" w:after="0" w:line="240" w:lineRule="auto"/>
              <w:rPr>
                <w:vertAlign w:val="superscript"/>
                <w:lang w:val="en-GB"/>
              </w:rPr>
            </w:pPr>
            <w:proofErr w:type="spellStart"/>
            <w:r w:rsidRPr="00EE4AAC">
              <w:rPr>
                <w:rFonts w:cs="Arial"/>
                <w:bCs/>
                <w:color w:val="000000" w:themeColor="text1"/>
                <w:lang w:val="en-GB"/>
              </w:rPr>
              <w:t>employed</w:t>
            </w:r>
            <w:r w:rsidRPr="00EE4AAC">
              <w:rPr>
                <w:bCs/>
                <w:vertAlign w:val="superscript"/>
                <w:lang w:val="en-GB"/>
              </w:rPr>
              <w:t>a</w:t>
            </w:r>
            <w:proofErr w:type="spellEnd"/>
          </w:p>
        </w:tc>
        <w:tc>
          <w:tcPr>
            <w:tcW w:w="1342" w:type="dxa"/>
            <w:tcMar>
              <w:top w:w="57" w:type="dxa"/>
              <w:left w:w="102" w:type="dxa"/>
              <w:bottom w:w="57" w:type="dxa"/>
              <w:right w:w="108" w:type="dxa"/>
            </w:tcMar>
            <w:vAlign w:val="center"/>
            <w:hideMark/>
          </w:tcPr>
          <w:p w14:paraId="5362AAC6" w14:textId="4CF50ECD" w:rsidR="00DD62BE" w:rsidRPr="00EE4AAC" w:rsidRDefault="00DD62BE" w:rsidP="00DD62BE">
            <w:pPr>
              <w:pStyle w:val="Tablicagwkarodek"/>
              <w:rPr>
                <w:lang w:val="en-GB"/>
              </w:rPr>
            </w:pPr>
            <w:r w:rsidRPr="00EE4AAC">
              <w:rPr>
                <w:rFonts w:cs="Arial"/>
                <w:bCs/>
                <w:color w:val="000000" w:themeColor="text1"/>
                <w:lang w:val="en-GB"/>
              </w:rPr>
              <w:t>Average paid employment</w:t>
            </w:r>
          </w:p>
        </w:tc>
        <w:tc>
          <w:tcPr>
            <w:tcW w:w="1342" w:type="dxa"/>
            <w:tcMar>
              <w:top w:w="57" w:type="dxa"/>
              <w:left w:w="102" w:type="dxa"/>
              <w:bottom w:w="57" w:type="dxa"/>
              <w:right w:w="108" w:type="dxa"/>
            </w:tcMar>
            <w:vAlign w:val="center"/>
            <w:hideMark/>
          </w:tcPr>
          <w:p w14:paraId="0B3E41C7" w14:textId="3A0F257A" w:rsidR="00DD62BE" w:rsidRPr="00EE4AAC" w:rsidRDefault="00DD62BE" w:rsidP="00DD62BE">
            <w:pPr>
              <w:pStyle w:val="Tablicagwkarodek"/>
              <w:rPr>
                <w:lang w:val="en-GB"/>
              </w:rPr>
            </w:pPr>
            <w:r w:rsidRPr="00EE4AAC">
              <w:rPr>
                <w:rFonts w:cs="Arial"/>
                <w:bCs/>
                <w:color w:val="000000" w:themeColor="text1"/>
                <w:lang w:val="en-GB"/>
              </w:rPr>
              <w:t>Gross wages and salaries in thousands PLN</w:t>
            </w:r>
          </w:p>
        </w:tc>
        <w:tc>
          <w:tcPr>
            <w:tcW w:w="1342" w:type="dxa"/>
            <w:tcMar>
              <w:top w:w="57" w:type="dxa"/>
              <w:left w:w="102" w:type="dxa"/>
              <w:bottom w:w="57" w:type="dxa"/>
              <w:right w:w="108" w:type="dxa"/>
            </w:tcMar>
            <w:vAlign w:val="center"/>
            <w:hideMark/>
          </w:tcPr>
          <w:p w14:paraId="6E6E2C95" w14:textId="74FC4E0B" w:rsidR="00DD62BE" w:rsidRPr="00EE4AAC" w:rsidRDefault="00DD62BE" w:rsidP="00DD62BE">
            <w:pPr>
              <w:pStyle w:val="Tablicagwkarodek"/>
              <w:spacing w:before="0"/>
              <w:rPr>
                <w:lang w:val="en-GB"/>
              </w:rPr>
            </w:pPr>
            <w:r w:rsidRPr="00EE4AAC">
              <w:rPr>
                <w:rFonts w:cs="Arial"/>
                <w:bCs/>
                <w:color w:val="000000" w:themeColor="text1"/>
                <w:lang w:val="en-GB"/>
              </w:rPr>
              <w:t>Monthly gross wages and salary per 1 paid employee in PLN</w:t>
            </w:r>
          </w:p>
        </w:tc>
      </w:tr>
      <w:tr w:rsidR="00DD62BE" w:rsidRPr="00EE4AAC" w14:paraId="069F9267" w14:textId="77777777" w:rsidTr="00412466">
        <w:trPr>
          <w:trHeight w:val="227"/>
          <w:tblHeader/>
        </w:trPr>
        <w:tc>
          <w:tcPr>
            <w:tcW w:w="2401" w:type="dxa"/>
            <w:vAlign w:val="center"/>
            <w:hideMark/>
          </w:tcPr>
          <w:p w14:paraId="11FC7A4E" w14:textId="42B30A67" w:rsidR="00DD62BE" w:rsidRPr="00EE4AAC" w:rsidRDefault="00DD62BE" w:rsidP="00DD62BE">
            <w:pPr>
              <w:pStyle w:val="Tablicaboczek"/>
              <w:rPr>
                <w:rFonts w:cs="Fira Sans"/>
                <w:b/>
                <w:bCs/>
                <w:spacing w:val="-1"/>
                <w:lang w:val="en-GB"/>
              </w:rPr>
            </w:pPr>
            <w:r w:rsidRPr="00EE4AAC">
              <w:rPr>
                <w:rFonts w:eastAsiaTheme="majorEastAsia" w:cstheme="majorBidi"/>
                <w:b/>
                <w:bCs/>
                <w:color w:val="000000" w:themeColor="text1"/>
                <w:lang w:val="en-GB"/>
              </w:rPr>
              <w:t>Total</w:t>
            </w:r>
          </w:p>
        </w:tc>
        <w:tc>
          <w:tcPr>
            <w:tcW w:w="1341" w:type="dxa"/>
            <w:tcMar>
              <w:top w:w="57" w:type="dxa"/>
              <w:left w:w="102" w:type="dxa"/>
              <w:bottom w:w="57" w:type="dxa"/>
              <w:right w:w="108" w:type="dxa"/>
            </w:tcMar>
            <w:hideMark/>
          </w:tcPr>
          <w:p w14:paraId="1DECBBE2" w14:textId="0D059D65" w:rsidR="00DD62BE" w:rsidRPr="00EE4AAC" w:rsidRDefault="00DD62BE" w:rsidP="00DD62BE">
            <w:pPr>
              <w:pStyle w:val="Tablicadanerodek"/>
              <w:rPr>
                <w:b/>
                <w:lang w:val="en-GB"/>
              </w:rPr>
            </w:pPr>
            <w:r w:rsidRPr="00EE4AAC">
              <w:rPr>
                <w:b/>
                <w:lang w:val="en-GB"/>
              </w:rPr>
              <w:t>257</w:t>
            </w:r>
            <w:r w:rsidR="00897115" w:rsidRPr="00EE4AAC">
              <w:rPr>
                <w:b/>
                <w:lang w:val="en-GB"/>
              </w:rPr>
              <w:t>,</w:t>
            </w:r>
            <w:r w:rsidRPr="00EE4AAC">
              <w:rPr>
                <w:b/>
                <w:lang w:val="en-GB"/>
              </w:rPr>
              <w:t>298</w:t>
            </w:r>
          </w:p>
        </w:tc>
        <w:tc>
          <w:tcPr>
            <w:tcW w:w="1342" w:type="dxa"/>
            <w:tcMar>
              <w:top w:w="57" w:type="dxa"/>
              <w:left w:w="102" w:type="dxa"/>
              <w:bottom w:w="57" w:type="dxa"/>
              <w:right w:w="108" w:type="dxa"/>
            </w:tcMar>
            <w:hideMark/>
          </w:tcPr>
          <w:p w14:paraId="1DF093C3" w14:textId="59F0D5A0" w:rsidR="00DD62BE" w:rsidRPr="00EE4AAC" w:rsidRDefault="00DD62BE" w:rsidP="00DD62BE">
            <w:pPr>
              <w:pStyle w:val="Tablicadanerodek"/>
              <w:rPr>
                <w:b/>
                <w:lang w:val="en-GB"/>
              </w:rPr>
            </w:pPr>
            <w:r w:rsidRPr="00EE4AAC">
              <w:rPr>
                <w:b/>
                <w:lang w:val="en-GB"/>
              </w:rPr>
              <w:t>100</w:t>
            </w:r>
            <w:r w:rsidR="00897115" w:rsidRPr="00EE4AAC">
              <w:rPr>
                <w:b/>
                <w:lang w:val="en-GB"/>
              </w:rPr>
              <w:t>,</w:t>
            </w:r>
            <w:r w:rsidRPr="00EE4AAC">
              <w:rPr>
                <w:b/>
                <w:lang w:val="en-GB"/>
              </w:rPr>
              <w:t>135</w:t>
            </w:r>
          </w:p>
        </w:tc>
        <w:tc>
          <w:tcPr>
            <w:tcW w:w="1342" w:type="dxa"/>
            <w:tcMar>
              <w:top w:w="57" w:type="dxa"/>
              <w:left w:w="102" w:type="dxa"/>
              <w:bottom w:w="57" w:type="dxa"/>
              <w:right w:w="108" w:type="dxa"/>
            </w:tcMar>
            <w:hideMark/>
          </w:tcPr>
          <w:p w14:paraId="31615E55" w14:textId="1BD7173B" w:rsidR="00DD62BE" w:rsidRPr="00EE4AAC" w:rsidRDefault="00DD62BE" w:rsidP="00DD62BE">
            <w:pPr>
              <w:pStyle w:val="Tablicadanerodek"/>
              <w:rPr>
                <w:b/>
                <w:lang w:val="en-GB"/>
              </w:rPr>
            </w:pPr>
            <w:r w:rsidRPr="00EE4AAC">
              <w:rPr>
                <w:b/>
                <w:lang w:val="en-GB"/>
              </w:rPr>
              <w:t>8</w:t>
            </w:r>
            <w:r w:rsidR="00897115" w:rsidRPr="00EE4AAC">
              <w:rPr>
                <w:b/>
                <w:lang w:val="en-GB"/>
              </w:rPr>
              <w:t>,</w:t>
            </w:r>
            <w:r w:rsidRPr="00EE4AAC">
              <w:rPr>
                <w:b/>
                <w:lang w:val="en-GB"/>
              </w:rPr>
              <w:t>323</w:t>
            </w:r>
            <w:r w:rsidR="00897115" w:rsidRPr="00EE4AAC">
              <w:rPr>
                <w:b/>
                <w:lang w:val="en-GB"/>
              </w:rPr>
              <w:t>,</w:t>
            </w:r>
            <w:r w:rsidRPr="00EE4AAC">
              <w:rPr>
                <w:b/>
                <w:lang w:val="en-GB"/>
              </w:rPr>
              <w:t>965</w:t>
            </w:r>
          </w:p>
        </w:tc>
        <w:tc>
          <w:tcPr>
            <w:tcW w:w="1342" w:type="dxa"/>
            <w:tcMar>
              <w:top w:w="57" w:type="dxa"/>
              <w:left w:w="102" w:type="dxa"/>
              <w:bottom w:w="57" w:type="dxa"/>
              <w:right w:w="108" w:type="dxa"/>
            </w:tcMar>
            <w:hideMark/>
          </w:tcPr>
          <w:p w14:paraId="7F6CA915" w14:textId="1AD5E87A" w:rsidR="00DD62BE" w:rsidRPr="00EE4AAC" w:rsidRDefault="00DD62BE" w:rsidP="00DD62BE">
            <w:pPr>
              <w:pStyle w:val="Tablicadanerodek"/>
              <w:rPr>
                <w:b/>
                <w:lang w:val="en-GB"/>
              </w:rPr>
            </w:pPr>
            <w:r w:rsidRPr="00EE4AAC">
              <w:rPr>
                <w:b/>
                <w:lang w:val="en-GB"/>
              </w:rPr>
              <w:t>6</w:t>
            </w:r>
            <w:r w:rsidR="00897115" w:rsidRPr="00EE4AAC">
              <w:rPr>
                <w:b/>
                <w:lang w:val="en-GB"/>
              </w:rPr>
              <w:t>,</w:t>
            </w:r>
            <w:r w:rsidRPr="00EE4AAC">
              <w:rPr>
                <w:b/>
                <w:lang w:val="en-GB"/>
              </w:rPr>
              <w:t>927</w:t>
            </w:r>
          </w:p>
        </w:tc>
      </w:tr>
      <w:tr w:rsidR="00DD62BE" w:rsidRPr="00EE4AAC" w14:paraId="5E0D76A5" w14:textId="77777777" w:rsidTr="00412466">
        <w:trPr>
          <w:trHeight w:val="227"/>
          <w:tblHeader/>
        </w:trPr>
        <w:tc>
          <w:tcPr>
            <w:tcW w:w="2401" w:type="dxa"/>
            <w:vAlign w:val="center"/>
            <w:hideMark/>
          </w:tcPr>
          <w:p w14:paraId="32C031FD" w14:textId="2DFAD0D2" w:rsidR="00DD62BE" w:rsidRPr="00EE4AAC" w:rsidRDefault="00DD62BE" w:rsidP="00DD62BE">
            <w:pPr>
              <w:pStyle w:val="Tablicaboczek"/>
              <w:rPr>
                <w:rFonts w:cs="Fira Sans"/>
                <w:spacing w:val="-1"/>
                <w:lang w:val="en-GB"/>
              </w:rPr>
            </w:pPr>
            <w:r w:rsidRPr="00EE4AAC">
              <w:rPr>
                <w:rFonts w:eastAsiaTheme="majorEastAsia" w:cstheme="majorBidi"/>
                <w:color w:val="00000A"/>
                <w:lang w:val="en-GB"/>
              </w:rPr>
              <w:t>Micro</w:t>
            </w:r>
            <w:r w:rsidR="00F56F3E" w:rsidRPr="00EE4AAC">
              <w:rPr>
                <w:rFonts w:eastAsiaTheme="majorEastAsia" w:cstheme="majorBidi"/>
                <w:color w:val="00000A"/>
                <w:lang w:val="en-GB"/>
              </w:rPr>
              <w:t>-</w:t>
            </w:r>
            <w:r w:rsidRPr="00EE4AAC">
              <w:rPr>
                <w:rFonts w:eastAsiaTheme="majorEastAsia" w:cstheme="majorBidi"/>
                <w:color w:val="00000A"/>
                <w:lang w:val="en-GB"/>
              </w:rPr>
              <w:t>enterprises</w:t>
            </w:r>
          </w:p>
        </w:tc>
        <w:tc>
          <w:tcPr>
            <w:tcW w:w="1341" w:type="dxa"/>
            <w:tcMar>
              <w:top w:w="57" w:type="dxa"/>
              <w:left w:w="102" w:type="dxa"/>
              <w:bottom w:w="57" w:type="dxa"/>
              <w:right w:w="108" w:type="dxa"/>
            </w:tcMar>
            <w:vAlign w:val="center"/>
            <w:hideMark/>
          </w:tcPr>
          <w:p w14:paraId="124A9612" w14:textId="1808BD80" w:rsidR="00DD62BE" w:rsidRPr="00EE4AAC" w:rsidRDefault="00DD62BE" w:rsidP="00DD62BE">
            <w:pPr>
              <w:pStyle w:val="Tablicadanerodek"/>
              <w:rPr>
                <w:lang w:val="en-GB"/>
              </w:rPr>
            </w:pPr>
            <w:r w:rsidRPr="00EE4AAC">
              <w:rPr>
                <w:lang w:val="en-GB"/>
              </w:rPr>
              <w:t>194</w:t>
            </w:r>
            <w:r w:rsidR="00897115" w:rsidRPr="00EE4AAC">
              <w:rPr>
                <w:lang w:val="en-GB"/>
              </w:rPr>
              <w:t>,</w:t>
            </w:r>
            <w:r w:rsidRPr="00EE4AAC">
              <w:rPr>
                <w:lang w:val="en-GB"/>
              </w:rPr>
              <w:t>947</w:t>
            </w:r>
          </w:p>
        </w:tc>
        <w:tc>
          <w:tcPr>
            <w:tcW w:w="1342" w:type="dxa"/>
            <w:tcMar>
              <w:top w:w="57" w:type="dxa"/>
              <w:left w:w="102" w:type="dxa"/>
              <w:bottom w:w="57" w:type="dxa"/>
              <w:right w:w="108" w:type="dxa"/>
            </w:tcMar>
            <w:vAlign w:val="center"/>
            <w:hideMark/>
          </w:tcPr>
          <w:p w14:paraId="526BFE3D" w14:textId="0CFC4948" w:rsidR="00DD62BE" w:rsidRPr="00EE4AAC" w:rsidRDefault="00DD62BE" w:rsidP="00DD62BE">
            <w:pPr>
              <w:pStyle w:val="Tablicadanerodek"/>
              <w:rPr>
                <w:lang w:val="en-GB"/>
              </w:rPr>
            </w:pPr>
            <w:r w:rsidRPr="00EE4AAC">
              <w:rPr>
                <w:lang w:val="en-GB"/>
              </w:rPr>
              <w:t>43</w:t>
            </w:r>
            <w:r w:rsidR="00897115" w:rsidRPr="00EE4AAC">
              <w:rPr>
                <w:lang w:val="en-GB"/>
              </w:rPr>
              <w:t>,</w:t>
            </w:r>
            <w:r w:rsidRPr="00EE4AAC">
              <w:rPr>
                <w:lang w:val="en-GB"/>
              </w:rPr>
              <w:t>267</w:t>
            </w:r>
          </w:p>
        </w:tc>
        <w:tc>
          <w:tcPr>
            <w:tcW w:w="1342" w:type="dxa"/>
            <w:tcMar>
              <w:top w:w="57" w:type="dxa"/>
              <w:left w:w="102" w:type="dxa"/>
              <w:bottom w:w="57" w:type="dxa"/>
              <w:right w:w="108" w:type="dxa"/>
            </w:tcMar>
            <w:vAlign w:val="center"/>
            <w:hideMark/>
          </w:tcPr>
          <w:p w14:paraId="140551DD" w14:textId="640BE50A" w:rsidR="00DD62BE" w:rsidRPr="00EE4AAC" w:rsidRDefault="00DD62BE" w:rsidP="00DD62BE">
            <w:pPr>
              <w:pStyle w:val="Tablicadanerodek"/>
              <w:rPr>
                <w:lang w:val="en-GB"/>
              </w:rPr>
            </w:pPr>
            <w:r w:rsidRPr="00EE4AAC">
              <w:rPr>
                <w:lang w:val="en-GB"/>
              </w:rPr>
              <w:t>2</w:t>
            </w:r>
            <w:r w:rsidR="00897115" w:rsidRPr="00EE4AAC">
              <w:rPr>
                <w:lang w:val="en-GB"/>
              </w:rPr>
              <w:t>,</w:t>
            </w:r>
            <w:r w:rsidRPr="00EE4AAC">
              <w:rPr>
                <w:lang w:val="en-GB"/>
              </w:rPr>
              <w:t>172</w:t>
            </w:r>
            <w:r w:rsidR="00897115" w:rsidRPr="00EE4AAC">
              <w:rPr>
                <w:lang w:val="en-GB"/>
              </w:rPr>
              <w:t>,</w:t>
            </w:r>
            <w:r w:rsidRPr="00EE4AAC">
              <w:rPr>
                <w:lang w:val="en-GB"/>
              </w:rPr>
              <w:t>718</w:t>
            </w:r>
          </w:p>
        </w:tc>
        <w:tc>
          <w:tcPr>
            <w:tcW w:w="1342" w:type="dxa"/>
            <w:tcMar>
              <w:top w:w="57" w:type="dxa"/>
              <w:left w:w="102" w:type="dxa"/>
              <w:bottom w:w="57" w:type="dxa"/>
              <w:right w:w="108" w:type="dxa"/>
            </w:tcMar>
            <w:vAlign w:val="center"/>
            <w:hideMark/>
          </w:tcPr>
          <w:p w14:paraId="2B224DC0" w14:textId="4C10DD09" w:rsidR="00DD62BE" w:rsidRPr="00EE4AAC" w:rsidRDefault="00DD62BE" w:rsidP="00DD62BE">
            <w:pPr>
              <w:pStyle w:val="Tablicadanerodek"/>
              <w:rPr>
                <w:lang w:val="en-GB"/>
              </w:rPr>
            </w:pPr>
            <w:r w:rsidRPr="00EE4AAC">
              <w:rPr>
                <w:lang w:val="en-GB"/>
              </w:rPr>
              <w:t>4</w:t>
            </w:r>
            <w:r w:rsidR="00897115" w:rsidRPr="00EE4AAC">
              <w:rPr>
                <w:lang w:val="en-GB"/>
              </w:rPr>
              <w:t>,</w:t>
            </w:r>
            <w:r w:rsidRPr="00EE4AAC">
              <w:rPr>
                <w:lang w:val="en-GB"/>
              </w:rPr>
              <w:t>185</w:t>
            </w:r>
          </w:p>
        </w:tc>
      </w:tr>
      <w:tr w:rsidR="00DD62BE" w:rsidRPr="00EE4AAC" w14:paraId="35DC9906" w14:textId="77777777" w:rsidTr="00412466">
        <w:trPr>
          <w:trHeight w:val="227"/>
          <w:tblHeader/>
        </w:trPr>
        <w:tc>
          <w:tcPr>
            <w:tcW w:w="2401" w:type="dxa"/>
            <w:vAlign w:val="center"/>
            <w:hideMark/>
          </w:tcPr>
          <w:p w14:paraId="458D851D" w14:textId="31A524AA" w:rsidR="00DD62BE" w:rsidRPr="00EE4AAC" w:rsidRDefault="00DD62BE" w:rsidP="00DD62BE">
            <w:pPr>
              <w:pStyle w:val="Tablicaboczek"/>
              <w:rPr>
                <w:rFonts w:cs="Fira Sans"/>
                <w:spacing w:val="-1"/>
                <w:lang w:val="en-GB"/>
              </w:rPr>
            </w:pPr>
            <w:r w:rsidRPr="00EE4AAC">
              <w:rPr>
                <w:rFonts w:eastAsiaTheme="majorEastAsia" w:cstheme="majorBidi"/>
                <w:color w:val="00000A"/>
                <w:lang w:val="en-GB"/>
              </w:rPr>
              <w:t xml:space="preserve">Small enterprises </w:t>
            </w:r>
          </w:p>
        </w:tc>
        <w:tc>
          <w:tcPr>
            <w:tcW w:w="1341" w:type="dxa"/>
            <w:tcMar>
              <w:top w:w="57" w:type="dxa"/>
              <w:left w:w="102" w:type="dxa"/>
              <w:bottom w:w="57" w:type="dxa"/>
              <w:right w:w="108" w:type="dxa"/>
            </w:tcMar>
            <w:vAlign w:val="center"/>
            <w:hideMark/>
          </w:tcPr>
          <w:p w14:paraId="613875F6" w14:textId="0A807D3B" w:rsidR="00DD62BE" w:rsidRPr="00EE4AAC" w:rsidRDefault="00DD62BE" w:rsidP="00DD62BE">
            <w:pPr>
              <w:pStyle w:val="Tablicadanerodek"/>
              <w:rPr>
                <w:lang w:val="en-GB"/>
              </w:rPr>
            </w:pPr>
            <w:r w:rsidRPr="00EE4AAC">
              <w:rPr>
                <w:lang w:val="en-GB"/>
              </w:rPr>
              <w:t>17</w:t>
            </w:r>
            <w:r w:rsidR="00897115" w:rsidRPr="00EE4AAC">
              <w:rPr>
                <w:lang w:val="en-GB"/>
              </w:rPr>
              <w:t>,</w:t>
            </w:r>
            <w:r w:rsidRPr="00EE4AAC">
              <w:rPr>
                <w:lang w:val="en-GB"/>
              </w:rPr>
              <w:t>895</w:t>
            </w:r>
          </w:p>
        </w:tc>
        <w:tc>
          <w:tcPr>
            <w:tcW w:w="1342" w:type="dxa"/>
            <w:tcMar>
              <w:top w:w="57" w:type="dxa"/>
              <w:left w:w="102" w:type="dxa"/>
              <w:bottom w:w="57" w:type="dxa"/>
              <w:right w:w="108" w:type="dxa"/>
            </w:tcMar>
            <w:vAlign w:val="center"/>
            <w:hideMark/>
          </w:tcPr>
          <w:p w14:paraId="4E1242B2" w14:textId="61DE642F" w:rsidR="00DD62BE" w:rsidRPr="00EE4AAC" w:rsidRDefault="00DD62BE" w:rsidP="00DD62BE">
            <w:pPr>
              <w:pStyle w:val="Tablicadanerodek"/>
              <w:rPr>
                <w:lang w:val="en-GB"/>
              </w:rPr>
            </w:pPr>
            <w:r w:rsidRPr="00EE4AAC">
              <w:rPr>
                <w:lang w:val="en-GB"/>
              </w:rPr>
              <w:t>16</w:t>
            </w:r>
            <w:r w:rsidR="00897115" w:rsidRPr="00EE4AAC">
              <w:rPr>
                <w:lang w:val="en-GB"/>
              </w:rPr>
              <w:t>,</w:t>
            </w:r>
            <w:r w:rsidRPr="00EE4AAC">
              <w:rPr>
                <w:lang w:val="en-GB"/>
              </w:rPr>
              <w:t>105</w:t>
            </w:r>
          </w:p>
        </w:tc>
        <w:tc>
          <w:tcPr>
            <w:tcW w:w="1342" w:type="dxa"/>
            <w:tcMar>
              <w:top w:w="57" w:type="dxa"/>
              <w:left w:w="102" w:type="dxa"/>
              <w:bottom w:w="57" w:type="dxa"/>
              <w:right w:w="108" w:type="dxa"/>
            </w:tcMar>
            <w:vAlign w:val="center"/>
            <w:hideMark/>
          </w:tcPr>
          <w:p w14:paraId="2D9588D2" w14:textId="4A297A74" w:rsidR="00DD62BE" w:rsidRPr="00EE4AAC" w:rsidRDefault="00DD62BE" w:rsidP="00DD62BE">
            <w:pPr>
              <w:pStyle w:val="Tablicadanerodek"/>
              <w:rPr>
                <w:lang w:val="en-GB"/>
              </w:rPr>
            </w:pPr>
            <w:r w:rsidRPr="00EE4AAC">
              <w:rPr>
                <w:lang w:val="en-GB"/>
              </w:rPr>
              <w:t>1</w:t>
            </w:r>
            <w:r w:rsidR="00897115" w:rsidRPr="00EE4AAC">
              <w:rPr>
                <w:lang w:val="en-GB"/>
              </w:rPr>
              <w:t>,</w:t>
            </w:r>
            <w:r w:rsidRPr="00EE4AAC">
              <w:rPr>
                <w:lang w:val="en-GB"/>
              </w:rPr>
              <w:t>436</w:t>
            </w:r>
            <w:r w:rsidR="00897115" w:rsidRPr="00EE4AAC">
              <w:rPr>
                <w:lang w:val="en-GB"/>
              </w:rPr>
              <w:t>,</w:t>
            </w:r>
            <w:r w:rsidRPr="00EE4AAC">
              <w:rPr>
                <w:lang w:val="en-GB"/>
              </w:rPr>
              <w:t>787</w:t>
            </w:r>
          </w:p>
        </w:tc>
        <w:tc>
          <w:tcPr>
            <w:tcW w:w="1342" w:type="dxa"/>
            <w:tcMar>
              <w:top w:w="57" w:type="dxa"/>
              <w:left w:w="102" w:type="dxa"/>
              <w:bottom w:w="57" w:type="dxa"/>
              <w:right w:w="108" w:type="dxa"/>
            </w:tcMar>
            <w:vAlign w:val="center"/>
            <w:hideMark/>
          </w:tcPr>
          <w:p w14:paraId="5CAEB82E" w14:textId="3202D54B" w:rsidR="00DD62BE" w:rsidRPr="00EE4AAC" w:rsidRDefault="00DD62BE" w:rsidP="00DD62BE">
            <w:pPr>
              <w:pStyle w:val="Tablicadanerodek"/>
              <w:rPr>
                <w:lang w:val="en-GB"/>
              </w:rPr>
            </w:pPr>
            <w:r w:rsidRPr="00EE4AAC">
              <w:rPr>
                <w:lang w:val="en-GB"/>
              </w:rPr>
              <w:t>7</w:t>
            </w:r>
            <w:r w:rsidR="00897115" w:rsidRPr="00EE4AAC">
              <w:rPr>
                <w:lang w:val="en-GB"/>
              </w:rPr>
              <w:t>,</w:t>
            </w:r>
            <w:r w:rsidRPr="00EE4AAC">
              <w:rPr>
                <w:lang w:val="en-GB"/>
              </w:rPr>
              <w:t>434</w:t>
            </w:r>
          </w:p>
        </w:tc>
      </w:tr>
      <w:tr w:rsidR="00DD62BE" w:rsidRPr="00EE4AAC" w14:paraId="2036B185" w14:textId="77777777" w:rsidTr="00412466">
        <w:trPr>
          <w:trHeight w:val="227"/>
          <w:tblHeader/>
        </w:trPr>
        <w:tc>
          <w:tcPr>
            <w:tcW w:w="2401" w:type="dxa"/>
            <w:vAlign w:val="center"/>
            <w:hideMark/>
          </w:tcPr>
          <w:p w14:paraId="6AE74CA0" w14:textId="694BF983" w:rsidR="00DD62BE" w:rsidRPr="00EE4AAC" w:rsidRDefault="00DD62BE" w:rsidP="00DD62BE">
            <w:pPr>
              <w:pStyle w:val="Tablicaboczek"/>
              <w:rPr>
                <w:rFonts w:cs="Fira Sans"/>
                <w:spacing w:val="-1"/>
                <w:lang w:val="en-GB"/>
              </w:rPr>
            </w:pPr>
            <w:r w:rsidRPr="00EE4AAC">
              <w:rPr>
                <w:rFonts w:eastAsiaTheme="majorEastAsia" w:cstheme="majorBidi"/>
                <w:color w:val="00000A"/>
                <w:lang w:val="en-GB"/>
              </w:rPr>
              <w:t>Medium enterprises</w:t>
            </w:r>
          </w:p>
        </w:tc>
        <w:tc>
          <w:tcPr>
            <w:tcW w:w="1341" w:type="dxa"/>
            <w:tcMar>
              <w:top w:w="57" w:type="dxa"/>
              <w:left w:w="102" w:type="dxa"/>
              <w:bottom w:w="57" w:type="dxa"/>
              <w:right w:w="108" w:type="dxa"/>
            </w:tcMar>
            <w:vAlign w:val="center"/>
            <w:hideMark/>
          </w:tcPr>
          <w:p w14:paraId="467380F9" w14:textId="04E8E975" w:rsidR="00DD62BE" w:rsidRPr="00EE4AAC" w:rsidRDefault="00DD62BE" w:rsidP="00DD62BE">
            <w:pPr>
              <w:pStyle w:val="Tablicadanerodek"/>
              <w:rPr>
                <w:lang w:val="en-GB"/>
              </w:rPr>
            </w:pPr>
            <w:r w:rsidRPr="00EE4AAC">
              <w:rPr>
                <w:lang w:val="en-GB"/>
              </w:rPr>
              <w:t>17</w:t>
            </w:r>
            <w:r w:rsidR="00897115" w:rsidRPr="00EE4AAC">
              <w:rPr>
                <w:lang w:val="en-GB"/>
              </w:rPr>
              <w:t>,</w:t>
            </w:r>
            <w:r w:rsidRPr="00EE4AAC">
              <w:rPr>
                <w:lang w:val="en-GB"/>
              </w:rPr>
              <w:t>170</w:t>
            </w:r>
          </w:p>
        </w:tc>
        <w:tc>
          <w:tcPr>
            <w:tcW w:w="1342" w:type="dxa"/>
            <w:tcMar>
              <w:top w:w="57" w:type="dxa"/>
              <w:left w:w="102" w:type="dxa"/>
              <w:bottom w:w="57" w:type="dxa"/>
              <w:right w:w="108" w:type="dxa"/>
            </w:tcMar>
            <w:vAlign w:val="center"/>
            <w:hideMark/>
          </w:tcPr>
          <w:p w14:paraId="5827AB32" w14:textId="32FD555C" w:rsidR="00DD62BE" w:rsidRPr="00EE4AAC" w:rsidRDefault="00DD62BE" w:rsidP="00DD62BE">
            <w:pPr>
              <w:pStyle w:val="Tablicadanerodek"/>
              <w:rPr>
                <w:lang w:val="en-GB"/>
              </w:rPr>
            </w:pPr>
            <w:r w:rsidRPr="00EE4AAC">
              <w:rPr>
                <w:lang w:val="en-GB"/>
              </w:rPr>
              <w:t>15</w:t>
            </w:r>
            <w:r w:rsidR="00897115" w:rsidRPr="00EE4AAC">
              <w:rPr>
                <w:lang w:val="en-GB"/>
              </w:rPr>
              <w:t>,</w:t>
            </w:r>
            <w:r w:rsidRPr="00EE4AAC">
              <w:rPr>
                <w:lang w:val="en-GB"/>
              </w:rPr>
              <w:t>809</w:t>
            </w:r>
          </w:p>
        </w:tc>
        <w:tc>
          <w:tcPr>
            <w:tcW w:w="1342" w:type="dxa"/>
            <w:tcMar>
              <w:top w:w="57" w:type="dxa"/>
              <w:left w:w="102" w:type="dxa"/>
              <w:bottom w:w="57" w:type="dxa"/>
              <w:right w:w="108" w:type="dxa"/>
            </w:tcMar>
            <w:vAlign w:val="center"/>
            <w:hideMark/>
          </w:tcPr>
          <w:p w14:paraId="04DF75BC" w14:textId="793F8C01" w:rsidR="00DD62BE" w:rsidRPr="00EE4AAC" w:rsidRDefault="00DD62BE" w:rsidP="00DD62BE">
            <w:pPr>
              <w:pStyle w:val="Tablicadanerodek"/>
              <w:rPr>
                <w:lang w:val="en-GB"/>
              </w:rPr>
            </w:pPr>
            <w:r w:rsidRPr="00EE4AAC">
              <w:rPr>
                <w:lang w:val="en-GB"/>
              </w:rPr>
              <w:t>1</w:t>
            </w:r>
            <w:r w:rsidR="00897115" w:rsidRPr="00EE4AAC">
              <w:rPr>
                <w:lang w:val="en-GB"/>
              </w:rPr>
              <w:t>,</w:t>
            </w:r>
            <w:r w:rsidRPr="00EE4AAC">
              <w:rPr>
                <w:lang w:val="en-GB"/>
              </w:rPr>
              <w:t>737</w:t>
            </w:r>
            <w:r w:rsidR="00897115" w:rsidRPr="00EE4AAC">
              <w:rPr>
                <w:lang w:val="en-GB"/>
              </w:rPr>
              <w:t>,</w:t>
            </w:r>
            <w:r w:rsidRPr="00EE4AAC">
              <w:rPr>
                <w:lang w:val="en-GB"/>
              </w:rPr>
              <w:t>957</w:t>
            </w:r>
          </w:p>
        </w:tc>
        <w:tc>
          <w:tcPr>
            <w:tcW w:w="1342" w:type="dxa"/>
            <w:tcMar>
              <w:top w:w="57" w:type="dxa"/>
              <w:left w:w="102" w:type="dxa"/>
              <w:bottom w:w="57" w:type="dxa"/>
              <w:right w:w="108" w:type="dxa"/>
            </w:tcMar>
            <w:vAlign w:val="center"/>
            <w:hideMark/>
          </w:tcPr>
          <w:p w14:paraId="0BB4553D" w14:textId="777314E6" w:rsidR="00DD62BE" w:rsidRPr="00EE4AAC" w:rsidRDefault="00DD62BE" w:rsidP="00DD62BE">
            <w:pPr>
              <w:pStyle w:val="Tablicadanerodek"/>
              <w:rPr>
                <w:lang w:val="en-GB"/>
              </w:rPr>
            </w:pPr>
            <w:r w:rsidRPr="00EE4AAC">
              <w:rPr>
                <w:lang w:val="en-GB"/>
              </w:rPr>
              <w:t>9</w:t>
            </w:r>
            <w:r w:rsidR="00897115" w:rsidRPr="00EE4AAC">
              <w:rPr>
                <w:lang w:val="en-GB"/>
              </w:rPr>
              <w:t>,</w:t>
            </w:r>
            <w:r w:rsidRPr="00EE4AAC">
              <w:rPr>
                <w:lang w:val="en-GB"/>
              </w:rPr>
              <w:t>161</w:t>
            </w:r>
          </w:p>
        </w:tc>
      </w:tr>
      <w:tr w:rsidR="00DD62BE" w:rsidRPr="00EE4AAC" w14:paraId="71C3D1E5" w14:textId="77777777" w:rsidTr="00412466">
        <w:trPr>
          <w:trHeight w:val="227"/>
          <w:tblHeader/>
        </w:trPr>
        <w:tc>
          <w:tcPr>
            <w:tcW w:w="2401" w:type="dxa"/>
            <w:vAlign w:val="center"/>
            <w:hideMark/>
          </w:tcPr>
          <w:p w14:paraId="6D45032C" w14:textId="5678D1A9" w:rsidR="00DD62BE" w:rsidRPr="00EE4AAC" w:rsidRDefault="00DD62BE" w:rsidP="00DD62BE">
            <w:pPr>
              <w:pStyle w:val="Tablicaboczek"/>
              <w:rPr>
                <w:rFonts w:cs="Fira Sans"/>
                <w:spacing w:val="-1"/>
                <w:lang w:val="en-GB"/>
              </w:rPr>
            </w:pPr>
            <w:r w:rsidRPr="00EE4AAC">
              <w:rPr>
                <w:rFonts w:eastAsiaTheme="majorEastAsia" w:cstheme="majorBidi"/>
                <w:color w:val="00000A"/>
                <w:lang w:val="en-GB"/>
              </w:rPr>
              <w:t>Large enterprises</w:t>
            </w:r>
          </w:p>
        </w:tc>
        <w:tc>
          <w:tcPr>
            <w:tcW w:w="1341" w:type="dxa"/>
            <w:tcMar>
              <w:top w:w="57" w:type="dxa"/>
              <w:left w:w="102" w:type="dxa"/>
              <w:bottom w:w="57" w:type="dxa"/>
              <w:right w:w="108" w:type="dxa"/>
            </w:tcMar>
            <w:vAlign w:val="center"/>
            <w:hideMark/>
          </w:tcPr>
          <w:p w14:paraId="0B97903F" w14:textId="14FF6F73" w:rsidR="00DD62BE" w:rsidRPr="00EE4AAC" w:rsidRDefault="00DD62BE" w:rsidP="00DD62BE">
            <w:pPr>
              <w:pStyle w:val="Tablicadanerodek"/>
              <w:rPr>
                <w:lang w:val="en-GB"/>
              </w:rPr>
            </w:pPr>
            <w:r w:rsidRPr="00EE4AAC">
              <w:rPr>
                <w:lang w:val="en-GB"/>
              </w:rPr>
              <w:t>27</w:t>
            </w:r>
            <w:r w:rsidR="00897115" w:rsidRPr="00EE4AAC">
              <w:rPr>
                <w:lang w:val="en-GB"/>
              </w:rPr>
              <w:t>,</w:t>
            </w:r>
            <w:r w:rsidRPr="00EE4AAC">
              <w:rPr>
                <w:lang w:val="en-GB"/>
              </w:rPr>
              <w:t>286</w:t>
            </w:r>
          </w:p>
        </w:tc>
        <w:tc>
          <w:tcPr>
            <w:tcW w:w="1342" w:type="dxa"/>
            <w:tcMar>
              <w:top w:w="57" w:type="dxa"/>
              <w:left w:w="102" w:type="dxa"/>
              <w:bottom w:w="57" w:type="dxa"/>
              <w:right w:w="108" w:type="dxa"/>
            </w:tcMar>
            <w:vAlign w:val="center"/>
            <w:hideMark/>
          </w:tcPr>
          <w:p w14:paraId="50856BAC" w14:textId="494D8525" w:rsidR="00DD62BE" w:rsidRPr="00EE4AAC" w:rsidRDefault="00DD62BE" w:rsidP="00DD62BE">
            <w:pPr>
              <w:pStyle w:val="Tablicadanerodek"/>
              <w:rPr>
                <w:lang w:val="en-GB"/>
              </w:rPr>
            </w:pPr>
            <w:r w:rsidRPr="00EE4AAC">
              <w:rPr>
                <w:lang w:val="en-GB"/>
              </w:rPr>
              <w:t>24</w:t>
            </w:r>
            <w:r w:rsidR="00897115" w:rsidRPr="00EE4AAC">
              <w:rPr>
                <w:lang w:val="en-GB"/>
              </w:rPr>
              <w:t>,</w:t>
            </w:r>
            <w:r w:rsidRPr="00EE4AAC">
              <w:rPr>
                <w:lang w:val="en-GB"/>
              </w:rPr>
              <w:t>954</w:t>
            </w:r>
          </w:p>
        </w:tc>
        <w:tc>
          <w:tcPr>
            <w:tcW w:w="1342" w:type="dxa"/>
            <w:tcMar>
              <w:top w:w="57" w:type="dxa"/>
              <w:left w:w="102" w:type="dxa"/>
              <w:bottom w:w="57" w:type="dxa"/>
              <w:right w:w="108" w:type="dxa"/>
            </w:tcMar>
            <w:vAlign w:val="center"/>
            <w:hideMark/>
          </w:tcPr>
          <w:p w14:paraId="29807476" w14:textId="2CD5D372" w:rsidR="00DD62BE" w:rsidRPr="00EE4AAC" w:rsidRDefault="00DD62BE" w:rsidP="007762FA">
            <w:pPr>
              <w:pStyle w:val="Tablicadanerodek"/>
              <w:rPr>
                <w:lang w:val="en-GB"/>
              </w:rPr>
            </w:pPr>
            <w:r w:rsidRPr="00EE4AAC">
              <w:rPr>
                <w:lang w:val="en-GB"/>
              </w:rPr>
              <w:t>2</w:t>
            </w:r>
            <w:r w:rsidR="007762FA" w:rsidRPr="00EE4AAC">
              <w:rPr>
                <w:lang w:val="en-GB"/>
              </w:rPr>
              <w:t>,</w:t>
            </w:r>
            <w:r w:rsidRPr="00EE4AAC">
              <w:rPr>
                <w:lang w:val="en-GB"/>
              </w:rPr>
              <w:t>976</w:t>
            </w:r>
            <w:r w:rsidR="007762FA" w:rsidRPr="00EE4AAC">
              <w:rPr>
                <w:lang w:val="en-GB"/>
              </w:rPr>
              <w:t>,</w:t>
            </w:r>
            <w:r w:rsidRPr="00EE4AAC">
              <w:rPr>
                <w:lang w:val="en-GB"/>
              </w:rPr>
              <w:t>503</w:t>
            </w:r>
          </w:p>
        </w:tc>
        <w:tc>
          <w:tcPr>
            <w:tcW w:w="1342" w:type="dxa"/>
            <w:tcMar>
              <w:top w:w="57" w:type="dxa"/>
              <w:left w:w="102" w:type="dxa"/>
              <w:bottom w:w="57" w:type="dxa"/>
              <w:right w:w="108" w:type="dxa"/>
            </w:tcMar>
            <w:vAlign w:val="center"/>
            <w:hideMark/>
          </w:tcPr>
          <w:p w14:paraId="40009794" w14:textId="70B5010B" w:rsidR="00DD62BE" w:rsidRPr="00EE4AAC" w:rsidRDefault="00DD62BE" w:rsidP="00DD62BE">
            <w:pPr>
              <w:pStyle w:val="Tablicadanerodek"/>
              <w:rPr>
                <w:lang w:val="en-GB"/>
              </w:rPr>
            </w:pPr>
            <w:r w:rsidRPr="00EE4AAC">
              <w:rPr>
                <w:lang w:val="en-GB"/>
              </w:rPr>
              <w:t>9</w:t>
            </w:r>
            <w:r w:rsidR="00897115" w:rsidRPr="00EE4AAC">
              <w:rPr>
                <w:lang w:val="en-GB"/>
              </w:rPr>
              <w:t>,</w:t>
            </w:r>
            <w:r w:rsidRPr="00EE4AAC">
              <w:rPr>
                <w:lang w:val="en-GB"/>
              </w:rPr>
              <w:t>940</w:t>
            </w:r>
          </w:p>
        </w:tc>
      </w:tr>
    </w:tbl>
    <w:p w14:paraId="2B7762B1" w14:textId="77777777" w:rsidR="00DD62BE" w:rsidRPr="00EE4AAC" w:rsidRDefault="00DD62BE" w:rsidP="00DD62BE">
      <w:pPr>
        <w:suppressAutoHyphens/>
        <w:rPr>
          <w:rFonts w:eastAsia="Times New Roman" w:cs="Times New Roman"/>
          <w:sz w:val="16"/>
          <w:szCs w:val="16"/>
          <w:lang w:val="en-GB" w:eastAsia="pl-PL"/>
        </w:rPr>
      </w:pPr>
      <w:r w:rsidRPr="00EE4AAC">
        <w:rPr>
          <w:rFonts w:eastAsia="Times New Roman" w:cs="Times New Roman"/>
          <w:sz w:val="16"/>
          <w:szCs w:val="16"/>
          <w:lang w:val="en-GB" w:eastAsia="pl-PL"/>
        </w:rPr>
        <w:t>a As of December 31.</w:t>
      </w:r>
    </w:p>
    <w:p w14:paraId="4253C348" w14:textId="38CA757D" w:rsidR="006D4224" w:rsidRPr="00EE4AAC" w:rsidRDefault="00DD62BE" w:rsidP="00DD62BE">
      <w:pPr>
        <w:pStyle w:val="Nagwek1"/>
        <w:suppressAutoHyphens/>
        <w:rPr>
          <w:rFonts w:ascii="Fira Sans" w:hAnsi="Fira Sans"/>
          <w:b/>
          <w:szCs w:val="19"/>
          <w:lang w:val="en-GB"/>
        </w:rPr>
      </w:pPr>
      <w:r w:rsidRPr="00EE4AAC">
        <w:rPr>
          <w:rFonts w:ascii="Fira Sans" w:hAnsi="Fira Sans"/>
          <w:b/>
          <w:szCs w:val="19"/>
          <w:lang w:val="en-GB"/>
        </w:rPr>
        <w:t>Financial results</w:t>
      </w:r>
    </w:p>
    <w:p w14:paraId="4B376650" w14:textId="65806F09" w:rsidR="001F770C" w:rsidRPr="00EE4AAC" w:rsidRDefault="006D4224" w:rsidP="00CA09BB">
      <w:pPr>
        <w:spacing w:line="288" w:lineRule="auto"/>
        <w:rPr>
          <w:shd w:val="clear" w:color="auto" w:fill="FFFFFF"/>
          <w:lang w:val="en-GB"/>
        </w:rPr>
      </w:pPr>
      <w:r w:rsidRPr="00EE4AAC">
        <w:rPr>
          <w:noProof/>
          <w:lang w:val="en-GB" w:eastAsia="pl-PL"/>
        </w:rPr>
        <mc:AlternateContent>
          <mc:Choice Requires="wps">
            <w:drawing>
              <wp:anchor distT="45720" distB="45720" distL="114300" distR="114300" simplePos="0" relativeHeight="251790336" behindDoc="1" locked="0" layoutInCell="1" allowOverlap="1" wp14:anchorId="542C74E5" wp14:editId="662C62DA">
                <wp:simplePos x="0" y="0"/>
                <wp:positionH relativeFrom="column">
                  <wp:posOffset>5248275</wp:posOffset>
                </wp:positionH>
                <wp:positionV relativeFrom="paragraph">
                  <wp:posOffset>59690</wp:posOffset>
                </wp:positionV>
                <wp:extent cx="1726565" cy="1009650"/>
                <wp:effectExtent l="0" t="0" r="0" b="0"/>
                <wp:wrapTight wrapText="bothSides">
                  <wp:wrapPolygon edited="0">
                    <wp:start x="715" y="0"/>
                    <wp:lineTo x="715" y="21192"/>
                    <wp:lineTo x="20734" y="21192"/>
                    <wp:lineTo x="20734" y="0"/>
                    <wp:lineTo x="715" y="0"/>
                  </wp:wrapPolygon>
                </wp:wrapTight>
                <wp:docPr id="16" name="Prostokąt 16" descr="The surplus of total revenues over total costs for cultural and creative industries amounted to PLN 13.4 bill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6565" cy="1009650"/>
                        </a:xfrm>
                        <a:prstGeom prst="rect">
                          <a:avLst/>
                        </a:prstGeom>
                        <a:noFill/>
                        <a:ln w="9360">
                          <a:noFill/>
                        </a:ln>
                      </wps:spPr>
                      <wps:style>
                        <a:lnRef idx="0">
                          <a:scrgbClr r="0" g="0" b="0"/>
                        </a:lnRef>
                        <a:fillRef idx="0">
                          <a:scrgbClr r="0" g="0" b="0"/>
                        </a:fillRef>
                        <a:effectRef idx="0">
                          <a:scrgbClr r="0" g="0" b="0"/>
                        </a:effectRef>
                        <a:fontRef idx="minor"/>
                      </wps:style>
                      <wps:txbx>
                        <w:txbxContent>
                          <w:p w14:paraId="15FEC531" w14:textId="2B790BA9" w:rsidR="006D4224" w:rsidRPr="001F770C" w:rsidRDefault="001F770C" w:rsidP="006D4224">
                            <w:pPr>
                              <w:pStyle w:val="tekstzboku"/>
                              <w:spacing w:before="0" w:after="120"/>
                              <w:rPr>
                                <w:lang w:val="en-US"/>
                              </w:rPr>
                            </w:pPr>
                            <w:r w:rsidRPr="00120529">
                              <w:rPr>
                                <w:lang w:val="en-US"/>
                              </w:rPr>
                              <w:t xml:space="preserve">The surplus of total revenues over total costs for cultural and creative industries amounted to PLN </w:t>
                            </w:r>
                            <w:r w:rsidR="00491E76" w:rsidRPr="001F770C">
                              <w:rPr>
                                <w:lang w:val="en-US"/>
                              </w:rPr>
                              <w:t>13</w:t>
                            </w:r>
                            <w:r>
                              <w:rPr>
                                <w:lang w:val="en-US"/>
                              </w:rPr>
                              <w:t>.</w:t>
                            </w:r>
                            <w:r w:rsidR="00491E76" w:rsidRPr="001F770C">
                              <w:rPr>
                                <w:lang w:val="en-US"/>
                              </w:rPr>
                              <w:t>4 </w:t>
                            </w:r>
                            <w:r>
                              <w:rPr>
                                <w:lang w:val="en-US"/>
                              </w:rPr>
                              <w:t>billion.</w:t>
                            </w:r>
                          </w:p>
                        </w:txbxContent>
                      </wps:txbx>
                      <wps:bodyPr>
                        <a:noAutofit/>
                      </wps:bodyPr>
                    </wps:wsp>
                  </a:graphicData>
                </a:graphic>
                <wp14:sizeRelH relativeFrom="page">
                  <wp14:pctWidth>0</wp14:pctWidth>
                </wp14:sizeRelH>
                <wp14:sizeRelV relativeFrom="margin">
                  <wp14:pctHeight>0</wp14:pctHeight>
                </wp14:sizeRelV>
              </wp:anchor>
            </w:drawing>
          </mc:Choice>
          <mc:Fallback>
            <w:pict>
              <v:rect w14:anchorId="542C74E5" id="Prostokąt 16" o:spid="_x0000_s1030" alt="The surplus of total revenues over total costs for cultural and creative industries amounted to PLN 13.4 billion." style="position:absolute;margin-left:413.25pt;margin-top:4.7pt;width:135.95pt;height:79.5pt;z-index:-25152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" filled="f" stroked="f" strokeweight=".26mm">
                <v:textbox>
                  <w:txbxContent>
                    <w:p w14:paraId="15FEC531" w14:textId="2B790BA9" w:rsidR="006D4224" w:rsidRPr="001F770C" w:rsidRDefault="001F770C" w:rsidP="006D4224">
                      <w:pPr>
                        <w:pStyle w:val="tekstzboku"/>
                        <w:spacing w:before="0" w:after="120"/>
                        <w:rPr>
                          <w:lang w:val="en-US"/>
                        </w:rPr>
                      </w:pPr>
                      <w:r w:rsidRPr="00120529">
                        <w:rPr>
                          <w:lang w:val="en-US"/>
                        </w:rPr>
                        <w:t xml:space="preserve">The surplus of total revenues over total costs for cultural and creative industries amounted to PLN </w:t>
                      </w:r>
                      <w:r w:rsidR="00491E76" w:rsidRPr="001F770C">
                        <w:rPr>
                          <w:lang w:val="en-US"/>
                        </w:rPr>
                        <w:t>13</w:t>
                      </w:r>
                      <w:r>
                        <w:rPr>
                          <w:lang w:val="en-US"/>
                        </w:rPr>
                        <w:t>.</w:t>
                      </w:r>
                      <w:r w:rsidR="00491E76" w:rsidRPr="001F770C">
                        <w:rPr>
                          <w:lang w:val="en-US"/>
                        </w:rPr>
                        <w:t>4 </w:t>
                      </w:r>
                      <w:r>
                        <w:rPr>
                          <w:lang w:val="en-US"/>
                        </w:rPr>
                        <w:t>billion.</w:t>
                      </w:r>
                    </w:p>
                  </w:txbxContent>
                </v:textbox>
                <w10:wrap type="tight"/>
              </v:rect>
            </w:pict>
          </mc:Fallback>
        </mc:AlternateContent>
      </w:r>
      <w:r w:rsidR="001F770C" w:rsidRPr="00EE4AAC">
        <w:rPr>
          <w:lang w:val="en-GB"/>
        </w:rPr>
        <w:t xml:space="preserve">Entities classified as cultural and creative industries generated total revenues of PLN 90.8 billion (PLN 6.3 billion more than in 2020), with total costs of PLN 77.5 billion (PLN 4.8 billion more than in the year before). Thus, as in previous years, a surplus of total revenues over total costs, amounting to PLN 13.4 billion, was recorded (PLN 1.6 billion more than in 2020). The cost level indicator (a </w:t>
      </w:r>
      <w:r w:rsidR="001F770C" w:rsidRPr="00EE4AAC">
        <w:rPr>
          <w:shd w:val="clear" w:color="auto" w:fill="FFFFFF"/>
          <w:lang w:val="en-GB"/>
        </w:rPr>
        <w:t>ratio of total costs to total revenues</w:t>
      </w:r>
      <w:r w:rsidR="001F770C" w:rsidRPr="00EE4AAC">
        <w:rPr>
          <w:lang w:val="en-GB"/>
        </w:rPr>
        <w:t xml:space="preserve">) for all enterprises included in the cultural and creative industries amounted to 85.3% (a decrease of 0.7 percentage points from the 2020 level) and compared to the indicator for all non-financial enterprises was lower by 5.6 percentage points – </w:t>
      </w:r>
      <w:r w:rsidR="001F770C" w:rsidRPr="00EE4AAC">
        <w:rPr>
          <w:shd w:val="clear" w:color="auto" w:fill="FFFFFF"/>
          <w:lang w:val="en-GB"/>
        </w:rPr>
        <w:t>cultural and creative activities were, therefore, less cost-intensive.</w:t>
      </w:r>
    </w:p>
    <w:p w14:paraId="37ECDF7E" w14:textId="77777777" w:rsidR="00A56D33" w:rsidRPr="00EE4AAC" w:rsidRDefault="00A56D33" w:rsidP="00A56D33">
      <w:pPr>
        <w:spacing w:before="240" w:line="288" w:lineRule="auto"/>
        <w:rPr>
          <w:highlight w:val="yellow"/>
          <w:lang w:val="en-GB"/>
        </w:rPr>
      </w:pPr>
      <w:r w:rsidRPr="00EE4AAC">
        <w:rPr>
          <w:lang w:val="en-GB"/>
        </w:rPr>
        <w:t>Total costs per 1 entity classified as part of the cultural and creative industries amounted to PLN 573.7 thousand, while their total revenues were PLN 672.7 thousand. The share of both total revenues and total costs generated by enterprises classified as cultural and creative industries in total revenues and total costs achieved by all non-financial enterprises amounted to 1.4% in both cases.</w:t>
      </w:r>
    </w:p>
    <w:p w14:paraId="3E5AA83F" w14:textId="7617E5F7" w:rsidR="00A56D33" w:rsidRPr="00EE4AAC" w:rsidRDefault="00A56D33" w:rsidP="00A56D33">
      <w:pPr>
        <w:spacing w:line="288" w:lineRule="auto"/>
        <w:rPr>
          <w:rFonts w:cstheme="minorHAnsi"/>
          <w:szCs w:val="19"/>
          <w:lang w:val="en-GB"/>
        </w:rPr>
      </w:pPr>
      <w:r w:rsidRPr="00EE4AAC">
        <w:rPr>
          <w:rFonts w:cstheme="minorHAnsi"/>
          <w:szCs w:val="19"/>
          <w:lang w:val="en-GB"/>
        </w:rPr>
        <w:t xml:space="preserve">Enterprises from the cultural and creative industries group generated the value added of PLN 25.4 billion (PLN 738.8 million more than in 2020), which accounted for 1.8% (a decrease of 0.1 percentage point compared to until 2020) of the value added generated by all non-financial enterprises in the </w:t>
      </w:r>
      <w:r w:rsidR="00F56F3E" w:rsidRPr="00EE4AAC">
        <w:rPr>
          <w:rFonts w:cstheme="minorHAnsi"/>
          <w:szCs w:val="19"/>
          <w:lang w:val="en-GB"/>
        </w:rPr>
        <w:t>analysed</w:t>
      </w:r>
      <w:r w:rsidRPr="00EE4AAC">
        <w:rPr>
          <w:rFonts w:cstheme="minorHAnsi"/>
          <w:szCs w:val="19"/>
          <w:lang w:val="en-GB"/>
        </w:rPr>
        <w:t xml:space="preserve"> year. Almost half of the value added was provided by micro</w:t>
      </w:r>
      <w:r w:rsidR="00F56F3E" w:rsidRPr="00EE4AAC">
        <w:rPr>
          <w:rFonts w:cstheme="minorHAnsi"/>
          <w:szCs w:val="19"/>
          <w:lang w:val="en-GB"/>
        </w:rPr>
        <w:t>-</w:t>
      </w:r>
      <w:r w:rsidRPr="00EE4AAC">
        <w:rPr>
          <w:rFonts w:cstheme="minorHAnsi"/>
          <w:szCs w:val="19"/>
          <w:lang w:val="en-GB"/>
        </w:rPr>
        <w:t>enterprises – PLN 11.7 billion. In the case of large enterprises, it was PLN 7.0 billion, and small and medium-sized enterprises generated PLN 3.1 billion and PLN 3.6 billion of the value added respectively. Calculated per 1 enterprise, the total value added of the cultural and creative industries was 3.3 times lower than the value added per 1 non-financial enterprise.</w:t>
      </w:r>
    </w:p>
    <w:p w14:paraId="4DF3C0CE" w14:textId="1B3A7CE2" w:rsidR="00DD62BE" w:rsidRPr="00EE4AAC" w:rsidRDefault="00A47F5A" w:rsidP="00F15EA6">
      <w:pPr>
        <w:pStyle w:val="Tytuwykresu0"/>
        <w:ind w:left="709" w:hanging="709"/>
        <w:rPr>
          <w:rFonts w:ascii="Fira Sans" w:hAnsi="Fira Sans"/>
          <w:lang w:val="en-GB"/>
        </w:rPr>
      </w:pPr>
      <w:r w:rsidRPr="00EE4AAC">
        <w:rPr>
          <w:lang w:val="en-GB"/>
        </w:rPr>
        <w:lastRenderedPageBreak/>
        <w:drawing>
          <wp:anchor distT="0" distB="0" distL="114300" distR="114300" simplePos="0" relativeHeight="251810816" behindDoc="0" locked="0" layoutInCell="1" allowOverlap="1" wp14:anchorId="074AC73F" wp14:editId="25F70F31">
            <wp:simplePos x="0" y="0"/>
            <wp:positionH relativeFrom="margin">
              <wp:align>left</wp:align>
            </wp:positionH>
            <wp:positionV relativeFrom="paragraph">
              <wp:posOffset>379502</wp:posOffset>
            </wp:positionV>
            <wp:extent cx="5047615" cy="3030220"/>
            <wp:effectExtent l="0" t="0" r="0" b="0"/>
            <wp:wrapTopAndBottom/>
            <wp:docPr id="14" name="Obraz 14" descr="Chart 3. The bar chart presenting the surplus of total revenues over total costs in enterprises belonging to the cultural and creative industries by enterprise size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7615" cy="3030220"/>
                    </a:xfrm>
                    <a:prstGeom prst="rect">
                      <a:avLst/>
                    </a:prstGeom>
                    <a:noFill/>
                  </pic:spPr>
                </pic:pic>
              </a:graphicData>
            </a:graphic>
          </wp:anchor>
        </w:drawing>
      </w:r>
      <w:r w:rsidR="00DD62BE" w:rsidRPr="00EE4AAC">
        <w:rPr>
          <w:rFonts w:ascii="Fira Sans" w:hAnsi="Fira Sans"/>
          <w:lang w:val="en-GB"/>
        </w:rPr>
        <w:t>Chart 3. The surplus of total revenues over total costs in enterprises belonging to the cultural and creative industries by enterprise size class</w:t>
      </w:r>
    </w:p>
    <w:p w14:paraId="75BBE996" w14:textId="7F22C3C1" w:rsidR="00DD62BE" w:rsidRPr="00EE4AAC" w:rsidRDefault="00DD62BE" w:rsidP="00DD62BE">
      <w:pPr>
        <w:pStyle w:val="Nagwek1"/>
        <w:suppressAutoHyphens/>
        <w:rPr>
          <w:rFonts w:ascii="Fira Sans" w:hAnsi="Fira Sans"/>
          <w:b/>
          <w:szCs w:val="19"/>
          <w:lang w:val="en-GB"/>
        </w:rPr>
      </w:pPr>
      <w:r w:rsidRPr="00EE4AAC">
        <w:rPr>
          <w:lang w:val="en-GB"/>
        </w:rPr>
        <w:t xml:space="preserve">International trade in cultural and creative goods and services </w:t>
      </w:r>
    </w:p>
    <w:p w14:paraId="091C6508" w14:textId="2F53A2F7" w:rsidR="00D11050" w:rsidRPr="00EE4AAC" w:rsidRDefault="00897115" w:rsidP="00936CE3">
      <w:pPr>
        <w:spacing w:line="288" w:lineRule="auto"/>
        <w:rPr>
          <w:rFonts w:cstheme="minorHAnsi"/>
          <w:szCs w:val="19"/>
          <w:lang w:val="en-GB"/>
        </w:rPr>
      </w:pPr>
      <w:r w:rsidRPr="00EE4AAC">
        <w:rPr>
          <w:rFonts w:eastAsia="Times New Roman" w:cs="Times New Roman"/>
          <w:noProof/>
          <w:szCs w:val="19"/>
          <w:lang w:val="en-GB" w:eastAsia="pl-PL"/>
        </w:rPr>
        <mc:AlternateContent>
          <mc:Choice Requires="wps">
            <w:drawing>
              <wp:anchor distT="45720" distB="45720" distL="114300" distR="114300" simplePos="0" relativeHeight="251808768" behindDoc="1" locked="0" layoutInCell="1" allowOverlap="1" wp14:anchorId="5B211CFB" wp14:editId="5A98DCAB">
                <wp:simplePos x="0" y="0"/>
                <wp:positionH relativeFrom="page">
                  <wp:posOffset>5755226</wp:posOffset>
                </wp:positionH>
                <wp:positionV relativeFrom="paragraph">
                  <wp:posOffset>649550</wp:posOffset>
                </wp:positionV>
                <wp:extent cx="1805305" cy="1447800"/>
                <wp:effectExtent l="0" t="0" r="0" b="0"/>
                <wp:wrapTight wrapText="bothSides">
                  <wp:wrapPolygon edited="0">
                    <wp:start x="684" y="0"/>
                    <wp:lineTo x="684" y="21316"/>
                    <wp:lineTo x="20741" y="21316"/>
                    <wp:lineTo x="20741" y="0"/>
                    <wp:lineTo x="684" y="0"/>
                  </wp:wrapPolygon>
                </wp:wrapTight>
                <wp:docPr id="8" name="Pole tekstowe 11" descr="In 2021, a positive balance of international trade of cultural and creative goods was recorded, amounting to PLN 5,461.8 million. The balance of trade of cultural and creative services was negative, at the level of -PLN 1,429.0 mill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5305" cy="1447800"/>
                        </a:xfrm>
                        <a:prstGeom prst="rect">
                          <a:avLst/>
                        </a:prstGeom>
                        <a:noFill/>
                        <a:ln w="9360">
                          <a:noFill/>
                        </a:ln>
                      </wps:spPr>
                      <wps:style>
                        <a:lnRef idx="0">
                          <a:scrgbClr r="0" g="0" b="0"/>
                        </a:lnRef>
                        <a:fillRef idx="0">
                          <a:scrgbClr r="0" g="0" b="0"/>
                        </a:fillRef>
                        <a:effectRef idx="0">
                          <a:scrgbClr r="0" g="0" b="0"/>
                        </a:effectRef>
                        <a:fontRef idx="minor"/>
                      </wps:style>
                      <wps:txbx>
                        <w:txbxContent>
                          <w:p w14:paraId="7CB892D9" w14:textId="77C6DAB7" w:rsidR="00DD62BE" w:rsidRPr="00ED2AA0" w:rsidRDefault="00DD62BE" w:rsidP="00DD62BE">
                            <w:pPr>
                              <w:pStyle w:val="tekstzboku"/>
                              <w:rPr>
                                <w:lang w:val="en-US"/>
                              </w:rPr>
                            </w:pPr>
                            <w:r w:rsidRPr="00ED2AA0">
                              <w:rPr>
                                <w:lang w:val="en-US"/>
                              </w:rPr>
                              <w:t>In 202</w:t>
                            </w:r>
                            <w:r>
                              <w:rPr>
                                <w:lang w:val="en-US"/>
                              </w:rPr>
                              <w:t>1</w:t>
                            </w:r>
                            <w:r w:rsidRPr="00ED2AA0">
                              <w:rPr>
                                <w:lang w:val="en-US"/>
                              </w:rPr>
                              <w:t xml:space="preserve">, a positive balance of international trade </w:t>
                            </w:r>
                            <w:r w:rsidR="00D11050">
                              <w:rPr>
                                <w:lang w:val="en-US"/>
                              </w:rPr>
                              <w:t>of</w:t>
                            </w:r>
                            <w:r w:rsidRPr="00ED2AA0">
                              <w:rPr>
                                <w:lang w:val="en-US"/>
                              </w:rPr>
                              <w:t xml:space="preserve"> cultural and creative goods was recorded, amounting to PLN </w:t>
                            </w:r>
                            <w:r>
                              <w:rPr>
                                <w:lang w:val="en-US"/>
                              </w:rPr>
                              <w:t>5,461.8</w:t>
                            </w:r>
                            <w:r w:rsidRPr="00ED2AA0">
                              <w:rPr>
                                <w:lang w:val="en-US"/>
                              </w:rPr>
                              <w:t xml:space="preserve"> million. The balance of trade </w:t>
                            </w:r>
                            <w:r w:rsidR="00D11050">
                              <w:rPr>
                                <w:lang w:val="en-US"/>
                              </w:rPr>
                              <w:t>of</w:t>
                            </w:r>
                            <w:r w:rsidRPr="00ED2AA0">
                              <w:rPr>
                                <w:lang w:val="en-US"/>
                              </w:rPr>
                              <w:t xml:space="preserve"> cultural and creative services was negative, at the level of </w:t>
                            </w:r>
                            <w:r>
                              <w:rPr>
                                <w:lang w:val="en-US"/>
                              </w:rPr>
                              <w:t>-</w:t>
                            </w:r>
                            <w:r w:rsidRPr="00ED2AA0">
                              <w:rPr>
                                <w:lang w:val="en-US"/>
                              </w:rPr>
                              <w:t xml:space="preserve">PLN </w:t>
                            </w:r>
                            <w:r w:rsidR="00897115">
                              <w:rPr>
                                <w:lang w:val="en-US"/>
                              </w:rPr>
                              <w:t>1,429.0</w:t>
                            </w:r>
                            <w:r w:rsidRPr="00ED2AA0">
                              <w:rPr>
                                <w:lang w:val="en-US"/>
                              </w:rPr>
                              <w:t xml:space="preserve"> million.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B211CFB" id="Pole tekstowe 11" o:spid="_x0000_s1031" alt="In 2021, a positive balance of international trade of cultural and creative goods was recorded, amounting to PLN 5,461.8 million. The balance of trade of cultural and creative services was negative, at the level of -PLN 1,429.0 million." style="position:absolute;margin-left:453.15pt;margin-top:51.15pt;width:142.15pt;height:114pt;z-index:-2515077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" filled="f" stroked="f" strokeweight=".26mm">
                <v:textbox>
                  <w:txbxContent>
                    <w:p w14:paraId="7CB892D9" w14:textId="77C6DAB7" w:rsidR="00DD62BE" w:rsidRPr="00ED2AA0" w:rsidRDefault="00DD62BE" w:rsidP="00DD62BE">
                      <w:pPr>
                        <w:pStyle w:val="tekstzboku"/>
                        <w:rPr>
                          <w:lang w:val="en-US"/>
                        </w:rPr>
                      </w:pPr>
                      <w:r w:rsidRPr="00ED2AA0">
                        <w:rPr>
                          <w:lang w:val="en-US"/>
                        </w:rPr>
                        <w:t>In 202</w:t>
                      </w:r>
                      <w:r>
                        <w:rPr>
                          <w:lang w:val="en-US"/>
                        </w:rPr>
                        <w:t>1</w:t>
                      </w:r>
                      <w:r w:rsidRPr="00ED2AA0">
                        <w:rPr>
                          <w:lang w:val="en-US"/>
                        </w:rPr>
                        <w:t xml:space="preserve">, a positive balance of international trade </w:t>
                      </w:r>
                      <w:r w:rsidR="00D11050">
                        <w:rPr>
                          <w:lang w:val="en-US"/>
                        </w:rPr>
                        <w:t>of</w:t>
                      </w:r>
                      <w:r w:rsidRPr="00ED2AA0">
                        <w:rPr>
                          <w:lang w:val="en-US"/>
                        </w:rPr>
                        <w:t xml:space="preserve"> cultural and creative goods was recorded, amounting to PLN </w:t>
                      </w:r>
                      <w:r>
                        <w:rPr>
                          <w:lang w:val="en-US"/>
                        </w:rPr>
                        <w:t>5,461.8</w:t>
                      </w:r>
                      <w:r w:rsidRPr="00ED2AA0">
                        <w:rPr>
                          <w:lang w:val="en-US"/>
                        </w:rPr>
                        <w:t xml:space="preserve"> million. The balance of trade </w:t>
                      </w:r>
                      <w:r w:rsidR="00D11050">
                        <w:rPr>
                          <w:lang w:val="en-US"/>
                        </w:rPr>
                        <w:t>of</w:t>
                      </w:r>
                      <w:r w:rsidRPr="00ED2AA0">
                        <w:rPr>
                          <w:lang w:val="en-US"/>
                        </w:rPr>
                        <w:t xml:space="preserve"> cultural and creative services was negative, at the level of </w:t>
                      </w:r>
                      <w:r>
                        <w:rPr>
                          <w:lang w:val="en-US"/>
                        </w:rPr>
                        <w:t>-</w:t>
                      </w:r>
                      <w:r w:rsidRPr="00ED2AA0">
                        <w:rPr>
                          <w:lang w:val="en-US"/>
                        </w:rPr>
                        <w:t xml:space="preserve">PLN </w:t>
                      </w:r>
                      <w:r w:rsidR="00897115">
                        <w:rPr>
                          <w:lang w:val="en-US"/>
                        </w:rPr>
                        <w:t>1,429.0</w:t>
                      </w:r>
                      <w:r w:rsidRPr="00ED2AA0">
                        <w:rPr>
                          <w:lang w:val="en-US"/>
                        </w:rPr>
                        <w:t xml:space="preserve"> million.</w:t>
                      </w:r>
                    </w:p>
                  </w:txbxContent>
                </v:textbox>
                <w10:wrap type="tight" anchorx="page"/>
              </v:rect>
            </w:pict>
          </mc:Fallback>
        </mc:AlternateContent>
      </w:r>
      <w:r w:rsidR="00D11050" w:rsidRPr="00EE4AAC">
        <w:rPr>
          <w:rFonts w:cstheme="minorHAnsi"/>
          <w:szCs w:val="19"/>
          <w:lang w:val="en-GB"/>
        </w:rPr>
        <w:t>In 2021, cultural and creative goods worth PLN 18,055.6 million were sold abroad, i.e. PLN 1,075.1 million (6.3%) more than in the previous year. Imports of cultural and creative goods also increased</w:t>
      </w:r>
      <w:r w:rsidR="003F458E" w:rsidRPr="00EE4AAC">
        <w:rPr>
          <w:rFonts w:cstheme="minorHAnsi"/>
          <w:szCs w:val="19"/>
          <w:lang w:val="en-GB"/>
        </w:rPr>
        <w:t>,</w:t>
      </w:r>
      <w:r w:rsidR="00D11050" w:rsidRPr="00EE4AAC">
        <w:rPr>
          <w:rFonts w:cstheme="minorHAnsi"/>
          <w:szCs w:val="19"/>
          <w:lang w:val="en-GB"/>
        </w:rPr>
        <w:t xml:space="preserve"> by 16.7%, reaching PLN 12,593.8 million. Thus, the foreign trade balance amounted to PLN 5,461.8 million. The largest amount was obtained from the sale of goods within the field of </w:t>
      </w:r>
      <w:r w:rsidR="00D11050" w:rsidRPr="00EE4AAC">
        <w:rPr>
          <w:rFonts w:cstheme="minorHAnsi"/>
          <w:i/>
          <w:iCs/>
          <w:szCs w:val="19"/>
          <w:lang w:val="en-GB"/>
        </w:rPr>
        <w:t>Books and Press</w:t>
      </w:r>
      <w:r w:rsidR="00D11050" w:rsidRPr="00EE4AAC">
        <w:rPr>
          <w:rFonts w:cstheme="minorHAnsi"/>
          <w:szCs w:val="19"/>
          <w:lang w:val="en-GB"/>
        </w:rPr>
        <w:t xml:space="preserve"> (PLN 8,136.5 million), followed by </w:t>
      </w:r>
      <w:r w:rsidR="00D11050" w:rsidRPr="00EE4AAC">
        <w:rPr>
          <w:rFonts w:cstheme="minorHAnsi"/>
          <w:i/>
          <w:iCs/>
          <w:szCs w:val="19"/>
          <w:lang w:val="en-GB"/>
        </w:rPr>
        <w:t>Audio</w:t>
      </w:r>
      <w:r w:rsidR="002E4DAD" w:rsidRPr="00EE4AAC">
        <w:rPr>
          <w:rFonts w:cstheme="minorHAnsi"/>
          <w:i/>
          <w:iCs/>
          <w:szCs w:val="19"/>
          <w:lang w:val="en-GB"/>
        </w:rPr>
        <w:t>-</w:t>
      </w:r>
      <w:r w:rsidR="00D11050" w:rsidRPr="00EE4AAC">
        <w:rPr>
          <w:rFonts w:cstheme="minorHAnsi"/>
          <w:i/>
          <w:iCs/>
          <w:szCs w:val="19"/>
          <w:lang w:val="en-GB"/>
        </w:rPr>
        <w:t>visual Arts and Multimedia</w:t>
      </w:r>
      <w:r w:rsidR="00D11050" w:rsidRPr="00EE4AAC">
        <w:rPr>
          <w:rFonts w:cstheme="minorHAnsi"/>
          <w:szCs w:val="19"/>
          <w:lang w:val="en-GB"/>
        </w:rPr>
        <w:t xml:space="preserve"> (PLN 7,986.1 million). </w:t>
      </w:r>
      <w:r w:rsidR="005B5488" w:rsidRPr="00EE4AAC">
        <w:rPr>
          <w:rFonts w:cstheme="minorHAnsi"/>
          <w:szCs w:val="19"/>
          <w:lang w:val="en-GB"/>
        </w:rPr>
        <w:t>I</w:t>
      </w:r>
      <w:r w:rsidR="00D11050" w:rsidRPr="00EE4AAC">
        <w:rPr>
          <w:rFonts w:cstheme="minorHAnsi"/>
          <w:szCs w:val="19"/>
          <w:lang w:val="en-GB"/>
        </w:rPr>
        <w:t xml:space="preserve">n case of </w:t>
      </w:r>
      <w:r w:rsidR="00D11050" w:rsidRPr="00EE4AAC">
        <w:rPr>
          <w:rFonts w:cstheme="minorHAnsi"/>
          <w:i/>
          <w:iCs/>
          <w:szCs w:val="19"/>
          <w:lang w:val="en-GB"/>
        </w:rPr>
        <w:t xml:space="preserve">Books and </w:t>
      </w:r>
      <w:r w:rsidR="003F458E" w:rsidRPr="00EE4AAC">
        <w:rPr>
          <w:rFonts w:cstheme="minorHAnsi"/>
          <w:i/>
          <w:iCs/>
          <w:szCs w:val="19"/>
          <w:lang w:val="en-GB"/>
        </w:rPr>
        <w:t>P</w:t>
      </w:r>
      <w:r w:rsidR="00D11050" w:rsidRPr="00EE4AAC">
        <w:rPr>
          <w:rFonts w:cstheme="minorHAnsi"/>
          <w:i/>
          <w:iCs/>
          <w:szCs w:val="19"/>
          <w:lang w:val="en-GB"/>
        </w:rPr>
        <w:t>ress</w:t>
      </w:r>
      <w:r w:rsidR="00D11050" w:rsidRPr="00EE4AAC">
        <w:rPr>
          <w:rFonts w:cstheme="minorHAnsi"/>
          <w:szCs w:val="19"/>
          <w:lang w:val="en-GB"/>
        </w:rPr>
        <w:t xml:space="preserve"> a positive balance of turnover was recorded (PLN 4,992.9 million), </w:t>
      </w:r>
      <w:r w:rsidR="00213AEF" w:rsidRPr="00EE4AAC">
        <w:rPr>
          <w:rFonts w:cstheme="minorHAnsi"/>
          <w:szCs w:val="19"/>
          <w:lang w:val="en-GB"/>
        </w:rPr>
        <w:t xml:space="preserve">whereas </w:t>
      </w:r>
      <w:r w:rsidR="00D11050" w:rsidRPr="00EE4AAC">
        <w:rPr>
          <w:rFonts w:cstheme="minorHAnsi"/>
          <w:szCs w:val="19"/>
          <w:lang w:val="en-GB"/>
        </w:rPr>
        <w:t xml:space="preserve">the area of </w:t>
      </w:r>
      <w:r w:rsidR="00D11050" w:rsidRPr="00EE4AAC">
        <w:rPr>
          <w:rFonts w:cstheme="minorHAnsi"/>
          <w:i/>
          <w:iCs/>
          <w:szCs w:val="19"/>
          <w:lang w:val="en-GB"/>
        </w:rPr>
        <w:t>Audio</w:t>
      </w:r>
      <w:r w:rsidR="002E4DAD" w:rsidRPr="00EE4AAC">
        <w:rPr>
          <w:rFonts w:cstheme="minorHAnsi"/>
          <w:i/>
          <w:iCs/>
          <w:szCs w:val="19"/>
          <w:lang w:val="en-GB"/>
        </w:rPr>
        <w:t>-</w:t>
      </w:r>
      <w:r w:rsidR="00D11050" w:rsidRPr="00EE4AAC">
        <w:rPr>
          <w:rFonts w:cstheme="minorHAnsi"/>
          <w:i/>
          <w:iCs/>
          <w:szCs w:val="19"/>
          <w:lang w:val="en-GB"/>
        </w:rPr>
        <w:t>visual Arts and Multimedia</w:t>
      </w:r>
      <w:r w:rsidR="00D11050" w:rsidRPr="00EE4AAC">
        <w:rPr>
          <w:rFonts w:cstheme="minorHAnsi"/>
          <w:szCs w:val="19"/>
          <w:lang w:val="en-GB"/>
        </w:rPr>
        <w:t xml:space="preserve"> showed the largest negative balance of all fields (PLN -374.7 million). These are completely different results than</w:t>
      </w:r>
      <w:r w:rsidR="003F458E" w:rsidRPr="00EE4AAC">
        <w:rPr>
          <w:rFonts w:cstheme="minorHAnsi"/>
          <w:szCs w:val="19"/>
          <w:lang w:val="en-GB"/>
        </w:rPr>
        <w:t xml:space="preserve"> those of</w:t>
      </w:r>
      <w:r w:rsidR="00D11050" w:rsidRPr="00EE4AAC">
        <w:rPr>
          <w:rFonts w:cstheme="minorHAnsi"/>
          <w:szCs w:val="19"/>
          <w:lang w:val="en-GB"/>
        </w:rPr>
        <w:t xml:space="preserve"> 2020, where the latter field not only recorded the highest sales amounts, but also showed a positive foreign trade balance.</w:t>
      </w:r>
    </w:p>
    <w:p w14:paraId="2904E147" w14:textId="1654D34D" w:rsidR="003F458E" w:rsidRPr="00EE4AAC" w:rsidRDefault="003F458E" w:rsidP="00936CE3">
      <w:pPr>
        <w:spacing w:line="288" w:lineRule="auto"/>
        <w:rPr>
          <w:rFonts w:cstheme="minorHAnsi"/>
          <w:szCs w:val="19"/>
          <w:lang w:val="en-GB"/>
        </w:rPr>
      </w:pPr>
      <w:r w:rsidRPr="00EE4AAC">
        <w:rPr>
          <w:rFonts w:cstheme="minorHAnsi"/>
          <w:szCs w:val="19"/>
          <w:lang w:val="en-GB"/>
        </w:rPr>
        <w:t xml:space="preserve">Compared to 2020, the largest increase in the value of exported cultural and creative goods was observed in the case of </w:t>
      </w:r>
      <w:r w:rsidRPr="00EE4AAC">
        <w:rPr>
          <w:rFonts w:cstheme="minorHAnsi"/>
          <w:i/>
          <w:iCs/>
          <w:szCs w:val="19"/>
          <w:lang w:val="en-GB"/>
        </w:rPr>
        <w:t>Cultural Heritage</w:t>
      </w:r>
      <w:r w:rsidRPr="00EE4AAC">
        <w:rPr>
          <w:rFonts w:cstheme="minorHAnsi"/>
          <w:szCs w:val="19"/>
          <w:lang w:val="en-GB"/>
        </w:rPr>
        <w:t xml:space="preserve"> (by 363.8%). A large increase was also recorded in such fields as: </w:t>
      </w:r>
      <w:r w:rsidRPr="00EE4AAC">
        <w:rPr>
          <w:rFonts w:cstheme="minorHAnsi"/>
          <w:i/>
          <w:iCs/>
          <w:szCs w:val="19"/>
          <w:lang w:val="en-GB"/>
        </w:rPr>
        <w:t>Arts and Crafts</w:t>
      </w:r>
      <w:r w:rsidRPr="00EE4AAC">
        <w:rPr>
          <w:rFonts w:cstheme="minorHAnsi"/>
          <w:szCs w:val="19"/>
          <w:lang w:val="en-GB"/>
        </w:rPr>
        <w:t xml:space="preserve"> (113.0%), </w:t>
      </w:r>
      <w:r w:rsidRPr="00EE4AAC">
        <w:rPr>
          <w:rFonts w:cstheme="minorHAnsi"/>
          <w:i/>
          <w:iCs/>
          <w:szCs w:val="19"/>
          <w:lang w:val="en-GB"/>
        </w:rPr>
        <w:t>Visual Arts</w:t>
      </w:r>
      <w:r w:rsidRPr="00EE4AAC">
        <w:rPr>
          <w:rFonts w:cstheme="minorHAnsi"/>
          <w:szCs w:val="19"/>
          <w:lang w:val="en-GB"/>
        </w:rPr>
        <w:t xml:space="preserve"> (65.9%), </w:t>
      </w:r>
      <w:r w:rsidRPr="00EE4AAC">
        <w:rPr>
          <w:rFonts w:cstheme="minorHAnsi"/>
          <w:i/>
          <w:iCs/>
          <w:szCs w:val="19"/>
          <w:lang w:val="en-GB"/>
        </w:rPr>
        <w:t>Performing Arts</w:t>
      </w:r>
      <w:r w:rsidRPr="00EE4AAC">
        <w:rPr>
          <w:rFonts w:cstheme="minorHAnsi"/>
          <w:szCs w:val="19"/>
          <w:lang w:val="en-GB"/>
        </w:rPr>
        <w:t xml:space="preserve"> (32.9%), </w:t>
      </w:r>
      <w:r w:rsidRPr="00EE4AAC">
        <w:rPr>
          <w:rFonts w:cstheme="minorHAnsi"/>
          <w:i/>
          <w:iCs/>
          <w:szCs w:val="19"/>
          <w:lang w:val="en-GB"/>
        </w:rPr>
        <w:t xml:space="preserve">Books and Press </w:t>
      </w:r>
      <w:r w:rsidRPr="00EE4AAC">
        <w:rPr>
          <w:rFonts w:cstheme="minorHAnsi"/>
          <w:szCs w:val="19"/>
          <w:lang w:val="en-GB"/>
        </w:rPr>
        <w:t xml:space="preserve">(15.8%) and </w:t>
      </w:r>
      <w:r w:rsidRPr="00EE4AAC">
        <w:rPr>
          <w:rFonts w:cstheme="minorHAnsi"/>
          <w:i/>
          <w:iCs/>
          <w:szCs w:val="19"/>
          <w:lang w:val="en-GB"/>
        </w:rPr>
        <w:t>Advertising</w:t>
      </w:r>
      <w:r w:rsidRPr="00EE4AAC">
        <w:rPr>
          <w:rFonts w:cstheme="minorHAnsi"/>
          <w:szCs w:val="19"/>
          <w:lang w:val="en-GB"/>
        </w:rPr>
        <w:t xml:space="preserve"> (7.3%).</w:t>
      </w:r>
    </w:p>
    <w:p w14:paraId="0A26987C" w14:textId="56E33269" w:rsidR="003F458E" w:rsidRPr="00EE4AAC" w:rsidRDefault="003F458E" w:rsidP="00936CE3">
      <w:pPr>
        <w:spacing w:line="288" w:lineRule="auto"/>
        <w:rPr>
          <w:rFonts w:cstheme="minorHAnsi"/>
          <w:szCs w:val="19"/>
          <w:lang w:val="en-GB"/>
        </w:rPr>
      </w:pPr>
      <w:r w:rsidRPr="00EE4AAC">
        <w:rPr>
          <w:rFonts w:cstheme="minorHAnsi"/>
          <w:szCs w:val="19"/>
          <w:lang w:val="en-GB"/>
        </w:rPr>
        <w:t xml:space="preserve">In 2021, cultural and creative services worth PLN 12,855.3 million were delivered abroad (i.e. PLN 1,610.9 million more than in 2020), while cultural and creative services worth PLN 14,284.4 million were purchased. This resulted in a negative foreign trade balance of services in the amount of PLN -1,429.0 million. The areas with a positive foreign trade balance were: </w:t>
      </w:r>
      <w:r w:rsidRPr="00EE4AAC">
        <w:rPr>
          <w:rFonts w:cstheme="minorHAnsi"/>
          <w:i/>
          <w:iCs/>
          <w:szCs w:val="19"/>
          <w:lang w:val="en-GB"/>
        </w:rPr>
        <w:t xml:space="preserve">Advertising </w:t>
      </w:r>
      <w:r w:rsidRPr="00EE4AAC">
        <w:rPr>
          <w:rFonts w:cstheme="minorHAnsi"/>
          <w:szCs w:val="19"/>
          <w:lang w:val="en-GB"/>
        </w:rPr>
        <w:t xml:space="preserve">(PLN 1,212.7 million), </w:t>
      </w:r>
      <w:r w:rsidRPr="00EE4AAC">
        <w:rPr>
          <w:rFonts w:cstheme="minorHAnsi"/>
          <w:i/>
          <w:iCs/>
          <w:szCs w:val="19"/>
          <w:lang w:val="en-GB"/>
        </w:rPr>
        <w:t>Architecture</w:t>
      </w:r>
      <w:r w:rsidRPr="00EE4AAC">
        <w:rPr>
          <w:rFonts w:cstheme="minorHAnsi"/>
          <w:szCs w:val="19"/>
          <w:lang w:val="en-GB"/>
        </w:rPr>
        <w:t xml:space="preserve"> (PLN 95.2 million) and </w:t>
      </w:r>
      <w:r w:rsidRPr="00EE4AAC">
        <w:rPr>
          <w:rFonts w:cstheme="minorHAnsi"/>
          <w:i/>
          <w:iCs/>
          <w:szCs w:val="19"/>
          <w:lang w:val="en-GB"/>
        </w:rPr>
        <w:t>Cultural Heritage</w:t>
      </w:r>
      <w:r w:rsidRPr="00EE4AAC">
        <w:rPr>
          <w:rFonts w:cstheme="minorHAnsi"/>
          <w:szCs w:val="19"/>
          <w:lang w:val="en-GB"/>
        </w:rPr>
        <w:t xml:space="preserve"> (PLN 15.8 million). A negative trade balance in services was recorded in the field of </w:t>
      </w:r>
      <w:r w:rsidRPr="00EE4AAC">
        <w:rPr>
          <w:rFonts w:cstheme="minorHAnsi"/>
          <w:i/>
          <w:iCs/>
          <w:szCs w:val="19"/>
          <w:lang w:val="en-GB"/>
        </w:rPr>
        <w:t>Audio</w:t>
      </w:r>
      <w:r w:rsidR="002E4DAD" w:rsidRPr="00EE4AAC">
        <w:rPr>
          <w:rFonts w:cstheme="minorHAnsi"/>
          <w:i/>
          <w:iCs/>
          <w:szCs w:val="19"/>
          <w:lang w:val="en-GB"/>
        </w:rPr>
        <w:t>-</w:t>
      </w:r>
      <w:r w:rsidRPr="00EE4AAC">
        <w:rPr>
          <w:rFonts w:cstheme="minorHAnsi"/>
          <w:i/>
          <w:iCs/>
          <w:szCs w:val="19"/>
          <w:lang w:val="en-GB"/>
        </w:rPr>
        <w:t xml:space="preserve">visual Arts and Multimedia </w:t>
      </w:r>
      <w:r w:rsidRPr="00EE4AAC">
        <w:rPr>
          <w:rFonts w:cstheme="minorHAnsi"/>
          <w:szCs w:val="19"/>
          <w:lang w:val="en-GB"/>
        </w:rPr>
        <w:t xml:space="preserve">(PLN -2,013.5 million), where imports exceeded exports by more than 2.7 times, </w:t>
      </w:r>
      <w:r w:rsidRPr="00EE4AAC">
        <w:rPr>
          <w:rFonts w:cstheme="minorHAnsi"/>
          <w:i/>
          <w:iCs/>
          <w:szCs w:val="19"/>
          <w:lang w:val="en-GB"/>
        </w:rPr>
        <w:t>Books and Press</w:t>
      </w:r>
      <w:r w:rsidRPr="00EE4AAC">
        <w:rPr>
          <w:rFonts w:cstheme="minorHAnsi"/>
          <w:szCs w:val="19"/>
          <w:lang w:val="en-GB"/>
        </w:rPr>
        <w:t xml:space="preserve"> (PLN -69.6 million) and </w:t>
      </w:r>
      <w:r w:rsidRPr="00EE4AAC">
        <w:rPr>
          <w:rFonts w:cstheme="minorHAnsi"/>
          <w:i/>
          <w:szCs w:val="19"/>
          <w:lang w:val="en-GB"/>
        </w:rPr>
        <w:t>Performing Arts</w:t>
      </w:r>
      <w:r w:rsidRPr="00EE4AAC">
        <w:rPr>
          <w:rFonts w:cstheme="minorHAnsi"/>
          <w:szCs w:val="19"/>
          <w:lang w:val="en-GB"/>
        </w:rPr>
        <w:t xml:space="preserve"> (PLN -169.5 million). The highest value of exports of cultural and creative services was recorded in the field of </w:t>
      </w:r>
      <w:r w:rsidRPr="00EE4AAC">
        <w:rPr>
          <w:rFonts w:cstheme="minorHAnsi"/>
          <w:i/>
          <w:iCs/>
          <w:szCs w:val="19"/>
          <w:lang w:val="en-GB"/>
        </w:rPr>
        <w:t>Advertising</w:t>
      </w:r>
      <w:r w:rsidRPr="00EE4AAC">
        <w:rPr>
          <w:rFonts w:cstheme="minorHAnsi"/>
          <w:szCs w:val="19"/>
          <w:lang w:val="en-GB"/>
        </w:rPr>
        <w:t xml:space="preserve"> (PLN 10,835.7 million), significantly exceeding the value of exports in the following areas: </w:t>
      </w:r>
      <w:r w:rsidRPr="00EE4AAC">
        <w:rPr>
          <w:rFonts w:cstheme="minorHAnsi"/>
          <w:i/>
          <w:iCs/>
          <w:sz w:val="20"/>
          <w:szCs w:val="20"/>
          <w:lang w:val="en-GB"/>
        </w:rPr>
        <w:t>Audio</w:t>
      </w:r>
      <w:r w:rsidR="002E4DAD" w:rsidRPr="00EE4AAC">
        <w:rPr>
          <w:rFonts w:cstheme="minorHAnsi"/>
          <w:i/>
          <w:iCs/>
          <w:sz w:val="20"/>
          <w:szCs w:val="20"/>
          <w:lang w:val="en-GB"/>
        </w:rPr>
        <w:t>-</w:t>
      </w:r>
      <w:r w:rsidRPr="00EE4AAC">
        <w:rPr>
          <w:rFonts w:cstheme="minorHAnsi"/>
          <w:i/>
          <w:iCs/>
          <w:sz w:val="20"/>
          <w:szCs w:val="20"/>
          <w:lang w:val="en-GB"/>
        </w:rPr>
        <w:t>visual Arts and Multimedia</w:t>
      </w:r>
      <w:r w:rsidRPr="00EE4AAC">
        <w:rPr>
          <w:rFonts w:cstheme="minorHAnsi"/>
          <w:sz w:val="20"/>
          <w:szCs w:val="20"/>
          <w:lang w:val="en-GB"/>
        </w:rPr>
        <w:t xml:space="preserve"> </w:t>
      </w:r>
      <w:r w:rsidRPr="00EE4AAC">
        <w:rPr>
          <w:rFonts w:cstheme="minorHAnsi"/>
          <w:szCs w:val="19"/>
          <w:lang w:val="en-GB"/>
        </w:rPr>
        <w:t xml:space="preserve">(PLN 1,163.9 million) and </w:t>
      </w:r>
      <w:r w:rsidRPr="00EE4AAC">
        <w:rPr>
          <w:rFonts w:cstheme="minorHAnsi"/>
          <w:i/>
          <w:iCs/>
          <w:szCs w:val="19"/>
          <w:lang w:val="en-GB"/>
        </w:rPr>
        <w:t>Cultural Heritage</w:t>
      </w:r>
      <w:r w:rsidRPr="00EE4AAC">
        <w:rPr>
          <w:rFonts w:cstheme="minorHAnsi"/>
          <w:szCs w:val="19"/>
          <w:lang w:val="en-GB"/>
        </w:rPr>
        <w:t xml:space="preserve"> (PLN 318.7 million). The highest value of imports was recorded in the field of </w:t>
      </w:r>
      <w:r w:rsidRPr="00EE4AAC">
        <w:rPr>
          <w:rFonts w:cstheme="minorHAnsi"/>
          <w:i/>
          <w:iCs/>
          <w:szCs w:val="19"/>
          <w:lang w:val="en-GB"/>
        </w:rPr>
        <w:t xml:space="preserve">Advertising </w:t>
      </w:r>
      <w:r w:rsidRPr="00EE4AAC">
        <w:rPr>
          <w:rFonts w:cstheme="minorHAnsi"/>
          <w:szCs w:val="19"/>
          <w:lang w:val="en-GB"/>
        </w:rPr>
        <w:t xml:space="preserve">(PLN 9,623.0 million), which is much more than in the fields of </w:t>
      </w:r>
      <w:proofErr w:type="gramStart"/>
      <w:r w:rsidRPr="00EE4AAC">
        <w:rPr>
          <w:rFonts w:cstheme="minorHAnsi"/>
          <w:i/>
          <w:iCs/>
          <w:szCs w:val="19"/>
          <w:lang w:val="en-GB"/>
        </w:rPr>
        <w:t>Audio</w:t>
      </w:r>
      <w:r w:rsidR="002E4DAD" w:rsidRPr="00EE4AAC">
        <w:rPr>
          <w:rFonts w:cstheme="minorHAnsi"/>
          <w:i/>
          <w:iCs/>
          <w:szCs w:val="19"/>
          <w:lang w:val="en-GB"/>
        </w:rPr>
        <w:t xml:space="preserve"> </w:t>
      </w:r>
      <w:r w:rsidRPr="00EE4AAC">
        <w:rPr>
          <w:rFonts w:cstheme="minorHAnsi"/>
          <w:i/>
          <w:iCs/>
          <w:szCs w:val="19"/>
          <w:lang w:val="en-GB"/>
        </w:rPr>
        <w:t>visual</w:t>
      </w:r>
      <w:proofErr w:type="gramEnd"/>
      <w:r w:rsidRPr="00EE4AAC">
        <w:rPr>
          <w:rFonts w:cstheme="minorHAnsi"/>
          <w:i/>
          <w:iCs/>
          <w:szCs w:val="19"/>
          <w:lang w:val="en-GB"/>
        </w:rPr>
        <w:t xml:space="preserve"> Arts and Multimedia</w:t>
      </w:r>
      <w:r w:rsidRPr="00EE4AAC">
        <w:rPr>
          <w:rFonts w:cstheme="minorHAnsi"/>
          <w:szCs w:val="19"/>
          <w:lang w:val="en-GB"/>
        </w:rPr>
        <w:t xml:space="preserve"> (PLN 3,177.4 million) and </w:t>
      </w:r>
      <w:r w:rsidRPr="00EE4AAC">
        <w:rPr>
          <w:rFonts w:cstheme="minorHAnsi"/>
          <w:i/>
          <w:iCs/>
          <w:szCs w:val="19"/>
          <w:lang w:val="en-GB"/>
        </w:rPr>
        <w:t>Books and Press</w:t>
      </w:r>
      <w:r w:rsidRPr="00EE4AAC">
        <w:rPr>
          <w:rFonts w:cstheme="minorHAnsi"/>
          <w:szCs w:val="19"/>
          <w:lang w:val="en-GB"/>
        </w:rPr>
        <w:t xml:space="preserve"> (PLN 705.8 million).</w:t>
      </w:r>
    </w:p>
    <w:p w14:paraId="4A1537AB" w14:textId="77777777" w:rsidR="00A56D33" w:rsidRPr="00EE4AAC" w:rsidRDefault="00A56D33" w:rsidP="00A56D33">
      <w:pPr>
        <w:spacing w:line="288" w:lineRule="auto"/>
        <w:rPr>
          <w:rFonts w:cstheme="minorHAnsi"/>
          <w:szCs w:val="19"/>
          <w:lang w:val="en-GB"/>
        </w:rPr>
      </w:pPr>
      <w:r w:rsidRPr="00EE4AAC">
        <w:rPr>
          <w:rFonts w:cstheme="minorHAnsi"/>
          <w:szCs w:val="19"/>
          <w:lang w:val="en-GB"/>
        </w:rPr>
        <w:t xml:space="preserve">In the structure of Poland's foreign trade, trade in cultural and creative goods and services played a relatively small role and in recent years this share has oscillated around the same values. The share of cultural and creative goods in the export of goods in 2021 amounted to 1.4% (a decrease of 0.2 percentage points), while in imports it was 1.0% (a decrease of 0.1 </w:t>
      </w:r>
      <w:r w:rsidRPr="00EE4AAC">
        <w:rPr>
          <w:rFonts w:cstheme="minorHAnsi"/>
          <w:szCs w:val="19"/>
          <w:lang w:val="en-GB"/>
        </w:rPr>
        <w:lastRenderedPageBreak/>
        <w:t>percentage points). The share of cultural and creative services in the foreign trade of services was slightly higher and amounted to 4.1% and 7.5% for exports and imports, respectively (a decrease in the share in exports by 0.3 percentage points and an increase in the share in imports by 0.2 percentage points).</w:t>
      </w:r>
    </w:p>
    <w:p w14:paraId="6CAFF159" w14:textId="6272B040" w:rsidR="00897115" w:rsidRPr="00EE4AAC" w:rsidRDefault="00897115" w:rsidP="00897115">
      <w:pPr>
        <w:pStyle w:val="Tytutablicy"/>
        <w:suppressAutoHyphens/>
        <w:ind w:left="709" w:hanging="709"/>
        <w:rPr>
          <w:lang w:val="en-GB"/>
        </w:rPr>
      </w:pPr>
      <w:r w:rsidRPr="00EE4AAC">
        <w:rPr>
          <w:lang w:val="en-GB"/>
        </w:rPr>
        <w:t>Table 2. Foreign trade in cultural and creative goods and services by domain of culture in 2021</w:t>
      </w:r>
    </w:p>
    <w:tbl>
      <w:tblPr>
        <w:tblStyle w:val="Siatkatabelijasna1"/>
        <w:tblW w:w="7797" w:type="dxa"/>
        <w:tblInd w:w="0" w:type="dxa"/>
        <w:tblBorders>
          <w:top w:val="single" w:sz="4" w:space="0" w:color="001D77"/>
          <w:left w:val="none" w:sz="0" w:space="0" w:color="auto"/>
          <w:bottom w:val="single" w:sz="4" w:space="0" w:color="001D77"/>
          <w:right w:val="none" w:sz="0" w:space="0" w:color="auto"/>
          <w:insideH w:val="single" w:sz="4" w:space="0" w:color="001D77"/>
          <w:insideV w:val="single" w:sz="2" w:space="0" w:color="001D77"/>
        </w:tblBorders>
        <w:tblCellMar>
          <w:top w:w="57" w:type="dxa"/>
          <w:bottom w:w="57" w:type="dxa"/>
        </w:tblCellMar>
        <w:tblLook w:val="04A0" w:firstRow="1" w:lastRow="0" w:firstColumn="1" w:lastColumn="0" w:noHBand="0" w:noVBand="1"/>
      </w:tblPr>
      <w:tblGrid>
        <w:gridCol w:w="2268"/>
        <w:gridCol w:w="1382"/>
        <w:gridCol w:w="1382"/>
        <w:gridCol w:w="1382"/>
        <w:gridCol w:w="1383"/>
      </w:tblGrid>
      <w:tr w:rsidR="00897115" w:rsidRPr="00EE4AAC" w14:paraId="0C4C0566" w14:textId="77777777" w:rsidTr="00746814">
        <w:trPr>
          <w:trHeight w:val="57"/>
        </w:trPr>
        <w:tc>
          <w:tcPr>
            <w:tcW w:w="2268" w:type="dxa"/>
            <w:vMerge w:val="restart"/>
            <w:vAlign w:val="center"/>
            <w:hideMark/>
          </w:tcPr>
          <w:p w14:paraId="6CF0717C" w14:textId="6397E5D6" w:rsidR="00897115" w:rsidRPr="00EE4AAC" w:rsidRDefault="00897115" w:rsidP="00897115">
            <w:pPr>
              <w:pStyle w:val="Tablicagwkarodek"/>
              <w:rPr>
                <w:lang w:val="en-GB"/>
              </w:rPr>
            </w:pPr>
            <w:r w:rsidRPr="00EE4AAC">
              <w:rPr>
                <w:color w:val="000000" w:themeColor="text1"/>
                <w:lang w:val="en-GB"/>
              </w:rPr>
              <w:t>Specification</w:t>
            </w:r>
          </w:p>
        </w:tc>
        <w:tc>
          <w:tcPr>
            <w:tcW w:w="2764" w:type="dxa"/>
            <w:gridSpan w:val="2"/>
            <w:tcMar>
              <w:top w:w="57" w:type="dxa"/>
              <w:left w:w="102" w:type="dxa"/>
              <w:bottom w:w="57" w:type="dxa"/>
              <w:right w:w="108" w:type="dxa"/>
            </w:tcMar>
            <w:vAlign w:val="center"/>
            <w:hideMark/>
          </w:tcPr>
          <w:p w14:paraId="5F3E9702" w14:textId="0793185E" w:rsidR="00897115" w:rsidRPr="00EE4AAC" w:rsidRDefault="00897115" w:rsidP="00897115">
            <w:pPr>
              <w:pStyle w:val="Tablicagwkarodek"/>
              <w:spacing w:before="0"/>
              <w:rPr>
                <w:lang w:val="en-GB"/>
              </w:rPr>
            </w:pPr>
            <w:r w:rsidRPr="00EE4AAC">
              <w:rPr>
                <w:color w:val="000000" w:themeColor="text1"/>
                <w:lang w:val="en-GB"/>
              </w:rPr>
              <w:t>Cultural and creative goods</w:t>
            </w:r>
          </w:p>
        </w:tc>
        <w:tc>
          <w:tcPr>
            <w:tcW w:w="2765" w:type="dxa"/>
            <w:gridSpan w:val="2"/>
            <w:tcMar>
              <w:top w:w="57" w:type="dxa"/>
              <w:left w:w="102" w:type="dxa"/>
              <w:bottom w:w="57" w:type="dxa"/>
              <w:right w:w="108" w:type="dxa"/>
            </w:tcMar>
            <w:vAlign w:val="center"/>
            <w:hideMark/>
          </w:tcPr>
          <w:p w14:paraId="7F341664" w14:textId="5F3F5C11" w:rsidR="00897115" w:rsidRPr="00EE4AAC" w:rsidRDefault="00897115" w:rsidP="00897115">
            <w:pPr>
              <w:pStyle w:val="Tablicagwkarodek"/>
              <w:spacing w:before="0"/>
              <w:rPr>
                <w:lang w:val="en-GB"/>
              </w:rPr>
            </w:pPr>
            <w:r w:rsidRPr="00EE4AAC">
              <w:rPr>
                <w:color w:val="000000" w:themeColor="text1"/>
                <w:lang w:val="en-GB"/>
              </w:rPr>
              <w:t>Cultural and creative services</w:t>
            </w:r>
          </w:p>
        </w:tc>
      </w:tr>
      <w:tr w:rsidR="00897115" w:rsidRPr="00EE4AAC" w14:paraId="5A35D5EC" w14:textId="77777777" w:rsidTr="00746814">
        <w:trPr>
          <w:trHeight w:val="57"/>
        </w:trPr>
        <w:tc>
          <w:tcPr>
            <w:tcW w:w="2268" w:type="dxa"/>
            <w:vMerge/>
            <w:vAlign w:val="center"/>
            <w:hideMark/>
          </w:tcPr>
          <w:p w14:paraId="5B77D253" w14:textId="77777777" w:rsidR="00897115" w:rsidRPr="00EE4AAC" w:rsidRDefault="00897115" w:rsidP="00897115">
            <w:pPr>
              <w:spacing w:before="0" w:after="0" w:line="240" w:lineRule="auto"/>
              <w:rPr>
                <w:rFonts w:eastAsia="Times New Roman" w:cs="Arial"/>
                <w:bCs/>
                <w:color w:val="000000" w:themeColor="text1"/>
                <w:szCs w:val="19"/>
                <w:lang w:val="en-GB"/>
              </w:rPr>
            </w:pPr>
          </w:p>
        </w:tc>
        <w:tc>
          <w:tcPr>
            <w:tcW w:w="1382" w:type="dxa"/>
            <w:tcMar>
              <w:top w:w="57" w:type="dxa"/>
              <w:left w:w="102" w:type="dxa"/>
              <w:bottom w:w="57" w:type="dxa"/>
              <w:right w:w="108" w:type="dxa"/>
            </w:tcMar>
            <w:vAlign w:val="center"/>
            <w:hideMark/>
          </w:tcPr>
          <w:p w14:paraId="1ECCA3CE" w14:textId="6348990B" w:rsidR="00897115" w:rsidRPr="00EE4AAC" w:rsidRDefault="00897115" w:rsidP="00897115">
            <w:pPr>
              <w:pStyle w:val="Tablicagwkarodek"/>
              <w:rPr>
                <w:lang w:val="en-GB"/>
              </w:rPr>
            </w:pPr>
            <w:r w:rsidRPr="00EE4AAC">
              <w:rPr>
                <w:color w:val="000000" w:themeColor="text1"/>
                <w:lang w:val="en-GB"/>
              </w:rPr>
              <w:t>export</w:t>
            </w:r>
          </w:p>
        </w:tc>
        <w:tc>
          <w:tcPr>
            <w:tcW w:w="1382" w:type="dxa"/>
            <w:tcMar>
              <w:top w:w="57" w:type="dxa"/>
              <w:left w:w="102" w:type="dxa"/>
              <w:bottom w:w="57" w:type="dxa"/>
              <w:right w:w="108" w:type="dxa"/>
            </w:tcMar>
            <w:vAlign w:val="center"/>
            <w:hideMark/>
          </w:tcPr>
          <w:p w14:paraId="2BB4CDA9" w14:textId="4DCC7E8C" w:rsidR="00897115" w:rsidRPr="00EE4AAC" w:rsidRDefault="00897115" w:rsidP="00897115">
            <w:pPr>
              <w:pStyle w:val="Tablicagwkarodek"/>
              <w:rPr>
                <w:lang w:val="en-GB"/>
              </w:rPr>
            </w:pPr>
            <w:r w:rsidRPr="00EE4AAC">
              <w:rPr>
                <w:color w:val="000000" w:themeColor="text1"/>
                <w:lang w:val="en-GB"/>
              </w:rPr>
              <w:t>import</w:t>
            </w:r>
          </w:p>
        </w:tc>
        <w:tc>
          <w:tcPr>
            <w:tcW w:w="1382" w:type="dxa"/>
            <w:tcMar>
              <w:top w:w="57" w:type="dxa"/>
              <w:left w:w="102" w:type="dxa"/>
              <w:bottom w:w="57" w:type="dxa"/>
              <w:right w:w="108" w:type="dxa"/>
            </w:tcMar>
            <w:vAlign w:val="center"/>
            <w:hideMark/>
          </w:tcPr>
          <w:p w14:paraId="52428C3C" w14:textId="0CC39399" w:rsidR="00897115" w:rsidRPr="00EE4AAC" w:rsidRDefault="00897115" w:rsidP="00897115">
            <w:pPr>
              <w:pStyle w:val="Tablicagwkarodek"/>
              <w:rPr>
                <w:lang w:val="en-GB"/>
              </w:rPr>
            </w:pPr>
            <w:r w:rsidRPr="00EE4AAC">
              <w:rPr>
                <w:color w:val="000000" w:themeColor="text1"/>
                <w:lang w:val="en-GB"/>
              </w:rPr>
              <w:t>export</w:t>
            </w:r>
          </w:p>
        </w:tc>
        <w:tc>
          <w:tcPr>
            <w:tcW w:w="1383" w:type="dxa"/>
            <w:tcMar>
              <w:top w:w="57" w:type="dxa"/>
              <w:left w:w="102" w:type="dxa"/>
              <w:bottom w:w="57" w:type="dxa"/>
              <w:right w:w="108" w:type="dxa"/>
            </w:tcMar>
            <w:vAlign w:val="center"/>
            <w:hideMark/>
          </w:tcPr>
          <w:p w14:paraId="5E0AAA58" w14:textId="59579DF6" w:rsidR="00897115" w:rsidRPr="00EE4AAC" w:rsidRDefault="00897115" w:rsidP="00897115">
            <w:pPr>
              <w:pStyle w:val="Tablicagwkarodek"/>
              <w:rPr>
                <w:lang w:val="en-GB"/>
              </w:rPr>
            </w:pPr>
            <w:r w:rsidRPr="00EE4AAC">
              <w:rPr>
                <w:color w:val="000000" w:themeColor="text1"/>
                <w:lang w:val="en-GB"/>
              </w:rPr>
              <w:t>import</w:t>
            </w:r>
          </w:p>
        </w:tc>
      </w:tr>
      <w:tr w:rsidR="00362A9B" w:rsidRPr="00EE4AAC" w14:paraId="0D4F3A05" w14:textId="77777777" w:rsidTr="00746814">
        <w:trPr>
          <w:trHeight w:val="258"/>
        </w:trPr>
        <w:tc>
          <w:tcPr>
            <w:tcW w:w="2268" w:type="dxa"/>
            <w:vMerge/>
            <w:vAlign w:val="center"/>
            <w:hideMark/>
          </w:tcPr>
          <w:p w14:paraId="5E5CA469" w14:textId="77777777" w:rsidR="00362A9B" w:rsidRPr="00EE4AAC" w:rsidRDefault="00362A9B">
            <w:pPr>
              <w:spacing w:before="0" w:after="0" w:line="240" w:lineRule="auto"/>
              <w:rPr>
                <w:rFonts w:eastAsia="Times New Roman" w:cs="Arial"/>
                <w:bCs/>
                <w:color w:val="000000" w:themeColor="text1"/>
                <w:szCs w:val="19"/>
                <w:lang w:val="en-GB"/>
              </w:rPr>
            </w:pPr>
          </w:p>
        </w:tc>
        <w:tc>
          <w:tcPr>
            <w:tcW w:w="5529" w:type="dxa"/>
            <w:gridSpan w:val="4"/>
            <w:tcMar>
              <w:top w:w="57" w:type="dxa"/>
              <w:left w:w="102" w:type="dxa"/>
              <w:bottom w:w="57" w:type="dxa"/>
              <w:right w:w="108" w:type="dxa"/>
            </w:tcMar>
            <w:vAlign w:val="center"/>
            <w:hideMark/>
          </w:tcPr>
          <w:p w14:paraId="231C3CA5" w14:textId="7A8B976E" w:rsidR="00362A9B" w:rsidRPr="00EE4AAC" w:rsidRDefault="00897115" w:rsidP="00362A9B">
            <w:pPr>
              <w:pStyle w:val="Tablicagwkarodek"/>
              <w:rPr>
                <w:lang w:val="en-GB"/>
              </w:rPr>
            </w:pPr>
            <w:r w:rsidRPr="00EE4AAC">
              <w:rPr>
                <w:color w:val="000000" w:themeColor="text1"/>
                <w:lang w:val="en-GB"/>
              </w:rPr>
              <w:t>in million PLN</w:t>
            </w:r>
          </w:p>
        </w:tc>
      </w:tr>
      <w:tr w:rsidR="00897115" w:rsidRPr="00EE4AAC" w14:paraId="487674E0" w14:textId="77777777" w:rsidTr="00412466">
        <w:trPr>
          <w:trHeight w:val="227"/>
        </w:trPr>
        <w:tc>
          <w:tcPr>
            <w:tcW w:w="2268" w:type="dxa"/>
            <w:vAlign w:val="center"/>
            <w:hideMark/>
          </w:tcPr>
          <w:p w14:paraId="33718E82" w14:textId="2C9FE122" w:rsidR="00897115" w:rsidRPr="00412466" w:rsidRDefault="00897115" w:rsidP="00412466">
            <w:pPr>
              <w:pStyle w:val="Tekstpodstawowy"/>
              <w:spacing w:before="120" w:after="120"/>
              <w:ind w:left="0"/>
              <w:rPr>
                <w:b/>
              </w:rPr>
            </w:pPr>
            <w:r w:rsidRPr="00412466">
              <w:rPr>
                <w:b/>
              </w:rPr>
              <w:t>Total</w:t>
            </w:r>
          </w:p>
        </w:tc>
        <w:tc>
          <w:tcPr>
            <w:tcW w:w="1382" w:type="dxa"/>
            <w:tcMar>
              <w:top w:w="57" w:type="dxa"/>
              <w:left w:w="102" w:type="dxa"/>
              <w:bottom w:w="57" w:type="dxa"/>
              <w:right w:w="108" w:type="dxa"/>
            </w:tcMar>
            <w:vAlign w:val="center"/>
            <w:hideMark/>
          </w:tcPr>
          <w:p w14:paraId="2674F003" w14:textId="603F128B" w:rsidR="00897115" w:rsidRPr="00EE4AAC" w:rsidRDefault="00897115" w:rsidP="00412466">
            <w:pPr>
              <w:spacing w:before="0" w:after="0" w:line="240" w:lineRule="auto"/>
              <w:jc w:val="right"/>
              <w:rPr>
                <w:b/>
                <w:szCs w:val="19"/>
                <w:lang w:val="en-GB"/>
              </w:rPr>
            </w:pPr>
            <w:r w:rsidRPr="00EE4AAC">
              <w:rPr>
                <w:rFonts w:cs="Arial"/>
                <w:b/>
                <w:bCs/>
                <w:color w:val="000000"/>
                <w:szCs w:val="19"/>
                <w:lang w:val="en-GB"/>
              </w:rPr>
              <w:t>18,055.6</w:t>
            </w:r>
          </w:p>
        </w:tc>
        <w:tc>
          <w:tcPr>
            <w:tcW w:w="1382" w:type="dxa"/>
            <w:tcMar>
              <w:top w:w="57" w:type="dxa"/>
              <w:left w:w="102" w:type="dxa"/>
              <w:bottom w:w="57" w:type="dxa"/>
              <w:right w:w="108" w:type="dxa"/>
            </w:tcMar>
            <w:vAlign w:val="center"/>
            <w:hideMark/>
          </w:tcPr>
          <w:p w14:paraId="6F28744F" w14:textId="2FB6960E" w:rsidR="00897115" w:rsidRPr="00EE4AAC" w:rsidRDefault="00897115" w:rsidP="00412466">
            <w:pPr>
              <w:spacing w:before="0" w:after="0" w:line="240" w:lineRule="auto"/>
              <w:jc w:val="right"/>
              <w:rPr>
                <w:b/>
                <w:szCs w:val="19"/>
                <w:lang w:val="en-GB"/>
              </w:rPr>
            </w:pPr>
            <w:r w:rsidRPr="00EE4AAC">
              <w:rPr>
                <w:rFonts w:cs="Arial"/>
                <w:b/>
                <w:bCs/>
                <w:color w:val="000000"/>
                <w:szCs w:val="19"/>
                <w:lang w:val="en-GB"/>
              </w:rPr>
              <w:t>12,593.8</w:t>
            </w:r>
          </w:p>
        </w:tc>
        <w:tc>
          <w:tcPr>
            <w:tcW w:w="1382" w:type="dxa"/>
            <w:tcMar>
              <w:top w:w="57" w:type="dxa"/>
              <w:left w:w="102" w:type="dxa"/>
              <w:bottom w:w="57" w:type="dxa"/>
              <w:right w:w="108" w:type="dxa"/>
            </w:tcMar>
            <w:vAlign w:val="center"/>
            <w:hideMark/>
          </w:tcPr>
          <w:p w14:paraId="7E02F700" w14:textId="4444DE43" w:rsidR="00897115" w:rsidRPr="00EE4AAC" w:rsidRDefault="00897115" w:rsidP="00412466">
            <w:pPr>
              <w:spacing w:before="0" w:after="0" w:line="240" w:lineRule="auto"/>
              <w:jc w:val="right"/>
              <w:rPr>
                <w:b/>
                <w:szCs w:val="19"/>
                <w:lang w:val="en-GB"/>
              </w:rPr>
            </w:pPr>
            <w:r w:rsidRPr="00EE4AAC">
              <w:rPr>
                <w:rFonts w:cs="Arial"/>
                <w:b/>
                <w:bCs/>
                <w:color w:val="000000"/>
                <w:szCs w:val="19"/>
                <w:lang w:val="en-GB"/>
              </w:rPr>
              <w:t>12,855.3</w:t>
            </w:r>
          </w:p>
        </w:tc>
        <w:tc>
          <w:tcPr>
            <w:tcW w:w="1383" w:type="dxa"/>
            <w:tcMar>
              <w:top w:w="57" w:type="dxa"/>
              <w:left w:w="102" w:type="dxa"/>
              <w:bottom w:w="57" w:type="dxa"/>
              <w:right w:w="108" w:type="dxa"/>
            </w:tcMar>
            <w:vAlign w:val="center"/>
            <w:hideMark/>
          </w:tcPr>
          <w:p w14:paraId="52CAC864" w14:textId="62C9FA1C" w:rsidR="00897115" w:rsidRPr="00EE4AAC" w:rsidRDefault="00897115" w:rsidP="00412466">
            <w:pPr>
              <w:spacing w:before="0" w:after="0" w:line="240" w:lineRule="auto"/>
              <w:jc w:val="right"/>
              <w:rPr>
                <w:b/>
                <w:szCs w:val="19"/>
                <w:lang w:val="en-GB"/>
              </w:rPr>
            </w:pPr>
            <w:r w:rsidRPr="00EE4AAC">
              <w:rPr>
                <w:b/>
                <w:bCs/>
                <w:color w:val="000000"/>
                <w:szCs w:val="19"/>
                <w:lang w:val="en-GB"/>
              </w:rPr>
              <w:t>14,284.3</w:t>
            </w:r>
          </w:p>
        </w:tc>
      </w:tr>
      <w:tr w:rsidR="00897115" w:rsidRPr="00EE4AAC" w14:paraId="3832374B" w14:textId="77777777" w:rsidTr="00746814">
        <w:trPr>
          <w:trHeight w:val="227"/>
        </w:trPr>
        <w:tc>
          <w:tcPr>
            <w:tcW w:w="2268" w:type="dxa"/>
            <w:vAlign w:val="center"/>
            <w:hideMark/>
          </w:tcPr>
          <w:p w14:paraId="036E9955" w14:textId="0807EC11" w:rsidR="00897115" w:rsidRPr="00EE4AAC" w:rsidRDefault="00897115" w:rsidP="00897115">
            <w:pPr>
              <w:pStyle w:val="Tablicaboczek"/>
              <w:rPr>
                <w:rFonts w:cs="Fira Sans"/>
                <w:spacing w:val="-1"/>
                <w:lang w:val="en-GB"/>
              </w:rPr>
            </w:pPr>
            <w:r w:rsidRPr="00EE4AAC">
              <w:rPr>
                <w:color w:val="000000" w:themeColor="text1"/>
                <w:lang w:val="en-GB"/>
              </w:rPr>
              <w:t xml:space="preserve">Cultural heritage </w:t>
            </w:r>
          </w:p>
        </w:tc>
        <w:tc>
          <w:tcPr>
            <w:tcW w:w="1382" w:type="dxa"/>
            <w:tcMar>
              <w:top w:w="57" w:type="dxa"/>
              <w:left w:w="102" w:type="dxa"/>
              <w:bottom w:w="57" w:type="dxa"/>
              <w:right w:w="108" w:type="dxa"/>
            </w:tcMar>
            <w:vAlign w:val="bottom"/>
            <w:hideMark/>
          </w:tcPr>
          <w:p w14:paraId="44FD1131" w14:textId="30F9538A" w:rsidR="00897115" w:rsidRPr="00EE4AAC" w:rsidRDefault="00897115" w:rsidP="00897115">
            <w:pPr>
              <w:pStyle w:val="Tablicadanerodek"/>
              <w:rPr>
                <w:lang w:val="en-GB"/>
              </w:rPr>
            </w:pPr>
            <w:r w:rsidRPr="00EE4AAC">
              <w:rPr>
                <w:lang w:val="en-GB"/>
              </w:rPr>
              <w:t>57.8</w:t>
            </w:r>
          </w:p>
        </w:tc>
        <w:tc>
          <w:tcPr>
            <w:tcW w:w="1382" w:type="dxa"/>
            <w:tcMar>
              <w:top w:w="57" w:type="dxa"/>
              <w:left w:w="102" w:type="dxa"/>
              <w:bottom w:w="57" w:type="dxa"/>
              <w:right w:w="108" w:type="dxa"/>
            </w:tcMar>
            <w:vAlign w:val="bottom"/>
            <w:hideMark/>
          </w:tcPr>
          <w:p w14:paraId="3B89714C" w14:textId="6425901C" w:rsidR="00897115" w:rsidRPr="00EE4AAC" w:rsidRDefault="00897115" w:rsidP="00897115">
            <w:pPr>
              <w:pStyle w:val="Tablicadanerodek"/>
              <w:rPr>
                <w:lang w:val="en-GB"/>
              </w:rPr>
            </w:pPr>
            <w:r w:rsidRPr="00EE4AAC">
              <w:rPr>
                <w:lang w:val="en-GB"/>
              </w:rPr>
              <w:t>286.5</w:t>
            </w:r>
          </w:p>
        </w:tc>
        <w:tc>
          <w:tcPr>
            <w:tcW w:w="1382" w:type="dxa"/>
            <w:tcMar>
              <w:top w:w="57" w:type="dxa"/>
              <w:left w:w="102" w:type="dxa"/>
              <w:bottom w:w="57" w:type="dxa"/>
              <w:right w:w="108" w:type="dxa"/>
            </w:tcMar>
            <w:vAlign w:val="bottom"/>
            <w:hideMark/>
          </w:tcPr>
          <w:p w14:paraId="22CC4B0D" w14:textId="46B79B09" w:rsidR="00897115" w:rsidRPr="00EE4AAC" w:rsidRDefault="00897115" w:rsidP="00897115">
            <w:pPr>
              <w:pStyle w:val="Tablicadanerodek"/>
              <w:rPr>
                <w:lang w:val="en-GB"/>
              </w:rPr>
            </w:pPr>
            <w:r w:rsidRPr="00EE4AAC">
              <w:rPr>
                <w:lang w:val="en-GB"/>
              </w:rPr>
              <w:t>318.7</w:t>
            </w:r>
          </w:p>
        </w:tc>
        <w:tc>
          <w:tcPr>
            <w:tcW w:w="1383" w:type="dxa"/>
            <w:tcMar>
              <w:top w:w="57" w:type="dxa"/>
              <w:left w:w="102" w:type="dxa"/>
              <w:bottom w:w="57" w:type="dxa"/>
              <w:right w:w="108" w:type="dxa"/>
            </w:tcMar>
            <w:vAlign w:val="bottom"/>
            <w:hideMark/>
          </w:tcPr>
          <w:p w14:paraId="1267EE6B" w14:textId="430D01B9" w:rsidR="00897115" w:rsidRPr="00EE4AAC" w:rsidRDefault="00897115" w:rsidP="00897115">
            <w:pPr>
              <w:pStyle w:val="Tablicadanerodek"/>
              <w:rPr>
                <w:lang w:val="en-GB"/>
              </w:rPr>
            </w:pPr>
            <w:r w:rsidRPr="00EE4AAC">
              <w:rPr>
                <w:lang w:val="en-GB"/>
              </w:rPr>
              <w:t>303.0</w:t>
            </w:r>
          </w:p>
        </w:tc>
      </w:tr>
      <w:tr w:rsidR="00897115" w:rsidRPr="00EE4AAC" w14:paraId="44851D55" w14:textId="77777777" w:rsidTr="00746814">
        <w:trPr>
          <w:trHeight w:val="227"/>
        </w:trPr>
        <w:tc>
          <w:tcPr>
            <w:tcW w:w="2268" w:type="dxa"/>
            <w:vAlign w:val="center"/>
            <w:hideMark/>
          </w:tcPr>
          <w:p w14:paraId="79800977" w14:textId="717AA4F0" w:rsidR="00897115" w:rsidRPr="00EE4AAC" w:rsidRDefault="00897115" w:rsidP="00897115">
            <w:pPr>
              <w:pStyle w:val="Tablicaboczek"/>
              <w:rPr>
                <w:rFonts w:cs="Fira Sans"/>
                <w:spacing w:val="-1"/>
                <w:lang w:val="en-GB"/>
              </w:rPr>
            </w:pPr>
            <w:r w:rsidRPr="00EE4AAC">
              <w:rPr>
                <w:color w:val="000000" w:themeColor="text1"/>
                <w:lang w:val="en-GB"/>
              </w:rPr>
              <w:t>Books and press</w:t>
            </w:r>
          </w:p>
        </w:tc>
        <w:tc>
          <w:tcPr>
            <w:tcW w:w="1382" w:type="dxa"/>
            <w:tcMar>
              <w:top w:w="57" w:type="dxa"/>
              <w:left w:w="102" w:type="dxa"/>
              <w:bottom w:w="57" w:type="dxa"/>
              <w:right w:w="108" w:type="dxa"/>
            </w:tcMar>
            <w:vAlign w:val="bottom"/>
            <w:hideMark/>
          </w:tcPr>
          <w:p w14:paraId="3FF81689" w14:textId="1EDC37C5" w:rsidR="00897115" w:rsidRPr="00EE4AAC" w:rsidRDefault="00897115" w:rsidP="00897115">
            <w:pPr>
              <w:pStyle w:val="Tablicadanerodek"/>
              <w:rPr>
                <w:lang w:val="en-GB"/>
              </w:rPr>
            </w:pPr>
            <w:r w:rsidRPr="00EE4AAC">
              <w:rPr>
                <w:lang w:val="en-GB"/>
              </w:rPr>
              <w:t>8,136.5</w:t>
            </w:r>
          </w:p>
        </w:tc>
        <w:tc>
          <w:tcPr>
            <w:tcW w:w="1382" w:type="dxa"/>
            <w:tcMar>
              <w:top w:w="57" w:type="dxa"/>
              <w:left w:w="102" w:type="dxa"/>
              <w:bottom w:w="57" w:type="dxa"/>
              <w:right w:w="108" w:type="dxa"/>
            </w:tcMar>
            <w:vAlign w:val="bottom"/>
            <w:hideMark/>
          </w:tcPr>
          <w:p w14:paraId="2B856CCC" w14:textId="19C4547C" w:rsidR="00897115" w:rsidRPr="00EE4AAC" w:rsidRDefault="00897115" w:rsidP="00897115">
            <w:pPr>
              <w:pStyle w:val="Tablicadanerodek"/>
              <w:rPr>
                <w:lang w:val="en-GB"/>
              </w:rPr>
            </w:pPr>
            <w:r w:rsidRPr="00EE4AAC">
              <w:rPr>
                <w:lang w:val="en-GB"/>
              </w:rPr>
              <w:t>3,143.6</w:t>
            </w:r>
          </w:p>
        </w:tc>
        <w:tc>
          <w:tcPr>
            <w:tcW w:w="1382" w:type="dxa"/>
            <w:tcMar>
              <w:top w:w="57" w:type="dxa"/>
              <w:left w:w="102" w:type="dxa"/>
              <w:bottom w:w="57" w:type="dxa"/>
              <w:right w:w="108" w:type="dxa"/>
            </w:tcMar>
            <w:vAlign w:val="bottom"/>
            <w:hideMark/>
          </w:tcPr>
          <w:p w14:paraId="38AB9E95" w14:textId="50F421CF" w:rsidR="00897115" w:rsidRPr="00EE4AAC" w:rsidRDefault="00897115" w:rsidP="00897115">
            <w:pPr>
              <w:pStyle w:val="Tablicadanerodek"/>
              <w:rPr>
                <w:lang w:val="en-GB"/>
              </w:rPr>
            </w:pPr>
            <w:r w:rsidRPr="00EE4AAC">
              <w:rPr>
                <w:lang w:val="en-GB"/>
              </w:rPr>
              <w:t>136.1</w:t>
            </w:r>
          </w:p>
        </w:tc>
        <w:tc>
          <w:tcPr>
            <w:tcW w:w="1383" w:type="dxa"/>
            <w:tcMar>
              <w:top w:w="57" w:type="dxa"/>
              <w:left w:w="102" w:type="dxa"/>
              <w:bottom w:w="57" w:type="dxa"/>
              <w:right w:w="108" w:type="dxa"/>
            </w:tcMar>
            <w:vAlign w:val="bottom"/>
            <w:hideMark/>
          </w:tcPr>
          <w:p w14:paraId="2AEF971E" w14:textId="7DC74010" w:rsidR="00897115" w:rsidRPr="00EE4AAC" w:rsidRDefault="00897115" w:rsidP="00897115">
            <w:pPr>
              <w:pStyle w:val="Tablicadanerodek"/>
              <w:rPr>
                <w:lang w:val="en-GB"/>
              </w:rPr>
            </w:pPr>
            <w:r w:rsidRPr="00EE4AAC">
              <w:rPr>
                <w:lang w:val="en-GB"/>
              </w:rPr>
              <w:t>705.8</w:t>
            </w:r>
          </w:p>
        </w:tc>
      </w:tr>
      <w:tr w:rsidR="00897115" w:rsidRPr="00EE4AAC" w14:paraId="4119A169" w14:textId="77777777" w:rsidTr="00746814">
        <w:trPr>
          <w:trHeight w:val="227"/>
        </w:trPr>
        <w:tc>
          <w:tcPr>
            <w:tcW w:w="2268" w:type="dxa"/>
            <w:vAlign w:val="center"/>
            <w:hideMark/>
          </w:tcPr>
          <w:p w14:paraId="41C33200" w14:textId="3D8FF3E0" w:rsidR="00897115" w:rsidRPr="00EE4AAC" w:rsidRDefault="00897115" w:rsidP="00897115">
            <w:pPr>
              <w:pStyle w:val="Tablicaboczek"/>
              <w:rPr>
                <w:rFonts w:cs="Fira Sans"/>
                <w:spacing w:val="-1"/>
                <w:lang w:val="en-GB"/>
              </w:rPr>
            </w:pPr>
            <w:r w:rsidRPr="00EE4AAC">
              <w:rPr>
                <w:color w:val="000000" w:themeColor="text1"/>
                <w:lang w:val="en-GB"/>
              </w:rPr>
              <w:t>Visual arts</w:t>
            </w:r>
          </w:p>
        </w:tc>
        <w:tc>
          <w:tcPr>
            <w:tcW w:w="1382" w:type="dxa"/>
            <w:tcMar>
              <w:top w:w="57" w:type="dxa"/>
              <w:left w:w="102" w:type="dxa"/>
              <w:bottom w:w="57" w:type="dxa"/>
              <w:right w:w="108" w:type="dxa"/>
            </w:tcMar>
            <w:vAlign w:val="bottom"/>
            <w:hideMark/>
          </w:tcPr>
          <w:p w14:paraId="786207F5" w14:textId="7890F94F" w:rsidR="00897115" w:rsidRPr="00EE4AAC" w:rsidRDefault="00897115" w:rsidP="00897115">
            <w:pPr>
              <w:pStyle w:val="Tablicadanerodek"/>
              <w:rPr>
                <w:lang w:val="en-GB"/>
              </w:rPr>
            </w:pPr>
            <w:r w:rsidRPr="00EE4AAC">
              <w:rPr>
                <w:lang w:val="en-GB"/>
              </w:rPr>
              <w:t>312.4</w:t>
            </w:r>
          </w:p>
        </w:tc>
        <w:tc>
          <w:tcPr>
            <w:tcW w:w="1382" w:type="dxa"/>
            <w:tcMar>
              <w:top w:w="57" w:type="dxa"/>
              <w:left w:w="102" w:type="dxa"/>
              <w:bottom w:w="57" w:type="dxa"/>
              <w:right w:w="108" w:type="dxa"/>
            </w:tcMar>
            <w:vAlign w:val="bottom"/>
            <w:hideMark/>
          </w:tcPr>
          <w:p w14:paraId="63D839AA" w14:textId="1BE3CBC5" w:rsidR="00897115" w:rsidRPr="00EE4AAC" w:rsidRDefault="00897115" w:rsidP="00897115">
            <w:pPr>
              <w:pStyle w:val="Tablicadanerodek"/>
              <w:rPr>
                <w:lang w:val="en-GB"/>
              </w:rPr>
            </w:pPr>
            <w:r w:rsidRPr="00EE4AAC">
              <w:rPr>
                <w:lang w:val="en-GB"/>
              </w:rPr>
              <w:t>186.9</w:t>
            </w:r>
          </w:p>
        </w:tc>
        <w:tc>
          <w:tcPr>
            <w:tcW w:w="1382" w:type="dxa"/>
            <w:tcMar>
              <w:top w:w="57" w:type="dxa"/>
              <w:left w:w="102" w:type="dxa"/>
              <w:bottom w:w="57" w:type="dxa"/>
              <w:right w:w="108" w:type="dxa"/>
            </w:tcMar>
            <w:vAlign w:val="bottom"/>
            <w:hideMark/>
          </w:tcPr>
          <w:p w14:paraId="79290BBE" w14:textId="77777777" w:rsidR="00897115" w:rsidRPr="00EE4AAC" w:rsidRDefault="00897115" w:rsidP="00897115">
            <w:pPr>
              <w:pStyle w:val="Tablicadanerodek"/>
              <w:rPr>
                <w:lang w:val="en-GB"/>
              </w:rPr>
            </w:pPr>
            <w:r w:rsidRPr="00EE4AAC">
              <w:rPr>
                <w:lang w:val="en-GB"/>
              </w:rPr>
              <w:t>–</w:t>
            </w:r>
          </w:p>
        </w:tc>
        <w:tc>
          <w:tcPr>
            <w:tcW w:w="1383" w:type="dxa"/>
            <w:tcMar>
              <w:top w:w="57" w:type="dxa"/>
              <w:left w:w="102" w:type="dxa"/>
              <w:bottom w:w="57" w:type="dxa"/>
              <w:right w:w="108" w:type="dxa"/>
            </w:tcMar>
            <w:vAlign w:val="bottom"/>
            <w:hideMark/>
          </w:tcPr>
          <w:p w14:paraId="36B461D3" w14:textId="77777777" w:rsidR="00897115" w:rsidRPr="00EE4AAC" w:rsidRDefault="00897115" w:rsidP="00897115">
            <w:pPr>
              <w:pStyle w:val="Tablicadanerodek"/>
              <w:rPr>
                <w:lang w:val="en-GB"/>
              </w:rPr>
            </w:pPr>
            <w:r w:rsidRPr="00EE4AAC">
              <w:rPr>
                <w:lang w:val="en-GB"/>
              </w:rPr>
              <w:t>–</w:t>
            </w:r>
          </w:p>
        </w:tc>
      </w:tr>
      <w:tr w:rsidR="00897115" w:rsidRPr="00EE4AAC" w14:paraId="4388F84E" w14:textId="77777777" w:rsidTr="00746814">
        <w:trPr>
          <w:trHeight w:val="227"/>
        </w:trPr>
        <w:tc>
          <w:tcPr>
            <w:tcW w:w="2268" w:type="dxa"/>
            <w:vAlign w:val="center"/>
            <w:hideMark/>
          </w:tcPr>
          <w:p w14:paraId="0F52171C" w14:textId="44C8819D" w:rsidR="00897115" w:rsidRPr="00EE4AAC" w:rsidRDefault="00897115" w:rsidP="00897115">
            <w:pPr>
              <w:pStyle w:val="Tablicaboczek"/>
              <w:rPr>
                <w:rFonts w:cs="Fira Sans"/>
                <w:spacing w:val="-1"/>
                <w:lang w:val="en-GB"/>
              </w:rPr>
            </w:pPr>
            <w:r w:rsidRPr="00EE4AAC">
              <w:rPr>
                <w:color w:val="000000" w:themeColor="text1"/>
                <w:lang w:val="en-GB"/>
              </w:rPr>
              <w:t>Architecture</w:t>
            </w:r>
          </w:p>
        </w:tc>
        <w:tc>
          <w:tcPr>
            <w:tcW w:w="1382" w:type="dxa"/>
            <w:tcMar>
              <w:top w:w="57" w:type="dxa"/>
              <w:left w:w="102" w:type="dxa"/>
              <w:bottom w:w="57" w:type="dxa"/>
              <w:right w:w="108" w:type="dxa"/>
            </w:tcMar>
            <w:vAlign w:val="bottom"/>
            <w:hideMark/>
          </w:tcPr>
          <w:p w14:paraId="5B4D381B" w14:textId="44E8176D" w:rsidR="00897115" w:rsidRPr="00EE4AAC" w:rsidRDefault="00897115" w:rsidP="00897115">
            <w:pPr>
              <w:pStyle w:val="Tablicadanerodek"/>
              <w:rPr>
                <w:lang w:val="en-GB"/>
              </w:rPr>
            </w:pPr>
            <w:r w:rsidRPr="00EE4AAC">
              <w:rPr>
                <w:lang w:val="en-GB"/>
              </w:rPr>
              <w:t>2.2</w:t>
            </w:r>
          </w:p>
        </w:tc>
        <w:tc>
          <w:tcPr>
            <w:tcW w:w="1382" w:type="dxa"/>
            <w:tcMar>
              <w:top w:w="57" w:type="dxa"/>
              <w:left w:w="102" w:type="dxa"/>
              <w:bottom w:w="57" w:type="dxa"/>
              <w:right w:w="108" w:type="dxa"/>
            </w:tcMar>
            <w:vAlign w:val="bottom"/>
            <w:hideMark/>
          </w:tcPr>
          <w:p w14:paraId="3C6E40B8" w14:textId="151E563C" w:rsidR="00897115" w:rsidRPr="00EE4AAC" w:rsidRDefault="00897115" w:rsidP="00897115">
            <w:pPr>
              <w:pStyle w:val="Tablicadanerodek"/>
              <w:rPr>
                <w:lang w:val="en-GB"/>
              </w:rPr>
            </w:pPr>
            <w:r w:rsidRPr="00EE4AAC">
              <w:rPr>
                <w:lang w:val="en-GB"/>
              </w:rPr>
              <w:t>8.7</w:t>
            </w:r>
          </w:p>
        </w:tc>
        <w:tc>
          <w:tcPr>
            <w:tcW w:w="1382" w:type="dxa"/>
            <w:tcMar>
              <w:top w:w="57" w:type="dxa"/>
              <w:left w:w="102" w:type="dxa"/>
              <w:bottom w:w="57" w:type="dxa"/>
              <w:right w:w="108" w:type="dxa"/>
            </w:tcMar>
            <w:vAlign w:val="bottom"/>
            <w:hideMark/>
          </w:tcPr>
          <w:p w14:paraId="6CB5B5AC" w14:textId="650456CB" w:rsidR="00897115" w:rsidRPr="00EE4AAC" w:rsidRDefault="00897115" w:rsidP="00897115">
            <w:pPr>
              <w:pStyle w:val="Tablicadanerodek"/>
              <w:rPr>
                <w:lang w:val="en-GB"/>
              </w:rPr>
            </w:pPr>
            <w:r w:rsidRPr="00EE4AAC">
              <w:rPr>
                <w:lang w:val="en-GB"/>
              </w:rPr>
              <w:t>238.9</w:t>
            </w:r>
          </w:p>
        </w:tc>
        <w:tc>
          <w:tcPr>
            <w:tcW w:w="1383" w:type="dxa"/>
            <w:tcMar>
              <w:top w:w="57" w:type="dxa"/>
              <w:left w:w="102" w:type="dxa"/>
              <w:bottom w:w="57" w:type="dxa"/>
              <w:right w:w="108" w:type="dxa"/>
            </w:tcMar>
            <w:vAlign w:val="bottom"/>
            <w:hideMark/>
          </w:tcPr>
          <w:p w14:paraId="120777BB" w14:textId="4FFE118C" w:rsidR="00897115" w:rsidRPr="00EE4AAC" w:rsidRDefault="00897115" w:rsidP="00897115">
            <w:pPr>
              <w:pStyle w:val="Tablicadanerodek"/>
              <w:rPr>
                <w:lang w:val="en-GB"/>
              </w:rPr>
            </w:pPr>
            <w:r w:rsidRPr="00EE4AAC">
              <w:rPr>
                <w:lang w:val="en-GB"/>
              </w:rPr>
              <w:t>143.7</w:t>
            </w:r>
          </w:p>
        </w:tc>
      </w:tr>
      <w:tr w:rsidR="00897115" w:rsidRPr="00EE4AAC" w14:paraId="34D88EBC" w14:textId="77777777" w:rsidTr="00746814">
        <w:trPr>
          <w:trHeight w:val="227"/>
        </w:trPr>
        <w:tc>
          <w:tcPr>
            <w:tcW w:w="2268" w:type="dxa"/>
            <w:vAlign w:val="center"/>
            <w:hideMark/>
          </w:tcPr>
          <w:p w14:paraId="78AAAB17" w14:textId="265AE005" w:rsidR="00897115" w:rsidRPr="00EE4AAC" w:rsidRDefault="00897115" w:rsidP="00897115">
            <w:pPr>
              <w:pStyle w:val="Tablicaboczek"/>
              <w:rPr>
                <w:rFonts w:cs="Fira Sans"/>
                <w:spacing w:val="-1"/>
                <w:lang w:val="en-GB"/>
              </w:rPr>
            </w:pPr>
            <w:r w:rsidRPr="00EE4AAC">
              <w:rPr>
                <w:color w:val="000000" w:themeColor="text1"/>
                <w:lang w:val="en-GB"/>
              </w:rPr>
              <w:t xml:space="preserve">Performing arts </w:t>
            </w:r>
          </w:p>
        </w:tc>
        <w:tc>
          <w:tcPr>
            <w:tcW w:w="1382" w:type="dxa"/>
            <w:tcMar>
              <w:top w:w="57" w:type="dxa"/>
              <w:left w:w="102" w:type="dxa"/>
              <w:bottom w:w="57" w:type="dxa"/>
              <w:right w:w="108" w:type="dxa"/>
            </w:tcMar>
            <w:vAlign w:val="bottom"/>
            <w:hideMark/>
          </w:tcPr>
          <w:p w14:paraId="46727AA1" w14:textId="6864DFA6" w:rsidR="00897115" w:rsidRPr="00EE4AAC" w:rsidRDefault="00897115" w:rsidP="00897115">
            <w:pPr>
              <w:pStyle w:val="Tablicadanerodek"/>
              <w:rPr>
                <w:lang w:val="en-GB"/>
              </w:rPr>
            </w:pPr>
            <w:r w:rsidRPr="00EE4AAC">
              <w:rPr>
                <w:lang w:val="en-GB"/>
              </w:rPr>
              <w:t>241.6</w:t>
            </w:r>
          </w:p>
        </w:tc>
        <w:tc>
          <w:tcPr>
            <w:tcW w:w="1382" w:type="dxa"/>
            <w:tcMar>
              <w:top w:w="57" w:type="dxa"/>
              <w:left w:w="102" w:type="dxa"/>
              <w:bottom w:w="57" w:type="dxa"/>
              <w:right w:w="108" w:type="dxa"/>
            </w:tcMar>
            <w:vAlign w:val="bottom"/>
            <w:hideMark/>
          </w:tcPr>
          <w:p w14:paraId="30D75445" w14:textId="6307FCCD" w:rsidR="00897115" w:rsidRPr="00EE4AAC" w:rsidRDefault="00897115" w:rsidP="00897115">
            <w:pPr>
              <w:pStyle w:val="Tablicadanerodek"/>
              <w:rPr>
                <w:lang w:val="en-GB"/>
              </w:rPr>
            </w:pPr>
            <w:r w:rsidRPr="00EE4AAC">
              <w:rPr>
                <w:lang w:val="en-GB"/>
              </w:rPr>
              <w:t>363.4</w:t>
            </w:r>
          </w:p>
        </w:tc>
        <w:tc>
          <w:tcPr>
            <w:tcW w:w="1382" w:type="dxa"/>
            <w:tcMar>
              <w:top w:w="57" w:type="dxa"/>
              <w:left w:w="102" w:type="dxa"/>
              <w:bottom w:w="57" w:type="dxa"/>
              <w:right w:w="108" w:type="dxa"/>
            </w:tcMar>
            <w:vAlign w:val="bottom"/>
            <w:hideMark/>
          </w:tcPr>
          <w:p w14:paraId="4FC8B67A" w14:textId="1D5F6F63" w:rsidR="00897115" w:rsidRPr="00EE4AAC" w:rsidRDefault="00897115" w:rsidP="00897115">
            <w:pPr>
              <w:pStyle w:val="Tablicadanerodek"/>
              <w:rPr>
                <w:lang w:val="en-GB"/>
              </w:rPr>
            </w:pPr>
            <w:r w:rsidRPr="00EE4AAC">
              <w:rPr>
                <w:lang w:val="en-GB"/>
              </w:rPr>
              <w:t>162.0</w:t>
            </w:r>
          </w:p>
        </w:tc>
        <w:tc>
          <w:tcPr>
            <w:tcW w:w="1383" w:type="dxa"/>
            <w:tcMar>
              <w:top w:w="57" w:type="dxa"/>
              <w:left w:w="102" w:type="dxa"/>
              <w:bottom w:w="57" w:type="dxa"/>
              <w:right w:w="108" w:type="dxa"/>
            </w:tcMar>
            <w:vAlign w:val="bottom"/>
            <w:hideMark/>
          </w:tcPr>
          <w:p w14:paraId="620D573C" w14:textId="0D50B1ED" w:rsidR="00897115" w:rsidRPr="00EE4AAC" w:rsidRDefault="00897115" w:rsidP="00897115">
            <w:pPr>
              <w:pStyle w:val="Tablicadanerodek"/>
              <w:rPr>
                <w:lang w:val="en-GB"/>
              </w:rPr>
            </w:pPr>
            <w:r w:rsidRPr="00EE4AAC">
              <w:rPr>
                <w:lang w:val="en-GB"/>
              </w:rPr>
              <w:t>331.5</w:t>
            </w:r>
          </w:p>
        </w:tc>
      </w:tr>
      <w:tr w:rsidR="00897115" w:rsidRPr="00EE4AAC" w14:paraId="7034E3E6" w14:textId="77777777" w:rsidTr="00746814">
        <w:trPr>
          <w:trHeight w:val="227"/>
        </w:trPr>
        <w:tc>
          <w:tcPr>
            <w:tcW w:w="2268" w:type="dxa"/>
            <w:vAlign w:val="center"/>
            <w:hideMark/>
          </w:tcPr>
          <w:p w14:paraId="72E89863" w14:textId="232CF4BF" w:rsidR="00897115" w:rsidRPr="00EE4AAC" w:rsidRDefault="00897115" w:rsidP="00897115">
            <w:pPr>
              <w:pStyle w:val="Tablicaboczek"/>
              <w:rPr>
                <w:rFonts w:cs="Fira Sans"/>
                <w:spacing w:val="-1"/>
                <w:lang w:val="en-GB"/>
              </w:rPr>
            </w:pPr>
            <w:r w:rsidRPr="00EE4AAC">
              <w:rPr>
                <w:color w:val="000000" w:themeColor="text1"/>
                <w:lang w:val="en-GB"/>
              </w:rPr>
              <w:t>Audio</w:t>
            </w:r>
            <w:r w:rsidR="002E4DAD" w:rsidRPr="00EE4AAC">
              <w:rPr>
                <w:color w:val="000000" w:themeColor="text1"/>
                <w:lang w:val="en-GB"/>
              </w:rPr>
              <w:t>-</w:t>
            </w:r>
            <w:r w:rsidRPr="00EE4AAC">
              <w:rPr>
                <w:color w:val="000000" w:themeColor="text1"/>
                <w:lang w:val="en-GB"/>
              </w:rPr>
              <w:t>visual arts and multimedia</w:t>
            </w:r>
          </w:p>
        </w:tc>
        <w:tc>
          <w:tcPr>
            <w:tcW w:w="1382" w:type="dxa"/>
            <w:tcMar>
              <w:top w:w="57" w:type="dxa"/>
              <w:left w:w="102" w:type="dxa"/>
              <w:bottom w:w="57" w:type="dxa"/>
              <w:right w:w="108" w:type="dxa"/>
            </w:tcMar>
            <w:vAlign w:val="bottom"/>
            <w:hideMark/>
          </w:tcPr>
          <w:p w14:paraId="602B02DA" w14:textId="75DED0C0" w:rsidR="00897115" w:rsidRPr="00EE4AAC" w:rsidRDefault="00897115" w:rsidP="00897115">
            <w:pPr>
              <w:pStyle w:val="Tablicadanerodek"/>
              <w:rPr>
                <w:lang w:val="en-GB"/>
              </w:rPr>
            </w:pPr>
            <w:r w:rsidRPr="00EE4AAC">
              <w:rPr>
                <w:lang w:val="en-GB"/>
              </w:rPr>
              <w:t>7,986.1</w:t>
            </w:r>
          </w:p>
        </w:tc>
        <w:tc>
          <w:tcPr>
            <w:tcW w:w="1382" w:type="dxa"/>
            <w:tcMar>
              <w:top w:w="57" w:type="dxa"/>
              <w:left w:w="102" w:type="dxa"/>
              <w:bottom w:w="57" w:type="dxa"/>
              <w:right w:w="108" w:type="dxa"/>
            </w:tcMar>
            <w:vAlign w:val="bottom"/>
            <w:hideMark/>
          </w:tcPr>
          <w:p w14:paraId="6D194CD2" w14:textId="6943E618" w:rsidR="00897115" w:rsidRPr="00EE4AAC" w:rsidRDefault="00897115" w:rsidP="00897115">
            <w:pPr>
              <w:pStyle w:val="Tablicadanerodek"/>
              <w:rPr>
                <w:lang w:val="en-GB"/>
              </w:rPr>
            </w:pPr>
            <w:r w:rsidRPr="00EE4AAC">
              <w:rPr>
                <w:lang w:val="en-GB"/>
              </w:rPr>
              <w:t>8,360.8</w:t>
            </w:r>
          </w:p>
        </w:tc>
        <w:tc>
          <w:tcPr>
            <w:tcW w:w="1382" w:type="dxa"/>
            <w:tcMar>
              <w:top w:w="57" w:type="dxa"/>
              <w:left w:w="102" w:type="dxa"/>
              <w:bottom w:w="57" w:type="dxa"/>
              <w:right w:w="108" w:type="dxa"/>
            </w:tcMar>
            <w:vAlign w:val="bottom"/>
            <w:hideMark/>
          </w:tcPr>
          <w:p w14:paraId="7EA4F624" w14:textId="428CBAF7" w:rsidR="00897115" w:rsidRPr="00EE4AAC" w:rsidRDefault="00897115" w:rsidP="00897115">
            <w:pPr>
              <w:pStyle w:val="Tablicadanerodek"/>
              <w:rPr>
                <w:lang w:val="en-GB"/>
              </w:rPr>
            </w:pPr>
            <w:r w:rsidRPr="00EE4AAC">
              <w:rPr>
                <w:lang w:val="en-GB"/>
              </w:rPr>
              <w:t>1,163.9</w:t>
            </w:r>
          </w:p>
        </w:tc>
        <w:tc>
          <w:tcPr>
            <w:tcW w:w="1383" w:type="dxa"/>
            <w:tcMar>
              <w:top w:w="57" w:type="dxa"/>
              <w:left w:w="102" w:type="dxa"/>
              <w:bottom w:w="57" w:type="dxa"/>
              <w:right w:w="108" w:type="dxa"/>
            </w:tcMar>
            <w:vAlign w:val="bottom"/>
            <w:hideMark/>
          </w:tcPr>
          <w:p w14:paraId="1983CBFA" w14:textId="4F95FD6F" w:rsidR="00897115" w:rsidRPr="00EE4AAC" w:rsidRDefault="00897115" w:rsidP="00897115">
            <w:pPr>
              <w:pStyle w:val="Tablicadanerodek"/>
              <w:rPr>
                <w:lang w:val="en-GB"/>
              </w:rPr>
            </w:pPr>
            <w:r w:rsidRPr="00EE4AAC">
              <w:rPr>
                <w:lang w:val="en-GB"/>
              </w:rPr>
              <w:t>3,177.4</w:t>
            </w:r>
          </w:p>
        </w:tc>
      </w:tr>
      <w:tr w:rsidR="00897115" w:rsidRPr="00EE4AAC" w14:paraId="52733449" w14:textId="77777777" w:rsidTr="00746814">
        <w:trPr>
          <w:trHeight w:val="227"/>
        </w:trPr>
        <w:tc>
          <w:tcPr>
            <w:tcW w:w="2268" w:type="dxa"/>
            <w:vAlign w:val="center"/>
            <w:hideMark/>
          </w:tcPr>
          <w:p w14:paraId="3817E398" w14:textId="5FF90BAD" w:rsidR="00897115" w:rsidRPr="00EE4AAC" w:rsidRDefault="00897115" w:rsidP="00897115">
            <w:pPr>
              <w:pStyle w:val="Tablicaboczek"/>
              <w:rPr>
                <w:rFonts w:cs="Fira Sans"/>
                <w:spacing w:val="-1"/>
                <w:lang w:val="en-GB"/>
              </w:rPr>
            </w:pPr>
            <w:r w:rsidRPr="00EE4AAC">
              <w:rPr>
                <w:color w:val="000000" w:themeColor="text1"/>
                <w:lang w:val="en-GB"/>
              </w:rPr>
              <w:t>Advertising</w:t>
            </w:r>
          </w:p>
        </w:tc>
        <w:tc>
          <w:tcPr>
            <w:tcW w:w="1382" w:type="dxa"/>
            <w:tcMar>
              <w:top w:w="57" w:type="dxa"/>
              <w:left w:w="102" w:type="dxa"/>
              <w:bottom w:w="57" w:type="dxa"/>
              <w:right w:w="108" w:type="dxa"/>
            </w:tcMar>
            <w:vAlign w:val="bottom"/>
            <w:hideMark/>
          </w:tcPr>
          <w:p w14:paraId="07830D92" w14:textId="28C39D76" w:rsidR="00897115" w:rsidRPr="00EE4AAC" w:rsidRDefault="00897115" w:rsidP="00897115">
            <w:pPr>
              <w:pStyle w:val="Tablicadanerodek"/>
              <w:rPr>
                <w:lang w:val="en-GB"/>
              </w:rPr>
            </w:pPr>
            <w:r w:rsidRPr="00EE4AAC">
              <w:rPr>
                <w:lang w:val="en-GB"/>
              </w:rPr>
              <w:t>1,318.3</w:t>
            </w:r>
          </w:p>
        </w:tc>
        <w:tc>
          <w:tcPr>
            <w:tcW w:w="1382" w:type="dxa"/>
            <w:tcMar>
              <w:top w:w="57" w:type="dxa"/>
              <w:left w:w="102" w:type="dxa"/>
              <w:bottom w:w="57" w:type="dxa"/>
              <w:right w:w="108" w:type="dxa"/>
            </w:tcMar>
            <w:vAlign w:val="bottom"/>
            <w:hideMark/>
          </w:tcPr>
          <w:p w14:paraId="49AC5B3A" w14:textId="10A89FAA" w:rsidR="00897115" w:rsidRPr="00EE4AAC" w:rsidRDefault="00897115" w:rsidP="00897115">
            <w:pPr>
              <w:pStyle w:val="Tablicadanerodek"/>
              <w:rPr>
                <w:lang w:val="en-GB"/>
              </w:rPr>
            </w:pPr>
            <w:r w:rsidRPr="00EE4AAC">
              <w:rPr>
                <w:lang w:val="en-GB"/>
              </w:rPr>
              <w:t>241.1</w:t>
            </w:r>
          </w:p>
        </w:tc>
        <w:tc>
          <w:tcPr>
            <w:tcW w:w="1382" w:type="dxa"/>
            <w:tcMar>
              <w:top w:w="57" w:type="dxa"/>
              <w:left w:w="102" w:type="dxa"/>
              <w:bottom w:w="57" w:type="dxa"/>
              <w:right w:w="108" w:type="dxa"/>
            </w:tcMar>
            <w:vAlign w:val="bottom"/>
            <w:hideMark/>
          </w:tcPr>
          <w:p w14:paraId="74349AF5" w14:textId="66E8312E" w:rsidR="00897115" w:rsidRPr="00EE4AAC" w:rsidRDefault="00897115" w:rsidP="00897115">
            <w:pPr>
              <w:pStyle w:val="Tablicadanerodek"/>
              <w:rPr>
                <w:lang w:val="en-GB"/>
              </w:rPr>
            </w:pPr>
            <w:r w:rsidRPr="00EE4AAC">
              <w:rPr>
                <w:lang w:val="en-GB"/>
              </w:rPr>
              <w:t>10,835.7</w:t>
            </w:r>
          </w:p>
        </w:tc>
        <w:tc>
          <w:tcPr>
            <w:tcW w:w="1383" w:type="dxa"/>
            <w:tcMar>
              <w:top w:w="57" w:type="dxa"/>
              <w:left w:w="102" w:type="dxa"/>
              <w:bottom w:w="57" w:type="dxa"/>
              <w:right w:w="108" w:type="dxa"/>
            </w:tcMar>
            <w:vAlign w:val="bottom"/>
            <w:hideMark/>
          </w:tcPr>
          <w:p w14:paraId="21298F82" w14:textId="5164866E" w:rsidR="00897115" w:rsidRPr="00EE4AAC" w:rsidRDefault="00897115" w:rsidP="00897115">
            <w:pPr>
              <w:pStyle w:val="Tablicadanerodek"/>
              <w:rPr>
                <w:lang w:val="en-GB"/>
              </w:rPr>
            </w:pPr>
            <w:r w:rsidRPr="00EE4AAC">
              <w:rPr>
                <w:lang w:val="en-GB"/>
              </w:rPr>
              <w:t>9,623.0</w:t>
            </w:r>
          </w:p>
        </w:tc>
      </w:tr>
      <w:tr w:rsidR="00897115" w:rsidRPr="00EE4AAC" w14:paraId="7311B920" w14:textId="77777777" w:rsidTr="00746814">
        <w:trPr>
          <w:trHeight w:val="227"/>
        </w:trPr>
        <w:tc>
          <w:tcPr>
            <w:tcW w:w="2268" w:type="dxa"/>
            <w:vAlign w:val="center"/>
            <w:hideMark/>
          </w:tcPr>
          <w:p w14:paraId="28A9A7FE" w14:textId="2A771280" w:rsidR="00897115" w:rsidRPr="00EE4AAC" w:rsidRDefault="00897115" w:rsidP="00897115">
            <w:pPr>
              <w:pStyle w:val="Tablicaboczek"/>
              <w:rPr>
                <w:rFonts w:cs="Fira Sans"/>
                <w:spacing w:val="-1"/>
                <w:lang w:val="en-GB"/>
              </w:rPr>
            </w:pPr>
            <w:r w:rsidRPr="00EE4AAC">
              <w:rPr>
                <w:color w:val="000000" w:themeColor="text1"/>
                <w:lang w:val="en-GB"/>
              </w:rPr>
              <w:t>Arts and crafts</w:t>
            </w:r>
          </w:p>
        </w:tc>
        <w:tc>
          <w:tcPr>
            <w:tcW w:w="1382" w:type="dxa"/>
            <w:tcMar>
              <w:top w:w="57" w:type="dxa"/>
              <w:left w:w="102" w:type="dxa"/>
              <w:bottom w:w="57" w:type="dxa"/>
              <w:right w:w="108" w:type="dxa"/>
            </w:tcMar>
            <w:vAlign w:val="bottom"/>
            <w:hideMark/>
          </w:tcPr>
          <w:p w14:paraId="0F9E7C17" w14:textId="59EC26A3" w:rsidR="00897115" w:rsidRPr="00EE4AAC" w:rsidRDefault="00897115" w:rsidP="00897115">
            <w:pPr>
              <w:pStyle w:val="Tablicadanerodek"/>
              <w:rPr>
                <w:lang w:val="en-GB"/>
              </w:rPr>
            </w:pPr>
            <w:r w:rsidRPr="00EE4AAC">
              <w:rPr>
                <w:lang w:val="en-GB"/>
              </w:rPr>
              <w:t>0.8</w:t>
            </w:r>
          </w:p>
        </w:tc>
        <w:tc>
          <w:tcPr>
            <w:tcW w:w="1382" w:type="dxa"/>
            <w:tcMar>
              <w:top w:w="57" w:type="dxa"/>
              <w:left w:w="102" w:type="dxa"/>
              <w:bottom w:w="57" w:type="dxa"/>
              <w:right w:w="108" w:type="dxa"/>
            </w:tcMar>
            <w:vAlign w:val="bottom"/>
            <w:hideMark/>
          </w:tcPr>
          <w:p w14:paraId="4E0B3667" w14:textId="4F6D0B4C" w:rsidR="00897115" w:rsidRPr="00EE4AAC" w:rsidRDefault="00897115" w:rsidP="00897115">
            <w:pPr>
              <w:pStyle w:val="Tablicadanerodek"/>
              <w:rPr>
                <w:lang w:val="en-GB"/>
              </w:rPr>
            </w:pPr>
            <w:r w:rsidRPr="00EE4AAC">
              <w:rPr>
                <w:lang w:val="en-GB"/>
              </w:rPr>
              <w:t>2.8</w:t>
            </w:r>
          </w:p>
        </w:tc>
        <w:tc>
          <w:tcPr>
            <w:tcW w:w="1382" w:type="dxa"/>
            <w:tcMar>
              <w:top w:w="57" w:type="dxa"/>
              <w:left w:w="102" w:type="dxa"/>
              <w:bottom w:w="57" w:type="dxa"/>
              <w:right w:w="108" w:type="dxa"/>
            </w:tcMar>
            <w:vAlign w:val="bottom"/>
            <w:hideMark/>
          </w:tcPr>
          <w:p w14:paraId="1F32E22A" w14:textId="77777777" w:rsidR="00897115" w:rsidRPr="00EE4AAC" w:rsidRDefault="00897115" w:rsidP="00897115">
            <w:pPr>
              <w:pStyle w:val="Tablicadanerodek"/>
              <w:rPr>
                <w:lang w:val="en-GB"/>
              </w:rPr>
            </w:pPr>
            <w:r w:rsidRPr="00EE4AAC">
              <w:rPr>
                <w:lang w:val="en-GB"/>
              </w:rPr>
              <w:t>–</w:t>
            </w:r>
          </w:p>
        </w:tc>
        <w:tc>
          <w:tcPr>
            <w:tcW w:w="1383" w:type="dxa"/>
            <w:tcMar>
              <w:top w:w="57" w:type="dxa"/>
              <w:left w:w="102" w:type="dxa"/>
              <w:bottom w:w="57" w:type="dxa"/>
              <w:right w:w="108" w:type="dxa"/>
            </w:tcMar>
            <w:vAlign w:val="center"/>
            <w:hideMark/>
          </w:tcPr>
          <w:p w14:paraId="7E1B2970" w14:textId="04420467" w:rsidR="00A56D33" w:rsidRPr="00EE4AAC" w:rsidRDefault="00A56D33" w:rsidP="00A56D33">
            <w:pPr>
              <w:pStyle w:val="Tablicadanerodek"/>
              <w:rPr>
                <w:lang w:val="en-GB"/>
              </w:rPr>
            </w:pPr>
            <w:r w:rsidRPr="00EE4AAC">
              <w:rPr>
                <w:lang w:val="en-GB"/>
              </w:rPr>
              <w:t xml:space="preserve">- </w:t>
            </w:r>
          </w:p>
        </w:tc>
      </w:tr>
    </w:tbl>
    <w:p w14:paraId="3751F22E" w14:textId="77777777" w:rsidR="00A56D33" w:rsidRPr="00EE4AAC" w:rsidRDefault="00A56D33" w:rsidP="0027669C">
      <w:pPr>
        <w:spacing w:before="240" w:after="2520" w:line="288" w:lineRule="auto"/>
        <w:rPr>
          <w:rFonts w:cstheme="minorHAnsi"/>
          <w:szCs w:val="19"/>
          <w:lang w:val="en-GB"/>
        </w:rPr>
      </w:pPr>
      <w:r w:rsidRPr="00EE4AAC">
        <w:rPr>
          <w:rFonts w:cstheme="minorHAnsi"/>
          <w:szCs w:val="19"/>
          <w:lang w:val="en-GB"/>
        </w:rPr>
        <w:t>The recipients of Polish cultural and creative goods were primarily economically developed countries, especially the EU countries (88.9% of all turnover), including the Euro area members (76.8% of all turnover). The situation was similar in the case of imports of goods, where the main turnover was with developed countries, although to a lesser extent with the EU (53.4%) or the euro area itself (49.6%). The geographical structure of trade in cultural and creative services was similar. Most services were exported and imported to and from economically developed countries (94.7% and 95.6%, respectively), half of which to and from euro area countries.</w:t>
      </w:r>
    </w:p>
    <w:p w14:paraId="48110BD0" w14:textId="77777777" w:rsidR="007762FA" w:rsidRPr="00EE4AAC" w:rsidRDefault="007762FA" w:rsidP="00A23CC1">
      <w:pPr>
        <w:suppressAutoHyphens/>
        <w:spacing w:before="480" w:line="288" w:lineRule="auto"/>
        <w:rPr>
          <w:sz w:val="18"/>
          <w:lang w:val="en-GB"/>
        </w:rPr>
        <w:sectPr w:rsidR="007762FA" w:rsidRPr="00EE4AAC"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EE4AAC">
        <w:rPr>
          <w:shd w:val="clear" w:color="auto" w:fill="FFFFFF"/>
          <w:lang w:val="en-GB"/>
        </w:rPr>
        <w:t xml:space="preserve">In </w:t>
      </w:r>
      <w:r w:rsidRPr="00EE4AAC">
        <w:rPr>
          <w:spacing w:val="-2"/>
          <w:szCs w:val="19"/>
          <w:lang w:val="en-GB" w:eastAsia="pl-PL"/>
        </w:rPr>
        <w:t>the case of quoting data from the Statistics Poland, please provide information: "Statistics Poland data source", and in the case of publishing calculations made on data published by the Statistics Poland, please provide information: "Own study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layout"/>
      </w:tblPr>
      <w:tblGrid>
        <w:gridCol w:w="4926"/>
        <w:gridCol w:w="4927"/>
      </w:tblGrid>
      <w:tr w:rsidR="00863791" w:rsidRPr="00EE4AAC" w14:paraId="58BEDCB7" w14:textId="77777777" w:rsidTr="00412466">
        <w:trPr>
          <w:cantSplit/>
          <w:trHeight w:val="1626"/>
        </w:trPr>
        <w:tc>
          <w:tcPr>
            <w:tcW w:w="4926" w:type="dxa"/>
          </w:tcPr>
          <w:p w14:paraId="498780DE" w14:textId="77777777" w:rsidR="00A56D33" w:rsidRPr="00EE4AAC" w:rsidRDefault="00A56D33" w:rsidP="00A56D33">
            <w:pPr>
              <w:rPr>
                <w:sz w:val="20"/>
                <w:szCs w:val="20"/>
                <w:lang w:val="en-GB"/>
              </w:rPr>
            </w:pPr>
            <w:r w:rsidRPr="00EE4AAC">
              <w:rPr>
                <w:sz w:val="20"/>
                <w:szCs w:val="20"/>
                <w:lang w:val="en-GB"/>
              </w:rPr>
              <w:lastRenderedPageBreak/>
              <w:t>Prepared by:</w:t>
            </w:r>
          </w:p>
          <w:p w14:paraId="6E679E13" w14:textId="77777777" w:rsidR="00A56D33" w:rsidRPr="00EE4AAC" w:rsidRDefault="00A56D33" w:rsidP="00A56D33">
            <w:pPr>
              <w:rPr>
                <w:b/>
                <w:bCs/>
                <w:sz w:val="20"/>
                <w:szCs w:val="20"/>
                <w:lang w:val="en-GB"/>
              </w:rPr>
            </w:pPr>
            <w:r w:rsidRPr="00EE4AAC">
              <w:rPr>
                <w:b/>
                <w:bCs/>
                <w:sz w:val="20"/>
                <w:szCs w:val="20"/>
                <w:lang w:val="en-GB"/>
              </w:rPr>
              <w:t>Statistical Office in Kraków</w:t>
            </w:r>
          </w:p>
          <w:p w14:paraId="182823C2" w14:textId="77777777" w:rsidR="00A56D33" w:rsidRPr="00EE4AAC" w:rsidRDefault="00A56D33" w:rsidP="00A56D33">
            <w:pPr>
              <w:rPr>
                <w:sz w:val="20"/>
                <w:szCs w:val="20"/>
                <w:lang w:val="en-GB"/>
              </w:rPr>
            </w:pPr>
          </w:p>
          <w:p w14:paraId="56F08FD5" w14:textId="77777777" w:rsidR="00A56D33" w:rsidRPr="00EE4AAC" w:rsidRDefault="00A56D33" w:rsidP="00A56D33">
            <w:pPr>
              <w:rPr>
                <w:b/>
                <w:bCs/>
                <w:sz w:val="20"/>
                <w:szCs w:val="20"/>
                <w:lang w:val="en-GB"/>
              </w:rPr>
            </w:pPr>
            <w:r w:rsidRPr="00EE4AAC">
              <w:rPr>
                <w:b/>
                <w:bCs/>
                <w:sz w:val="20"/>
                <w:szCs w:val="20"/>
                <w:lang w:val="en-GB"/>
              </w:rPr>
              <w:t xml:space="preserve">Director Agnieszka </w:t>
            </w:r>
            <w:proofErr w:type="spellStart"/>
            <w:r w:rsidRPr="00EE4AAC">
              <w:rPr>
                <w:b/>
                <w:bCs/>
                <w:sz w:val="20"/>
                <w:szCs w:val="20"/>
                <w:lang w:val="en-GB"/>
              </w:rPr>
              <w:t>Szlubowska</w:t>
            </w:r>
            <w:proofErr w:type="spellEnd"/>
          </w:p>
          <w:p w14:paraId="3A0D79EC" w14:textId="1C63D2DE" w:rsidR="00863791" w:rsidRPr="00EE4AAC" w:rsidRDefault="00A56D33" w:rsidP="00A56D33">
            <w:pPr>
              <w:rPr>
                <w:sz w:val="20"/>
                <w:szCs w:val="20"/>
                <w:lang w:val="en-GB"/>
              </w:rPr>
            </w:pPr>
            <w:r w:rsidRPr="00EE4AAC">
              <w:rPr>
                <w:sz w:val="20"/>
                <w:szCs w:val="20"/>
                <w:lang w:val="en-GB"/>
              </w:rPr>
              <w:t>Office: tel. (+48 22) 420 40 50</w:t>
            </w:r>
          </w:p>
        </w:tc>
        <w:tc>
          <w:tcPr>
            <w:tcW w:w="4927" w:type="dxa"/>
          </w:tcPr>
          <w:p w14:paraId="75566D87" w14:textId="77777777" w:rsidR="00A56D33" w:rsidRPr="00EE4AAC" w:rsidRDefault="00A56D33" w:rsidP="00A56D33">
            <w:pPr>
              <w:spacing w:before="0" w:line="288" w:lineRule="auto"/>
              <w:rPr>
                <w:rFonts w:cs="Arial"/>
                <w:bCs/>
                <w:sz w:val="20"/>
                <w:lang w:val="en-GB"/>
              </w:rPr>
            </w:pPr>
            <w:r w:rsidRPr="00EE4AAC">
              <w:rPr>
                <w:rFonts w:cs="Arial"/>
                <w:bCs/>
                <w:sz w:val="20"/>
                <w:lang w:val="en-GB"/>
              </w:rPr>
              <w:t>Issued by:</w:t>
            </w:r>
          </w:p>
          <w:p w14:paraId="0FB4C0C4" w14:textId="77777777" w:rsidR="00A56D33" w:rsidRPr="00EE4AAC" w:rsidRDefault="00A56D33" w:rsidP="00A56D33">
            <w:pPr>
              <w:spacing w:before="0" w:line="288" w:lineRule="auto"/>
              <w:rPr>
                <w:rFonts w:cs="Arial"/>
                <w:b/>
                <w:sz w:val="20"/>
                <w:lang w:val="en-GB"/>
              </w:rPr>
            </w:pPr>
            <w:r w:rsidRPr="00EE4AAC">
              <w:rPr>
                <w:rFonts w:cs="Arial"/>
                <w:b/>
                <w:sz w:val="20"/>
                <w:lang w:val="en-GB"/>
              </w:rPr>
              <w:t>The Spokesperson for the President of Statistics Poland</w:t>
            </w:r>
          </w:p>
          <w:p w14:paraId="2453E843" w14:textId="77777777" w:rsidR="00A56D33" w:rsidRPr="00EE4AAC" w:rsidRDefault="00A56D33" w:rsidP="00A56D33">
            <w:pPr>
              <w:spacing w:before="0" w:line="288" w:lineRule="auto"/>
              <w:rPr>
                <w:rFonts w:cs="Arial"/>
                <w:bCs/>
                <w:sz w:val="20"/>
                <w:lang w:val="en-GB"/>
              </w:rPr>
            </w:pPr>
          </w:p>
          <w:p w14:paraId="420209A3" w14:textId="77777777" w:rsidR="00A56D33" w:rsidRPr="00EE4AAC" w:rsidRDefault="00A56D33" w:rsidP="00A56D33">
            <w:pPr>
              <w:spacing w:before="0" w:line="288" w:lineRule="auto"/>
              <w:rPr>
                <w:rFonts w:cs="Arial"/>
                <w:b/>
                <w:sz w:val="20"/>
                <w:lang w:val="en-GB"/>
              </w:rPr>
            </w:pPr>
            <w:r w:rsidRPr="00EE4AAC">
              <w:rPr>
                <w:rFonts w:cs="Arial"/>
                <w:b/>
                <w:sz w:val="20"/>
                <w:lang w:val="en-GB"/>
              </w:rPr>
              <w:t xml:space="preserve">Karolina </w:t>
            </w:r>
            <w:proofErr w:type="spellStart"/>
            <w:r w:rsidRPr="00EE4AAC">
              <w:rPr>
                <w:rFonts w:cs="Arial"/>
                <w:b/>
                <w:sz w:val="20"/>
                <w:lang w:val="en-GB"/>
              </w:rPr>
              <w:t>Banaszek</w:t>
            </w:r>
            <w:proofErr w:type="spellEnd"/>
          </w:p>
          <w:p w14:paraId="08CBA38D" w14:textId="5A3AC9FD" w:rsidR="00863791" w:rsidRPr="00EE4AAC" w:rsidRDefault="00A56D33" w:rsidP="00A56D33">
            <w:pPr>
              <w:spacing w:before="0" w:line="288" w:lineRule="auto"/>
              <w:rPr>
                <w:rFonts w:cs="Arial"/>
                <w:bCs/>
                <w:sz w:val="20"/>
                <w:lang w:val="en-GB"/>
              </w:rPr>
            </w:pPr>
            <w:r w:rsidRPr="00EE4AAC">
              <w:rPr>
                <w:rFonts w:cs="Arial"/>
                <w:bCs/>
                <w:sz w:val="20"/>
                <w:lang w:val="en-GB"/>
              </w:rPr>
              <w:t>Mobile: (+48) 695 255 011</w:t>
            </w:r>
          </w:p>
          <w:p w14:paraId="074E0FC0" w14:textId="77777777" w:rsidR="00863791" w:rsidRPr="00EE4AAC" w:rsidRDefault="00863791" w:rsidP="00412D3F">
            <w:pPr>
              <w:rPr>
                <w:sz w:val="18"/>
                <w:lang w:val="en-GB"/>
              </w:rPr>
            </w:pPr>
          </w:p>
        </w:tc>
      </w:tr>
      <w:tr w:rsidR="00863791" w:rsidRPr="00EE4AAC" w14:paraId="7A532510" w14:textId="77777777" w:rsidTr="00412466">
        <w:trPr>
          <w:cantSplit/>
          <w:trHeight w:val="418"/>
        </w:trPr>
        <w:tc>
          <w:tcPr>
            <w:tcW w:w="4926" w:type="dxa"/>
            <w:vMerge w:val="restart"/>
          </w:tcPr>
          <w:p w14:paraId="6D4EC8BB" w14:textId="77777777" w:rsidR="00A56D33" w:rsidRPr="00EE4AAC" w:rsidRDefault="00A56D33" w:rsidP="00A56D33">
            <w:pPr>
              <w:rPr>
                <w:b/>
                <w:sz w:val="20"/>
                <w:szCs w:val="20"/>
                <w:lang w:val="en-GB"/>
              </w:rPr>
            </w:pPr>
            <w:r w:rsidRPr="00EE4AAC">
              <w:rPr>
                <w:b/>
                <w:sz w:val="20"/>
                <w:szCs w:val="20"/>
                <w:lang w:val="en-GB"/>
              </w:rPr>
              <w:t>Press Office</w:t>
            </w:r>
          </w:p>
          <w:p w14:paraId="0277999C" w14:textId="77777777" w:rsidR="00A56D33" w:rsidRPr="00EE4AAC" w:rsidRDefault="00A56D33" w:rsidP="00A56D33">
            <w:pPr>
              <w:rPr>
                <w:sz w:val="20"/>
                <w:szCs w:val="20"/>
                <w:lang w:val="en-GB"/>
              </w:rPr>
            </w:pPr>
            <w:r w:rsidRPr="00EE4AAC">
              <w:rPr>
                <w:sz w:val="20"/>
                <w:szCs w:val="20"/>
                <w:lang w:val="en-GB"/>
              </w:rPr>
              <w:t xml:space="preserve">Office: </w:t>
            </w:r>
            <w:proofErr w:type="spellStart"/>
            <w:r w:rsidRPr="00EE4AAC">
              <w:rPr>
                <w:sz w:val="20"/>
                <w:szCs w:val="20"/>
                <w:lang w:val="en-GB"/>
              </w:rPr>
              <w:t>tel</w:t>
            </w:r>
            <w:proofErr w:type="spellEnd"/>
            <w:r w:rsidRPr="00EE4AAC">
              <w:rPr>
                <w:sz w:val="20"/>
                <w:szCs w:val="20"/>
                <w:lang w:val="en-GB"/>
              </w:rPr>
              <w:t xml:space="preserve">: +48 22 608 38 04 </w:t>
            </w:r>
          </w:p>
          <w:p w14:paraId="414CA9E6" w14:textId="06C82845" w:rsidR="00A56D33" w:rsidRPr="00EE4AAC" w:rsidRDefault="00A56D33" w:rsidP="00A56D33">
            <w:pPr>
              <w:spacing w:before="0" w:line="288" w:lineRule="auto"/>
              <w:rPr>
                <w:sz w:val="20"/>
                <w:szCs w:val="20"/>
                <w:lang w:val="en-GB"/>
              </w:rPr>
            </w:pPr>
            <w:r w:rsidRPr="00EE4AAC">
              <w:rPr>
                <w:b/>
                <w:sz w:val="20"/>
                <w:szCs w:val="20"/>
                <w:lang w:val="en-GB"/>
              </w:rPr>
              <w:t>e-mail:</w:t>
            </w:r>
            <w:r w:rsidRPr="00EE4AAC">
              <w:rPr>
                <w:sz w:val="20"/>
                <w:szCs w:val="20"/>
                <w:lang w:val="en-GB"/>
              </w:rPr>
              <w:t xml:space="preserve"> </w:t>
            </w:r>
            <w:hyperlink r:id="rId18" w:tgtFrame="none" w:tooltip="link to email obslugaprasowa@stat.gov.pl" w:history="1">
              <w:r w:rsidRPr="00EE4AAC">
                <w:rPr>
                  <w:rStyle w:val="Hipercze"/>
                  <w:rFonts w:eastAsiaTheme="majorEastAsia" w:cs="Arial"/>
                  <w:b/>
                  <w:color w:val="auto"/>
                  <w:sz w:val="20"/>
                  <w:szCs w:val="20"/>
                  <w:lang w:val="en-GB"/>
                </w:rPr>
                <w:t>obslugaprasowa@stat.gov.pl</w:t>
              </w:r>
            </w:hyperlink>
          </w:p>
          <w:p w14:paraId="7B8E4EC2" w14:textId="30920822" w:rsidR="00863791" w:rsidRPr="00EE4AAC" w:rsidRDefault="00863791" w:rsidP="00412D3F">
            <w:pPr>
              <w:rPr>
                <w:sz w:val="18"/>
                <w:lang w:val="en-GB"/>
              </w:rPr>
            </w:pPr>
          </w:p>
        </w:tc>
        <w:tc>
          <w:tcPr>
            <w:tcW w:w="4927" w:type="dxa"/>
            <w:vAlign w:val="center"/>
          </w:tcPr>
          <w:p w14:paraId="1D705AAB" w14:textId="0C7472BA" w:rsidR="00863791" w:rsidRPr="00EE4AAC" w:rsidRDefault="00863791" w:rsidP="00412D3F">
            <w:pPr>
              <w:ind w:firstLine="680"/>
              <w:rPr>
                <w:sz w:val="18"/>
                <w:lang w:val="en-GB"/>
              </w:rPr>
            </w:pPr>
            <w:r w:rsidRPr="00EE4AAC">
              <w:rPr>
                <w:noProof/>
                <w:sz w:val="20"/>
                <w:lang w:val="en-GB" w:eastAsia="pl-PL"/>
              </w:rPr>
              <w:drawing>
                <wp:anchor distT="0" distB="0" distL="114300" distR="114300" simplePos="0" relativeHeight="251777024" behindDoc="0" locked="0" layoutInCell="1" allowOverlap="1" wp14:anchorId="3589FC47" wp14:editId="36392530">
                  <wp:simplePos x="0" y="0"/>
                  <wp:positionH relativeFrom="column">
                    <wp:posOffset>78740</wp:posOffset>
                  </wp:positionH>
                  <wp:positionV relativeFrom="paragraph">
                    <wp:posOffset>21590</wp:posOffset>
                  </wp:positionV>
                  <wp:extent cx="251460" cy="251460"/>
                  <wp:effectExtent l="0" t="0" r="0" b="0"/>
                  <wp:wrapNone/>
                  <wp:docPr id="20" name="Obraz 20"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EE4AAC">
              <w:rPr>
                <w:sz w:val="20"/>
                <w:lang w:val="en-GB"/>
              </w:rPr>
              <w:t>stat.gov.pl</w:t>
            </w:r>
            <w:r w:rsidR="00A56D33" w:rsidRPr="00EE4AAC">
              <w:rPr>
                <w:sz w:val="20"/>
                <w:lang w:val="en-GB"/>
              </w:rPr>
              <w:t>/</w:t>
            </w:r>
            <w:proofErr w:type="spellStart"/>
            <w:r w:rsidR="00A56D33" w:rsidRPr="00EE4AAC">
              <w:rPr>
                <w:sz w:val="20"/>
                <w:lang w:val="en-GB"/>
              </w:rPr>
              <w:t>en</w:t>
            </w:r>
            <w:proofErr w:type="spellEnd"/>
          </w:p>
        </w:tc>
      </w:tr>
      <w:tr w:rsidR="00863791" w:rsidRPr="00EE4AAC" w14:paraId="4880347E" w14:textId="77777777" w:rsidTr="00412466">
        <w:trPr>
          <w:cantSplit/>
          <w:trHeight w:val="418"/>
        </w:trPr>
        <w:tc>
          <w:tcPr>
            <w:tcW w:w="4926" w:type="dxa"/>
            <w:vMerge/>
          </w:tcPr>
          <w:p w14:paraId="62C1D9EF" w14:textId="77777777" w:rsidR="00863791" w:rsidRPr="00EE4AAC" w:rsidRDefault="00863791" w:rsidP="00412D3F">
            <w:pPr>
              <w:rPr>
                <w:b/>
                <w:sz w:val="20"/>
                <w:lang w:val="en-GB"/>
              </w:rPr>
            </w:pPr>
          </w:p>
        </w:tc>
        <w:tc>
          <w:tcPr>
            <w:tcW w:w="4927" w:type="dxa"/>
            <w:vAlign w:val="center"/>
          </w:tcPr>
          <w:p w14:paraId="41D2A13B" w14:textId="5551E5B9" w:rsidR="00863791" w:rsidRPr="00EE4AAC" w:rsidRDefault="00863791" w:rsidP="00412D3F">
            <w:pPr>
              <w:ind w:firstLine="680"/>
              <w:rPr>
                <w:sz w:val="18"/>
                <w:lang w:val="en-GB"/>
              </w:rPr>
            </w:pPr>
            <w:r w:rsidRPr="00EE4AAC">
              <w:rPr>
                <w:noProof/>
                <w:sz w:val="20"/>
                <w:lang w:val="en-GB" w:eastAsia="pl-PL"/>
              </w:rPr>
              <w:drawing>
                <wp:anchor distT="0" distB="0" distL="114300" distR="114300" simplePos="0" relativeHeight="251778048" behindDoc="0" locked="0" layoutInCell="1" allowOverlap="1" wp14:anchorId="5C2E170E" wp14:editId="2C3D77F1">
                  <wp:simplePos x="0" y="0"/>
                  <wp:positionH relativeFrom="column">
                    <wp:posOffset>78740</wp:posOffset>
                  </wp:positionH>
                  <wp:positionV relativeFrom="paragraph">
                    <wp:posOffset>21590</wp:posOffset>
                  </wp:positionV>
                  <wp:extent cx="251460" cy="251460"/>
                  <wp:effectExtent l="0" t="0" r="0" b="0"/>
                  <wp:wrapNone/>
                  <wp:docPr id="25" name="Obraz 25"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EE4AAC">
              <w:rPr>
                <w:sz w:val="20"/>
                <w:lang w:val="en-GB"/>
              </w:rPr>
              <w:t>@</w:t>
            </w:r>
            <w:proofErr w:type="spellStart"/>
            <w:r w:rsidR="00A56D33" w:rsidRPr="00EE4AAC">
              <w:rPr>
                <w:sz w:val="20"/>
                <w:lang w:val="en-GB"/>
              </w:rPr>
              <w:t>StatPoland</w:t>
            </w:r>
            <w:proofErr w:type="spellEnd"/>
            <w:r w:rsidRPr="00EE4AAC">
              <w:rPr>
                <w:noProof/>
                <w:sz w:val="20"/>
                <w:lang w:val="en-GB" w:eastAsia="pl-PL"/>
              </w:rPr>
              <w:t xml:space="preserve"> </w:t>
            </w:r>
          </w:p>
        </w:tc>
      </w:tr>
      <w:tr w:rsidR="00863791" w:rsidRPr="00EE4AAC" w14:paraId="6244D3CC" w14:textId="77777777" w:rsidTr="00412466">
        <w:trPr>
          <w:cantSplit/>
          <w:trHeight w:val="476"/>
        </w:trPr>
        <w:tc>
          <w:tcPr>
            <w:tcW w:w="4926" w:type="dxa"/>
            <w:vMerge/>
          </w:tcPr>
          <w:p w14:paraId="796A9A5D" w14:textId="77777777" w:rsidR="00863791" w:rsidRPr="00EE4AAC" w:rsidRDefault="00863791" w:rsidP="00412D3F">
            <w:pPr>
              <w:rPr>
                <w:b/>
                <w:sz w:val="20"/>
                <w:lang w:val="en-GB"/>
              </w:rPr>
            </w:pPr>
          </w:p>
        </w:tc>
        <w:tc>
          <w:tcPr>
            <w:tcW w:w="4927" w:type="dxa"/>
          </w:tcPr>
          <w:p w14:paraId="09B0E4C3" w14:textId="77777777" w:rsidR="00863791" w:rsidRPr="00EE4AAC" w:rsidRDefault="00863791" w:rsidP="00412D3F">
            <w:pPr>
              <w:ind w:firstLine="680"/>
              <w:rPr>
                <w:sz w:val="18"/>
                <w:lang w:val="en-GB"/>
              </w:rPr>
            </w:pPr>
            <w:r w:rsidRPr="00EE4AAC">
              <w:rPr>
                <w:noProof/>
                <w:sz w:val="20"/>
                <w:lang w:val="en-GB" w:eastAsia="pl-PL"/>
              </w:rPr>
              <w:drawing>
                <wp:anchor distT="0" distB="0" distL="114300" distR="114300" simplePos="0" relativeHeight="251779072" behindDoc="0" locked="0" layoutInCell="1" allowOverlap="1" wp14:anchorId="3B41A5E7" wp14:editId="50B4ACF4">
                  <wp:simplePos x="0" y="0"/>
                  <wp:positionH relativeFrom="column">
                    <wp:posOffset>80645</wp:posOffset>
                  </wp:positionH>
                  <wp:positionV relativeFrom="paragraph">
                    <wp:posOffset>13970</wp:posOffset>
                  </wp:positionV>
                  <wp:extent cx="251460" cy="251460"/>
                  <wp:effectExtent l="0" t="0" r="0" b="0"/>
                  <wp:wrapNone/>
                  <wp:docPr id="26" name="Obraz 26"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EE4AAC">
              <w:rPr>
                <w:sz w:val="20"/>
                <w:lang w:val="en-GB"/>
              </w:rPr>
              <w:t>@</w:t>
            </w:r>
            <w:proofErr w:type="spellStart"/>
            <w:r w:rsidRPr="00EE4AAC">
              <w:rPr>
                <w:sz w:val="20"/>
                <w:lang w:val="en-GB"/>
              </w:rPr>
              <w:t>GlownyUrzadStatystyczny</w:t>
            </w:r>
            <w:proofErr w:type="spellEnd"/>
            <w:r w:rsidRPr="00EE4AAC">
              <w:rPr>
                <w:noProof/>
                <w:sz w:val="20"/>
                <w:lang w:val="en-GB" w:eastAsia="pl-PL"/>
              </w:rPr>
              <w:t xml:space="preserve"> </w:t>
            </w:r>
          </w:p>
        </w:tc>
      </w:tr>
      <w:tr w:rsidR="00863791" w:rsidRPr="00EE4AAC" w14:paraId="2008B9E7" w14:textId="77777777" w:rsidTr="00412466">
        <w:trPr>
          <w:cantSplit/>
          <w:trHeight w:val="426"/>
        </w:trPr>
        <w:tc>
          <w:tcPr>
            <w:tcW w:w="4926" w:type="dxa"/>
          </w:tcPr>
          <w:p w14:paraId="057E137A" w14:textId="77777777" w:rsidR="00863791" w:rsidRPr="00EE4AAC" w:rsidRDefault="00863791" w:rsidP="00412D3F">
            <w:pPr>
              <w:rPr>
                <w:b/>
                <w:sz w:val="20"/>
                <w:lang w:val="en-GB"/>
              </w:rPr>
            </w:pPr>
          </w:p>
        </w:tc>
        <w:tc>
          <w:tcPr>
            <w:tcW w:w="4927" w:type="dxa"/>
          </w:tcPr>
          <w:p w14:paraId="50BDE50B" w14:textId="77777777" w:rsidR="00863791" w:rsidRPr="00EE4AAC" w:rsidRDefault="00863791" w:rsidP="00412D3F">
            <w:pPr>
              <w:ind w:firstLine="680"/>
              <w:rPr>
                <w:noProof/>
                <w:sz w:val="20"/>
                <w:lang w:val="en-GB" w:eastAsia="pl-PL"/>
              </w:rPr>
            </w:pPr>
            <w:r w:rsidRPr="00EE4AAC">
              <w:rPr>
                <w:noProof/>
                <w:sz w:val="20"/>
                <w:lang w:val="en-GB" w:eastAsia="pl-PL"/>
              </w:rPr>
              <w:drawing>
                <wp:anchor distT="0" distB="0" distL="114300" distR="114300" simplePos="0" relativeHeight="251780096" behindDoc="0" locked="0" layoutInCell="1" allowOverlap="1" wp14:anchorId="1FB2A90C" wp14:editId="1CC962C2">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EE4AAC">
              <w:rPr>
                <w:sz w:val="20"/>
                <w:lang w:val="en-GB"/>
              </w:rPr>
              <w:t>gus_stat</w:t>
            </w:r>
            <w:proofErr w:type="spellEnd"/>
          </w:p>
        </w:tc>
      </w:tr>
      <w:tr w:rsidR="00863791" w:rsidRPr="00EE4AAC" w14:paraId="17F3C851" w14:textId="77777777" w:rsidTr="00412466">
        <w:trPr>
          <w:cantSplit/>
          <w:trHeight w:val="504"/>
        </w:trPr>
        <w:tc>
          <w:tcPr>
            <w:tcW w:w="4926" w:type="dxa"/>
          </w:tcPr>
          <w:p w14:paraId="09D0A3C5" w14:textId="77777777" w:rsidR="00863791" w:rsidRPr="00EE4AAC" w:rsidRDefault="00863791" w:rsidP="00412D3F">
            <w:pPr>
              <w:rPr>
                <w:b/>
                <w:sz w:val="20"/>
                <w:lang w:val="en-GB"/>
              </w:rPr>
            </w:pPr>
          </w:p>
        </w:tc>
        <w:tc>
          <w:tcPr>
            <w:tcW w:w="4927" w:type="dxa"/>
          </w:tcPr>
          <w:p w14:paraId="24276FAB" w14:textId="77777777" w:rsidR="00863791" w:rsidRPr="00EE4AAC" w:rsidRDefault="00863791" w:rsidP="00412D3F">
            <w:pPr>
              <w:ind w:firstLine="680"/>
              <w:rPr>
                <w:noProof/>
                <w:sz w:val="20"/>
                <w:lang w:val="en-GB" w:eastAsia="pl-PL"/>
              </w:rPr>
            </w:pPr>
            <w:r w:rsidRPr="00EE4AAC">
              <w:rPr>
                <w:noProof/>
                <w:sz w:val="20"/>
                <w:lang w:val="en-GB" w:eastAsia="pl-PL"/>
              </w:rPr>
              <w:drawing>
                <wp:anchor distT="0" distB="0" distL="114300" distR="114300" simplePos="0" relativeHeight="251781120" behindDoc="0" locked="0" layoutInCell="1" allowOverlap="1" wp14:anchorId="79B25C41" wp14:editId="4D2F1B29">
                  <wp:simplePos x="0" y="0"/>
                  <wp:positionH relativeFrom="column">
                    <wp:posOffset>82550</wp:posOffset>
                  </wp:positionH>
                  <wp:positionV relativeFrom="paragraph">
                    <wp:posOffset>13970</wp:posOffset>
                  </wp:positionV>
                  <wp:extent cx="251460" cy="251460"/>
                  <wp:effectExtent l="0" t="0" r="0" b="0"/>
                  <wp:wrapNone/>
                  <wp:docPr id="27" name="Obraz 2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EE4AAC">
              <w:rPr>
                <w:sz w:val="20"/>
                <w:lang w:val="en-GB"/>
              </w:rPr>
              <w:t>glownyurzadstatystycznygus</w:t>
            </w:r>
            <w:proofErr w:type="spellEnd"/>
          </w:p>
        </w:tc>
      </w:tr>
      <w:tr w:rsidR="00863791" w:rsidRPr="00EE4AAC" w14:paraId="7056FFE8" w14:textId="77777777" w:rsidTr="00412466">
        <w:trPr>
          <w:cantSplit/>
          <w:trHeight w:val="1546"/>
        </w:trPr>
        <w:tc>
          <w:tcPr>
            <w:tcW w:w="4926" w:type="dxa"/>
          </w:tcPr>
          <w:p w14:paraId="7E58930E" w14:textId="77777777" w:rsidR="00863791" w:rsidRPr="00EE4AAC" w:rsidRDefault="00863791" w:rsidP="00412D3F">
            <w:pPr>
              <w:rPr>
                <w:b/>
                <w:sz w:val="20"/>
                <w:lang w:val="en-GB"/>
              </w:rPr>
            </w:pPr>
          </w:p>
        </w:tc>
        <w:tc>
          <w:tcPr>
            <w:tcW w:w="4927" w:type="dxa"/>
          </w:tcPr>
          <w:p w14:paraId="270E72CE" w14:textId="77777777" w:rsidR="00863791" w:rsidRPr="00EE4AAC" w:rsidRDefault="00863791" w:rsidP="00412D3F">
            <w:pPr>
              <w:ind w:firstLine="680"/>
              <w:rPr>
                <w:noProof/>
                <w:sz w:val="20"/>
                <w:lang w:val="en-GB" w:eastAsia="pl-PL"/>
              </w:rPr>
            </w:pPr>
            <w:r w:rsidRPr="00EE4AAC">
              <w:rPr>
                <w:noProof/>
                <w:sz w:val="20"/>
                <w:lang w:val="en-GB" w:eastAsia="pl-PL"/>
              </w:rPr>
              <w:t>glownyurzadstatystyczny</w:t>
            </w:r>
            <w:r w:rsidRPr="00EE4AAC">
              <w:rPr>
                <w:noProof/>
                <w:sz w:val="20"/>
                <w:lang w:val="en-GB" w:eastAsia="pl-PL"/>
              </w:rPr>
              <w:drawing>
                <wp:anchor distT="0" distB="0" distL="114300" distR="114300" simplePos="0" relativeHeight="251782144" behindDoc="0" locked="0" layoutInCell="1" allowOverlap="1" wp14:anchorId="2E2BAE70" wp14:editId="50B90B84">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63791" w:rsidRPr="00EE4AAC" w14:paraId="4BF9499D" w14:textId="77777777" w:rsidTr="00412466">
        <w:trPr>
          <w:cantSplit/>
          <w:trHeight w:val="2700"/>
        </w:trPr>
        <w:tc>
          <w:tcPr>
            <w:tcW w:w="9853" w:type="dxa"/>
            <w:gridSpan w:val="2"/>
            <w:shd w:val="clear" w:color="auto" w:fill="D9D9D9" w:themeFill="background1" w:themeFillShade="D9"/>
          </w:tcPr>
          <w:p w14:paraId="54A45487" w14:textId="1C5E9D3B" w:rsidR="00863791" w:rsidRPr="00EE4AAC" w:rsidRDefault="00A56D33" w:rsidP="00412D3F">
            <w:pPr>
              <w:shd w:val="clear" w:color="auto" w:fill="D9D9D9" w:themeFill="background1" w:themeFillShade="D9"/>
              <w:spacing w:before="360"/>
              <w:rPr>
                <w:b/>
                <w:lang w:val="en-GB"/>
              </w:rPr>
            </w:pPr>
            <w:r w:rsidRPr="00EE4AAC">
              <w:rPr>
                <w:b/>
                <w:lang w:val="en-GB"/>
              </w:rPr>
              <w:t>Related works</w:t>
            </w:r>
          </w:p>
          <w:p w14:paraId="656A8FCA" w14:textId="74312E48" w:rsidR="00102CD1" w:rsidRPr="00EE4AAC" w:rsidRDefault="003F2A37" w:rsidP="00102CD1">
            <w:pPr>
              <w:rPr>
                <w:rStyle w:val="Hipercze"/>
                <w:lang w:val="en-GB"/>
              </w:rPr>
            </w:pPr>
            <w:hyperlink r:id="rId25" w:tooltip="link to publication &quot;Cultural and creative industries 2014–2016&quot;" w:history="1">
              <w:r w:rsidR="00A56D33" w:rsidRPr="00EE4AAC">
                <w:rPr>
                  <w:rStyle w:val="Hipercze"/>
                  <w:rFonts w:cstheme="minorBidi"/>
                  <w:lang w:val="en-GB"/>
                </w:rPr>
                <w:t>Cultural and creative industries 2014–2016</w:t>
              </w:r>
            </w:hyperlink>
          </w:p>
          <w:p w14:paraId="63E68D88" w14:textId="561A0CA1" w:rsidR="00A56D33" w:rsidRPr="00EE4AAC" w:rsidRDefault="003F2A37" w:rsidP="00102CD1">
            <w:pPr>
              <w:rPr>
                <w:lang w:val="en-GB"/>
              </w:rPr>
            </w:pPr>
            <w:hyperlink r:id="rId26" w:tooltip="link to publication &quot;Cultural and creative industries in 2020&quot;" w:history="1">
              <w:r w:rsidR="00A56D33" w:rsidRPr="00EE4AAC">
                <w:rPr>
                  <w:rStyle w:val="Hipercze"/>
                  <w:rFonts w:cstheme="minorBidi"/>
                  <w:lang w:val="en-GB"/>
                </w:rPr>
                <w:t>Cultural and creative industries in 2020</w:t>
              </w:r>
            </w:hyperlink>
          </w:p>
          <w:p w14:paraId="2A13CB6E" w14:textId="0EDAA380" w:rsidR="00863791" w:rsidRPr="00EE4AAC" w:rsidRDefault="003F2A37" w:rsidP="00102CD1">
            <w:pPr>
              <w:rPr>
                <w:rStyle w:val="Hipercze"/>
                <w:lang w:val="en-GB"/>
              </w:rPr>
            </w:pPr>
            <w:hyperlink r:id="rId27" w:tooltip="link to publication &quot;Culture and national heritage in 2021&quot;" w:history="1">
              <w:r w:rsidR="00A56D33" w:rsidRPr="00EE4AAC">
                <w:rPr>
                  <w:rStyle w:val="Hipercze"/>
                  <w:lang w:val="en-GB"/>
                </w:rPr>
                <w:t>Culture and national heritage in 2021</w:t>
              </w:r>
            </w:hyperlink>
          </w:p>
          <w:p w14:paraId="2391B181" w14:textId="60BE9E81" w:rsidR="00863791" w:rsidRPr="00EE4AAC" w:rsidRDefault="00A56D33" w:rsidP="00412D3F">
            <w:pPr>
              <w:shd w:val="clear" w:color="auto" w:fill="D9D9D9" w:themeFill="background1" w:themeFillShade="D9"/>
              <w:spacing w:before="360"/>
              <w:rPr>
                <w:b/>
                <w:bCs/>
                <w:color w:val="000000" w:themeColor="text1"/>
                <w:szCs w:val="24"/>
                <w:lang w:val="en-GB"/>
              </w:rPr>
            </w:pPr>
            <w:r w:rsidRPr="00EE4AAC">
              <w:rPr>
                <w:b/>
                <w:bCs/>
                <w:color w:val="000000" w:themeColor="text1"/>
                <w:lang w:val="en-GB"/>
              </w:rPr>
              <w:t>Terms used in the official statistics</w:t>
            </w:r>
          </w:p>
          <w:p w14:paraId="270AA9C0" w14:textId="5BAEFBC5" w:rsidR="00A56D33" w:rsidRPr="00EE4AAC" w:rsidRDefault="003F2A37" w:rsidP="00A56D33">
            <w:pPr>
              <w:rPr>
                <w:rStyle w:val="Hipercze"/>
                <w:rFonts w:cstheme="minorBidi"/>
                <w:lang w:val="en-GB"/>
              </w:rPr>
            </w:pPr>
            <w:hyperlink r:id="rId28" w:tooltip="link to term &quot;Exports of goods and services&quot;" w:history="1">
              <w:r w:rsidR="00A56D33" w:rsidRPr="00EE4AAC">
                <w:rPr>
                  <w:rStyle w:val="Hipercze"/>
                  <w:rFonts w:cstheme="minorBidi"/>
                  <w:lang w:val="en-GB"/>
                </w:rPr>
                <w:t>Exports of goods and services</w:t>
              </w:r>
            </w:hyperlink>
          </w:p>
          <w:p w14:paraId="5F1EE258" w14:textId="35C6B704" w:rsidR="00A56D33" w:rsidRPr="00EE4AAC" w:rsidRDefault="003F2A37" w:rsidP="00A56D33">
            <w:pPr>
              <w:rPr>
                <w:rStyle w:val="Hipercze"/>
                <w:rFonts w:cstheme="minorBidi"/>
                <w:lang w:val="en-GB"/>
              </w:rPr>
            </w:pPr>
            <w:hyperlink r:id="rId29" w:tooltip="link to term &quot;Imports of goods and services&quot;" w:history="1">
              <w:r w:rsidR="00A56D33" w:rsidRPr="00EE4AAC">
                <w:rPr>
                  <w:rStyle w:val="Hipercze"/>
                  <w:rFonts w:cstheme="minorBidi"/>
                  <w:lang w:val="en-GB"/>
                </w:rPr>
                <w:t>Imports of goods and services</w:t>
              </w:r>
            </w:hyperlink>
          </w:p>
          <w:p w14:paraId="3EDE41A1" w14:textId="2F2D9B83" w:rsidR="00A56D33" w:rsidRPr="00EE4AAC" w:rsidRDefault="003F2A37" w:rsidP="00A56D33">
            <w:pPr>
              <w:rPr>
                <w:rStyle w:val="Hipercze"/>
                <w:rFonts w:cstheme="minorBidi"/>
                <w:lang w:val="en-GB"/>
              </w:rPr>
            </w:pPr>
            <w:hyperlink r:id="rId30" w:tooltip="link to term &quot;Total costs&quot;" w:history="1">
              <w:r w:rsidR="00A56D33" w:rsidRPr="00EE4AAC">
                <w:rPr>
                  <w:rStyle w:val="Hipercze"/>
                  <w:rFonts w:cstheme="minorBidi"/>
                  <w:lang w:val="en-GB"/>
                </w:rPr>
                <w:t>Total costs</w:t>
              </w:r>
            </w:hyperlink>
          </w:p>
          <w:p w14:paraId="6F889A66" w14:textId="31B2FC31" w:rsidR="00A56D33" w:rsidRPr="00EE4AAC" w:rsidRDefault="003F2A37" w:rsidP="00A56D33">
            <w:pPr>
              <w:rPr>
                <w:rStyle w:val="Hipercze"/>
                <w:rFonts w:cstheme="minorBidi"/>
                <w:lang w:val="en-GB"/>
              </w:rPr>
            </w:pPr>
            <w:hyperlink r:id="rId31" w:tooltip="link to term &quot;Average monthly gross wages and salaries&quot;" w:history="1">
              <w:r w:rsidR="00A56D33" w:rsidRPr="00EE4AAC">
                <w:rPr>
                  <w:rStyle w:val="Hipercze"/>
                  <w:rFonts w:cstheme="minorBidi"/>
                  <w:lang w:val="en-GB"/>
                </w:rPr>
                <w:t>Average monthly gross wages and salaries</w:t>
              </w:r>
            </w:hyperlink>
          </w:p>
          <w:p w14:paraId="66981DE2" w14:textId="61ADF5B8" w:rsidR="00A56D33" w:rsidRPr="00EE4AAC" w:rsidRDefault="003F2A37" w:rsidP="00A56D33">
            <w:pPr>
              <w:rPr>
                <w:rStyle w:val="Hipercze"/>
                <w:rFonts w:cstheme="minorBidi"/>
                <w:lang w:val="en-GB"/>
              </w:rPr>
            </w:pPr>
            <w:hyperlink r:id="rId32" w:tooltip="link to term &quot;Average paid employment&quot;" w:history="1">
              <w:r w:rsidR="00A56D33" w:rsidRPr="00EE4AAC">
                <w:rPr>
                  <w:rStyle w:val="Hipercze"/>
                  <w:rFonts w:cstheme="minorBidi"/>
                  <w:lang w:val="en-GB"/>
                </w:rPr>
                <w:t>Average paid employment</w:t>
              </w:r>
            </w:hyperlink>
          </w:p>
          <w:p w14:paraId="74BF576B" w14:textId="353537D9" w:rsidR="00A56D33" w:rsidRPr="00EE4AAC" w:rsidRDefault="003F2A37" w:rsidP="00A56D33">
            <w:pPr>
              <w:rPr>
                <w:rStyle w:val="Hipercze"/>
                <w:rFonts w:cstheme="minorBidi"/>
                <w:lang w:val="en-GB"/>
              </w:rPr>
            </w:pPr>
            <w:hyperlink r:id="rId33" w:tooltip="link to term &quot;Total revenues&quot;" w:history="1">
              <w:r w:rsidR="00A56D33" w:rsidRPr="00EE4AAC">
                <w:rPr>
                  <w:rStyle w:val="Hipercze"/>
                  <w:rFonts w:cstheme="minorBidi"/>
                  <w:lang w:val="en-GB"/>
                </w:rPr>
                <w:t>Total revenues</w:t>
              </w:r>
            </w:hyperlink>
          </w:p>
          <w:p w14:paraId="6B89886C" w14:textId="3C343E00" w:rsidR="00A56D33" w:rsidRPr="00EE4AAC" w:rsidRDefault="003F2A37" w:rsidP="00A56D33">
            <w:pPr>
              <w:rPr>
                <w:rStyle w:val="Hipercze"/>
                <w:rFonts w:cstheme="minorBidi"/>
                <w:lang w:val="en-GB"/>
              </w:rPr>
            </w:pPr>
            <w:hyperlink r:id="rId34" w:tooltip="link to term &quot;Balance foreign trade commodity turnover&quot;" w:history="1">
              <w:r w:rsidR="00A56D33" w:rsidRPr="00EE4AAC">
                <w:rPr>
                  <w:rStyle w:val="Hipercze"/>
                  <w:rFonts w:cstheme="minorBidi"/>
                  <w:lang w:val="en-GB"/>
                </w:rPr>
                <w:t>Balance foreign trade commodity turnover</w:t>
              </w:r>
            </w:hyperlink>
          </w:p>
          <w:p w14:paraId="16438E73" w14:textId="76415047" w:rsidR="00A56D33" w:rsidRPr="00EE4AAC" w:rsidRDefault="003F2A37" w:rsidP="00A56D33">
            <w:pPr>
              <w:rPr>
                <w:rStyle w:val="Hipercze"/>
                <w:rFonts w:cstheme="minorBidi"/>
                <w:lang w:val="en-GB"/>
              </w:rPr>
            </w:pPr>
            <w:hyperlink r:id="rId35" w:tooltip="link to term &quot;Balance of services&quot;" w:history="1">
              <w:r w:rsidR="00A56D33" w:rsidRPr="00EE4AAC">
                <w:rPr>
                  <w:rStyle w:val="Hipercze"/>
                  <w:rFonts w:cstheme="minorBidi"/>
                  <w:lang w:val="en-GB"/>
                </w:rPr>
                <w:t>Balance of services</w:t>
              </w:r>
            </w:hyperlink>
          </w:p>
          <w:p w14:paraId="38BC84F4" w14:textId="2AE556C3" w:rsidR="00A56D33" w:rsidRPr="00EE4AAC" w:rsidRDefault="003F2A37" w:rsidP="00A56D33">
            <w:pPr>
              <w:rPr>
                <w:rStyle w:val="Hipercze"/>
                <w:rFonts w:cstheme="minorBidi"/>
                <w:lang w:val="en-GB"/>
              </w:rPr>
            </w:pPr>
            <w:hyperlink r:id="rId36" w:tooltip="link to term &quot;Cost level indicator&quot;" w:history="1">
              <w:r w:rsidR="00A56D33" w:rsidRPr="00EE4AAC">
                <w:rPr>
                  <w:rStyle w:val="Hipercze"/>
                  <w:rFonts w:cstheme="minorBidi"/>
                  <w:lang w:val="en-GB"/>
                </w:rPr>
                <w:t>Cost level indicator</w:t>
              </w:r>
            </w:hyperlink>
          </w:p>
          <w:p w14:paraId="334560CE" w14:textId="0A508909" w:rsidR="00A56D33" w:rsidRPr="00EE4AAC" w:rsidRDefault="003F2A37" w:rsidP="00A56D33">
            <w:pPr>
              <w:rPr>
                <w:rStyle w:val="Hipercze"/>
                <w:rFonts w:cstheme="minorBidi"/>
                <w:lang w:val="en-GB"/>
              </w:rPr>
            </w:pPr>
            <w:hyperlink r:id="rId37" w:tooltip="link to term &quot;Gross earnings&quot;" w:history="1">
              <w:r w:rsidR="00A56D33" w:rsidRPr="00EE4AAC">
                <w:rPr>
                  <w:rStyle w:val="Hipercze"/>
                  <w:rFonts w:cstheme="minorBidi"/>
                  <w:lang w:val="en-GB"/>
                </w:rPr>
                <w:t>Gross earnings</w:t>
              </w:r>
            </w:hyperlink>
          </w:p>
          <w:p w14:paraId="68A2E35D" w14:textId="10299A21" w:rsidR="00863791" w:rsidRPr="00EE4AAC" w:rsidRDefault="00863791" w:rsidP="00102CD1">
            <w:pPr>
              <w:rPr>
                <w:rFonts w:cs="Times New Roman"/>
                <w:color w:val="0000FF"/>
                <w:u w:val="single"/>
                <w:lang w:val="en-GB"/>
              </w:rPr>
            </w:pPr>
          </w:p>
        </w:tc>
      </w:tr>
    </w:tbl>
    <w:p w14:paraId="7C19EFAE" w14:textId="1156A8A9" w:rsidR="00D261A2" w:rsidRPr="00EE4AAC" w:rsidRDefault="00D261A2" w:rsidP="00863791">
      <w:pPr>
        <w:spacing w:before="0" w:after="0" w:line="276" w:lineRule="auto"/>
        <w:rPr>
          <w:sz w:val="18"/>
          <w:lang w:val="en-GB"/>
        </w:rPr>
      </w:pPr>
    </w:p>
    <w:sectPr w:rsidR="00D261A2" w:rsidRPr="00EE4AAC" w:rsidSect="003B18B6">
      <w:headerReference w:type="default" r:id="rId38"/>
      <w:footerReference w:type="default" r:id="rId3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58425" w14:textId="77777777" w:rsidR="00AE02E2" w:rsidRDefault="00AE02E2" w:rsidP="000662E2">
      <w:pPr>
        <w:spacing w:after="0" w:line="240" w:lineRule="auto"/>
      </w:pPr>
      <w:r>
        <w:separator/>
      </w:r>
    </w:p>
  </w:endnote>
  <w:endnote w:type="continuationSeparator" w:id="0">
    <w:p w14:paraId="3AF8B0A0" w14:textId="77777777" w:rsidR="00AE02E2" w:rsidRDefault="00AE02E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889568"/>
      <w:docPartObj>
        <w:docPartGallery w:val="Page Numbers (Bottom of Page)"/>
        <w:docPartUnique/>
      </w:docPartObj>
    </w:sdtPr>
    <w:sdtEndPr/>
    <w:sdtContent>
      <w:p w14:paraId="3F08A182" w14:textId="77777777" w:rsidR="007762FA" w:rsidRDefault="007762FA" w:rsidP="003B18B6">
        <w:pPr>
          <w:pStyle w:val="Stopka"/>
          <w:jc w:val="center"/>
        </w:pPr>
        <w:r>
          <w:fldChar w:fldCharType="begin"/>
        </w:r>
        <w:r>
          <w:instrText>PAGE   \* MERGEFORMAT</w:instrText>
        </w:r>
        <w:r>
          <w:fldChar w:fldCharType="separate"/>
        </w:r>
        <w:r w:rsidR="00253348">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508488"/>
      <w:docPartObj>
        <w:docPartGallery w:val="Page Numbers (Bottom of Page)"/>
        <w:docPartUnique/>
      </w:docPartObj>
    </w:sdtPr>
    <w:sdtEndPr/>
    <w:sdtContent>
      <w:p w14:paraId="14584E7D" w14:textId="77777777" w:rsidR="007762FA" w:rsidRDefault="007762FA" w:rsidP="003B18B6">
        <w:pPr>
          <w:pStyle w:val="Stopka"/>
          <w:jc w:val="center"/>
        </w:pPr>
        <w:r>
          <w:fldChar w:fldCharType="begin"/>
        </w:r>
        <w:r>
          <w:instrText>PAGE   \* MERGEFORMAT</w:instrText>
        </w:r>
        <w:r>
          <w:fldChar w:fldCharType="separate"/>
        </w:r>
        <w:r w:rsidR="007A6932">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77777777" w:rsidR="003B18B6" w:rsidRDefault="003B18B6" w:rsidP="003B18B6">
        <w:pPr>
          <w:pStyle w:val="Stopka"/>
          <w:jc w:val="center"/>
        </w:pPr>
        <w:r>
          <w:fldChar w:fldCharType="begin"/>
        </w:r>
        <w:r>
          <w:instrText>PAGE   \* MERGEFORMAT</w:instrText>
        </w:r>
        <w:r>
          <w:fldChar w:fldCharType="separate"/>
        </w:r>
        <w:r w:rsidR="007A6932">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DF9D1" w14:textId="77777777" w:rsidR="00AE02E2" w:rsidRDefault="00AE02E2" w:rsidP="000662E2">
      <w:pPr>
        <w:spacing w:after="0" w:line="240" w:lineRule="auto"/>
      </w:pPr>
      <w:r>
        <w:separator/>
      </w:r>
    </w:p>
  </w:footnote>
  <w:footnote w:type="continuationSeparator" w:id="0">
    <w:p w14:paraId="39D5BA34" w14:textId="77777777" w:rsidR="00AE02E2" w:rsidRDefault="00AE02E2"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E39F" w14:textId="77777777" w:rsidR="007762FA" w:rsidRDefault="007762FA">
    <w:pPr>
      <w:pStyle w:val="Nagwek"/>
    </w:pPr>
    <w:r>
      <w:rPr>
        <w:noProof/>
        <w:lang w:eastAsia="pl-PL"/>
      </w:rPr>
      <mc:AlternateContent>
        <mc:Choice Requires="wps">
          <w:drawing>
            <wp:anchor distT="0" distB="0" distL="114300" distR="114300" simplePos="0" relativeHeight="251679744" behindDoc="1" locked="0" layoutInCell="1" allowOverlap="1" wp14:anchorId="7D7FC2A2" wp14:editId="295AB7C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5" name="Prostokąt 15"/>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84C3E" id="Prostokąt 15"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" fillcolor="#f2f2f2" stroked="f" strokeweight="1p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061C" w14:textId="77777777" w:rsidR="007762FA" w:rsidRDefault="007762FA" w:rsidP="00627887">
    <w:pPr>
      <w:pStyle w:val="Nagwek"/>
      <w:spacing w:before="240" w:after="480"/>
      <w:rPr>
        <w:noProof/>
        <w:lang w:eastAsia="pl-PL"/>
      </w:rPr>
    </w:pPr>
    <w:r>
      <w:rPr>
        <w:noProof/>
        <w:lang w:eastAsia="pl-PL"/>
      </w:rPr>
      <w:drawing>
        <wp:inline distT="0" distB="0" distL="0" distR="0" wp14:anchorId="184897DF" wp14:editId="33F70C4C">
          <wp:extent cx="1867489" cy="468000"/>
          <wp:effectExtent l="0" t="0" r="0" b="8255"/>
          <wp:docPr id="22" name="Obraz 22"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GUS ANG.jpg"/>
                  <pic:cNvPicPr/>
                </pic:nvPicPr>
                <pic:blipFill rotWithShape="1">
                  <a:blip r:embed="rId1" cstate="print">
                    <a:extLst>
                      <a:ext uri="{28A0092B-C50C-407E-A947-70E740481C1C}">
                        <a14:useLocalDpi xmlns:a14="http://schemas.microsoft.com/office/drawing/2010/main" val="0"/>
                      </a:ext>
                    </a:extLst>
                  </a:blip>
                  <a:srcRect l="6212" t="17959" r="5867" b="18334"/>
                  <a:stretch/>
                </pic:blipFill>
                <pic:spPr bwMode="auto">
                  <a:xfrm>
                    <a:off x="0" y="0"/>
                    <a:ext cx="1867489" cy="468000"/>
                  </a:xfrm>
                  <a:prstGeom prst="rect">
                    <a:avLst/>
                  </a:prstGeom>
                  <a:ln>
                    <a:noFill/>
                  </a:ln>
                  <a:extLst>
                    <a:ext uri="{53640926-AAD7-44D8-BBD7-CCE9431645EC}">
                      <a14:shadowObscured xmlns:a14="http://schemas.microsoft.com/office/drawing/2010/main"/>
                    </a:ext>
                  </a:extLst>
                </pic:spPr>
              </pic:pic>
            </a:graphicData>
          </a:graphic>
        </wp:inline>
      </w:drawing>
    </w:r>
    <w:r w:rsidRPr="00F37172">
      <w:rPr>
        <w:noProof/>
        <w:lang w:eastAsia="pl-PL"/>
      </w:rPr>
      <mc:AlternateContent>
        <mc:Choice Requires="wps">
          <w:drawing>
            <wp:anchor distT="45720" distB="45720" distL="114300" distR="114300" simplePos="0" relativeHeight="251680768" behindDoc="0" locked="0" layoutInCell="1" allowOverlap="1" wp14:anchorId="279F819F" wp14:editId="44050775">
              <wp:simplePos x="0" y="0"/>
              <wp:positionH relativeFrom="column">
                <wp:posOffset>5290820</wp:posOffset>
              </wp:positionH>
              <wp:positionV relativeFrom="paragraph">
                <wp:posOffset>930579</wp:posOffset>
              </wp:positionV>
              <wp:extent cx="1432293" cy="336589"/>
              <wp:effectExtent l="0" t="0" r="0" b="6350"/>
              <wp:wrapNone/>
              <wp:docPr id="17" name="Pole tekstowe 2" descr="Publication data 30.03.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103FAD6" w14:textId="26E170B3" w:rsidR="007762FA" w:rsidRPr="00A01B40" w:rsidRDefault="003F2A37" w:rsidP="0057332C">
                          <w:pPr>
                            <w:pStyle w:val="Datainformacjisygnalnej"/>
                          </w:pPr>
                          <w:r>
                            <w:t>30</w:t>
                          </w:r>
                          <w:r w:rsidR="007762FA">
                            <w:t>.03.2023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9F819F" id="_x0000_t202" coordsize="21600,21600" o:spt="202" path="m,l,21600r21600,l21600,xe">
              <v:stroke joinstyle="miter"/>
              <v:path gradientshapeok="t" o:connecttype="rect"/>
            </v:shapetype>
            <v:shape id="_x0000_s1032" type="#_x0000_t202" alt="Publication data 30.03.2023" style="position:absolute;margin-left:416.6pt;margin-top:73.25pt;width:112.8pt;height:2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" filled="f" stroked="f">
              <v:textbox>
                <w:txbxContent>
                  <w:p w14:paraId="2103FAD6" w14:textId="26E170B3" w:rsidR="007762FA" w:rsidRPr="00A01B40" w:rsidRDefault="003F2A37" w:rsidP="0057332C">
                    <w:pPr>
                      <w:pStyle w:val="Datainformacjisygnalnej"/>
                    </w:pPr>
                    <w:r>
                      <w:t>30</w:t>
                    </w:r>
                    <w:r w:rsidR="007762FA">
                      <w:t>.03.2023</w:t>
                    </w:r>
                  </w:p>
                </w:txbxContent>
              </v:textbox>
            </v:shape>
          </w:pict>
        </mc:Fallback>
      </mc:AlternateContent>
    </w:r>
    <w:r w:rsidRPr="00F37172">
      <w:rPr>
        <w:noProof/>
        <w:lang w:eastAsia="pl-PL"/>
      </w:rPr>
      <mc:AlternateContent>
        <mc:Choice Requires="wps">
          <w:drawing>
            <wp:anchor distT="0" distB="0" distL="114300" distR="114300" simplePos="0" relativeHeight="251678720" behindDoc="0" locked="0" layoutInCell="1" allowOverlap="1" wp14:anchorId="06C365F1" wp14:editId="112A725F">
              <wp:simplePos x="0" y="0"/>
              <wp:positionH relativeFrom="column">
                <wp:posOffset>5036820</wp:posOffset>
              </wp:positionH>
              <wp:positionV relativeFrom="paragraph">
                <wp:posOffset>198755</wp:posOffset>
              </wp:positionV>
              <wp:extent cx="2060575" cy="357505"/>
              <wp:effectExtent l="0" t="0" r="0" b="4445"/>
              <wp:wrapNone/>
              <wp:docPr id="1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65F1" id="Schemat blokowy: opóźnienie 6" o:spid="_x0000_s1033" alt="News releases" style="position:absolute;margin-left:396.6pt;margin-top:15.65pt;width:162.25pt;height:28.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GdUgYAACg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77696" behindDoc="1" locked="0" layoutInCell="1" allowOverlap="1" wp14:anchorId="2472533F" wp14:editId="50F05C38">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21" name="Prostokąt 21"/>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EBB24" id="Prostokąt 21" o:spid="_x0000_s1026" style="position:absolute;margin-left:410.95pt;margin-top:40.3pt;width:147.4pt;height:1803.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ANUmTSnQIAAIoFAAAOAAAAAAAAAAAAAAAAAC4C&#10;AABkcnMvZTJvRG9jLnhtbFBLAQItABQABgAIAAAAIQCmsibO5AAAAAwBAAAPAAAAAAAAAAAAAAAA&#10;APcEAABkcnMvZG93bnJldi54bWxQSwUGAAAAAAQABADzAAAACAYAAAAA&#10;" fillcolor="#f2f2f2" stroked="f" strokeweight="1pt">
              <w10:wrap type="tigh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607CC5" w:rsidRDefault="00607CC5">
    <w:pPr>
      <w:pStyle w:val="Nagwek"/>
    </w:pPr>
  </w:p>
  <w:p w14:paraId="0738E4E9"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23.85pt;height:126.7pt;visibility:visible;mso-wrap-style:square" o:bullet="t">
        <v:imagedata r:id="rId1" o:title=""/>
      </v:shape>
    </w:pict>
  </w:numPicBullet>
  <w:numPicBullet w:numPicBulletId="1">
    <w:pict>
      <v:shape id="_x0000_i1065" type="#_x0000_t75" style="width:123.85pt;height:126.7pt;visibility:visible;mso-wrap-style:square" o:bullet="t">
        <v:imagedata r:id="rId2" o:title=""/>
      </v:shape>
    </w:pict>
  </w:numPicBullet>
  <w:abstractNum w:abstractNumId="0" w15:restartNumberingAfterBreak="0">
    <w:nsid w:val="FFFFFF7C"/>
    <w:multiLevelType w:val="singleLevel"/>
    <w:tmpl w:val="B46AD866"/>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CD1C4C24"/>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6B6C8F0E"/>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B444132C"/>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CBA4ED80"/>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E2C0"/>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927B20"/>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947B56"/>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A04BB8"/>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09DC9EB0"/>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1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14"/>
  </w:num>
  <w:num w:numId="2">
    <w:abstractNumId w:val="11"/>
  </w:num>
  <w:num w:numId="3">
    <w:abstractNumId w:val="12"/>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425"/>
  <w:drawingGridHorizontalSpacing w:val="57"/>
  <w:drawingGridVerticalSpacing w:val="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2B65"/>
    <w:rsid w:val="00003437"/>
    <w:rsid w:val="00004119"/>
    <w:rsid w:val="00006843"/>
    <w:rsid w:val="0000709F"/>
    <w:rsid w:val="00010159"/>
    <w:rsid w:val="000108B8"/>
    <w:rsid w:val="00011A62"/>
    <w:rsid w:val="000134C6"/>
    <w:rsid w:val="000152F5"/>
    <w:rsid w:val="00017EE0"/>
    <w:rsid w:val="00021C39"/>
    <w:rsid w:val="00025AC2"/>
    <w:rsid w:val="00026804"/>
    <w:rsid w:val="000303D7"/>
    <w:rsid w:val="00044667"/>
    <w:rsid w:val="0004582E"/>
    <w:rsid w:val="000470AA"/>
    <w:rsid w:val="0004788F"/>
    <w:rsid w:val="000564CC"/>
    <w:rsid w:val="00057CA1"/>
    <w:rsid w:val="0006380D"/>
    <w:rsid w:val="000647A9"/>
    <w:rsid w:val="000662E2"/>
    <w:rsid w:val="00066883"/>
    <w:rsid w:val="00071B39"/>
    <w:rsid w:val="0007265D"/>
    <w:rsid w:val="0007301F"/>
    <w:rsid w:val="00074DD8"/>
    <w:rsid w:val="00075742"/>
    <w:rsid w:val="00075759"/>
    <w:rsid w:val="000758EC"/>
    <w:rsid w:val="000806F7"/>
    <w:rsid w:val="00080C64"/>
    <w:rsid w:val="0008656F"/>
    <w:rsid w:val="00086906"/>
    <w:rsid w:val="00092305"/>
    <w:rsid w:val="00097840"/>
    <w:rsid w:val="000A16D8"/>
    <w:rsid w:val="000A7BED"/>
    <w:rsid w:val="000A7C30"/>
    <w:rsid w:val="000B0727"/>
    <w:rsid w:val="000B19C5"/>
    <w:rsid w:val="000B323E"/>
    <w:rsid w:val="000B3F66"/>
    <w:rsid w:val="000B3F99"/>
    <w:rsid w:val="000C135D"/>
    <w:rsid w:val="000C4742"/>
    <w:rsid w:val="000D1D43"/>
    <w:rsid w:val="000D225C"/>
    <w:rsid w:val="000D2A5C"/>
    <w:rsid w:val="000D2F00"/>
    <w:rsid w:val="000D39F0"/>
    <w:rsid w:val="000D7E5C"/>
    <w:rsid w:val="000E0918"/>
    <w:rsid w:val="000E7199"/>
    <w:rsid w:val="000E7901"/>
    <w:rsid w:val="000E79A9"/>
    <w:rsid w:val="000F2E7E"/>
    <w:rsid w:val="001011C3"/>
    <w:rsid w:val="00102CD1"/>
    <w:rsid w:val="00106DA3"/>
    <w:rsid w:val="00107A55"/>
    <w:rsid w:val="00110214"/>
    <w:rsid w:val="00110D87"/>
    <w:rsid w:val="00112399"/>
    <w:rsid w:val="00114DB9"/>
    <w:rsid w:val="00116087"/>
    <w:rsid w:val="00117711"/>
    <w:rsid w:val="00122E88"/>
    <w:rsid w:val="00123C9E"/>
    <w:rsid w:val="00124153"/>
    <w:rsid w:val="00125525"/>
    <w:rsid w:val="00130296"/>
    <w:rsid w:val="00131443"/>
    <w:rsid w:val="0013205B"/>
    <w:rsid w:val="00134145"/>
    <w:rsid w:val="00136736"/>
    <w:rsid w:val="00136D67"/>
    <w:rsid w:val="001423B6"/>
    <w:rsid w:val="00143957"/>
    <w:rsid w:val="001448A7"/>
    <w:rsid w:val="00146621"/>
    <w:rsid w:val="00151077"/>
    <w:rsid w:val="00153446"/>
    <w:rsid w:val="00156EC0"/>
    <w:rsid w:val="001617E3"/>
    <w:rsid w:val="00162325"/>
    <w:rsid w:val="00163D43"/>
    <w:rsid w:val="00174A1D"/>
    <w:rsid w:val="00180822"/>
    <w:rsid w:val="00193AA0"/>
    <w:rsid w:val="001951DA"/>
    <w:rsid w:val="00197D40"/>
    <w:rsid w:val="001B011C"/>
    <w:rsid w:val="001B053D"/>
    <w:rsid w:val="001B313A"/>
    <w:rsid w:val="001B52E0"/>
    <w:rsid w:val="001C147B"/>
    <w:rsid w:val="001C3269"/>
    <w:rsid w:val="001D19B6"/>
    <w:rsid w:val="001D1C78"/>
    <w:rsid w:val="001D1DB4"/>
    <w:rsid w:val="001D23F1"/>
    <w:rsid w:val="001D25F9"/>
    <w:rsid w:val="001D2EEB"/>
    <w:rsid w:val="001D4695"/>
    <w:rsid w:val="001D61ED"/>
    <w:rsid w:val="001E0386"/>
    <w:rsid w:val="001E0B4B"/>
    <w:rsid w:val="001E5B2D"/>
    <w:rsid w:val="001F1ADC"/>
    <w:rsid w:val="001F4ABF"/>
    <w:rsid w:val="001F770C"/>
    <w:rsid w:val="00200D3A"/>
    <w:rsid w:val="0020156C"/>
    <w:rsid w:val="00203905"/>
    <w:rsid w:val="002130F5"/>
    <w:rsid w:val="00213AEF"/>
    <w:rsid w:val="002153B1"/>
    <w:rsid w:val="00216634"/>
    <w:rsid w:val="00217196"/>
    <w:rsid w:val="002200E0"/>
    <w:rsid w:val="002214CE"/>
    <w:rsid w:val="002239FF"/>
    <w:rsid w:val="00226513"/>
    <w:rsid w:val="00231082"/>
    <w:rsid w:val="00231B77"/>
    <w:rsid w:val="0023674F"/>
    <w:rsid w:val="00241963"/>
    <w:rsid w:val="00241FA7"/>
    <w:rsid w:val="00242D31"/>
    <w:rsid w:val="002442BD"/>
    <w:rsid w:val="00247B69"/>
    <w:rsid w:val="00253348"/>
    <w:rsid w:val="0025481E"/>
    <w:rsid w:val="002574F9"/>
    <w:rsid w:val="00260894"/>
    <w:rsid w:val="00262B61"/>
    <w:rsid w:val="00262CC6"/>
    <w:rsid w:val="00263E08"/>
    <w:rsid w:val="002669F1"/>
    <w:rsid w:val="00266DDB"/>
    <w:rsid w:val="0027180D"/>
    <w:rsid w:val="00271D23"/>
    <w:rsid w:val="00272C59"/>
    <w:rsid w:val="0027669C"/>
    <w:rsid w:val="00276811"/>
    <w:rsid w:val="00280BDF"/>
    <w:rsid w:val="00282699"/>
    <w:rsid w:val="00285253"/>
    <w:rsid w:val="00286680"/>
    <w:rsid w:val="00290A7E"/>
    <w:rsid w:val="002926DF"/>
    <w:rsid w:val="00296697"/>
    <w:rsid w:val="00297B38"/>
    <w:rsid w:val="002A2E23"/>
    <w:rsid w:val="002A471E"/>
    <w:rsid w:val="002A655D"/>
    <w:rsid w:val="002A7701"/>
    <w:rsid w:val="002B0472"/>
    <w:rsid w:val="002B3C0D"/>
    <w:rsid w:val="002B6282"/>
    <w:rsid w:val="002B6B12"/>
    <w:rsid w:val="002C157F"/>
    <w:rsid w:val="002C21F0"/>
    <w:rsid w:val="002C3E5F"/>
    <w:rsid w:val="002C4469"/>
    <w:rsid w:val="002C70F6"/>
    <w:rsid w:val="002D01DF"/>
    <w:rsid w:val="002D2B89"/>
    <w:rsid w:val="002D30C7"/>
    <w:rsid w:val="002D6769"/>
    <w:rsid w:val="002E1608"/>
    <w:rsid w:val="002E175E"/>
    <w:rsid w:val="002E229C"/>
    <w:rsid w:val="002E386D"/>
    <w:rsid w:val="002E3EB3"/>
    <w:rsid w:val="002E4DAD"/>
    <w:rsid w:val="002E6140"/>
    <w:rsid w:val="002E6985"/>
    <w:rsid w:val="002E71B6"/>
    <w:rsid w:val="002F1645"/>
    <w:rsid w:val="002F35F6"/>
    <w:rsid w:val="002F44E9"/>
    <w:rsid w:val="002F77C8"/>
    <w:rsid w:val="00302A3F"/>
    <w:rsid w:val="00304F22"/>
    <w:rsid w:val="00306C7C"/>
    <w:rsid w:val="0031107D"/>
    <w:rsid w:val="00314F86"/>
    <w:rsid w:val="00315802"/>
    <w:rsid w:val="00315FB4"/>
    <w:rsid w:val="00317F4D"/>
    <w:rsid w:val="00321B3E"/>
    <w:rsid w:val="00322EDD"/>
    <w:rsid w:val="00323407"/>
    <w:rsid w:val="00323B17"/>
    <w:rsid w:val="003260BE"/>
    <w:rsid w:val="003309FA"/>
    <w:rsid w:val="00330D24"/>
    <w:rsid w:val="00332320"/>
    <w:rsid w:val="00335908"/>
    <w:rsid w:val="00342D75"/>
    <w:rsid w:val="00347D72"/>
    <w:rsid w:val="003521FF"/>
    <w:rsid w:val="00352E86"/>
    <w:rsid w:val="00353F45"/>
    <w:rsid w:val="0035677A"/>
    <w:rsid w:val="00357611"/>
    <w:rsid w:val="0036229D"/>
    <w:rsid w:val="00362A9B"/>
    <w:rsid w:val="0036432A"/>
    <w:rsid w:val="00364AF9"/>
    <w:rsid w:val="00367237"/>
    <w:rsid w:val="0037077F"/>
    <w:rsid w:val="003718CD"/>
    <w:rsid w:val="00372411"/>
    <w:rsid w:val="00373882"/>
    <w:rsid w:val="00377A43"/>
    <w:rsid w:val="003806A0"/>
    <w:rsid w:val="003843DB"/>
    <w:rsid w:val="00386015"/>
    <w:rsid w:val="0039064A"/>
    <w:rsid w:val="00393761"/>
    <w:rsid w:val="003946F9"/>
    <w:rsid w:val="00394E26"/>
    <w:rsid w:val="00396691"/>
    <w:rsid w:val="00397D18"/>
    <w:rsid w:val="003A1B36"/>
    <w:rsid w:val="003A2B07"/>
    <w:rsid w:val="003B1454"/>
    <w:rsid w:val="003B18B6"/>
    <w:rsid w:val="003B3863"/>
    <w:rsid w:val="003B3D7D"/>
    <w:rsid w:val="003B54B6"/>
    <w:rsid w:val="003B668D"/>
    <w:rsid w:val="003C025A"/>
    <w:rsid w:val="003C161B"/>
    <w:rsid w:val="003C430B"/>
    <w:rsid w:val="003C59E0"/>
    <w:rsid w:val="003C5CC0"/>
    <w:rsid w:val="003C6C8D"/>
    <w:rsid w:val="003C75B2"/>
    <w:rsid w:val="003D2656"/>
    <w:rsid w:val="003D4F95"/>
    <w:rsid w:val="003D5F42"/>
    <w:rsid w:val="003D60A9"/>
    <w:rsid w:val="003E16FF"/>
    <w:rsid w:val="003E76F6"/>
    <w:rsid w:val="003F2A37"/>
    <w:rsid w:val="003F3FFD"/>
    <w:rsid w:val="003F458E"/>
    <w:rsid w:val="003F4C97"/>
    <w:rsid w:val="003F5475"/>
    <w:rsid w:val="003F666D"/>
    <w:rsid w:val="003F7FE6"/>
    <w:rsid w:val="00400193"/>
    <w:rsid w:val="0040084E"/>
    <w:rsid w:val="00401D2E"/>
    <w:rsid w:val="00403EAE"/>
    <w:rsid w:val="00404EA3"/>
    <w:rsid w:val="00410F71"/>
    <w:rsid w:val="00411A97"/>
    <w:rsid w:val="00412466"/>
    <w:rsid w:val="00416EAF"/>
    <w:rsid w:val="00420219"/>
    <w:rsid w:val="004212E7"/>
    <w:rsid w:val="00423C88"/>
    <w:rsid w:val="0042403F"/>
    <w:rsid w:val="0042446D"/>
    <w:rsid w:val="004267AC"/>
    <w:rsid w:val="00427BF8"/>
    <w:rsid w:val="00431BF5"/>
    <w:rsid w:val="00431C02"/>
    <w:rsid w:val="00434FE7"/>
    <w:rsid w:val="00437395"/>
    <w:rsid w:val="00441DCD"/>
    <w:rsid w:val="004442D0"/>
    <w:rsid w:val="00444D37"/>
    <w:rsid w:val="00445047"/>
    <w:rsid w:val="00445AA3"/>
    <w:rsid w:val="00446749"/>
    <w:rsid w:val="00446D34"/>
    <w:rsid w:val="004528E0"/>
    <w:rsid w:val="00453672"/>
    <w:rsid w:val="00453EB7"/>
    <w:rsid w:val="00457427"/>
    <w:rsid w:val="00463E39"/>
    <w:rsid w:val="004657FC"/>
    <w:rsid w:val="00466A99"/>
    <w:rsid w:val="004733F6"/>
    <w:rsid w:val="00473557"/>
    <w:rsid w:val="00474E69"/>
    <w:rsid w:val="0048136E"/>
    <w:rsid w:val="00483E9F"/>
    <w:rsid w:val="00485759"/>
    <w:rsid w:val="00485A2C"/>
    <w:rsid w:val="00491E76"/>
    <w:rsid w:val="0049246F"/>
    <w:rsid w:val="0049621B"/>
    <w:rsid w:val="004A1D19"/>
    <w:rsid w:val="004A28E4"/>
    <w:rsid w:val="004A399C"/>
    <w:rsid w:val="004B0408"/>
    <w:rsid w:val="004B56CA"/>
    <w:rsid w:val="004B678F"/>
    <w:rsid w:val="004B6CDA"/>
    <w:rsid w:val="004C1895"/>
    <w:rsid w:val="004C1D0E"/>
    <w:rsid w:val="004C6D40"/>
    <w:rsid w:val="004C7FB6"/>
    <w:rsid w:val="004D004E"/>
    <w:rsid w:val="004D06EF"/>
    <w:rsid w:val="004E28B4"/>
    <w:rsid w:val="004E6AA8"/>
    <w:rsid w:val="004F0C3C"/>
    <w:rsid w:val="004F2280"/>
    <w:rsid w:val="004F23BB"/>
    <w:rsid w:val="004F63FC"/>
    <w:rsid w:val="0050328A"/>
    <w:rsid w:val="00505A92"/>
    <w:rsid w:val="005067F2"/>
    <w:rsid w:val="00511823"/>
    <w:rsid w:val="00511E14"/>
    <w:rsid w:val="00513768"/>
    <w:rsid w:val="00513C95"/>
    <w:rsid w:val="005203F1"/>
    <w:rsid w:val="00521BC3"/>
    <w:rsid w:val="005232C7"/>
    <w:rsid w:val="005233CF"/>
    <w:rsid w:val="005244EC"/>
    <w:rsid w:val="0052656C"/>
    <w:rsid w:val="00531FB0"/>
    <w:rsid w:val="00533632"/>
    <w:rsid w:val="00534013"/>
    <w:rsid w:val="00540C5C"/>
    <w:rsid w:val="00541E6E"/>
    <w:rsid w:val="00542252"/>
    <w:rsid w:val="0054251F"/>
    <w:rsid w:val="00543DA2"/>
    <w:rsid w:val="00550234"/>
    <w:rsid w:val="00551392"/>
    <w:rsid w:val="005520D8"/>
    <w:rsid w:val="005520F3"/>
    <w:rsid w:val="00555CFB"/>
    <w:rsid w:val="00556CF1"/>
    <w:rsid w:val="00556DCC"/>
    <w:rsid w:val="0057109D"/>
    <w:rsid w:val="0057289C"/>
    <w:rsid w:val="0057332C"/>
    <w:rsid w:val="00573991"/>
    <w:rsid w:val="005762A7"/>
    <w:rsid w:val="00587CEE"/>
    <w:rsid w:val="00590015"/>
    <w:rsid w:val="005916D7"/>
    <w:rsid w:val="00593C33"/>
    <w:rsid w:val="0059427F"/>
    <w:rsid w:val="0059603E"/>
    <w:rsid w:val="0059780C"/>
    <w:rsid w:val="005A0E54"/>
    <w:rsid w:val="005A698C"/>
    <w:rsid w:val="005B1F61"/>
    <w:rsid w:val="005B26E9"/>
    <w:rsid w:val="005B538E"/>
    <w:rsid w:val="005B5488"/>
    <w:rsid w:val="005B5788"/>
    <w:rsid w:val="005B5820"/>
    <w:rsid w:val="005C0CAC"/>
    <w:rsid w:val="005C1525"/>
    <w:rsid w:val="005D062E"/>
    <w:rsid w:val="005D1394"/>
    <w:rsid w:val="005D1A32"/>
    <w:rsid w:val="005D3C7C"/>
    <w:rsid w:val="005D6955"/>
    <w:rsid w:val="005E0799"/>
    <w:rsid w:val="005E10F9"/>
    <w:rsid w:val="005E1200"/>
    <w:rsid w:val="005E1389"/>
    <w:rsid w:val="005E2CC7"/>
    <w:rsid w:val="005F45EE"/>
    <w:rsid w:val="005F4A8B"/>
    <w:rsid w:val="005F5A80"/>
    <w:rsid w:val="006044FF"/>
    <w:rsid w:val="00607CC5"/>
    <w:rsid w:val="0061179B"/>
    <w:rsid w:val="006125F9"/>
    <w:rsid w:val="006254CD"/>
    <w:rsid w:val="00627887"/>
    <w:rsid w:val="00633014"/>
    <w:rsid w:val="0063437B"/>
    <w:rsid w:val="00636E2C"/>
    <w:rsid w:val="0064017E"/>
    <w:rsid w:val="00643272"/>
    <w:rsid w:val="00645703"/>
    <w:rsid w:val="006523BA"/>
    <w:rsid w:val="0065267F"/>
    <w:rsid w:val="006530C5"/>
    <w:rsid w:val="00654BB6"/>
    <w:rsid w:val="00664FFB"/>
    <w:rsid w:val="00666100"/>
    <w:rsid w:val="006673CA"/>
    <w:rsid w:val="00670C24"/>
    <w:rsid w:val="00671156"/>
    <w:rsid w:val="00673C26"/>
    <w:rsid w:val="00674DE5"/>
    <w:rsid w:val="006764FF"/>
    <w:rsid w:val="00677ACA"/>
    <w:rsid w:val="006812AF"/>
    <w:rsid w:val="0068327D"/>
    <w:rsid w:val="00687523"/>
    <w:rsid w:val="00691534"/>
    <w:rsid w:val="0069194C"/>
    <w:rsid w:val="00693880"/>
    <w:rsid w:val="00694493"/>
    <w:rsid w:val="00694AF0"/>
    <w:rsid w:val="0069552C"/>
    <w:rsid w:val="00695A5C"/>
    <w:rsid w:val="006A2932"/>
    <w:rsid w:val="006A4686"/>
    <w:rsid w:val="006A472D"/>
    <w:rsid w:val="006A53B2"/>
    <w:rsid w:val="006A5DC0"/>
    <w:rsid w:val="006B0E9E"/>
    <w:rsid w:val="006B486D"/>
    <w:rsid w:val="006B5AE4"/>
    <w:rsid w:val="006B5B9D"/>
    <w:rsid w:val="006C10E2"/>
    <w:rsid w:val="006C1B76"/>
    <w:rsid w:val="006D1507"/>
    <w:rsid w:val="006D167E"/>
    <w:rsid w:val="006D4054"/>
    <w:rsid w:val="006D4224"/>
    <w:rsid w:val="006D74F0"/>
    <w:rsid w:val="006E02EC"/>
    <w:rsid w:val="006E1229"/>
    <w:rsid w:val="006E3371"/>
    <w:rsid w:val="006E3C4F"/>
    <w:rsid w:val="006E5DA5"/>
    <w:rsid w:val="006E6F41"/>
    <w:rsid w:val="006E73E6"/>
    <w:rsid w:val="006F0F11"/>
    <w:rsid w:val="006F1F24"/>
    <w:rsid w:val="006F7BE1"/>
    <w:rsid w:val="00701680"/>
    <w:rsid w:val="0070216F"/>
    <w:rsid w:val="00705D19"/>
    <w:rsid w:val="00710F28"/>
    <w:rsid w:val="007211B1"/>
    <w:rsid w:val="00727559"/>
    <w:rsid w:val="007277DA"/>
    <w:rsid w:val="00730795"/>
    <w:rsid w:val="00731BEB"/>
    <w:rsid w:val="00731D27"/>
    <w:rsid w:val="007346B2"/>
    <w:rsid w:val="007424B6"/>
    <w:rsid w:val="007440C6"/>
    <w:rsid w:val="00746187"/>
    <w:rsid w:val="00746814"/>
    <w:rsid w:val="00746B84"/>
    <w:rsid w:val="007500BD"/>
    <w:rsid w:val="00750AB8"/>
    <w:rsid w:val="00751277"/>
    <w:rsid w:val="00755481"/>
    <w:rsid w:val="0076254F"/>
    <w:rsid w:val="0076383B"/>
    <w:rsid w:val="00766EE4"/>
    <w:rsid w:val="0077121F"/>
    <w:rsid w:val="00772293"/>
    <w:rsid w:val="0077314A"/>
    <w:rsid w:val="00774668"/>
    <w:rsid w:val="007762FA"/>
    <w:rsid w:val="007801F5"/>
    <w:rsid w:val="00783A20"/>
    <w:rsid w:val="00783CA4"/>
    <w:rsid w:val="007842FB"/>
    <w:rsid w:val="00785608"/>
    <w:rsid w:val="00786124"/>
    <w:rsid w:val="00792546"/>
    <w:rsid w:val="0079514B"/>
    <w:rsid w:val="00795252"/>
    <w:rsid w:val="00797434"/>
    <w:rsid w:val="007A2DC1"/>
    <w:rsid w:val="007A6717"/>
    <w:rsid w:val="007A6932"/>
    <w:rsid w:val="007B49E9"/>
    <w:rsid w:val="007C0389"/>
    <w:rsid w:val="007D05A1"/>
    <w:rsid w:val="007D0869"/>
    <w:rsid w:val="007D14C4"/>
    <w:rsid w:val="007D1899"/>
    <w:rsid w:val="007D3319"/>
    <w:rsid w:val="007D335D"/>
    <w:rsid w:val="007D605C"/>
    <w:rsid w:val="007E00CB"/>
    <w:rsid w:val="007E03F6"/>
    <w:rsid w:val="007E3314"/>
    <w:rsid w:val="007E3514"/>
    <w:rsid w:val="007E4B03"/>
    <w:rsid w:val="007E59A0"/>
    <w:rsid w:val="007E6F11"/>
    <w:rsid w:val="007F0108"/>
    <w:rsid w:val="007F14B1"/>
    <w:rsid w:val="007F2BC9"/>
    <w:rsid w:val="007F324B"/>
    <w:rsid w:val="00800827"/>
    <w:rsid w:val="00805072"/>
    <w:rsid w:val="0080553C"/>
    <w:rsid w:val="00805B46"/>
    <w:rsid w:val="00805DB4"/>
    <w:rsid w:val="008077CE"/>
    <w:rsid w:val="00810599"/>
    <w:rsid w:val="008170A6"/>
    <w:rsid w:val="00817DDF"/>
    <w:rsid w:val="00821B53"/>
    <w:rsid w:val="00822E90"/>
    <w:rsid w:val="00823593"/>
    <w:rsid w:val="00825DC2"/>
    <w:rsid w:val="00834AD3"/>
    <w:rsid w:val="00843795"/>
    <w:rsid w:val="00843F2E"/>
    <w:rsid w:val="00846E76"/>
    <w:rsid w:val="00847F0F"/>
    <w:rsid w:val="00850FAD"/>
    <w:rsid w:val="00851428"/>
    <w:rsid w:val="00852448"/>
    <w:rsid w:val="00863791"/>
    <w:rsid w:val="008641DA"/>
    <w:rsid w:val="00870FA8"/>
    <w:rsid w:val="00873E14"/>
    <w:rsid w:val="00877F6C"/>
    <w:rsid w:val="0088258A"/>
    <w:rsid w:val="00886332"/>
    <w:rsid w:val="008867DC"/>
    <w:rsid w:val="00887A8A"/>
    <w:rsid w:val="008911E2"/>
    <w:rsid w:val="008925F0"/>
    <w:rsid w:val="00893E27"/>
    <w:rsid w:val="0089448A"/>
    <w:rsid w:val="00896D9D"/>
    <w:rsid w:val="00897115"/>
    <w:rsid w:val="00897877"/>
    <w:rsid w:val="00897922"/>
    <w:rsid w:val="008A26D9"/>
    <w:rsid w:val="008A47B0"/>
    <w:rsid w:val="008A4B6E"/>
    <w:rsid w:val="008A5C1E"/>
    <w:rsid w:val="008A7B5B"/>
    <w:rsid w:val="008B12D2"/>
    <w:rsid w:val="008C0C29"/>
    <w:rsid w:val="008C77F9"/>
    <w:rsid w:val="008C7F39"/>
    <w:rsid w:val="008D02DA"/>
    <w:rsid w:val="008D6BC2"/>
    <w:rsid w:val="008D754D"/>
    <w:rsid w:val="008D76BC"/>
    <w:rsid w:val="008D79B2"/>
    <w:rsid w:val="008E0411"/>
    <w:rsid w:val="008E3275"/>
    <w:rsid w:val="008E7DBA"/>
    <w:rsid w:val="008F0829"/>
    <w:rsid w:val="008F3638"/>
    <w:rsid w:val="008F385A"/>
    <w:rsid w:val="008F4441"/>
    <w:rsid w:val="008F67D8"/>
    <w:rsid w:val="008F695A"/>
    <w:rsid w:val="008F6B20"/>
    <w:rsid w:val="008F6F31"/>
    <w:rsid w:val="008F74DF"/>
    <w:rsid w:val="00902274"/>
    <w:rsid w:val="00905935"/>
    <w:rsid w:val="0090684A"/>
    <w:rsid w:val="009104D4"/>
    <w:rsid w:val="00911ACF"/>
    <w:rsid w:val="009127BA"/>
    <w:rsid w:val="00916135"/>
    <w:rsid w:val="00920436"/>
    <w:rsid w:val="00920AAE"/>
    <w:rsid w:val="009227A6"/>
    <w:rsid w:val="00933EC1"/>
    <w:rsid w:val="00936CE3"/>
    <w:rsid w:val="009408B9"/>
    <w:rsid w:val="00940AE5"/>
    <w:rsid w:val="009425C0"/>
    <w:rsid w:val="009446AD"/>
    <w:rsid w:val="0094749C"/>
    <w:rsid w:val="00950C92"/>
    <w:rsid w:val="0095206E"/>
    <w:rsid w:val="009530DB"/>
    <w:rsid w:val="00953676"/>
    <w:rsid w:val="00956B1E"/>
    <w:rsid w:val="00956F30"/>
    <w:rsid w:val="009611B4"/>
    <w:rsid w:val="00966C9A"/>
    <w:rsid w:val="009705EE"/>
    <w:rsid w:val="00974A54"/>
    <w:rsid w:val="00974D29"/>
    <w:rsid w:val="00977927"/>
    <w:rsid w:val="0098135C"/>
    <w:rsid w:val="0098156A"/>
    <w:rsid w:val="009826E4"/>
    <w:rsid w:val="0098398B"/>
    <w:rsid w:val="00986D3C"/>
    <w:rsid w:val="009873E1"/>
    <w:rsid w:val="00991BAC"/>
    <w:rsid w:val="00993775"/>
    <w:rsid w:val="009A0B98"/>
    <w:rsid w:val="009A26B9"/>
    <w:rsid w:val="009A6EA0"/>
    <w:rsid w:val="009B155D"/>
    <w:rsid w:val="009B1972"/>
    <w:rsid w:val="009C12A7"/>
    <w:rsid w:val="009C1335"/>
    <w:rsid w:val="009C1AB2"/>
    <w:rsid w:val="009C7251"/>
    <w:rsid w:val="009D466C"/>
    <w:rsid w:val="009E0D43"/>
    <w:rsid w:val="009E25E1"/>
    <w:rsid w:val="009E2E91"/>
    <w:rsid w:val="00A01B40"/>
    <w:rsid w:val="00A05677"/>
    <w:rsid w:val="00A10BA5"/>
    <w:rsid w:val="00A139F5"/>
    <w:rsid w:val="00A14146"/>
    <w:rsid w:val="00A23CC1"/>
    <w:rsid w:val="00A24A85"/>
    <w:rsid w:val="00A2668F"/>
    <w:rsid w:val="00A32B36"/>
    <w:rsid w:val="00A32E16"/>
    <w:rsid w:val="00A3528D"/>
    <w:rsid w:val="00A365F4"/>
    <w:rsid w:val="00A36FCB"/>
    <w:rsid w:val="00A44B8F"/>
    <w:rsid w:val="00A47D80"/>
    <w:rsid w:val="00A47F5A"/>
    <w:rsid w:val="00A52B4E"/>
    <w:rsid w:val="00A53132"/>
    <w:rsid w:val="00A563F2"/>
    <w:rsid w:val="00A566E8"/>
    <w:rsid w:val="00A56D33"/>
    <w:rsid w:val="00A61856"/>
    <w:rsid w:val="00A61E4F"/>
    <w:rsid w:val="00A62D30"/>
    <w:rsid w:val="00A66347"/>
    <w:rsid w:val="00A73F73"/>
    <w:rsid w:val="00A810F9"/>
    <w:rsid w:val="00A82D31"/>
    <w:rsid w:val="00A82EED"/>
    <w:rsid w:val="00A85E7E"/>
    <w:rsid w:val="00A86ECC"/>
    <w:rsid w:val="00A86FCC"/>
    <w:rsid w:val="00A90A6D"/>
    <w:rsid w:val="00A910B5"/>
    <w:rsid w:val="00A971E5"/>
    <w:rsid w:val="00AA0698"/>
    <w:rsid w:val="00AA710D"/>
    <w:rsid w:val="00AB5FC7"/>
    <w:rsid w:val="00AB64F3"/>
    <w:rsid w:val="00AB6D25"/>
    <w:rsid w:val="00AC0DF2"/>
    <w:rsid w:val="00AC3ECE"/>
    <w:rsid w:val="00AD062C"/>
    <w:rsid w:val="00AD086E"/>
    <w:rsid w:val="00AD0C58"/>
    <w:rsid w:val="00AD0E56"/>
    <w:rsid w:val="00AD1704"/>
    <w:rsid w:val="00AD7641"/>
    <w:rsid w:val="00AD7D81"/>
    <w:rsid w:val="00AE02E2"/>
    <w:rsid w:val="00AE229B"/>
    <w:rsid w:val="00AE2D4B"/>
    <w:rsid w:val="00AE4F99"/>
    <w:rsid w:val="00AF1E52"/>
    <w:rsid w:val="00AF499E"/>
    <w:rsid w:val="00B01F63"/>
    <w:rsid w:val="00B06F75"/>
    <w:rsid w:val="00B11B69"/>
    <w:rsid w:val="00B13BAC"/>
    <w:rsid w:val="00B1432B"/>
    <w:rsid w:val="00B14952"/>
    <w:rsid w:val="00B14FBA"/>
    <w:rsid w:val="00B16871"/>
    <w:rsid w:val="00B23582"/>
    <w:rsid w:val="00B25B45"/>
    <w:rsid w:val="00B267FF"/>
    <w:rsid w:val="00B30564"/>
    <w:rsid w:val="00B31DB9"/>
    <w:rsid w:val="00B31E5A"/>
    <w:rsid w:val="00B465D8"/>
    <w:rsid w:val="00B46CBE"/>
    <w:rsid w:val="00B47359"/>
    <w:rsid w:val="00B579AB"/>
    <w:rsid w:val="00B62D0B"/>
    <w:rsid w:val="00B653AB"/>
    <w:rsid w:val="00B65F9E"/>
    <w:rsid w:val="00B6639B"/>
    <w:rsid w:val="00B66B19"/>
    <w:rsid w:val="00B81C8F"/>
    <w:rsid w:val="00B8473F"/>
    <w:rsid w:val="00B872AC"/>
    <w:rsid w:val="00B914E9"/>
    <w:rsid w:val="00B916F1"/>
    <w:rsid w:val="00B92C97"/>
    <w:rsid w:val="00B956EE"/>
    <w:rsid w:val="00B95BE9"/>
    <w:rsid w:val="00B96ED8"/>
    <w:rsid w:val="00B97AAF"/>
    <w:rsid w:val="00B97F31"/>
    <w:rsid w:val="00BA2BA1"/>
    <w:rsid w:val="00BA2BA7"/>
    <w:rsid w:val="00BA3447"/>
    <w:rsid w:val="00BA3562"/>
    <w:rsid w:val="00BB0BDB"/>
    <w:rsid w:val="00BB4793"/>
    <w:rsid w:val="00BB4F09"/>
    <w:rsid w:val="00BC0EDF"/>
    <w:rsid w:val="00BC12E2"/>
    <w:rsid w:val="00BC2D48"/>
    <w:rsid w:val="00BC36E6"/>
    <w:rsid w:val="00BC66BD"/>
    <w:rsid w:val="00BD4E33"/>
    <w:rsid w:val="00BE077B"/>
    <w:rsid w:val="00BE2813"/>
    <w:rsid w:val="00BE383F"/>
    <w:rsid w:val="00BE7F14"/>
    <w:rsid w:val="00BF27FA"/>
    <w:rsid w:val="00BF2E69"/>
    <w:rsid w:val="00BF4AA9"/>
    <w:rsid w:val="00BF768F"/>
    <w:rsid w:val="00C013B9"/>
    <w:rsid w:val="00C030DE"/>
    <w:rsid w:val="00C051A8"/>
    <w:rsid w:val="00C10C66"/>
    <w:rsid w:val="00C14F50"/>
    <w:rsid w:val="00C1689D"/>
    <w:rsid w:val="00C20615"/>
    <w:rsid w:val="00C21F58"/>
    <w:rsid w:val="00C22105"/>
    <w:rsid w:val="00C244B6"/>
    <w:rsid w:val="00C247E0"/>
    <w:rsid w:val="00C24B22"/>
    <w:rsid w:val="00C27BF1"/>
    <w:rsid w:val="00C32E34"/>
    <w:rsid w:val="00C34FFB"/>
    <w:rsid w:val="00C35801"/>
    <w:rsid w:val="00C35E76"/>
    <w:rsid w:val="00C36C83"/>
    <w:rsid w:val="00C3702F"/>
    <w:rsid w:val="00C4379C"/>
    <w:rsid w:val="00C4500A"/>
    <w:rsid w:val="00C50128"/>
    <w:rsid w:val="00C52FFC"/>
    <w:rsid w:val="00C56B13"/>
    <w:rsid w:val="00C62238"/>
    <w:rsid w:val="00C64A37"/>
    <w:rsid w:val="00C7158E"/>
    <w:rsid w:val="00C7250B"/>
    <w:rsid w:val="00C72EF8"/>
    <w:rsid w:val="00C72FE2"/>
    <w:rsid w:val="00C7346B"/>
    <w:rsid w:val="00C76710"/>
    <w:rsid w:val="00C77C0E"/>
    <w:rsid w:val="00C83715"/>
    <w:rsid w:val="00C845E3"/>
    <w:rsid w:val="00C91687"/>
    <w:rsid w:val="00C924A8"/>
    <w:rsid w:val="00C945FE"/>
    <w:rsid w:val="00C96FAA"/>
    <w:rsid w:val="00C97A04"/>
    <w:rsid w:val="00CA09BB"/>
    <w:rsid w:val="00CA1065"/>
    <w:rsid w:val="00CA107B"/>
    <w:rsid w:val="00CA300E"/>
    <w:rsid w:val="00CA37FA"/>
    <w:rsid w:val="00CA484D"/>
    <w:rsid w:val="00CA4FB6"/>
    <w:rsid w:val="00CB1E65"/>
    <w:rsid w:val="00CB2CEB"/>
    <w:rsid w:val="00CB2F90"/>
    <w:rsid w:val="00CB689D"/>
    <w:rsid w:val="00CB6AD4"/>
    <w:rsid w:val="00CC0A00"/>
    <w:rsid w:val="00CC0FE6"/>
    <w:rsid w:val="00CC1CB1"/>
    <w:rsid w:val="00CC3A88"/>
    <w:rsid w:val="00CC4420"/>
    <w:rsid w:val="00CC4EBB"/>
    <w:rsid w:val="00CC635A"/>
    <w:rsid w:val="00CC739E"/>
    <w:rsid w:val="00CC73D2"/>
    <w:rsid w:val="00CD0C94"/>
    <w:rsid w:val="00CD1EBB"/>
    <w:rsid w:val="00CD2410"/>
    <w:rsid w:val="00CD28CF"/>
    <w:rsid w:val="00CD402E"/>
    <w:rsid w:val="00CD58B7"/>
    <w:rsid w:val="00CD7967"/>
    <w:rsid w:val="00CE04FB"/>
    <w:rsid w:val="00CE4B64"/>
    <w:rsid w:val="00CF076D"/>
    <w:rsid w:val="00CF0D68"/>
    <w:rsid w:val="00CF111C"/>
    <w:rsid w:val="00CF18EE"/>
    <w:rsid w:val="00CF278D"/>
    <w:rsid w:val="00CF30BD"/>
    <w:rsid w:val="00CF4099"/>
    <w:rsid w:val="00CF5EBF"/>
    <w:rsid w:val="00D00796"/>
    <w:rsid w:val="00D0314E"/>
    <w:rsid w:val="00D04A10"/>
    <w:rsid w:val="00D11050"/>
    <w:rsid w:val="00D1265D"/>
    <w:rsid w:val="00D261A2"/>
    <w:rsid w:val="00D262A8"/>
    <w:rsid w:val="00D2709F"/>
    <w:rsid w:val="00D307AD"/>
    <w:rsid w:val="00D30ADE"/>
    <w:rsid w:val="00D31400"/>
    <w:rsid w:val="00D40538"/>
    <w:rsid w:val="00D43306"/>
    <w:rsid w:val="00D616D2"/>
    <w:rsid w:val="00D6351C"/>
    <w:rsid w:val="00D63B5F"/>
    <w:rsid w:val="00D66006"/>
    <w:rsid w:val="00D70EF7"/>
    <w:rsid w:val="00D76F96"/>
    <w:rsid w:val="00D8397C"/>
    <w:rsid w:val="00D94EED"/>
    <w:rsid w:val="00D96026"/>
    <w:rsid w:val="00D972F6"/>
    <w:rsid w:val="00DA331D"/>
    <w:rsid w:val="00DA3C88"/>
    <w:rsid w:val="00DA7C1C"/>
    <w:rsid w:val="00DB0536"/>
    <w:rsid w:val="00DB147A"/>
    <w:rsid w:val="00DB1B7A"/>
    <w:rsid w:val="00DB3752"/>
    <w:rsid w:val="00DB706E"/>
    <w:rsid w:val="00DC6708"/>
    <w:rsid w:val="00DC7DCB"/>
    <w:rsid w:val="00DD011A"/>
    <w:rsid w:val="00DD21BA"/>
    <w:rsid w:val="00DD382C"/>
    <w:rsid w:val="00DD62BE"/>
    <w:rsid w:val="00DE2400"/>
    <w:rsid w:val="00DE58F1"/>
    <w:rsid w:val="00DE6B58"/>
    <w:rsid w:val="00DF0BAD"/>
    <w:rsid w:val="00DF587A"/>
    <w:rsid w:val="00DF5D38"/>
    <w:rsid w:val="00DF5E32"/>
    <w:rsid w:val="00E01436"/>
    <w:rsid w:val="00E027F0"/>
    <w:rsid w:val="00E02F90"/>
    <w:rsid w:val="00E03E79"/>
    <w:rsid w:val="00E045BD"/>
    <w:rsid w:val="00E04D6C"/>
    <w:rsid w:val="00E17B77"/>
    <w:rsid w:val="00E231AB"/>
    <w:rsid w:val="00E23337"/>
    <w:rsid w:val="00E245B1"/>
    <w:rsid w:val="00E259EA"/>
    <w:rsid w:val="00E25D33"/>
    <w:rsid w:val="00E2641A"/>
    <w:rsid w:val="00E32061"/>
    <w:rsid w:val="00E33F48"/>
    <w:rsid w:val="00E33F66"/>
    <w:rsid w:val="00E40A56"/>
    <w:rsid w:val="00E42FF9"/>
    <w:rsid w:val="00E44790"/>
    <w:rsid w:val="00E4714C"/>
    <w:rsid w:val="00E5178D"/>
    <w:rsid w:val="00E51AEB"/>
    <w:rsid w:val="00E522A7"/>
    <w:rsid w:val="00E52651"/>
    <w:rsid w:val="00E5349E"/>
    <w:rsid w:val="00E54452"/>
    <w:rsid w:val="00E55166"/>
    <w:rsid w:val="00E56776"/>
    <w:rsid w:val="00E60642"/>
    <w:rsid w:val="00E610C8"/>
    <w:rsid w:val="00E61970"/>
    <w:rsid w:val="00E63B0C"/>
    <w:rsid w:val="00E664C5"/>
    <w:rsid w:val="00E671A2"/>
    <w:rsid w:val="00E70F8F"/>
    <w:rsid w:val="00E76D26"/>
    <w:rsid w:val="00E76EE5"/>
    <w:rsid w:val="00E93DB8"/>
    <w:rsid w:val="00E948B2"/>
    <w:rsid w:val="00E953FE"/>
    <w:rsid w:val="00E95B8E"/>
    <w:rsid w:val="00EA3CB1"/>
    <w:rsid w:val="00EB0537"/>
    <w:rsid w:val="00EB1390"/>
    <w:rsid w:val="00EB2C71"/>
    <w:rsid w:val="00EB2E72"/>
    <w:rsid w:val="00EB3333"/>
    <w:rsid w:val="00EB4340"/>
    <w:rsid w:val="00EB4F67"/>
    <w:rsid w:val="00EB556D"/>
    <w:rsid w:val="00EB5A7D"/>
    <w:rsid w:val="00EC2817"/>
    <w:rsid w:val="00EC73D3"/>
    <w:rsid w:val="00ED460F"/>
    <w:rsid w:val="00ED55C0"/>
    <w:rsid w:val="00ED5DBC"/>
    <w:rsid w:val="00ED682B"/>
    <w:rsid w:val="00EE41D5"/>
    <w:rsid w:val="00EE4563"/>
    <w:rsid w:val="00EE4AAC"/>
    <w:rsid w:val="00EE79FF"/>
    <w:rsid w:val="00EF1488"/>
    <w:rsid w:val="00F0166F"/>
    <w:rsid w:val="00F037A4"/>
    <w:rsid w:val="00F049AB"/>
    <w:rsid w:val="00F07A42"/>
    <w:rsid w:val="00F107D9"/>
    <w:rsid w:val="00F10AD7"/>
    <w:rsid w:val="00F142DB"/>
    <w:rsid w:val="00F145A8"/>
    <w:rsid w:val="00F15EA6"/>
    <w:rsid w:val="00F16054"/>
    <w:rsid w:val="00F16692"/>
    <w:rsid w:val="00F24AFD"/>
    <w:rsid w:val="00F24B16"/>
    <w:rsid w:val="00F2640F"/>
    <w:rsid w:val="00F27C8F"/>
    <w:rsid w:val="00F27EAD"/>
    <w:rsid w:val="00F27FDC"/>
    <w:rsid w:val="00F32742"/>
    <w:rsid w:val="00F32749"/>
    <w:rsid w:val="00F33074"/>
    <w:rsid w:val="00F3358C"/>
    <w:rsid w:val="00F33B9E"/>
    <w:rsid w:val="00F37172"/>
    <w:rsid w:val="00F403A0"/>
    <w:rsid w:val="00F4359C"/>
    <w:rsid w:val="00F435E5"/>
    <w:rsid w:val="00F4477E"/>
    <w:rsid w:val="00F46269"/>
    <w:rsid w:val="00F46E9C"/>
    <w:rsid w:val="00F47FF9"/>
    <w:rsid w:val="00F526E6"/>
    <w:rsid w:val="00F56F3E"/>
    <w:rsid w:val="00F60BA8"/>
    <w:rsid w:val="00F619F2"/>
    <w:rsid w:val="00F62E3D"/>
    <w:rsid w:val="00F654F7"/>
    <w:rsid w:val="00F67D8F"/>
    <w:rsid w:val="00F70AB2"/>
    <w:rsid w:val="00F71EF0"/>
    <w:rsid w:val="00F72040"/>
    <w:rsid w:val="00F72306"/>
    <w:rsid w:val="00F740EB"/>
    <w:rsid w:val="00F74F10"/>
    <w:rsid w:val="00F802BE"/>
    <w:rsid w:val="00F80E93"/>
    <w:rsid w:val="00F80F5A"/>
    <w:rsid w:val="00F81003"/>
    <w:rsid w:val="00F8306D"/>
    <w:rsid w:val="00F8530B"/>
    <w:rsid w:val="00F85BAE"/>
    <w:rsid w:val="00F86024"/>
    <w:rsid w:val="00F8611A"/>
    <w:rsid w:val="00F86991"/>
    <w:rsid w:val="00F87D74"/>
    <w:rsid w:val="00F95292"/>
    <w:rsid w:val="00F96CFE"/>
    <w:rsid w:val="00FA1273"/>
    <w:rsid w:val="00FA1FD6"/>
    <w:rsid w:val="00FA2171"/>
    <w:rsid w:val="00FA5128"/>
    <w:rsid w:val="00FB42D4"/>
    <w:rsid w:val="00FB5417"/>
    <w:rsid w:val="00FB5906"/>
    <w:rsid w:val="00FB762F"/>
    <w:rsid w:val="00FB78C8"/>
    <w:rsid w:val="00FC2AED"/>
    <w:rsid w:val="00FC3E51"/>
    <w:rsid w:val="00FD5EA7"/>
    <w:rsid w:val="00FD63C7"/>
    <w:rsid w:val="00FD7AC4"/>
    <w:rsid w:val="00FE0121"/>
    <w:rsid w:val="00FE11F9"/>
    <w:rsid w:val="00FE36CF"/>
    <w:rsid w:val="00FE5069"/>
    <w:rsid w:val="00FF0246"/>
    <w:rsid w:val="00FF0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412466"/>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41246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customStyle="1" w:styleId="Hipercza">
    <w:name w:val="Hiperłącza"/>
    <w:basedOn w:val="Normalny"/>
    <w:qFormat/>
    <w:rsid w:val="00627887"/>
    <w:rPr>
      <w:color w:val="001D77"/>
      <w:sz w:val="18"/>
      <w:szCs w:val="18"/>
      <w:u w:val="single"/>
    </w:rPr>
  </w:style>
  <w:style w:type="paragraph" w:customStyle="1" w:styleId="Tytuhipercza">
    <w:name w:val="Tytuł hiperłącza"/>
    <w:basedOn w:val="Normalny"/>
    <w:qFormat/>
    <w:rsid w:val="00627887"/>
    <w:pPr>
      <w:spacing w:before="360" w:after="0" w:line="288" w:lineRule="auto"/>
    </w:pPr>
    <w:rPr>
      <w:b/>
      <w:szCs w:val="19"/>
    </w:rPr>
  </w:style>
  <w:style w:type="paragraph" w:styleId="Tekstpodstawowy">
    <w:name w:val="Body Text"/>
    <w:basedOn w:val="Normalny"/>
    <w:link w:val="TekstpodstawowyZnak"/>
    <w:uiPriority w:val="1"/>
    <w:qFormat/>
    <w:rsid w:val="008A5C1E"/>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8A5C1E"/>
    <w:rPr>
      <w:rFonts w:ascii="Fira Sans" w:eastAsia="Times New Roman" w:hAnsi="Fira Sans" w:cs="Fira Sans"/>
      <w:sz w:val="19"/>
      <w:szCs w:val="19"/>
      <w:lang w:eastAsia="pl-PL"/>
    </w:rPr>
  </w:style>
  <w:style w:type="paragraph" w:customStyle="1" w:styleId="TableParagraph">
    <w:name w:val="Table Paragraph"/>
    <w:basedOn w:val="Normalny"/>
    <w:uiPriority w:val="1"/>
    <w:qFormat/>
    <w:rsid w:val="00D43306"/>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3674F"/>
    <w:rPr>
      <w:color w:val="954F72" w:themeColor="followedHyperlink"/>
      <w:u w:val="single"/>
    </w:rPr>
  </w:style>
  <w:style w:type="paragraph" w:customStyle="1" w:styleId="Zawartoramki">
    <w:name w:val="Zawartość ramki"/>
    <w:basedOn w:val="Normalny"/>
    <w:qFormat/>
    <w:rsid w:val="006D4224"/>
    <w:rPr>
      <w:color w:val="00000A"/>
    </w:rPr>
  </w:style>
  <w:style w:type="table" w:customStyle="1" w:styleId="Siatkatabelijasna1">
    <w:name w:val="Siatka tabeli — jasna1"/>
    <w:basedOn w:val="Standardowy"/>
    <w:uiPriority w:val="40"/>
    <w:rsid w:val="006D422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217196"/>
    <w:pPr>
      <w:spacing w:after="0" w:line="240" w:lineRule="auto"/>
    </w:pPr>
    <w:rPr>
      <w:rFonts w:ascii="Fira Sans" w:hAnsi="Fira Sans"/>
      <w:sz w:val="19"/>
    </w:rPr>
  </w:style>
  <w:style w:type="character" w:customStyle="1" w:styleId="Nierozpoznanawzmianka2">
    <w:name w:val="Nierozpoznana wzmianka2"/>
    <w:basedOn w:val="Domylnaczcionkaakapitu"/>
    <w:uiPriority w:val="99"/>
    <w:semiHidden/>
    <w:unhideWhenUsed/>
    <w:rsid w:val="00A56D33"/>
    <w:rPr>
      <w:color w:val="605E5C"/>
      <w:shd w:val="clear" w:color="auto" w:fill="E1DFDD"/>
    </w:rPr>
  </w:style>
  <w:style w:type="paragraph" w:styleId="Adresnakopercie">
    <w:name w:val="envelope address"/>
    <w:basedOn w:val="Normalny"/>
    <w:uiPriority w:val="99"/>
    <w:semiHidden/>
    <w:unhideWhenUsed/>
    <w:rsid w:val="00412466"/>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szwrotnynakopercie">
    <w:name w:val="envelope return"/>
    <w:basedOn w:val="Normalny"/>
    <w:uiPriority w:val="99"/>
    <w:semiHidden/>
    <w:unhideWhenUsed/>
    <w:rsid w:val="00412466"/>
    <w:pPr>
      <w:spacing w:before="0" w:after="0" w:line="240" w:lineRule="auto"/>
    </w:pPr>
    <w:rPr>
      <w:rFonts w:asciiTheme="majorHAnsi" w:eastAsiaTheme="majorEastAsia" w:hAnsiTheme="majorHAnsi" w:cstheme="majorBidi"/>
      <w:sz w:val="20"/>
      <w:szCs w:val="20"/>
    </w:rPr>
  </w:style>
  <w:style w:type="paragraph" w:styleId="Bezodstpw">
    <w:name w:val="No Spacing"/>
    <w:uiPriority w:val="1"/>
    <w:rsid w:val="00412466"/>
    <w:pPr>
      <w:spacing w:after="0" w:line="240" w:lineRule="auto"/>
    </w:pPr>
    <w:rPr>
      <w:rFonts w:ascii="Fira Sans" w:hAnsi="Fira Sans"/>
      <w:sz w:val="19"/>
    </w:rPr>
  </w:style>
  <w:style w:type="paragraph" w:styleId="Bibliografia">
    <w:name w:val="Bibliography"/>
    <w:basedOn w:val="Normalny"/>
    <w:next w:val="Normalny"/>
    <w:uiPriority w:val="37"/>
    <w:semiHidden/>
    <w:unhideWhenUsed/>
    <w:rsid w:val="00412466"/>
  </w:style>
  <w:style w:type="paragraph" w:styleId="Cytat">
    <w:name w:val="Quote"/>
    <w:basedOn w:val="Normalny"/>
    <w:next w:val="Normalny"/>
    <w:link w:val="CytatZnak"/>
    <w:uiPriority w:val="29"/>
    <w:qFormat/>
    <w:rsid w:val="00412466"/>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412466"/>
    <w:rPr>
      <w:rFonts w:ascii="Fira Sans" w:hAnsi="Fira Sans"/>
      <w:i/>
      <w:iCs/>
      <w:color w:val="404040" w:themeColor="text1" w:themeTint="BF"/>
      <w:sz w:val="19"/>
    </w:rPr>
  </w:style>
  <w:style w:type="paragraph" w:styleId="Cytatintensywny">
    <w:name w:val="Intense Quote"/>
    <w:basedOn w:val="Normalny"/>
    <w:next w:val="Normalny"/>
    <w:link w:val="CytatintensywnyZnak"/>
    <w:uiPriority w:val="30"/>
    <w:qFormat/>
    <w:rsid w:val="0041246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412466"/>
    <w:rPr>
      <w:rFonts w:ascii="Fira Sans" w:hAnsi="Fira Sans"/>
      <w:i/>
      <w:iCs/>
      <w:color w:val="5B9BD5" w:themeColor="accent1"/>
      <w:sz w:val="19"/>
    </w:rPr>
  </w:style>
  <w:style w:type="paragraph" w:styleId="Data">
    <w:name w:val="Date"/>
    <w:basedOn w:val="Normalny"/>
    <w:next w:val="Normalny"/>
    <w:link w:val="DataZnak"/>
    <w:uiPriority w:val="99"/>
    <w:semiHidden/>
    <w:unhideWhenUsed/>
    <w:rsid w:val="00412466"/>
  </w:style>
  <w:style w:type="character" w:customStyle="1" w:styleId="DataZnak">
    <w:name w:val="Data Znak"/>
    <w:basedOn w:val="Domylnaczcionkaakapitu"/>
    <w:link w:val="Data"/>
    <w:uiPriority w:val="99"/>
    <w:semiHidden/>
    <w:rsid w:val="00412466"/>
    <w:rPr>
      <w:rFonts w:ascii="Fira Sans" w:hAnsi="Fira Sans"/>
      <w:sz w:val="19"/>
    </w:rPr>
  </w:style>
  <w:style w:type="paragraph" w:styleId="HTML-adres">
    <w:name w:val="HTML Address"/>
    <w:basedOn w:val="Normalny"/>
    <w:link w:val="HTML-adresZnak"/>
    <w:uiPriority w:val="99"/>
    <w:semiHidden/>
    <w:unhideWhenUsed/>
    <w:rsid w:val="00412466"/>
    <w:pPr>
      <w:spacing w:before="0" w:after="0" w:line="240" w:lineRule="auto"/>
    </w:pPr>
    <w:rPr>
      <w:i/>
      <w:iCs/>
    </w:rPr>
  </w:style>
  <w:style w:type="character" w:customStyle="1" w:styleId="HTML-adresZnak">
    <w:name w:val="HTML - adres Znak"/>
    <w:basedOn w:val="Domylnaczcionkaakapitu"/>
    <w:link w:val="HTML-adres"/>
    <w:uiPriority w:val="99"/>
    <w:semiHidden/>
    <w:rsid w:val="00412466"/>
    <w:rPr>
      <w:rFonts w:ascii="Fira Sans" w:hAnsi="Fira Sans"/>
      <w:i/>
      <w:iCs/>
      <w:sz w:val="19"/>
    </w:rPr>
  </w:style>
  <w:style w:type="paragraph" w:styleId="HTML-wstpniesformatowany">
    <w:name w:val="HTML Preformatted"/>
    <w:basedOn w:val="Normalny"/>
    <w:link w:val="HTML-wstpniesformatowanyZnak"/>
    <w:uiPriority w:val="99"/>
    <w:semiHidden/>
    <w:unhideWhenUsed/>
    <w:rsid w:val="00412466"/>
    <w:pPr>
      <w:spacing w:before="0"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412466"/>
    <w:rPr>
      <w:rFonts w:ascii="Consolas" w:hAnsi="Consolas"/>
      <w:sz w:val="20"/>
      <w:szCs w:val="20"/>
    </w:rPr>
  </w:style>
  <w:style w:type="paragraph" w:styleId="Indeks1">
    <w:name w:val="index 1"/>
    <w:basedOn w:val="Normalny"/>
    <w:next w:val="Normalny"/>
    <w:autoRedefine/>
    <w:uiPriority w:val="99"/>
    <w:semiHidden/>
    <w:unhideWhenUsed/>
    <w:rsid w:val="00412466"/>
    <w:pPr>
      <w:spacing w:before="0" w:after="0" w:line="240" w:lineRule="auto"/>
      <w:ind w:left="190" w:hanging="190"/>
    </w:pPr>
  </w:style>
  <w:style w:type="paragraph" w:styleId="Indeks2">
    <w:name w:val="index 2"/>
    <w:basedOn w:val="Normalny"/>
    <w:next w:val="Normalny"/>
    <w:autoRedefine/>
    <w:uiPriority w:val="99"/>
    <w:semiHidden/>
    <w:unhideWhenUsed/>
    <w:rsid w:val="00412466"/>
    <w:pPr>
      <w:spacing w:before="0" w:after="0" w:line="240" w:lineRule="auto"/>
      <w:ind w:left="380" w:hanging="190"/>
    </w:pPr>
  </w:style>
  <w:style w:type="paragraph" w:styleId="Indeks3">
    <w:name w:val="index 3"/>
    <w:basedOn w:val="Normalny"/>
    <w:next w:val="Normalny"/>
    <w:autoRedefine/>
    <w:uiPriority w:val="99"/>
    <w:semiHidden/>
    <w:unhideWhenUsed/>
    <w:rsid w:val="00412466"/>
    <w:pPr>
      <w:spacing w:before="0" w:after="0" w:line="240" w:lineRule="auto"/>
      <w:ind w:left="570" w:hanging="190"/>
    </w:pPr>
  </w:style>
  <w:style w:type="paragraph" w:styleId="Indeks4">
    <w:name w:val="index 4"/>
    <w:basedOn w:val="Normalny"/>
    <w:next w:val="Normalny"/>
    <w:autoRedefine/>
    <w:uiPriority w:val="99"/>
    <w:semiHidden/>
    <w:unhideWhenUsed/>
    <w:rsid w:val="00412466"/>
    <w:pPr>
      <w:spacing w:before="0" w:after="0" w:line="240" w:lineRule="auto"/>
      <w:ind w:left="760" w:hanging="190"/>
    </w:pPr>
  </w:style>
  <w:style w:type="paragraph" w:styleId="Indeks5">
    <w:name w:val="index 5"/>
    <w:basedOn w:val="Normalny"/>
    <w:next w:val="Normalny"/>
    <w:autoRedefine/>
    <w:uiPriority w:val="99"/>
    <w:semiHidden/>
    <w:unhideWhenUsed/>
    <w:rsid w:val="00412466"/>
    <w:pPr>
      <w:spacing w:before="0" w:after="0" w:line="240" w:lineRule="auto"/>
      <w:ind w:left="950" w:hanging="190"/>
    </w:pPr>
  </w:style>
  <w:style w:type="paragraph" w:styleId="Indeks6">
    <w:name w:val="index 6"/>
    <w:basedOn w:val="Normalny"/>
    <w:next w:val="Normalny"/>
    <w:autoRedefine/>
    <w:uiPriority w:val="99"/>
    <w:semiHidden/>
    <w:unhideWhenUsed/>
    <w:rsid w:val="00412466"/>
    <w:pPr>
      <w:spacing w:before="0" w:after="0" w:line="240" w:lineRule="auto"/>
      <w:ind w:left="1140" w:hanging="190"/>
    </w:pPr>
  </w:style>
  <w:style w:type="paragraph" w:styleId="Indeks7">
    <w:name w:val="index 7"/>
    <w:basedOn w:val="Normalny"/>
    <w:next w:val="Normalny"/>
    <w:autoRedefine/>
    <w:uiPriority w:val="99"/>
    <w:semiHidden/>
    <w:unhideWhenUsed/>
    <w:rsid w:val="00412466"/>
    <w:pPr>
      <w:spacing w:before="0" w:after="0" w:line="240" w:lineRule="auto"/>
      <w:ind w:left="1330" w:hanging="190"/>
    </w:pPr>
  </w:style>
  <w:style w:type="paragraph" w:styleId="Indeks8">
    <w:name w:val="index 8"/>
    <w:basedOn w:val="Normalny"/>
    <w:next w:val="Normalny"/>
    <w:autoRedefine/>
    <w:uiPriority w:val="99"/>
    <w:semiHidden/>
    <w:unhideWhenUsed/>
    <w:rsid w:val="00412466"/>
    <w:pPr>
      <w:spacing w:before="0" w:after="0" w:line="240" w:lineRule="auto"/>
      <w:ind w:left="1520" w:hanging="190"/>
    </w:pPr>
  </w:style>
  <w:style w:type="paragraph" w:styleId="Indeks9">
    <w:name w:val="index 9"/>
    <w:basedOn w:val="Normalny"/>
    <w:next w:val="Normalny"/>
    <w:autoRedefine/>
    <w:uiPriority w:val="99"/>
    <w:semiHidden/>
    <w:unhideWhenUsed/>
    <w:rsid w:val="00412466"/>
    <w:pPr>
      <w:spacing w:before="0" w:after="0" w:line="240" w:lineRule="auto"/>
      <w:ind w:left="1710" w:hanging="190"/>
    </w:pPr>
  </w:style>
  <w:style w:type="paragraph" w:styleId="Legenda">
    <w:name w:val="caption"/>
    <w:basedOn w:val="Normalny"/>
    <w:next w:val="Normalny"/>
    <w:uiPriority w:val="35"/>
    <w:semiHidden/>
    <w:unhideWhenUsed/>
    <w:qFormat/>
    <w:rsid w:val="00412466"/>
    <w:pPr>
      <w:spacing w:before="0" w:after="200" w:line="240" w:lineRule="auto"/>
    </w:pPr>
    <w:rPr>
      <w:i/>
      <w:iCs/>
      <w:color w:val="44546A" w:themeColor="text2"/>
      <w:sz w:val="18"/>
      <w:szCs w:val="18"/>
    </w:rPr>
  </w:style>
  <w:style w:type="paragraph" w:styleId="Lista">
    <w:name w:val="List"/>
    <w:basedOn w:val="Normalny"/>
    <w:uiPriority w:val="99"/>
    <w:semiHidden/>
    <w:unhideWhenUsed/>
    <w:rsid w:val="00412466"/>
    <w:pPr>
      <w:ind w:left="283" w:hanging="283"/>
      <w:contextualSpacing/>
    </w:pPr>
  </w:style>
  <w:style w:type="paragraph" w:styleId="Lista-kontynuacja">
    <w:name w:val="List Continue"/>
    <w:basedOn w:val="Normalny"/>
    <w:uiPriority w:val="99"/>
    <w:semiHidden/>
    <w:unhideWhenUsed/>
    <w:rsid w:val="00412466"/>
    <w:pPr>
      <w:ind w:left="283"/>
      <w:contextualSpacing/>
    </w:pPr>
  </w:style>
  <w:style w:type="paragraph" w:styleId="Lista-kontynuacja2">
    <w:name w:val="List Continue 2"/>
    <w:basedOn w:val="Normalny"/>
    <w:uiPriority w:val="99"/>
    <w:semiHidden/>
    <w:unhideWhenUsed/>
    <w:rsid w:val="00412466"/>
    <w:pPr>
      <w:ind w:left="566"/>
      <w:contextualSpacing/>
    </w:pPr>
  </w:style>
  <w:style w:type="paragraph" w:styleId="Lista-kontynuacja3">
    <w:name w:val="List Continue 3"/>
    <w:basedOn w:val="Normalny"/>
    <w:uiPriority w:val="99"/>
    <w:semiHidden/>
    <w:unhideWhenUsed/>
    <w:rsid w:val="00412466"/>
    <w:pPr>
      <w:ind w:left="849"/>
      <w:contextualSpacing/>
    </w:pPr>
  </w:style>
  <w:style w:type="paragraph" w:styleId="Lista-kontynuacja4">
    <w:name w:val="List Continue 4"/>
    <w:basedOn w:val="Normalny"/>
    <w:uiPriority w:val="99"/>
    <w:semiHidden/>
    <w:unhideWhenUsed/>
    <w:rsid w:val="00412466"/>
    <w:pPr>
      <w:ind w:left="1132"/>
      <w:contextualSpacing/>
    </w:pPr>
  </w:style>
  <w:style w:type="paragraph" w:styleId="Lista-kontynuacja5">
    <w:name w:val="List Continue 5"/>
    <w:basedOn w:val="Normalny"/>
    <w:uiPriority w:val="99"/>
    <w:semiHidden/>
    <w:unhideWhenUsed/>
    <w:rsid w:val="00412466"/>
    <w:pPr>
      <w:ind w:left="1415"/>
      <w:contextualSpacing/>
    </w:pPr>
  </w:style>
  <w:style w:type="paragraph" w:styleId="Lista2">
    <w:name w:val="List 2"/>
    <w:basedOn w:val="Normalny"/>
    <w:uiPriority w:val="99"/>
    <w:semiHidden/>
    <w:unhideWhenUsed/>
    <w:rsid w:val="00412466"/>
    <w:pPr>
      <w:ind w:left="566" w:hanging="283"/>
      <w:contextualSpacing/>
    </w:pPr>
  </w:style>
  <w:style w:type="paragraph" w:styleId="Lista3">
    <w:name w:val="List 3"/>
    <w:basedOn w:val="Normalny"/>
    <w:uiPriority w:val="99"/>
    <w:semiHidden/>
    <w:unhideWhenUsed/>
    <w:rsid w:val="00412466"/>
    <w:pPr>
      <w:ind w:left="849" w:hanging="283"/>
      <w:contextualSpacing/>
    </w:pPr>
  </w:style>
  <w:style w:type="paragraph" w:styleId="Lista4">
    <w:name w:val="List 4"/>
    <w:basedOn w:val="Normalny"/>
    <w:uiPriority w:val="99"/>
    <w:semiHidden/>
    <w:unhideWhenUsed/>
    <w:rsid w:val="00412466"/>
    <w:pPr>
      <w:ind w:left="1132" w:hanging="283"/>
      <w:contextualSpacing/>
    </w:pPr>
  </w:style>
  <w:style w:type="paragraph" w:styleId="Lista5">
    <w:name w:val="List 5"/>
    <w:basedOn w:val="Normalny"/>
    <w:uiPriority w:val="99"/>
    <w:semiHidden/>
    <w:unhideWhenUsed/>
    <w:rsid w:val="00412466"/>
    <w:pPr>
      <w:ind w:left="1415" w:hanging="283"/>
      <w:contextualSpacing/>
    </w:pPr>
  </w:style>
  <w:style w:type="paragraph" w:styleId="Listanumerowana">
    <w:name w:val="List Number"/>
    <w:basedOn w:val="Normalny"/>
    <w:uiPriority w:val="99"/>
    <w:semiHidden/>
    <w:unhideWhenUsed/>
    <w:rsid w:val="00412466"/>
    <w:pPr>
      <w:numPr>
        <w:numId w:val="7"/>
      </w:numPr>
      <w:contextualSpacing/>
    </w:pPr>
  </w:style>
  <w:style w:type="paragraph" w:styleId="Listanumerowana2">
    <w:name w:val="List Number 2"/>
    <w:basedOn w:val="Normalny"/>
    <w:uiPriority w:val="99"/>
    <w:semiHidden/>
    <w:unhideWhenUsed/>
    <w:rsid w:val="00412466"/>
    <w:pPr>
      <w:numPr>
        <w:numId w:val="8"/>
      </w:numPr>
      <w:contextualSpacing/>
    </w:pPr>
  </w:style>
  <w:style w:type="paragraph" w:styleId="Listanumerowana3">
    <w:name w:val="List Number 3"/>
    <w:basedOn w:val="Normalny"/>
    <w:uiPriority w:val="99"/>
    <w:semiHidden/>
    <w:unhideWhenUsed/>
    <w:rsid w:val="00412466"/>
    <w:pPr>
      <w:numPr>
        <w:numId w:val="9"/>
      </w:numPr>
      <w:contextualSpacing/>
    </w:pPr>
  </w:style>
  <w:style w:type="paragraph" w:styleId="Listanumerowana4">
    <w:name w:val="List Number 4"/>
    <w:basedOn w:val="Normalny"/>
    <w:uiPriority w:val="99"/>
    <w:semiHidden/>
    <w:unhideWhenUsed/>
    <w:rsid w:val="00412466"/>
    <w:pPr>
      <w:numPr>
        <w:numId w:val="10"/>
      </w:numPr>
      <w:contextualSpacing/>
    </w:pPr>
  </w:style>
  <w:style w:type="paragraph" w:styleId="Listanumerowana5">
    <w:name w:val="List Number 5"/>
    <w:basedOn w:val="Normalny"/>
    <w:uiPriority w:val="99"/>
    <w:semiHidden/>
    <w:unhideWhenUsed/>
    <w:rsid w:val="00412466"/>
    <w:pPr>
      <w:numPr>
        <w:numId w:val="11"/>
      </w:numPr>
      <w:contextualSpacing/>
    </w:pPr>
  </w:style>
  <w:style w:type="paragraph" w:styleId="Listapunktowana">
    <w:name w:val="List Bullet"/>
    <w:basedOn w:val="Normalny"/>
    <w:uiPriority w:val="99"/>
    <w:semiHidden/>
    <w:unhideWhenUsed/>
    <w:rsid w:val="00412466"/>
    <w:pPr>
      <w:numPr>
        <w:numId w:val="12"/>
      </w:numPr>
      <w:contextualSpacing/>
    </w:pPr>
  </w:style>
  <w:style w:type="paragraph" w:styleId="Listapunktowana2">
    <w:name w:val="List Bullet 2"/>
    <w:basedOn w:val="Normalny"/>
    <w:uiPriority w:val="99"/>
    <w:semiHidden/>
    <w:unhideWhenUsed/>
    <w:rsid w:val="00412466"/>
    <w:pPr>
      <w:numPr>
        <w:numId w:val="13"/>
      </w:numPr>
      <w:contextualSpacing/>
    </w:pPr>
  </w:style>
  <w:style w:type="paragraph" w:styleId="Listapunktowana3">
    <w:name w:val="List Bullet 3"/>
    <w:basedOn w:val="Normalny"/>
    <w:uiPriority w:val="99"/>
    <w:semiHidden/>
    <w:unhideWhenUsed/>
    <w:rsid w:val="00412466"/>
    <w:pPr>
      <w:numPr>
        <w:numId w:val="14"/>
      </w:numPr>
      <w:contextualSpacing/>
    </w:pPr>
  </w:style>
  <w:style w:type="paragraph" w:styleId="Listapunktowana4">
    <w:name w:val="List Bullet 4"/>
    <w:basedOn w:val="Normalny"/>
    <w:uiPriority w:val="99"/>
    <w:semiHidden/>
    <w:unhideWhenUsed/>
    <w:rsid w:val="00412466"/>
    <w:pPr>
      <w:numPr>
        <w:numId w:val="15"/>
      </w:numPr>
      <w:contextualSpacing/>
    </w:pPr>
  </w:style>
  <w:style w:type="paragraph" w:styleId="Listapunktowana5">
    <w:name w:val="List Bullet 5"/>
    <w:basedOn w:val="Normalny"/>
    <w:uiPriority w:val="99"/>
    <w:semiHidden/>
    <w:unhideWhenUsed/>
    <w:rsid w:val="00412466"/>
    <w:pPr>
      <w:numPr>
        <w:numId w:val="16"/>
      </w:numPr>
      <w:contextualSpacing/>
    </w:pPr>
  </w:style>
  <w:style w:type="paragraph" w:styleId="Mapadokumentu">
    <w:name w:val="Document Map"/>
    <w:basedOn w:val="Normalny"/>
    <w:link w:val="MapadokumentuZnak"/>
    <w:uiPriority w:val="99"/>
    <w:semiHidden/>
    <w:unhideWhenUsed/>
    <w:rsid w:val="00412466"/>
    <w:pPr>
      <w:spacing w:before="0"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412466"/>
    <w:rPr>
      <w:rFonts w:ascii="Segoe UI" w:hAnsi="Segoe UI" w:cs="Segoe UI"/>
      <w:sz w:val="16"/>
      <w:szCs w:val="16"/>
    </w:rPr>
  </w:style>
  <w:style w:type="character" w:customStyle="1" w:styleId="Nagwek6Znak">
    <w:name w:val="Nagłówek 6 Znak"/>
    <w:basedOn w:val="Domylnaczcionkaakapitu"/>
    <w:link w:val="Nagwek6"/>
    <w:uiPriority w:val="9"/>
    <w:semiHidden/>
    <w:rsid w:val="00412466"/>
    <w:rPr>
      <w:rFonts w:asciiTheme="majorHAnsi" w:eastAsiaTheme="majorEastAsia" w:hAnsiTheme="majorHAnsi" w:cstheme="majorBidi"/>
      <w:color w:val="1F4D78" w:themeColor="accent1" w:themeShade="7F"/>
      <w:sz w:val="19"/>
    </w:rPr>
  </w:style>
  <w:style w:type="character" w:customStyle="1" w:styleId="Nagwek7Znak">
    <w:name w:val="Nagłówek 7 Znak"/>
    <w:basedOn w:val="Domylnaczcionkaakapitu"/>
    <w:link w:val="Nagwek7"/>
    <w:uiPriority w:val="9"/>
    <w:semiHidden/>
    <w:rsid w:val="00412466"/>
    <w:rPr>
      <w:rFonts w:asciiTheme="majorHAnsi" w:eastAsiaTheme="majorEastAsia" w:hAnsiTheme="majorHAnsi" w:cstheme="majorBidi"/>
      <w:i/>
      <w:iCs/>
      <w:color w:val="1F4D78" w:themeColor="accent1" w:themeShade="7F"/>
      <w:sz w:val="19"/>
    </w:rPr>
  </w:style>
  <w:style w:type="paragraph" w:styleId="Nagwekindeksu">
    <w:name w:val="index heading"/>
    <w:basedOn w:val="Normalny"/>
    <w:next w:val="Indeks1"/>
    <w:uiPriority w:val="99"/>
    <w:semiHidden/>
    <w:unhideWhenUsed/>
    <w:rsid w:val="00412466"/>
    <w:rPr>
      <w:rFonts w:asciiTheme="majorHAnsi" w:eastAsiaTheme="majorEastAsia" w:hAnsiTheme="majorHAnsi" w:cstheme="majorBidi"/>
      <w:b/>
      <w:bCs/>
    </w:rPr>
  </w:style>
  <w:style w:type="paragraph" w:styleId="Nagweknotatki">
    <w:name w:val="Note Heading"/>
    <w:basedOn w:val="Normalny"/>
    <w:next w:val="Normalny"/>
    <w:link w:val="NagweknotatkiZnak"/>
    <w:uiPriority w:val="99"/>
    <w:semiHidden/>
    <w:unhideWhenUsed/>
    <w:rsid w:val="00412466"/>
    <w:pPr>
      <w:spacing w:before="0" w:after="0" w:line="240" w:lineRule="auto"/>
    </w:pPr>
  </w:style>
  <w:style w:type="character" w:customStyle="1" w:styleId="NagweknotatkiZnak">
    <w:name w:val="Nagłówek notatki Znak"/>
    <w:basedOn w:val="Domylnaczcionkaakapitu"/>
    <w:link w:val="Nagweknotatki"/>
    <w:uiPriority w:val="99"/>
    <w:semiHidden/>
    <w:rsid w:val="00412466"/>
    <w:rPr>
      <w:rFonts w:ascii="Fira Sans" w:hAnsi="Fira Sans"/>
      <w:sz w:val="19"/>
    </w:rPr>
  </w:style>
  <w:style w:type="paragraph" w:styleId="Nagwekspisutreci">
    <w:name w:val="TOC Heading"/>
    <w:basedOn w:val="Nagwek1"/>
    <w:next w:val="Normalny"/>
    <w:uiPriority w:val="39"/>
    <w:semiHidden/>
    <w:unhideWhenUsed/>
    <w:qFormat/>
    <w:rsid w:val="00412466"/>
    <w:pPr>
      <w:keepLines/>
      <w:spacing w:before="240" w:after="0" w:line="240" w:lineRule="exact"/>
      <w:outlineLvl w:val="9"/>
    </w:pPr>
    <w:rPr>
      <w:rFonts w:asciiTheme="majorHAnsi" w:eastAsiaTheme="majorEastAsia" w:hAnsiTheme="majorHAnsi" w:cstheme="majorBidi"/>
      <w:bCs w:val="0"/>
      <w:color w:val="2E74B5" w:themeColor="accent1" w:themeShade="BF"/>
      <w:sz w:val="32"/>
      <w:szCs w:val="32"/>
      <w:lang w:eastAsia="en-US"/>
    </w:rPr>
  </w:style>
  <w:style w:type="paragraph" w:styleId="Nagwekwiadomoci">
    <w:name w:val="Message Header"/>
    <w:basedOn w:val="Normalny"/>
    <w:link w:val="NagwekwiadomociZnak"/>
    <w:uiPriority w:val="99"/>
    <w:semiHidden/>
    <w:unhideWhenUsed/>
    <w:rsid w:val="0041246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NagwekwiadomociZnak">
    <w:name w:val="Nagłówek wiadomości Znak"/>
    <w:basedOn w:val="Domylnaczcionkaakapitu"/>
    <w:link w:val="Nagwekwiadomoci"/>
    <w:uiPriority w:val="99"/>
    <w:semiHidden/>
    <w:rsid w:val="00412466"/>
    <w:rPr>
      <w:rFonts w:asciiTheme="majorHAnsi" w:eastAsiaTheme="majorEastAsia" w:hAnsiTheme="majorHAnsi" w:cstheme="majorBidi"/>
      <w:sz w:val="24"/>
      <w:szCs w:val="24"/>
      <w:shd w:val="pct20" w:color="auto" w:fill="auto"/>
    </w:rPr>
  </w:style>
  <w:style w:type="paragraph" w:styleId="Nagwekwykazurde">
    <w:name w:val="toa heading"/>
    <w:basedOn w:val="Normalny"/>
    <w:next w:val="Normalny"/>
    <w:uiPriority w:val="99"/>
    <w:semiHidden/>
    <w:unhideWhenUsed/>
    <w:rsid w:val="00412466"/>
    <w:rPr>
      <w:rFonts w:asciiTheme="majorHAnsi" w:eastAsiaTheme="majorEastAsia" w:hAnsiTheme="majorHAnsi" w:cstheme="majorBidi"/>
      <w:b/>
      <w:bCs/>
      <w:sz w:val="24"/>
      <w:szCs w:val="24"/>
    </w:rPr>
  </w:style>
  <w:style w:type="paragraph" w:styleId="NormalnyWeb">
    <w:name w:val="Normal (Web)"/>
    <w:basedOn w:val="Normalny"/>
    <w:uiPriority w:val="99"/>
    <w:semiHidden/>
    <w:unhideWhenUsed/>
    <w:rsid w:val="00412466"/>
    <w:rPr>
      <w:rFonts w:ascii="Times New Roman" w:hAnsi="Times New Roman" w:cs="Times New Roman"/>
      <w:sz w:val="24"/>
      <w:szCs w:val="24"/>
    </w:rPr>
  </w:style>
  <w:style w:type="paragraph" w:styleId="Podpis">
    <w:name w:val="Signature"/>
    <w:basedOn w:val="Normalny"/>
    <w:link w:val="PodpisZnak"/>
    <w:uiPriority w:val="99"/>
    <w:semiHidden/>
    <w:unhideWhenUsed/>
    <w:rsid w:val="00412466"/>
    <w:pPr>
      <w:spacing w:before="0" w:after="0" w:line="240" w:lineRule="auto"/>
      <w:ind w:left="4252"/>
    </w:pPr>
  </w:style>
  <w:style w:type="character" w:customStyle="1" w:styleId="PodpisZnak">
    <w:name w:val="Podpis Znak"/>
    <w:basedOn w:val="Domylnaczcionkaakapitu"/>
    <w:link w:val="Podpis"/>
    <w:uiPriority w:val="99"/>
    <w:semiHidden/>
    <w:rsid w:val="00412466"/>
    <w:rPr>
      <w:rFonts w:ascii="Fira Sans" w:hAnsi="Fira Sans"/>
      <w:sz w:val="19"/>
    </w:rPr>
  </w:style>
  <w:style w:type="paragraph" w:styleId="Podpise-mail">
    <w:name w:val="E-mail Signature"/>
    <w:basedOn w:val="Normalny"/>
    <w:link w:val="Podpise-mailZnak"/>
    <w:uiPriority w:val="99"/>
    <w:semiHidden/>
    <w:unhideWhenUsed/>
    <w:rsid w:val="00412466"/>
    <w:pPr>
      <w:spacing w:before="0" w:after="0" w:line="240" w:lineRule="auto"/>
    </w:pPr>
  </w:style>
  <w:style w:type="character" w:customStyle="1" w:styleId="Podpise-mailZnak">
    <w:name w:val="Podpis e-mail Znak"/>
    <w:basedOn w:val="Domylnaczcionkaakapitu"/>
    <w:link w:val="Podpise-mail"/>
    <w:uiPriority w:val="99"/>
    <w:semiHidden/>
    <w:rsid w:val="00412466"/>
    <w:rPr>
      <w:rFonts w:ascii="Fira Sans" w:hAnsi="Fira Sans"/>
      <w:sz w:val="19"/>
    </w:rPr>
  </w:style>
  <w:style w:type="paragraph" w:styleId="Podtytu">
    <w:name w:val="Subtitle"/>
    <w:basedOn w:val="Normalny"/>
    <w:next w:val="Normalny"/>
    <w:link w:val="PodtytuZnak"/>
    <w:uiPriority w:val="11"/>
    <w:qFormat/>
    <w:rsid w:val="00412466"/>
    <w:pPr>
      <w:numPr>
        <w:ilvl w:val="1"/>
      </w:numPr>
      <w:spacing w:after="160"/>
    </w:pPr>
    <w:rPr>
      <w:rFonts w:asciiTheme="minorHAnsi" w:eastAsiaTheme="minorEastAsia" w:hAnsiTheme="minorHAnsi"/>
      <w:color w:val="5A5A5A" w:themeColor="text1" w:themeTint="A5"/>
      <w:spacing w:val="15"/>
      <w:sz w:val="22"/>
    </w:rPr>
  </w:style>
  <w:style w:type="character" w:customStyle="1" w:styleId="PodtytuZnak">
    <w:name w:val="Podtytuł Znak"/>
    <w:basedOn w:val="Domylnaczcionkaakapitu"/>
    <w:link w:val="Podtytu"/>
    <w:uiPriority w:val="11"/>
    <w:rsid w:val="00412466"/>
    <w:rPr>
      <w:rFonts w:eastAsiaTheme="minorEastAsia"/>
      <w:color w:val="5A5A5A" w:themeColor="text1" w:themeTint="A5"/>
      <w:spacing w:val="15"/>
    </w:rPr>
  </w:style>
  <w:style w:type="paragraph" w:styleId="Spisilustracji">
    <w:name w:val="table of figures"/>
    <w:basedOn w:val="Normalny"/>
    <w:next w:val="Normalny"/>
    <w:uiPriority w:val="99"/>
    <w:semiHidden/>
    <w:unhideWhenUsed/>
    <w:rsid w:val="00412466"/>
    <w:pPr>
      <w:spacing w:after="0"/>
    </w:pPr>
  </w:style>
  <w:style w:type="paragraph" w:styleId="Spistreci1">
    <w:name w:val="toc 1"/>
    <w:basedOn w:val="Normalny"/>
    <w:next w:val="Normalny"/>
    <w:autoRedefine/>
    <w:uiPriority w:val="39"/>
    <w:semiHidden/>
    <w:unhideWhenUsed/>
    <w:rsid w:val="00412466"/>
    <w:pPr>
      <w:spacing w:after="100"/>
    </w:pPr>
  </w:style>
  <w:style w:type="paragraph" w:styleId="Spistreci2">
    <w:name w:val="toc 2"/>
    <w:basedOn w:val="Normalny"/>
    <w:next w:val="Normalny"/>
    <w:autoRedefine/>
    <w:uiPriority w:val="39"/>
    <w:semiHidden/>
    <w:unhideWhenUsed/>
    <w:rsid w:val="00412466"/>
    <w:pPr>
      <w:spacing w:after="100"/>
      <w:ind w:left="190"/>
    </w:pPr>
  </w:style>
  <w:style w:type="paragraph" w:styleId="Spistreci3">
    <w:name w:val="toc 3"/>
    <w:basedOn w:val="Normalny"/>
    <w:next w:val="Normalny"/>
    <w:autoRedefine/>
    <w:uiPriority w:val="39"/>
    <w:semiHidden/>
    <w:unhideWhenUsed/>
    <w:rsid w:val="00412466"/>
    <w:pPr>
      <w:spacing w:after="100"/>
      <w:ind w:left="380"/>
    </w:pPr>
  </w:style>
  <w:style w:type="paragraph" w:styleId="Spistreci4">
    <w:name w:val="toc 4"/>
    <w:basedOn w:val="Normalny"/>
    <w:next w:val="Normalny"/>
    <w:autoRedefine/>
    <w:uiPriority w:val="39"/>
    <w:semiHidden/>
    <w:unhideWhenUsed/>
    <w:rsid w:val="00412466"/>
    <w:pPr>
      <w:spacing w:after="100"/>
      <w:ind w:left="570"/>
    </w:pPr>
  </w:style>
  <w:style w:type="paragraph" w:styleId="Spistreci5">
    <w:name w:val="toc 5"/>
    <w:basedOn w:val="Normalny"/>
    <w:next w:val="Normalny"/>
    <w:autoRedefine/>
    <w:uiPriority w:val="39"/>
    <w:semiHidden/>
    <w:unhideWhenUsed/>
    <w:rsid w:val="00412466"/>
    <w:pPr>
      <w:spacing w:after="100"/>
      <w:ind w:left="760"/>
    </w:pPr>
  </w:style>
  <w:style w:type="paragraph" w:styleId="Spistreci6">
    <w:name w:val="toc 6"/>
    <w:basedOn w:val="Normalny"/>
    <w:next w:val="Normalny"/>
    <w:autoRedefine/>
    <w:uiPriority w:val="39"/>
    <w:semiHidden/>
    <w:unhideWhenUsed/>
    <w:rsid w:val="00412466"/>
    <w:pPr>
      <w:spacing w:after="100"/>
      <w:ind w:left="950"/>
    </w:pPr>
  </w:style>
  <w:style w:type="paragraph" w:styleId="Spistreci7">
    <w:name w:val="toc 7"/>
    <w:basedOn w:val="Normalny"/>
    <w:next w:val="Normalny"/>
    <w:autoRedefine/>
    <w:uiPriority w:val="39"/>
    <w:semiHidden/>
    <w:unhideWhenUsed/>
    <w:rsid w:val="00412466"/>
    <w:pPr>
      <w:spacing w:after="100"/>
      <w:ind w:left="1140"/>
    </w:pPr>
  </w:style>
  <w:style w:type="paragraph" w:styleId="Spistreci8">
    <w:name w:val="toc 8"/>
    <w:basedOn w:val="Normalny"/>
    <w:next w:val="Normalny"/>
    <w:autoRedefine/>
    <w:uiPriority w:val="39"/>
    <w:semiHidden/>
    <w:unhideWhenUsed/>
    <w:rsid w:val="00412466"/>
    <w:pPr>
      <w:spacing w:after="100"/>
      <w:ind w:left="1330"/>
    </w:pPr>
  </w:style>
  <w:style w:type="paragraph" w:styleId="Spistreci9">
    <w:name w:val="toc 9"/>
    <w:basedOn w:val="Normalny"/>
    <w:next w:val="Normalny"/>
    <w:autoRedefine/>
    <w:uiPriority w:val="39"/>
    <w:semiHidden/>
    <w:unhideWhenUsed/>
    <w:rsid w:val="00412466"/>
    <w:pPr>
      <w:spacing w:after="100"/>
      <w:ind w:left="1520"/>
    </w:pPr>
  </w:style>
  <w:style w:type="paragraph" w:styleId="Tekstblokowy">
    <w:name w:val="Block Text"/>
    <w:basedOn w:val="Normalny"/>
    <w:uiPriority w:val="99"/>
    <w:semiHidden/>
    <w:unhideWhenUsed/>
    <w:rsid w:val="0041246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Tekstmakra">
    <w:name w:val="macro"/>
    <w:link w:val="TekstmakraZnak"/>
    <w:uiPriority w:val="99"/>
    <w:semiHidden/>
    <w:unhideWhenUsed/>
    <w:rsid w:val="00412466"/>
    <w:pPr>
      <w:tabs>
        <w:tab w:val="left" w:pos="480"/>
        <w:tab w:val="left" w:pos="960"/>
        <w:tab w:val="left" w:pos="1440"/>
        <w:tab w:val="left" w:pos="1920"/>
        <w:tab w:val="left" w:pos="2400"/>
        <w:tab w:val="left" w:pos="2880"/>
        <w:tab w:val="left" w:pos="3360"/>
        <w:tab w:val="left" w:pos="3840"/>
        <w:tab w:val="left" w:pos="4320"/>
      </w:tabs>
      <w:spacing w:before="120" w:after="0" w:line="240" w:lineRule="exact"/>
    </w:pPr>
    <w:rPr>
      <w:rFonts w:ascii="Consolas" w:hAnsi="Consolas"/>
      <w:sz w:val="20"/>
      <w:szCs w:val="20"/>
    </w:rPr>
  </w:style>
  <w:style w:type="character" w:customStyle="1" w:styleId="TekstmakraZnak">
    <w:name w:val="Tekst makra Znak"/>
    <w:basedOn w:val="Domylnaczcionkaakapitu"/>
    <w:link w:val="Tekstmakra"/>
    <w:uiPriority w:val="99"/>
    <w:semiHidden/>
    <w:rsid w:val="00412466"/>
    <w:rPr>
      <w:rFonts w:ascii="Consolas" w:hAnsi="Consolas"/>
      <w:sz w:val="20"/>
      <w:szCs w:val="20"/>
    </w:rPr>
  </w:style>
  <w:style w:type="paragraph" w:styleId="Tekstpodstawowy2">
    <w:name w:val="Body Text 2"/>
    <w:basedOn w:val="Normalny"/>
    <w:link w:val="Tekstpodstawowy2Znak"/>
    <w:uiPriority w:val="99"/>
    <w:semiHidden/>
    <w:unhideWhenUsed/>
    <w:rsid w:val="00412466"/>
    <w:pPr>
      <w:spacing w:line="480" w:lineRule="auto"/>
    </w:pPr>
  </w:style>
  <w:style w:type="character" w:customStyle="1" w:styleId="Tekstpodstawowy2Znak">
    <w:name w:val="Tekst podstawowy 2 Znak"/>
    <w:basedOn w:val="Domylnaczcionkaakapitu"/>
    <w:link w:val="Tekstpodstawowy2"/>
    <w:uiPriority w:val="99"/>
    <w:semiHidden/>
    <w:rsid w:val="00412466"/>
    <w:rPr>
      <w:rFonts w:ascii="Fira Sans" w:hAnsi="Fira Sans"/>
      <w:sz w:val="19"/>
    </w:rPr>
  </w:style>
  <w:style w:type="paragraph" w:styleId="Tekstpodstawowy3">
    <w:name w:val="Body Text 3"/>
    <w:basedOn w:val="Normalny"/>
    <w:link w:val="Tekstpodstawowy3Znak"/>
    <w:uiPriority w:val="99"/>
    <w:semiHidden/>
    <w:unhideWhenUsed/>
    <w:rsid w:val="00412466"/>
    <w:rPr>
      <w:sz w:val="16"/>
      <w:szCs w:val="16"/>
    </w:rPr>
  </w:style>
  <w:style w:type="character" w:customStyle="1" w:styleId="Tekstpodstawowy3Znak">
    <w:name w:val="Tekst podstawowy 3 Znak"/>
    <w:basedOn w:val="Domylnaczcionkaakapitu"/>
    <w:link w:val="Tekstpodstawowy3"/>
    <w:uiPriority w:val="99"/>
    <w:semiHidden/>
    <w:rsid w:val="00412466"/>
    <w:rPr>
      <w:rFonts w:ascii="Fira Sans" w:hAnsi="Fira Sans"/>
      <w:sz w:val="16"/>
      <w:szCs w:val="16"/>
    </w:rPr>
  </w:style>
  <w:style w:type="paragraph" w:styleId="Tekstpodstawowywcity">
    <w:name w:val="Body Text Indent"/>
    <w:basedOn w:val="Normalny"/>
    <w:link w:val="TekstpodstawowywcityZnak"/>
    <w:uiPriority w:val="99"/>
    <w:semiHidden/>
    <w:unhideWhenUsed/>
    <w:rsid w:val="00412466"/>
    <w:pPr>
      <w:ind w:left="283"/>
    </w:pPr>
  </w:style>
  <w:style w:type="character" w:customStyle="1" w:styleId="TekstpodstawowywcityZnak">
    <w:name w:val="Tekst podstawowy wcięty Znak"/>
    <w:basedOn w:val="Domylnaczcionkaakapitu"/>
    <w:link w:val="Tekstpodstawowywcity"/>
    <w:uiPriority w:val="99"/>
    <w:semiHidden/>
    <w:rsid w:val="00412466"/>
    <w:rPr>
      <w:rFonts w:ascii="Fira Sans" w:hAnsi="Fira Sans"/>
      <w:sz w:val="19"/>
    </w:rPr>
  </w:style>
  <w:style w:type="paragraph" w:styleId="Tekstpodstawowywcity2">
    <w:name w:val="Body Text Indent 2"/>
    <w:basedOn w:val="Normalny"/>
    <w:link w:val="Tekstpodstawowywcity2Znak"/>
    <w:uiPriority w:val="99"/>
    <w:semiHidden/>
    <w:unhideWhenUsed/>
    <w:rsid w:val="00412466"/>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412466"/>
    <w:rPr>
      <w:rFonts w:ascii="Fira Sans" w:hAnsi="Fira Sans"/>
      <w:sz w:val="19"/>
    </w:rPr>
  </w:style>
  <w:style w:type="paragraph" w:styleId="Tekstpodstawowywcity3">
    <w:name w:val="Body Text Indent 3"/>
    <w:basedOn w:val="Normalny"/>
    <w:link w:val="Tekstpodstawowywcity3Znak"/>
    <w:uiPriority w:val="99"/>
    <w:semiHidden/>
    <w:unhideWhenUsed/>
    <w:rsid w:val="00412466"/>
    <w:pPr>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12466"/>
    <w:rPr>
      <w:rFonts w:ascii="Fira Sans" w:hAnsi="Fira Sans"/>
      <w:sz w:val="16"/>
      <w:szCs w:val="16"/>
    </w:rPr>
  </w:style>
  <w:style w:type="paragraph" w:styleId="Tekstpodstawowyzwciciem">
    <w:name w:val="Body Text First Indent"/>
    <w:basedOn w:val="Tekstpodstawowy"/>
    <w:link w:val="TekstpodstawowyzwciciemZnak"/>
    <w:uiPriority w:val="99"/>
    <w:semiHidden/>
    <w:unhideWhenUsed/>
    <w:rsid w:val="00412466"/>
    <w:pPr>
      <w:widowControl/>
      <w:autoSpaceDE/>
      <w:autoSpaceDN/>
      <w:adjustRightInd/>
      <w:spacing w:before="120" w:after="120" w:line="240" w:lineRule="exact"/>
      <w:ind w:left="0" w:firstLine="360"/>
    </w:pPr>
    <w:rPr>
      <w:rFonts w:eastAsiaTheme="minorHAnsi" w:cstheme="minorBidi"/>
      <w:szCs w:val="22"/>
      <w:lang w:eastAsia="en-US"/>
    </w:rPr>
  </w:style>
  <w:style w:type="character" w:customStyle="1" w:styleId="TekstpodstawowyzwciciemZnak">
    <w:name w:val="Tekst podstawowy z wcięciem Znak"/>
    <w:basedOn w:val="TekstpodstawowyZnak"/>
    <w:link w:val="Tekstpodstawowyzwciciem"/>
    <w:uiPriority w:val="99"/>
    <w:semiHidden/>
    <w:rsid w:val="00412466"/>
    <w:rPr>
      <w:rFonts w:ascii="Fira Sans" w:eastAsia="Times New Roman" w:hAnsi="Fira Sans" w:cs="Fira Sans"/>
      <w:sz w:val="19"/>
      <w:szCs w:val="19"/>
      <w:lang w:eastAsia="pl-PL"/>
    </w:rPr>
  </w:style>
  <w:style w:type="paragraph" w:styleId="Tekstpodstawowyzwciciem2">
    <w:name w:val="Body Text First Indent 2"/>
    <w:basedOn w:val="Tekstpodstawowywcity"/>
    <w:link w:val="Tekstpodstawowyzwciciem2Znak"/>
    <w:uiPriority w:val="99"/>
    <w:semiHidden/>
    <w:unhideWhenUsed/>
    <w:rsid w:val="00412466"/>
    <w:pPr>
      <w:ind w:left="360" w:firstLine="360"/>
    </w:pPr>
  </w:style>
  <w:style w:type="character" w:customStyle="1" w:styleId="Tekstpodstawowyzwciciem2Znak">
    <w:name w:val="Tekst podstawowy z wcięciem 2 Znak"/>
    <w:basedOn w:val="TekstpodstawowywcityZnak"/>
    <w:link w:val="Tekstpodstawowyzwciciem2"/>
    <w:uiPriority w:val="99"/>
    <w:semiHidden/>
    <w:rsid w:val="00412466"/>
    <w:rPr>
      <w:rFonts w:ascii="Fira Sans" w:hAnsi="Fira Sans"/>
      <w:sz w:val="19"/>
    </w:rPr>
  </w:style>
  <w:style w:type="paragraph" w:styleId="Tekstprzypisukocowego">
    <w:name w:val="endnote text"/>
    <w:basedOn w:val="Normalny"/>
    <w:link w:val="TekstprzypisukocowegoZnak"/>
    <w:uiPriority w:val="99"/>
    <w:semiHidden/>
    <w:unhideWhenUsed/>
    <w:rsid w:val="00412466"/>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12466"/>
    <w:rPr>
      <w:rFonts w:ascii="Fira Sans" w:hAnsi="Fira Sans"/>
      <w:sz w:val="20"/>
      <w:szCs w:val="20"/>
    </w:rPr>
  </w:style>
  <w:style w:type="paragraph" w:styleId="Tytu">
    <w:name w:val="Title"/>
    <w:basedOn w:val="Normalny"/>
    <w:next w:val="Normalny"/>
    <w:link w:val="TytuZnak"/>
    <w:uiPriority w:val="10"/>
    <w:qFormat/>
    <w:rsid w:val="0041246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12466"/>
    <w:rPr>
      <w:rFonts w:asciiTheme="majorHAnsi" w:eastAsiaTheme="majorEastAsia" w:hAnsiTheme="majorHAnsi" w:cstheme="majorBidi"/>
      <w:spacing w:val="-10"/>
      <w:kern w:val="28"/>
      <w:sz w:val="56"/>
      <w:szCs w:val="56"/>
    </w:rPr>
  </w:style>
  <w:style w:type="paragraph" w:styleId="Wcicienormalne">
    <w:name w:val="Normal Indent"/>
    <w:basedOn w:val="Normalny"/>
    <w:uiPriority w:val="99"/>
    <w:semiHidden/>
    <w:unhideWhenUsed/>
    <w:rsid w:val="00412466"/>
    <w:pPr>
      <w:ind w:left="708"/>
    </w:pPr>
  </w:style>
  <w:style w:type="paragraph" w:styleId="Wykazrde">
    <w:name w:val="table of authorities"/>
    <w:basedOn w:val="Normalny"/>
    <w:next w:val="Normalny"/>
    <w:uiPriority w:val="99"/>
    <w:semiHidden/>
    <w:unhideWhenUsed/>
    <w:rsid w:val="00412466"/>
    <w:pPr>
      <w:spacing w:after="0"/>
      <w:ind w:left="190" w:hanging="190"/>
    </w:pPr>
  </w:style>
  <w:style w:type="paragraph" w:styleId="Zwrotgrzecznociowy">
    <w:name w:val="Salutation"/>
    <w:basedOn w:val="Normalny"/>
    <w:next w:val="Normalny"/>
    <w:link w:val="ZwrotgrzecznociowyZnak"/>
    <w:uiPriority w:val="99"/>
    <w:semiHidden/>
    <w:unhideWhenUsed/>
    <w:rsid w:val="00412466"/>
  </w:style>
  <w:style w:type="character" w:customStyle="1" w:styleId="ZwrotgrzecznociowyZnak">
    <w:name w:val="Zwrot grzecznościowy Znak"/>
    <w:basedOn w:val="Domylnaczcionkaakapitu"/>
    <w:link w:val="Zwrotgrzecznociowy"/>
    <w:uiPriority w:val="99"/>
    <w:semiHidden/>
    <w:rsid w:val="00412466"/>
    <w:rPr>
      <w:rFonts w:ascii="Fira Sans" w:hAnsi="Fira Sans"/>
      <w:sz w:val="19"/>
    </w:rPr>
  </w:style>
  <w:style w:type="paragraph" w:styleId="Zwrotpoegnalny">
    <w:name w:val="Closing"/>
    <w:basedOn w:val="Normalny"/>
    <w:link w:val="ZwrotpoegnalnyZnak"/>
    <w:uiPriority w:val="99"/>
    <w:semiHidden/>
    <w:unhideWhenUsed/>
    <w:rsid w:val="00412466"/>
    <w:pPr>
      <w:spacing w:before="0" w:after="0" w:line="240" w:lineRule="auto"/>
      <w:ind w:left="4252"/>
    </w:pPr>
  </w:style>
  <w:style w:type="character" w:customStyle="1" w:styleId="ZwrotpoegnalnyZnak">
    <w:name w:val="Zwrot pożegnalny Znak"/>
    <w:basedOn w:val="Domylnaczcionkaakapitu"/>
    <w:link w:val="Zwrotpoegnalny"/>
    <w:uiPriority w:val="99"/>
    <w:semiHidden/>
    <w:rsid w:val="00412466"/>
    <w:rPr>
      <w:rFonts w:ascii="Fira Sans" w:hAnsi="Fira Sans"/>
      <w:sz w:val="19"/>
    </w:rPr>
  </w:style>
  <w:style w:type="paragraph" w:styleId="Zwykytekst">
    <w:name w:val="Plain Text"/>
    <w:basedOn w:val="Normalny"/>
    <w:link w:val="ZwykytekstZnak"/>
    <w:uiPriority w:val="99"/>
    <w:semiHidden/>
    <w:unhideWhenUsed/>
    <w:rsid w:val="00412466"/>
    <w:pPr>
      <w:spacing w:before="0"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41246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8331228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80847465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13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mailto:obslugaprasowa@stat.gov.pl" TargetMode="External"/><Relationship Id="rId26" Type="http://schemas.openxmlformats.org/officeDocument/2006/relationships/hyperlink" Target="https://stat.gov.pl/en/topics/culture-tourism-sport/culture/cultural-and-creative-industries-in-2020,14,4.html" TargetMode="External"/><Relationship Id="rId39" Type="http://schemas.openxmlformats.org/officeDocument/2006/relationships/footer" Target="footer3.xml"/><Relationship Id="rId21" Type="http://schemas.openxmlformats.org/officeDocument/2006/relationships/image" Target="media/image9.png"/><Relationship Id="rId34" Type="http://schemas.openxmlformats.org/officeDocument/2006/relationships/hyperlink" Target="https://stat.gov.pl/en/metainformation/glossary/terms-used-in-official-statistics/449,term.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hyperlink" Target="https://stat.gov.pl/en/metainformation/glossary/terms-used-in-official-statistics/3775,term.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hyperlink" Target="https://stat.gov.pl/en/metainformation/glossary/terms-used-in-official-statistics/376,term.html" TargetMode="External"/><Relationship Id="rId37" Type="http://schemas.openxmlformats.org/officeDocument/2006/relationships/hyperlink" Target="https://stat.gov.pl/en/metainformation/glossary/terms-used-in-official-statistics/3390,term.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hyperlink" Target="https://stat.gov.pl/en/metainformation/glossary/terms-used-in-official-statistics/3774,term.html" TargetMode="External"/><Relationship Id="rId36" Type="http://schemas.openxmlformats.org/officeDocument/2006/relationships/hyperlink" Target="https://stat.gov.pl/en/metainformation/glossary/terms-used-in-official-statistics/583,term.html"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stat.gov.pl/en/metainformation/glossary/terms-used-in-official-statistics/693,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hyperlink" Target="https://stat.gov.pl/en/topics/culture-tourism-sport/culture/culture-and-national-heritage-in-2021,1,14.html" TargetMode="External"/><Relationship Id="rId30" Type="http://schemas.openxmlformats.org/officeDocument/2006/relationships/hyperlink" Target="https://stat.gov.pl/en/metainformation/glossary/terms-used-in-official-statistics/158,term.html" TargetMode="External"/><Relationship Id="rId35" Type="http://schemas.openxmlformats.org/officeDocument/2006/relationships/hyperlink" Target="https://stat.gov.pl/en/metainformation/glossary/terms-used-in-official-statistics/3806,term.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yperlink" Target="https://stat.gov.pl/en/topics/culture-tourism-sport/culture/cultural-and-creative-industries-2014-2016,12,1.html" TargetMode="External"/><Relationship Id="rId33" Type="http://schemas.openxmlformats.org/officeDocument/2006/relationships/hyperlink" Target="https://stat.gov.pl/en/metainformation/glossary/terms-used-in-official-statistics/395,term.html"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1. Wyniki finansowe instytucji kultury w okresie styczeń–wrzesień 2022 r.docx.docx</NazwaPliku>
    <Osoba xmlns="AD3641B4-23D9-4536-AF9E-7D0EADDEB824">STAT\piwowarczykm</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77B78-E118-4B87-A243-489012129A67}">
  <ds:schemaRefs>
    <ds:schemaRef ds:uri="http://schemas.microsoft.com/office/2006/metadata/properties"/>
    <ds:schemaRef ds:uri="http://purl.org/dc/dcmitype/"/>
    <ds:schemaRef ds:uri="http://schemas.microsoft.com/office/2006/documentManagement/types"/>
    <ds:schemaRef ds:uri="http://purl.org/dc/elements/1.1/"/>
    <ds:schemaRef ds:uri="http://schemas.microsoft.com/sharepoint/v3"/>
    <ds:schemaRef ds:uri="http://schemas.openxmlformats.org/package/2006/metadata/core-properties"/>
    <ds:schemaRef ds:uri="http://purl.org/dc/terms/"/>
    <ds:schemaRef ds:uri="AD3641B4-23D9-4536-AF9E-7D0EADDEB824"/>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AD3860D-A843-4C34-8D15-97ADF51FF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E716D-843A-41BB-931A-CCDC415DC0E6}">
  <ds:schemaRefs>
    <ds:schemaRef ds:uri="http://www.w3.org/2001/XMLSchema"/>
    <ds:schemaRef ds:uri="http://www.zhaw.ch/AccessibilityAddIn"/>
  </ds:schemaRefs>
</ds:datastoreItem>
</file>

<file path=customXml/itemProps4.xml><?xml version="1.0" encoding="utf-8"?>
<ds:datastoreItem xmlns:ds="http://schemas.openxmlformats.org/officeDocument/2006/customXml" ds:itemID="{8BF5C0B7-C7B1-4DFD-9F69-B001D8FD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2368</Words>
  <Characters>12953</Characters>
  <Application>Microsoft Office Word</Application>
  <DocSecurity>0</DocSecurity>
  <Lines>332</Lines>
  <Paragraphs>193</Paragraphs>
  <ScaleCrop>false</ScaleCrop>
  <HeadingPairs>
    <vt:vector size="2" baseType="variant">
      <vt:variant>
        <vt:lpstr>Tytuł</vt:lpstr>
      </vt:variant>
      <vt:variant>
        <vt:i4>1</vt:i4>
      </vt:variant>
    </vt:vector>
  </HeadingPairs>
  <TitlesOfParts>
    <vt:vector size="1" baseType="lpstr">
      <vt:lpstr>Cultural and creative industries in 2021</vt:lpstr>
    </vt:vector>
  </TitlesOfParts>
  <Company>Główny Urząd Statystyczny</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and creative industries in 2021</dc:title>
  <dc:subject>Wyniki finansowe instytucji kultury</dc:subject>
  <cp:keywords>Cultural and creative industries</cp:keywords>
  <dc:description/>
  <cp:lastPrinted>2023-03-27T08:34:00Z</cp:lastPrinted>
  <dcterms:created xsi:type="dcterms:W3CDTF">2023-03-27T08:26:00Z</dcterms:created>
  <dcterms:modified xsi:type="dcterms:W3CDTF">2023-03-27T10:01:00Z</dcterms:modified>
  <cp:category>Kultura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