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2EFD3662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1A5825">
        <w:rPr>
          <w:szCs w:val="32"/>
          <w:lang w:val="en-GB"/>
        </w:rPr>
        <w:t>May</w:t>
      </w:r>
      <w:r w:rsidR="00D860E0">
        <w:rPr>
          <w:szCs w:val="32"/>
          <w:lang w:val="en-GB"/>
        </w:rPr>
        <w:t xml:space="preserve"> </w:t>
      </w:r>
      <w:r w:rsidR="00C5234B">
        <w:rPr>
          <w:szCs w:val="32"/>
          <w:shd w:val="clear" w:color="auto" w:fill="FFFFFF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24F2145C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11F02E36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2.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6D17B1" w:rsidP="00A4625F" w:rsidRDefault="006D17B1" w14:paraId="0C77FD05" w14:textId="59163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5217C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102.5</w:t>
                            </w:r>
                          </w:p>
                          <w:p w:rsidRPr="00A4625F" w:rsidR="006D17B1" w:rsidP="00941380" w:rsidRDefault="006D17B1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102.5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DkERHEUQIAAF0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6D17B1" w:rsidP="00A4625F" w:rsidRDefault="006D17B1" w14:paraId="0C77FD05" w14:textId="59163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F5217C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102.5</w:t>
                      </w:r>
                    </w:p>
                    <w:p w:rsidRPr="00A4625F" w:rsidR="006D17B1" w:rsidP="00941380" w:rsidRDefault="006D17B1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="00D27B18">
        <w:rPr>
          <w:lang w:val="en-GB"/>
        </w:rPr>
        <w:t>f</w:t>
      </w:r>
      <w:r w:rsidR="00AD3A95">
        <w:rPr>
          <w:lang w:val="en-GB"/>
        </w:rPr>
        <w:t>ive</w:t>
      </w:r>
      <w:r w:rsidR="00D27B18">
        <w:rPr>
          <w:lang w:val="en-GB"/>
        </w:rPr>
        <w:t xml:space="preserve"> months</w:t>
      </w:r>
      <w:r w:rsidR="00F5217C">
        <w:rPr>
          <w:lang w:val="en-GB"/>
        </w:rPr>
        <w:t xml:space="preserve"> </w:t>
      </w:r>
      <w:r w:rsidR="00C5234B">
        <w:rPr>
          <w:lang w:val="en-GB"/>
        </w:rPr>
        <w:t>of 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F5217C">
        <w:rPr>
          <w:lang w:val="en-GB"/>
        </w:rPr>
        <w:t>more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F5217C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F9AD474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4.5% and 43.9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6D17B1" w:rsidP="00B93B71" w:rsidRDefault="006D17B1" w14:paraId="55217834" w14:textId="14352315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respectively: 54</w:t>
                            </w:r>
                            <w:r w:rsidRPr="006D53F2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5% and 43.9%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54.5% and 43.9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">
                <v:textbox>
                  <w:txbxContent>
                    <w:p w:rsidRPr="00AD1492" w:rsidR="006D17B1" w:rsidP="00B93B71" w:rsidRDefault="006D17B1" w14:paraId="55217834" w14:textId="14352315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respectively: 54</w:t>
                      </w:r>
                      <w:r w:rsidRPr="006D53F2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5% and 43.9%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59E4318E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93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Pr="0080490A" w:rsidR="004E1FC1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Pr="0080490A" w:rsidR="004862A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331E59">
        <w:rPr>
          <w:rFonts w:eastAsia="Times New Roman" w:cs="Times New Roman"/>
          <w:spacing w:val="-2"/>
          <w:szCs w:val="19"/>
          <w:lang w:val="en-GB" w:eastAsia="pl-PL"/>
        </w:rPr>
        <w:t>January</w:t>
      </w:r>
      <w:r w:rsidR="000D396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331E59">
        <w:rPr>
          <w:rFonts w:eastAsia="Times New Roman" w:cs="Times New Roman"/>
          <w:spacing w:val="-2"/>
          <w:szCs w:val="19"/>
          <w:lang w:val="en-GB" w:eastAsia="pl-PL"/>
        </w:rPr>
        <w:t>-</w:t>
      </w:r>
      <w:r w:rsidR="000D396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May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C01040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51</w:t>
      </w:r>
      <w:r w:rsidRPr="0080490A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41</w:t>
      </w:r>
      <w:r w:rsidRPr="0080490A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.6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80490A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1.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39CE071B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80490A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E1BF2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9A4851" w:rsidRDefault="00EB12F3" w14:paraId="42912E84" w14:textId="4591B5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Pr="00AC2DB9" w:rsidR="00944940">
              <w:rPr>
                <w:color w:val="000000" w:themeColor="text1"/>
                <w:sz w:val="16"/>
                <w:szCs w:val="16"/>
              </w:rPr>
              <w:t>5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9A4851" w:rsidRDefault="00944940" w14:paraId="56B25EFC" w14:textId="44E1A90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01-05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AC2DB9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EB12F3" w14:paraId="0C716BDB" w14:textId="06450AA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944940">
              <w:rPr>
                <w:color w:val="000000" w:themeColor="text1"/>
                <w:sz w:val="16"/>
                <w:szCs w:val="16"/>
              </w:rPr>
              <w:t>5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944940" w:rsidR="009A4851" w:rsidP="009A4851" w:rsidRDefault="00EB12F3" w14:paraId="76436707" w14:textId="1CD6218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Pr="00AC2DB9" w:rsidR="00944940">
              <w:rPr>
                <w:color w:val="000000" w:themeColor="text1"/>
                <w:sz w:val="16"/>
                <w:szCs w:val="16"/>
              </w:rPr>
              <w:t>4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94494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9A4851" w:rsidRDefault="00EB12F3" w14:paraId="7C5048B7" w14:textId="48341E5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Pr="00AC2DB9" w:rsidR="00944940">
              <w:rPr>
                <w:color w:val="000000" w:themeColor="text1"/>
                <w:sz w:val="16"/>
                <w:szCs w:val="16"/>
              </w:rPr>
              <w:t>5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F5217C" w:rsidTr="0059068B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</w:tcBorders>
            <w:vAlign w:val="center"/>
          </w:tcPr>
          <w:p w:rsidRPr="00D860E0" w:rsidR="00F5217C" w:rsidP="00F5217C" w:rsidRDefault="00F5217C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652E3E" w:rsidR="00F5217C" w:rsidP="006E1BF2" w:rsidRDefault="006E1BF2" w14:paraId="74ED01BD" w14:textId="6C5082D2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17</w:t>
            </w:r>
            <w:r w:rsidR="001A0B1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27B18" w:rsidR="00D27B18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652E3E" w:rsidR="00F5217C" w:rsidP="006E1BF2" w:rsidRDefault="006E1BF2" w14:paraId="4368A5D2" w14:textId="0A8D494F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97</w:t>
            </w:r>
            <w:r w:rsidR="00C01040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AC083C" w:rsidR="00F5217C" w:rsidP="003C732A" w:rsidRDefault="003C732A" w14:paraId="20AE545D" w14:textId="138C5A2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85</w:t>
            </w:r>
            <w:r w:rsidR="0056421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652E3E" w:rsidR="00F5217C" w:rsidP="003C732A" w:rsidRDefault="003C732A" w14:paraId="5AE73CEA" w14:textId="37FBF8B8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</w:t>
            </w:r>
            <w:r w:rsidR="001A0B18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200" w:type="dxa"/>
            <w:tcBorders>
              <w:top w:val="single" w:color="212492" w:sz="12" w:space="0"/>
              <w:right w:val="nil"/>
            </w:tcBorders>
            <w:vAlign w:val="center"/>
          </w:tcPr>
          <w:p w:rsidRPr="00AC083C" w:rsidR="00F5217C" w:rsidP="003C732A" w:rsidRDefault="00564219" w14:paraId="7418C1A2" w14:textId="04EFF78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C732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3C732A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Pr="009A4851" w:rsidR="00F5217C" w:rsidTr="0059068B" w14:paraId="1DBFB85F" w14:textId="77777777">
        <w:trPr>
          <w:trHeight w:val="54"/>
        </w:trPr>
        <w:tc>
          <w:tcPr>
            <w:tcW w:w="2268" w:type="dxa"/>
            <w:vAlign w:val="center"/>
          </w:tcPr>
          <w:p w:rsidRPr="00D860E0" w:rsidR="00F5217C" w:rsidP="00F5217C" w:rsidRDefault="00F5217C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:rsidRPr="00652E3E" w:rsidR="00F5217C" w:rsidP="006E1BF2" w:rsidRDefault="006E1BF2" w14:paraId="255032DB" w14:textId="551AB24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576</w:t>
            </w:r>
          </w:p>
        </w:tc>
        <w:tc>
          <w:tcPr>
            <w:tcW w:w="1134" w:type="dxa"/>
            <w:vAlign w:val="center"/>
          </w:tcPr>
          <w:p w:rsidRPr="00652E3E" w:rsidR="00F5217C" w:rsidP="006E1BF2" w:rsidRDefault="00564219" w14:paraId="10BBBDB9" w14:textId="3B1C911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6E1BF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E1BF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3C732A" w:rsidRDefault="003C732A" w14:paraId="0D6A2499" w14:textId="4411E1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3C732A" w:rsidRDefault="003C732A" w14:paraId="3C0AB283" w14:textId="241E3B87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3C732A" w:rsidRDefault="00564219" w14:paraId="016F1686" w14:textId="34A1BAD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6421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9A4851" w:rsidR="00F5217C" w:rsidTr="0059068B" w14:paraId="6E2F06BB" w14:textId="77777777">
        <w:trPr>
          <w:trHeight w:val="348"/>
        </w:trPr>
        <w:tc>
          <w:tcPr>
            <w:tcW w:w="2268" w:type="dxa"/>
            <w:vAlign w:val="center"/>
          </w:tcPr>
          <w:p w:rsidRPr="00D860E0" w:rsidR="00F5217C" w:rsidP="00F5217C" w:rsidRDefault="00F5217C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:rsidRPr="00652E3E" w:rsidR="00F5217C" w:rsidP="006E1BF2" w:rsidRDefault="006E1BF2" w14:paraId="23EE99E7" w14:textId="7B2C20E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841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1392F143" w14:textId="6BDB3BE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7.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3C732A" w:rsidRDefault="00564219" w14:paraId="073E4F9D" w14:textId="5B9B7F5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3C732A" w:rsidRDefault="003C732A" w14:paraId="7C80FD51" w14:textId="635AE7F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</w:t>
            </w:r>
            <w:r w:rsidR="001A0B1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046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3C732A" w:rsidRDefault="003C732A" w14:paraId="7B8310F8" w14:textId="0D7FFF5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9A4851" w:rsidR="00F5217C" w:rsidTr="006D17B1" w14:paraId="24AD4DF0" w14:textId="77777777">
        <w:trPr>
          <w:trHeight w:val="341"/>
        </w:trPr>
        <w:tc>
          <w:tcPr>
            <w:tcW w:w="2268" w:type="dxa"/>
            <w:vAlign w:val="center"/>
          </w:tcPr>
          <w:p w:rsidRPr="00D860E0" w:rsidR="00F5217C" w:rsidP="00F5217C" w:rsidRDefault="00F5217C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43E0B857" w14:textId="301811C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1F0CCA82" w14:textId="76AA998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219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652E3E" w:rsidR="00F5217C" w:rsidP="003C732A" w:rsidRDefault="003C732A" w14:paraId="48C19C17" w14:textId="668B24E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</w:t>
            </w:r>
            <w:r w:rsidR="00564219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652E3E" w:rsidR="00F5217C" w:rsidP="00F5217C" w:rsidRDefault="003C732A" w14:paraId="468E0768" w14:textId="1ED71C0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3C732A" w:rsidRDefault="003C732A" w14:paraId="51BEED95" w14:textId="04BEFB8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9A4851" w:rsidR="00F5217C" w:rsidTr="0059068B" w14:paraId="4DBF5999" w14:textId="77777777">
        <w:trPr>
          <w:trHeight w:val="359"/>
        </w:trPr>
        <w:tc>
          <w:tcPr>
            <w:tcW w:w="2268" w:type="dxa"/>
            <w:vAlign w:val="center"/>
          </w:tcPr>
          <w:p w:rsidRPr="00D860E0" w:rsidR="00F5217C" w:rsidP="00F5217C" w:rsidRDefault="00F5217C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69E2D56C" w14:textId="60DEFCC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134" w:type="dxa"/>
            <w:vAlign w:val="center"/>
          </w:tcPr>
          <w:p w:rsidRPr="00E104E2" w:rsidR="00F5217C" w:rsidP="00F5217C" w:rsidRDefault="006E1BF2" w14:paraId="3E22814D" w14:textId="04E5A70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E104E2" w:rsidR="00F5217C" w:rsidP="003C732A" w:rsidRDefault="00564219" w14:paraId="4CC7447C" w14:textId="2213848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3C732A" w14:paraId="139B16E7" w14:textId="345DE8C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3C732A" w:rsidRDefault="003C732A" w14:paraId="3FCA44D4" w14:textId="7AACA86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9A4851" w:rsidR="00F5217C" w:rsidTr="0059068B" w14:paraId="2FCEF9DB" w14:textId="77777777">
        <w:trPr>
          <w:trHeight w:val="366"/>
        </w:trPr>
        <w:tc>
          <w:tcPr>
            <w:tcW w:w="2268" w:type="dxa"/>
            <w:vAlign w:val="center"/>
          </w:tcPr>
          <w:p w:rsidRPr="00D860E0" w:rsidR="00F5217C" w:rsidP="00F5217C" w:rsidRDefault="00F5217C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7E5E83FB" w14:textId="7EF1320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vAlign w:val="center"/>
          </w:tcPr>
          <w:p w:rsidRPr="00652E3E" w:rsidR="00F5217C" w:rsidP="006E1BF2" w:rsidRDefault="006E1BF2" w14:paraId="0AFA2421" w14:textId="097B8FA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181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3C732A" w:rsidRDefault="003C732A" w14:paraId="3948C7DA" w14:textId="305D8EC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</w:t>
            </w:r>
            <w:r w:rsidR="0056421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3C732A" w14:paraId="3827C313" w14:textId="2D669FC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3C732A" w:rsidRDefault="00564219" w14:paraId="68737150" w14:textId="51357A4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183.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Pr="009A4851" w:rsidR="00F5217C" w:rsidTr="0059068B" w14:paraId="79AE12F9" w14:textId="77777777">
        <w:trPr>
          <w:trHeight w:val="348"/>
        </w:trPr>
        <w:tc>
          <w:tcPr>
            <w:tcW w:w="2268" w:type="dxa"/>
            <w:vAlign w:val="center"/>
          </w:tcPr>
          <w:p w:rsidRPr="00D860E0" w:rsidR="00F5217C" w:rsidP="00F5217C" w:rsidRDefault="00F5217C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60773A35" w14:textId="03786F3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134" w:type="dxa"/>
            <w:vAlign w:val="center"/>
          </w:tcPr>
          <w:p w:rsidRPr="00652E3E" w:rsidR="00F5217C" w:rsidP="00F5217C" w:rsidRDefault="006E1BF2" w14:paraId="5900F285" w14:textId="220943D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564219" w14:paraId="1464CE68" w14:textId="71DA8A5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652E3E" w:rsidR="00F5217C" w:rsidP="00F5217C" w:rsidRDefault="003C732A" w14:paraId="7A4F2972" w14:textId="33E9E9F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652E3E" w:rsidR="00F5217C" w:rsidP="003C732A" w:rsidRDefault="00C01040" w14:paraId="49F5E70F" w14:textId="3080966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C732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Pr="009A4851" w:rsidR="00F5217C" w:rsidTr="0059068B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D860E0" w:rsidR="00F5217C" w:rsidP="00F5217C" w:rsidRDefault="00F5217C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652E3E" w:rsidR="00F5217C" w:rsidP="00F5217C" w:rsidRDefault="00564219" w14:paraId="6BBF9FB1" w14:textId="5B4B376D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652E3E" w:rsidR="00F5217C" w:rsidP="00F5217C" w:rsidRDefault="00F5217C" w14:paraId="315E4888" w14:textId="17075DA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652E3E" w:rsidR="00F5217C" w:rsidP="00F5217C" w:rsidRDefault="00564219" w14:paraId="09114D5F" w14:textId="0FD9E90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652E3E" w:rsidR="00F5217C" w:rsidP="00F5217C" w:rsidRDefault="00F5217C" w14:paraId="77D1DF52" w14:textId="0001145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  <w:vAlign w:val="center"/>
          </w:tcPr>
          <w:p w:rsidRPr="00652E3E" w:rsidR="00F5217C" w:rsidP="00944940" w:rsidRDefault="00564219" w14:paraId="49713444" w14:textId="0453BA48">
            <w:pPr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11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-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r w:rsidR="00F5217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01040">
              <w:rPr>
                <w:rFonts w:cs="Arial"/>
                <w:color w:val="000000" w:themeColor="text1"/>
                <w:sz w:val="16"/>
                <w:szCs w:val="16"/>
              </w:rPr>
              <w:t>less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7E02D8" w14:paraId="2D03BCD7" w14:textId="5F68602A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361F9C57" wp14:anchorId="51E55D6D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May 2023 by 33.3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6D17B1" w:rsidP="00C47CE4" w:rsidRDefault="006D17B1" w14:paraId="35DCCB4E" w14:textId="7BB29E1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B04E91">
                              <w:rPr>
                                <w:lang w:val="en-GB"/>
                              </w:rPr>
                              <w:t xml:space="preserve">period of January - </w:t>
                            </w:r>
                            <w:r>
                              <w:rPr>
                                <w:lang w:val="en-GB"/>
                              </w:rPr>
                              <w:t>May</w:t>
                            </w:r>
                            <w:r w:rsidRPr="00B04E91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2023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>
                              <w:rPr>
                                <w:lang w:val="en-US"/>
                              </w:rPr>
                              <w:t>33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The number of dwellings for which permits have been granted or which have been registered with a construction project decreased in the period of January - May 2023 by 33.3% y/y 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" w14:anchorId="51E55D6D">
                <v:textbox>
                  <w:txbxContent>
                    <w:p w:rsidRPr="00AD1492" w:rsidR="006D17B1" w:rsidP="00C47CE4" w:rsidRDefault="006D17B1" w14:paraId="35DCCB4E" w14:textId="7BB29E10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B04E91">
                        <w:rPr>
                          <w:lang w:val="en-GB"/>
                        </w:rPr>
                        <w:t xml:space="preserve">period of January - </w:t>
                      </w:r>
                      <w:r>
                        <w:rPr>
                          <w:lang w:val="en-GB"/>
                        </w:rPr>
                        <w:t>May</w:t>
                      </w:r>
                      <w:r w:rsidRPr="00B04E91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2023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>
                        <w:rPr>
                          <w:lang w:val="en-US"/>
                        </w:rPr>
                        <w:t>33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3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30C0FBB0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of January - </w:t>
      </w:r>
      <w:r w:rsidR="003B7DA0">
        <w:rPr>
          <w:noProof/>
          <w:lang w:val="en-GB"/>
        </w:rPr>
        <w:t>May</w:t>
      </w:r>
      <w:r w:rsidRPr="002B15B7">
        <w:rPr>
          <w:noProof/>
          <w:lang w:val="en-GB"/>
        </w:rPr>
        <w:t xml:space="preserve"> 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</w:t>
      </w:r>
      <w:r w:rsidRPr="00DB2753" w:rsidR="00944940">
        <w:rPr>
          <w:noProof/>
          <w:lang w:val="en-GB"/>
        </w:rPr>
        <w:t>-</w:t>
      </w:r>
      <w:r w:rsidRPr="00DB2753" w:rsidR="00C47CE4">
        <w:rPr>
          <w:noProof/>
          <w:lang w:val="en-GB"/>
        </w:rPr>
        <w:t>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Pr="00DB2753" w:rsidR="003B7DA0">
        <w:rPr>
          <w:noProof/>
          <w:lang w:val="en-GB"/>
        </w:rPr>
        <w:t>91</w:t>
      </w:r>
      <w:r w:rsidRPr="00DB2753" w:rsidR="00DE7DD4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0</w:t>
      </w:r>
      <w:r w:rsidRPr="00DB2753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Pr="00DB2753" w:rsidR="00FB5B75">
        <w:rPr>
          <w:noProof/>
          <w:lang w:val="en-GB"/>
        </w:rPr>
        <w:t>3</w:t>
      </w:r>
      <w:r w:rsidRPr="00DB2753" w:rsidR="003B7DA0">
        <w:rPr>
          <w:noProof/>
          <w:lang w:val="en-GB"/>
        </w:rPr>
        <w:t>3</w:t>
      </w:r>
      <w:r w:rsidRPr="00DB2753" w:rsidR="00E245E1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3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in</w:t>
      </w:r>
      <w:r w:rsidRPr="00DB2753" w:rsidR="000334AE">
        <w:rPr>
          <w:noProof/>
          <w:lang w:val="en-GB"/>
        </w:rPr>
        <w:t xml:space="preserve"> the corresponding period of</w:t>
      </w:r>
      <w:r w:rsidRPr="00DB2753" w:rsidR="00C47CE4">
        <w:rPr>
          <w:noProof/>
          <w:lang w:val="en-GB"/>
        </w:rPr>
        <w:t xml:space="preserve"> </w:t>
      </w:r>
      <w:r w:rsidRPr="00DB2753" w:rsidR="00B54025">
        <w:rPr>
          <w:noProof/>
          <w:lang w:val="en-GB"/>
        </w:rPr>
        <w:t>2022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Pr="00DB2753" w:rsidR="003B7DA0">
        <w:rPr>
          <w:noProof/>
          <w:lang w:val="en-GB"/>
        </w:rPr>
        <w:t>60</w:t>
      </w:r>
      <w:r w:rsidRPr="00DB2753" w:rsidR="00FB5B75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2</w:t>
      </w:r>
      <w:r w:rsidRPr="00DB2753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 xml:space="preserve">, a </w:t>
      </w:r>
      <w:r w:rsidRPr="00DB2753" w:rsidR="00FB5B75">
        <w:rPr>
          <w:noProof/>
          <w:lang w:val="en-GB"/>
        </w:rPr>
        <w:t>decrease of 3</w:t>
      </w:r>
      <w:r w:rsidRPr="00DB2753" w:rsidR="003B7DA0">
        <w:rPr>
          <w:noProof/>
          <w:lang w:val="en-GB"/>
        </w:rPr>
        <w:t>4</w:t>
      </w:r>
      <w:r w:rsidRPr="00DB2753" w:rsidR="00FB5B75">
        <w:rPr>
          <w:noProof/>
          <w:lang w:val="en-GB"/>
        </w:rPr>
        <w:t>.6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Pr="00DB2753" w:rsidR="00FB5B75">
        <w:rPr>
          <w:noProof/>
          <w:lang w:val="en-GB"/>
        </w:rPr>
        <w:t>2</w:t>
      </w:r>
      <w:r w:rsidRPr="00DB2753" w:rsidR="003B7DA0">
        <w:rPr>
          <w:noProof/>
          <w:lang w:val="en-GB"/>
        </w:rPr>
        <w:t>8</w:t>
      </w:r>
      <w:r w:rsidRPr="00DB2753" w:rsidR="00DE7DD4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2</w:t>
      </w:r>
      <w:r w:rsidRPr="00DB2753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Pr="00DB2753" w:rsidR="00FB5B75">
        <w:rPr>
          <w:noProof/>
          <w:lang w:val="en-GB"/>
        </w:rPr>
        <w:t>3</w:t>
      </w:r>
      <w:r w:rsidRPr="00DB2753" w:rsidR="003B7DA0">
        <w:rPr>
          <w:noProof/>
          <w:lang w:val="en-GB"/>
        </w:rPr>
        <w:t>2</w:t>
      </w:r>
      <w:r w:rsidRPr="00DB2753" w:rsidR="00FB5B75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9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 xml:space="preserve">and registrations with a 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97</w:t>
      </w:r>
      <w:r w:rsidRPr="00DB2753" w:rsidR="001A1F89">
        <w:rPr>
          <w:noProof/>
          <w:lang w:val="en-GB"/>
        </w:rPr>
        <w:t>.</w:t>
      </w:r>
      <w:r w:rsidRPr="00DB2753" w:rsidR="003B7DA0">
        <w:rPr>
          <w:noProof/>
          <w:lang w:val="en-GB"/>
        </w:rPr>
        <w:t>1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>other forms of con</w:t>
      </w:r>
      <w:r w:rsidRPr="00DB2753" w:rsidR="00944940">
        <w:rPr>
          <w:noProof/>
          <w:lang w:val="en-GB"/>
        </w:rPr>
        <w:t>-</w:t>
      </w:r>
      <w:r w:rsidRPr="00DB2753" w:rsidR="00B64363">
        <w:rPr>
          <w:noProof/>
          <w:lang w:val="en-GB"/>
        </w:rPr>
        <w:t xml:space="preserve">struction </w:t>
      </w:r>
      <w:r w:rsidRPr="00DB2753" w:rsidR="00FB5B75">
        <w:rPr>
          <w:noProof/>
          <w:lang w:val="en-GB"/>
        </w:rPr>
        <w:t>2.</w:t>
      </w:r>
      <w:r w:rsidRPr="00DB2753" w:rsidR="003B7DA0">
        <w:rPr>
          <w:noProof/>
          <w:lang w:val="en-GB"/>
        </w:rPr>
        <w:t>6</w:t>
      </w:r>
      <w:r w:rsidRPr="00DB2753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3B7DA0">
        <w:rPr>
          <w:noProof/>
          <w:lang w:val="en-GB"/>
        </w:rPr>
        <w:t xml:space="preserve"> 2.4 thousand</w:t>
      </w:r>
      <w:r w:rsidRPr="00DB2753" w:rsidR="00B64363">
        <w:rPr>
          <w:noProof/>
          <w:lang w:val="en-GB"/>
        </w:rPr>
        <w:t>).</w:t>
      </w:r>
      <w:bookmarkStart w:name="_GoBack" w:id="1"/>
      <w:bookmarkEnd w:id="1"/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243185" w14:paraId="3982B774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429A8244" w14:textId="6D4AF8C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44795F" w:rsidR="0010236F">
              <w:rPr>
                <w:color w:val="000000" w:themeColor="text1"/>
                <w:sz w:val="15"/>
                <w:szCs w:val="15"/>
              </w:rPr>
              <w:t>5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10236F" w:rsidRDefault="00FF6D85" w14:paraId="3C84461E" w14:textId="1860E59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Pr="0044795F" w:rsidR="0010236F">
              <w:rPr>
                <w:color w:val="000000" w:themeColor="text1"/>
                <w:sz w:val="15"/>
                <w:szCs w:val="15"/>
              </w:rPr>
              <w:t>5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6D17B1" w14:paraId="40010199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29F5DBEE" w14:textId="4C1208B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44795F" w:rsidR="0010236F">
              <w:rPr>
                <w:color w:val="000000" w:themeColor="text1"/>
                <w:sz w:val="15"/>
                <w:szCs w:val="15"/>
              </w:rPr>
              <w:t>5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5802FAB9" w14:textId="333E141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</w:t>
            </w:r>
            <w:r w:rsidRPr="0044795F" w:rsidR="0010236F">
              <w:rPr>
                <w:rFonts w:eastAsia="Fira Sans Light" w:cs="Times New Roman"/>
                <w:color w:val="000000"/>
                <w:sz w:val="15"/>
                <w:szCs w:val="15"/>
              </w:rPr>
              <w:t>4</w:t>
            </w:r>
            <w:r w:rsidRPr="0044795F" w:rsidR="00F25CF6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0236F" w:rsidRDefault="00FF6D85" w14:paraId="52B9E131" w14:textId="11D07C0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Pr="0044795F" w:rsidR="0010236F">
              <w:rPr>
                <w:color w:val="000000" w:themeColor="text1"/>
                <w:sz w:val="15"/>
                <w:szCs w:val="15"/>
              </w:rPr>
              <w:t>5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C01040" w:rsidTr="00243185" w14:paraId="4960FBEE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</w:tcBorders>
            <w:vAlign w:val="center"/>
          </w:tcPr>
          <w:p w:rsidRPr="0044795F" w:rsidR="00C01040" w:rsidP="00C01040" w:rsidRDefault="00C01040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4795F" w:rsidR="00C01040" w:rsidP="0010236F" w:rsidRDefault="0010236F" w14:paraId="02B1A5FB" w14:textId="7F8A4052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18</w:t>
            </w:r>
            <w:r w:rsidRPr="0044795F" w:rsidR="00FB5B75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574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4795F" w:rsidR="00C01040" w:rsidP="0010236F" w:rsidRDefault="0010236F" w14:paraId="7439481A" w14:textId="5094F0BB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61</w:t>
            </w:r>
            <w:r w:rsidRPr="0044795F" w:rsidR="00C01040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Pr="0044795F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44795F" w:rsidR="00C01040" w:rsidP="0010236F" w:rsidRDefault="0010236F" w14:paraId="54900271" w14:textId="70A005ED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90</w:t>
            </w:r>
            <w:r w:rsidRPr="0044795F" w:rsidR="00FF6D85">
              <w:rPr>
                <w:rFonts w:cs="Arial"/>
                <w:b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</w:tcPr>
          <w:p w:rsidRPr="0044795F" w:rsidR="00C01040" w:rsidP="0010236F" w:rsidRDefault="0010236F" w14:paraId="33BA976C" w14:textId="6F897921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91</w:t>
            </w:r>
            <w:r w:rsidRPr="0044795F" w:rsidR="00FB5B75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44795F" w:rsidR="00FF6D85">
              <w:rPr>
                <w:rFonts w:cs="Arial"/>
                <w:b/>
                <w:color w:val="000000" w:themeColor="text1"/>
                <w:sz w:val="15"/>
                <w:szCs w:val="15"/>
              </w:rPr>
              <w:t>0</w:t>
            </w: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06</w:t>
            </w:r>
          </w:p>
        </w:tc>
        <w:tc>
          <w:tcPr>
            <w:tcW w:w="1200" w:type="dxa"/>
            <w:tcBorders>
              <w:top w:val="single" w:color="212492" w:sz="12" w:space="0"/>
              <w:right w:val="nil"/>
            </w:tcBorders>
          </w:tcPr>
          <w:p w:rsidRPr="0044795F" w:rsidR="00C01040" w:rsidP="0010236F" w:rsidRDefault="00FF6D85" w14:paraId="184FD311" w14:textId="46DFBF37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6</w:t>
            </w:r>
            <w:r w:rsidRPr="0044795F" w:rsidR="0010236F">
              <w:rPr>
                <w:rFonts w:cs="Arial"/>
                <w:b/>
                <w:color w:val="000000" w:themeColor="text1"/>
                <w:sz w:val="15"/>
                <w:szCs w:val="15"/>
              </w:rPr>
              <w:t>6</w:t>
            </w: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.</w:t>
            </w:r>
            <w:r w:rsidRPr="0044795F" w:rsidR="0010236F">
              <w:rPr>
                <w:rFonts w:cs="Arial"/>
                <w:b/>
                <w:color w:val="000000" w:themeColor="text1"/>
                <w:sz w:val="15"/>
                <w:szCs w:val="15"/>
              </w:rPr>
              <w:t>7</w:t>
            </w:r>
          </w:p>
        </w:tc>
      </w:tr>
      <w:tr w:rsidRPr="009A4851" w:rsidR="00C01040" w:rsidTr="00243185" w14:paraId="1DF47858" w14:textId="77777777">
        <w:trPr>
          <w:trHeight w:val="54"/>
        </w:trPr>
        <w:tc>
          <w:tcPr>
            <w:tcW w:w="2268" w:type="dxa"/>
            <w:vAlign w:val="center"/>
          </w:tcPr>
          <w:p w:rsidRPr="0044795F" w:rsidR="00C01040" w:rsidP="00C01040" w:rsidRDefault="00C01040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:rsidRPr="0044795F" w:rsidR="00C01040" w:rsidP="0010236F" w:rsidRDefault="0010236F" w14:paraId="2CE969F2" w14:textId="2700EB16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Pr="0044795F"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637</w:t>
            </w:r>
          </w:p>
        </w:tc>
        <w:tc>
          <w:tcPr>
            <w:tcW w:w="1134" w:type="dxa"/>
            <w:vAlign w:val="center"/>
          </w:tcPr>
          <w:p w:rsidRPr="0044795F" w:rsidR="00C01040" w:rsidP="0010236F" w:rsidRDefault="0010236F" w14:paraId="11922E73" w14:textId="04A58F80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73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10236F" w:rsidRDefault="0010236F" w14:paraId="300CBAD5" w14:textId="3021D38E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111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</w:tcPr>
          <w:p w:rsidRPr="0044795F" w:rsidR="00C01040" w:rsidP="0010236F" w:rsidRDefault="00FF6D85" w14:paraId="73685B09" w14:textId="02561DDB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  <w:r w:rsidRPr="0044795F"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157</w:t>
            </w:r>
          </w:p>
        </w:tc>
        <w:tc>
          <w:tcPr>
            <w:tcW w:w="1200" w:type="dxa"/>
            <w:tcBorders>
              <w:right w:val="nil"/>
            </w:tcBorders>
          </w:tcPr>
          <w:p w:rsidRPr="0044795F" w:rsidR="00C01040" w:rsidP="0010236F" w:rsidRDefault="00FF6D85" w14:paraId="05796A6D" w14:textId="33C82401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</w:tr>
      <w:tr w:rsidRPr="009A4851" w:rsidR="00C01040" w:rsidTr="00243185" w14:paraId="0D1B9431" w14:textId="77777777">
        <w:trPr>
          <w:trHeight w:val="348"/>
        </w:trPr>
        <w:tc>
          <w:tcPr>
            <w:tcW w:w="2268" w:type="dxa"/>
            <w:vAlign w:val="center"/>
          </w:tcPr>
          <w:p w:rsidRPr="0044795F" w:rsidR="00C01040" w:rsidP="00C01040" w:rsidRDefault="00C01040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:rsidRPr="0044795F" w:rsidR="00C01040" w:rsidP="0010236F" w:rsidRDefault="00FF6D85" w14:paraId="56EC5D20" w14:textId="14C0CA09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Pr="0044795F"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268</w:t>
            </w:r>
          </w:p>
        </w:tc>
        <w:tc>
          <w:tcPr>
            <w:tcW w:w="1134" w:type="dxa"/>
            <w:vAlign w:val="center"/>
          </w:tcPr>
          <w:p w:rsidRPr="0044795F" w:rsidR="00C01040" w:rsidP="0010236F" w:rsidRDefault="0010236F" w14:paraId="44BD7848" w14:textId="4CE60F51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53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10236F" w:rsidRDefault="0010236F" w14:paraId="33BC2BF6" w14:textId="1F78FD95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78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10236F" w:rsidRDefault="0010236F" w14:paraId="54EF52FC" w14:textId="645DC0F5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60</w:t>
            </w:r>
            <w:r w:rsidRPr="0044795F" w:rsidR="00FB5B75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200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44795F" w:rsidR="00C01040" w:rsidP="0010236F" w:rsidRDefault="00FF6D85" w14:paraId="7C4F667C" w14:textId="2F431FE0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.4</w:t>
            </w:r>
          </w:p>
        </w:tc>
      </w:tr>
      <w:tr w:rsidRPr="009A4851" w:rsidR="00C01040" w:rsidTr="00243185" w14:paraId="50E23A83" w14:textId="77777777">
        <w:trPr>
          <w:trHeight w:val="344"/>
        </w:trPr>
        <w:tc>
          <w:tcPr>
            <w:tcW w:w="2268" w:type="dxa"/>
            <w:vAlign w:val="center"/>
          </w:tcPr>
          <w:p w:rsidRPr="0044795F" w:rsidR="00C01040" w:rsidP="00C01040" w:rsidRDefault="00C01040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:rsidRPr="0044795F" w:rsidR="00C01040" w:rsidP="0010236F" w:rsidRDefault="0010236F" w14:paraId="6D853C93" w14:textId="2782DAA4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326</w:t>
            </w:r>
          </w:p>
        </w:tc>
        <w:tc>
          <w:tcPr>
            <w:tcW w:w="1134" w:type="dxa"/>
            <w:vAlign w:val="center"/>
          </w:tcPr>
          <w:p w:rsidRPr="0044795F" w:rsidR="00C01040" w:rsidP="00C01040" w:rsidRDefault="0010236F" w14:paraId="2B71D6D4" w14:textId="5B142173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C01040" w:rsidRDefault="0010236F" w14:paraId="494B4D92" w14:textId="32C4B014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sz w:val="15"/>
                <w:szCs w:val="15"/>
              </w:rPr>
              <w:t>693.6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C01040" w:rsidRDefault="0010236F" w14:paraId="68EBA99C" w14:textId="6B1D8C18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sz w:val="15"/>
                <w:szCs w:val="15"/>
              </w:rPr>
              <w:t>415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44795F" w:rsidR="00C01040" w:rsidP="0010236F" w:rsidRDefault="0010236F" w14:paraId="33D6C221" w14:textId="1CF452AA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99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Pr="00F25CF6" w:rsidR="00C01040" w:rsidTr="00243185" w14:paraId="67CD548E" w14:textId="77777777">
        <w:trPr>
          <w:trHeight w:val="239"/>
        </w:trPr>
        <w:tc>
          <w:tcPr>
            <w:tcW w:w="2268" w:type="dxa"/>
            <w:vAlign w:val="center"/>
          </w:tcPr>
          <w:p w:rsidRPr="0044795F" w:rsidR="00C01040" w:rsidP="00C01040" w:rsidRDefault="00C01040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10236F" w14:paraId="16AE6ED7" w14:textId="5088416B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86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44795F" w:rsidR="00C01040" w:rsidP="0010236F" w:rsidRDefault="00FF6D85" w14:paraId="3CDEEA20" w14:textId="0C9A0DB7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10236F" w:rsidRDefault="0010236F" w14:paraId="4EC8940F" w14:textId="1081ACF7">
            <w:pPr>
              <w:spacing w:before="0"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175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</w:tcPr>
          <w:p w:rsidRPr="0044795F" w:rsidR="00C01040" w:rsidP="00C01040" w:rsidRDefault="0010236F" w14:paraId="7FE4D365" w14:textId="171E0A0C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523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</w:tcPr>
          <w:p w:rsidRPr="0044795F" w:rsidR="00C01040" w:rsidP="0010236F" w:rsidRDefault="0010236F" w14:paraId="088EC2A1" w14:textId="7C3E0446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46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Pr="00F25CF6" w:rsidR="00C01040" w:rsidTr="0086703D" w14:paraId="10BA3CE7" w14:textId="77777777">
        <w:trPr>
          <w:trHeight w:val="524"/>
        </w:trPr>
        <w:tc>
          <w:tcPr>
            <w:tcW w:w="2268" w:type="dxa"/>
            <w:vAlign w:val="center"/>
          </w:tcPr>
          <w:p w:rsidRPr="0044795F" w:rsidR="00C01040" w:rsidP="00C01040" w:rsidRDefault="00C01040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44795F" w:rsidR="00C01040" w:rsidP="00C01040" w:rsidRDefault="0010236F" w14:paraId="4F13852F" w14:textId="66A3FE79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sz w:val="15"/>
                <w:szCs w:val="15"/>
                <w:lang w:val="en-GB"/>
              </w:rPr>
              <w:t>257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44795F" w:rsidR="00944940" w:rsidP="00944940" w:rsidRDefault="0010236F" w14:paraId="2A91CCB9" w14:textId="77777777">
            <w:pPr>
              <w:spacing w:before="0"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sz w:val="15"/>
                <w:szCs w:val="15"/>
                <w:lang w:val="en-GB"/>
              </w:rPr>
              <w:t>almost 11-</w:t>
            </w:r>
          </w:p>
          <w:p w:rsidRPr="0044795F" w:rsidR="00C01040" w:rsidP="00944940" w:rsidRDefault="0010236F" w14:paraId="3AE94B45" w14:textId="36679AE4">
            <w:pPr>
              <w:spacing w:before="0"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sz w:val="15"/>
                <w:szCs w:val="15"/>
                <w:lang w:val="en-GB"/>
              </w:rPr>
              <w:t>fold more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44795F" w:rsidR="00C01040" w:rsidP="0010236F" w:rsidRDefault="0010236F" w14:paraId="22F95ED3" w14:textId="6F74D636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267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44795F" w:rsidR="00C01040" w:rsidP="0086703D" w:rsidRDefault="00FF6D85" w14:paraId="53B78670" w14:textId="32D7906E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Pr="0044795F" w:rsidR="0010236F">
              <w:rPr>
                <w:rFonts w:cs="Arial"/>
                <w:color w:val="000000" w:themeColor="text1"/>
                <w:sz w:val="15"/>
                <w:szCs w:val="15"/>
              </w:rPr>
              <w:t>683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44795F" w:rsidR="00C01040" w:rsidP="0086703D" w:rsidRDefault="0010236F" w14:paraId="42AD62F6" w14:textId="2EC7A011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206</w:t>
            </w:r>
            <w:r w:rsidRPr="0044795F" w:rsidR="00FF6D8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</w:tr>
      <w:tr w:rsidRPr="00F25CF6" w:rsidR="00C01040" w:rsidTr="00243185" w14:paraId="5A330376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44795F" w:rsidR="00C01040" w:rsidP="00C01040" w:rsidRDefault="00C01040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10236F" w14:paraId="6913581D" w14:textId="3BEE0A26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C01040" w14:paraId="262852B0" w14:textId="07C89299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C01040" w:rsidRDefault="0010236F" w14:paraId="73F8F0F7" w14:textId="0221E93B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C01040" w:rsidRDefault="00FF6D85" w14:paraId="30413B6D" w14:textId="5AA13271">
            <w:pPr>
              <w:spacing w:after="0"/>
              <w:jc w:val="right"/>
              <w:rPr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C01040" w:rsidRDefault="00FF6D85" w14:paraId="51919CA3" w14:textId="0B3B86C1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933.3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2B15B7" w14:paraId="6DE247AC" w14:textId="3C76E7FB">
      <w:pPr>
        <w:spacing w:after="0" w:line="288" w:lineRule="auto"/>
        <w:rPr>
          <w:noProof/>
          <w:spacing w:val="-2"/>
          <w:lang w:val="en-GB"/>
        </w:rPr>
      </w:pPr>
      <w:r w:rsidRPr="002B15B7">
        <w:rPr>
          <w:noProof/>
          <w:spacing w:val="-2"/>
          <w:lang w:val="en-GB"/>
        </w:rPr>
        <w:t>In the first f</w:t>
      </w:r>
      <w:r w:rsidR="0010236F">
        <w:rPr>
          <w:noProof/>
          <w:spacing w:val="-2"/>
          <w:lang w:val="en-GB"/>
        </w:rPr>
        <w:t>ive</w:t>
      </w:r>
      <w:r w:rsidRPr="002B15B7">
        <w:rPr>
          <w:noProof/>
          <w:spacing w:val="-2"/>
          <w:lang w:val="en-GB"/>
        </w:rPr>
        <w:t xml:space="preserve"> months of 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="0010236F">
        <w:rPr>
          <w:noProof/>
          <w:spacing w:val="-2"/>
          <w:lang w:val="en-GB"/>
        </w:rPr>
        <w:t>69</w:t>
      </w:r>
      <w:r>
        <w:rPr>
          <w:noProof/>
          <w:spacing w:val="-2"/>
          <w:lang w:val="en-GB"/>
        </w:rPr>
        <w:t>.</w:t>
      </w:r>
      <w:r w:rsidR="0010236F">
        <w:rPr>
          <w:noProof/>
          <w:spacing w:val="-2"/>
          <w:lang w:val="en-GB"/>
        </w:rPr>
        <w:t>5</w:t>
      </w:r>
      <w:r w:rsidRPr="0080490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>
        <w:rPr>
          <w:noProof/>
          <w:spacing w:val="-2"/>
          <w:lang w:val="en-GB"/>
        </w:rPr>
        <w:t>, i.e. by 27.</w:t>
      </w:r>
      <w:r w:rsidR="006E79E4">
        <w:rPr>
          <w:noProof/>
          <w:spacing w:val="-2"/>
          <w:lang w:val="en-GB"/>
        </w:rPr>
        <w:t>4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>
        <w:rPr>
          <w:noProof/>
          <w:spacing w:val="-2"/>
          <w:lang w:val="en-GB"/>
        </w:rPr>
        <w:t>3</w:t>
      </w:r>
      <w:r w:rsidR="006E79E4">
        <w:rPr>
          <w:noProof/>
          <w:spacing w:val="-2"/>
          <w:lang w:val="en-GB"/>
        </w:rPr>
        <w:t>9</w:t>
      </w:r>
      <w:r w:rsidRPr="0080490A" w:rsidR="00CC4866">
        <w:rPr>
          <w:noProof/>
          <w:spacing w:val="-2"/>
          <w:lang w:val="en-GB"/>
        </w:rPr>
        <w:t>.</w:t>
      </w:r>
      <w:r w:rsidR="006E79E4">
        <w:rPr>
          <w:noProof/>
          <w:spacing w:val="-2"/>
          <w:lang w:val="en-GB"/>
        </w:rPr>
        <w:t>1</w:t>
      </w:r>
      <w:r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="006E79E4">
        <w:rPr>
          <w:noProof/>
          <w:spacing w:val="-2"/>
          <w:lang w:val="en-GB"/>
        </w:rPr>
        <w:t>30</w:t>
      </w:r>
      <w:r w:rsidRPr="0080490A" w:rsidR="00954347">
        <w:rPr>
          <w:noProof/>
          <w:spacing w:val="-2"/>
          <w:lang w:val="en-GB"/>
        </w:rPr>
        <w:t>.</w:t>
      </w:r>
      <w:r w:rsidR="006E79E4">
        <w:rPr>
          <w:noProof/>
          <w:spacing w:val="-2"/>
          <w:lang w:val="en-GB"/>
        </w:rPr>
        <w:t>1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>
        <w:rPr>
          <w:noProof/>
          <w:spacing w:val="-2"/>
          <w:lang w:val="en-GB"/>
        </w:rPr>
        <w:t>2</w:t>
      </w:r>
      <w:r w:rsidR="006E79E4">
        <w:rPr>
          <w:noProof/>
          <w:spacing w:val="-2"/>
          <w:lang w:val="en-GB"/>
        </w:rPr>
        <w:t>8</w:t>
      </w:r>
      <w:r w:rsidRPr="0080490A" w:rsidR="00CC4866">
        <w:rPr>
          <w:noProof/>
          <w:spacing w:val="-2"/>
          <w:lang w:val="en-GB"/>
        </w:rPr>
        <w:t>.</w:t>
      </w:r>
      <w:r w:rsidR="006E79E4">
        <w:rPr>
          <w:noProof/>
          <w:spacing w:val="-2"/>
          <w:lang w:val="en-GB"/>
        </w:rPr>
        <w:t>8</w:t>
      </w:r>
      <w:r w:rsidRPr="0080490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>
        <w:rPr>
          <w:noProof/>
          <w:spacing w:val="-2"/>
          <w:lang w:val="en-GB"/>
        </w:rPr>
        <w:t>(by 2</w:t>
      </w:r>
      <w:r w:rsidR="006E79E4">
        <w:rPr>
          <w:noProof/>
          <w:spacing w:val="-2"/>
          <w:lang w:val="en-GB"/>
        </w:rPr>
        <w:t>4</w:t>
      </w:r>
      <w:r>
        <w:rPr>
          <w:noProof/>
          <w:spacing w:val="-2"/>
          <w:lang w:val="en-GB"/>
        </w:rPr>
        <w:t>.</w:t>
      </w:r>
      <w:r w:rsidR="006E79E4">
        <w:rPr>
          <w:noProof/>
          <w:spacing w:val="-2"/>
          <w:lang w:val="en-GB"/>
        </w:rPr>
        <w:t>9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>
        <w:rPr>
          <w:noProof/>
          <w:spacing w:val="-2"/>
          <w:lang w:val="en-GB"/>
        </w:rPr>
        <w:t>97</w:t>
      </w:r>
      <w:r w:rsidRPr="0080490A" w:rsidR="00CC4866">
        <w:rPr>
          <w:noProof/>
          <w:spacing w:val="-2"/>
          <w:lang w:val="en-GB"/>
        </w:rPr>
        <w:t>.</w:t>
      </w:r>
      <w:r w:rsidR="006E79E4">
        <w:rPr>
          <w:noProof/>
          <w:spacing w:val="-2"/>
          <w:lang w:val="en-GB"/>
        </w:rPr>
        <w:t>7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</w:t>
      </w:r>
      <w:r w:rsidR="006851E8">
        <w:rPr>
          <w:noProof/>
          <w:spacing w:val="-2"/>
          <w:lang w:val="en-GB"/>
        </w:rPr>
        <w:t>-</w:t>
      </w:r>
      <w:r w:rsidRPr="0080490A" w:rsidR="001C1808">
        <w:rPr>
          <w:noProof/>
          <w:spacing w:val="-2"/>
          <w:lang w:val="en-GB"/>
        </w:rPr>
        <w:t>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B04E91">
        <w:rPr>
          <w:noProof/>
          <w:spacing w:val="-2"/>
          <w:lang w:val="en-GB"/>
        </w:rPr>
        <w:t>1.</w:t>
      </w:r>
      <w:r w:rsidR="006E79E4">
        <w:rPr>
          <w:noProof/>
          <w:spacing w:val="-2"/>
          <w:lang w:val="en-GB"/>
        </w:rPr>
        <w:t>6</w:t>
      </w:r>
      <w:r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="00B04E91">
        <w:rPr>
          <w:noProof/>
          <w:spacing w:val="-2"/>
          <w:lang w:val="en-GB"/>
        </w:rPr>
        <w:t>1.</w:t>
      </w:r>
      <w:r w:rsidR="006E79E4">
        <w:rPr>
          <w:noProof/>
          <w:spacing w:val="-2"/>
          <w:lang w:val="en-GB"/>
        </w:rPr>
        <w:t>4</w:t>
      </w:r>
      <w:r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FE1642" w:rsidRDefault="00B4601E" w14:paraId="398571FB" w14:textId="4226270B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4066F3" w14:paraId="34F47625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1C6A1AC1" w14:textId="30DE02F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44795F" w:rsidR="006E79E4">
              <w:rPr>
                <w:color w:val="000000" w:themeColor="text1"/>
                <w:sz w:val="15"/>
                <w:szCs w:val="15"/>
              </w:rPr>
              <w:t>5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6E79E4" w:rsidRDefault="00816D9A" w14:paraId="2D912991" w14:textId="457593A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Pr="0044795F" w:rsidR="006E79E4">
              <w:rPr>
                <w:color w:val="000000" w:themeColor="text1"/>
                <w:sz w:val="15"/>
                <w:szCs w:val="15"/>
              </w:rPr>
              <w:t>5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4066F3" w14:paraId="57BC7BB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2144A20E" w14:textId="26EB90E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Pr="0044795F" w:rsidR="006E79E4">
              <w:rPr>
                <w:color w:val="000000" w:themeColor="text1"/>
                <w:sz w:val="15"/>
                <w:szCs w:val="15"/>
              </w:rPr>
              <w:t>5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6109C3DB" w14:textId="263653D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</w:t>
            </w:r>
            <w:r w:rsidRPr="0044795F" w:rsidR="006E79E4">
              <w:rPr>
                <w:rFonts w:eastAsia="Fira Sans Light" w:cs="Times New Roman"/>
                <w:color w:val="000000"/>
                <w:sz w:val="15"/>
                <w:szCs w:val="15"/>
              </w:rPr>
              <w:t>4</w:t>
            </w:r>
            <w:r w:rsidRPr="0044795F" w:rsidR="004066F3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 xml:space="preserve">Number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>of dwellings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E79E4" w:rsidRDefault="00816D9A" w14:paraId="295C5F30" w14:textId="00451D1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eastAsia="Fira Sans Light" w:cs="Times New Roman"/>
                <w:color w:val="000000"/>
                <w:sz w:val="15"/>
                <w:szCs w:val="15"/>
              </w:rPr>
              <w:t>01-0</w:t>
            </w:r>
            <w:r w:rsidRPr="0044795F" w:rsidR="006E79E4">
              <w:rPr>
                <w:rFonts w:eastAsia="Fira Sans Light" w:cs="Times New Roman"/>
                <w:color w:val="000000"/>
                <w:sz w:val="15"/>
                <w:szCs w:val="15"/>
              </w:rPr>
              <w:t>5</w:t>
            </w:r>
            <w:r w:rsidRPr="0044795F" w:rsidR="004066F3">
              <w:rPr>
                <w:rFonts w:eastAsia="Fira Sans Light" w:cs="Times New Roman"/>
                <w:color w:val="000000"/>
                <w:sz w:val="15"/>
                <w:szCs w:val="15"/>
              </w:rPr>
              <w:t xml:space="preserve"> </w:t>
            </w:r>
            <w:r w:rsidRPr="0044795F" w:rsidR="004066F3">
              <w:rPr>
                <w:rFonts w:eastAsia="Fira Sans Light" w:cs="Times New Roman"/>
                <w:color w:val="000000"/>
                <w:sz w:val="15"/>
                <w:szCs w:val="15"/>
              </w:rPr>
              <w:br/>
              <w:t>2022=100</w:t>
            </w:r>
          </w:p>
        </w:tc>
      </w:tr>
      <w:tr w:rsidRPr="00944940" w:rsidR="00C01040" w:rsidTr="004066F3" w14:paraId="0E4114AC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</w:tcBorders>
            <w:vAlign w:val="center"/>
          </w:tcPr>
          <w:p w:rsidRPr="0044795F" w:rsidR="00C01040" w:rsidP="00C01040" w:rsidRDefault="00C01040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4795F" w:rsidR="00C01040" w:rsidP="006E79E4" w:rsidRDefault="00FB5B75" w14:paraId="23AD18BD" w14:textId="21B8E3F9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1</w:t>
            </w:r>
            <w:r w:rsidRPr="0044795F" w:rsidR="006E79E4">
              <w:rPr>
                <w:rFonts w:cs="Arial"/>
                <w:b/>
                <w:color w:val="000000" w:themeColor="text1"/>
                <w:sz w:val="15"/>
                <w:szCs w:val="15"/>
              </w:rPr>
              <w:t>6</w:t>
            </w:r>
            <w:r w:rsidRPr="0044795F" w:rsidR="002B15B7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44795F" w:rsidR="006E79E4">
              <w:rPr>
                <w:rFonts w:cs="Arial"/>
                <w:b/>
                <w:color w:val="000000" w:themeColor="text1"/>
                <w:sz w:val="15"/>
                <w:szCs w:val="15"/>
              </w:rPr>
              <w:t>372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4795F" w:rsidR="00C01040" w:rsidP="006E79E4" w:rsidRDefault="00B37FC5" w14:paraId="429AC8C7" w14:textId="411169B5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  <w:r w:rsidRPr="0044795F" w:rsidR="006E79E4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3</w:t>
            </w:r>
            <w:r w:rsidRPr="0044795F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Pr="0044795F" w:rsidR="006E79E4"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44795F" w:rsidR="00C01040" w:rsidP="00C01040" w:rsidRDefault="0086703D" w14:paraId="47154406" w14:textId="554EC1E6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112</w:t>
            </w:r>
            <w:r w:rsidRPr="0044795F" w:rsidR="00B37FC5">
              <w:rPr>
                <w:rFonts w:cs="Arial"/>
                <w:b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44795F" w:rsidR="00C01040" w:rsidP="0086703D" w:rsidRDefault="0086703D" w14:paraId="15DF69D5" w14:textId="24C9093C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69</w:t>
            </w:r>
            <w:r w:rsidRPr="0044795F" w:rsidR="002B15B7">
              <w:rPr>
                <w:rFonts w:cs="Arial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458</w:t>
            </w:r>
          </w:p>
        </w:tc>
        <w:tc>
          <w:tcPr>
            <w:tcW w:w="1058" w:type="dxa"/>
            <w:tcBorders>
              <w:top w:val="single" w:color="212492" w:sz="12" w:space="0"/>
              <w:right w:val="nil"/>
            </w:tcBorders>
            <w:vAlign w:val="center"/>
          </w:tcPr>
          <w:p w:rsidRPr="0044795F" w:rsidR="00C01040" w:rsidP="0086703D" w:rsidRDefault="00762E3E" w14:paraId="36EBC714" w14:textId="3FB51D42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44795F">
              <w:rPr>
                <w:rFonts w:cs="Arial"/>
                <w:b/>
                <w:color w:val="000000" w:themeColor="text1"/>
                <w:sz w:val="15"/>
                <w:szCs w:val="15"/>
              </w:rPr>
              <w:t>72.</w:t>
            </w:r>
            <w:r w:rsidRPr="0044795F" w:rsidR="0086703D">
              <w:rPr>
                <w:rFonts w:cs="Arial"/>
                <w:b/>
                <w:color w:val="000000" w:themeColor="text1"/>
                <w:sz w:val="15"/>
                <w:szCs w:val="15"/>
              </w:rPr>
              <w:t>6</w:t>
            </w:r>
          </w:p>
        </w:tc>
      </w:tr>
      <w:tr w:rsidRPr="00944940" w:rsidR="00C01040" w:rsidTr="004066F3" w14:paraId="1FF029D5" w14:textId="77777777">
        <w:trPr>
          <w:trHeight w:val="54"/>
        </w:trPr>
        <w:tc>
          <w:tcPr>
            <w:tcW w:w="2268" w:type="dxa"/>
            <w:vAlign w:val="center"/>
          </w:tcPr>
          <w:p w:rsidRPr="0044795F" w:rsidR="00C01040" w:rsidP="00C01040" w:rsidRDefault="00C01040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:rsidRPr="0044795F" w:rsidR="00C01040" w:rsidP="006E79E4" w:rsidRDefault="006E79E4" w14:paraId="591D9F98" w14:textId="0AFD691A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  <w:r w:rsidRPr="0044795F"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410</w:t>
            </w:r>
          </w:p>
        </w:tc>
        <w:tc>
          <w:tcPr>
            <w:tcW w:w="1134" w:type="dxa"/>
            <w:vAlign w:val="center"/>
          </w:tcPr>
          <w:p w:rsidRPr="0044795F" w:rsidR="00C01040" w:rsidP="0086703D" w:rsidRDefault="0086703D" w14:paraId="60807E6E" w14:textId="01E98DDD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84</w:t>
            </w:r>
            <w:r w:rsidRPr="0044795F" w:rsidR="00B37FC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86703D" w14:paraId="3C7F3799" w14:textId="04BDE98E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110</w:t>
            </w:r>
            <w:r w:rsidRPr="0044795F" w:rsidR="00027A3B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2B15B7" w14:paraId="7784C929" w14:textId="5C40B140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81</w:t>
            </w:r>
            <w:r w:rsidRPr="0044795F" w:rsidR="00816D9A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44795F" w:rsidR="00C01040" w:rsidP="0086703D" w:rsidRDefault="00816D9A" w14:paraId="3C262F44" w14:textId="7B1B55B8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7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  <w:r w:rsidRPr="0044795F"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</w:tr>
      <w:tr w:rsidRPr="00944940" w:rsidR="00C01040" w:rsidTr="004066F3" w14:paraId="304B4633" w14:textId="77777777">
        <w:trPr>
          <w:trHeight w:val="348"/>
        </w:trPr>
        <w:tc>
          <w:tcPr>
            <w:tcW w:w="2268" w:type="dxa"/>
            <w:vAlign w:val="center"/>
          </w:tcPr>
          <w:p w:rsidRPr="0044795F" w:rsidR="00C01040" w:rsidP="00C01040" w:rsidRDefault="00C01040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:rsidRPr="0044795F" w:rsidR="00C01040" w:rsidP="006E79E4" w:rsidRDefault="006E79E4" w14:paraId="15FC3415" w14:textId="3B5A1F4A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  <w:r w:rsidRPr="0044795F"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688</w:t>
            </w:r>
          </w:p>
        </w:tc>
        <w:tc>
          <w:tcPr>
            <w:tcW w:w="1134" w:type="dxa"/>
            <w:vAlign w:val="center"/>
          </w:tcPr>
          <w:p w:rsidRPr="0044795F" w:rsidR="00C01040" w:rsidP="0086703D" w:rsidRDefault="00B37FC5" w14:paraId="0766C893" w14:textId="4333C6DA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C01040" w:rsidRDefault="0086703D" w14:paraId="0D2952B2" w14:textId="145312EF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124</w:t>
            </w:r>
            <w:r w:rsidRPr="0044795F" w:rsidR="00B37FC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816D9A" w14:paraId="05563F59" w14:textId="27BFDED9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  <w:r w:rsidRPr="0044795F"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085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44795F" w:rsidR="00C01040" w:rsidP="0086703D" w:rsidRDefault="0086703D" w14:paraId="58C8F426" w14:textId="3F45EFFF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69</w:t>
            </w:r>
            <w:r w:rsidRPr="0044795F"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</w:tr>
      <w:tr w:rsidRPr="00944940" w:rsidR="00C01040" w:rsidTr="004066F3" w14:paraId="04BD52CD" w14:textId="77777777">
        <w:trPr>
          <w:trHeight w:val="347"/>
        </w:trPr>
        <w:tc>
          <w:tcPr>
            <w:tcW w:w="2268" w:type="dxa"/>
            <w:vAlign w:val="center"/>
          </w:tcPr>
          <w:p w:rsidRPr="0044795F" w:rsidR="00C01040" w:rsidP="00C01040" w:rsidRDefault="00C01040" w14:paraId="52D0D7AF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:rsidRPr="0044795F" w:rsidR="00C01040" w:rsidP="00C01040" w:rsidRDefault="006E79E4" w14:paraId="30EF4784" w14:textId="5A1FC6A9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60</w:t>
            </w:r>
          </w:p>
        </w:tc>
        <w:tc>
          <w:tcPr>
            <w:tcW w:w="1134" w:type="dxa"/>
            <w:vAlign w:val="center"/>
          </w:tcPr>
          <w:p w:rsidRPr="0044795F" w:rsidR="00C01040" w:rsidP="0086703D" w:rsidRDefault="0086703D" w14:paraId="66975EDA" w14:textId="6191E0F1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857</w:t>
            </w:r>
            <w:r w:rsidRPr="0044795F" w:rsidR="00B37FC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86703D" w14:paraId="581ED179" w14:textId="150E9E1A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157</w:t>
            </w:r>
            <w:r w:rsidRPr="0044795F" w:rsidR="00B37FC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86703D" w14:paraId="3156E799" w14:textId="77BBDD05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129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44795F" w:rsidR="00C01040" w:rsidP="0086703D" w:rsidRDefault="0086703D" w14:paraId="6DFFADD9" w14:textId="1334E703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60</w:t>
            </w:r>
            <w:r w:rsidRPr="0044795F"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6</w:t>
            </w:r>
          </w:p>
        </w:tc>
      </w:tr>
      <w:tr w:rsidRPr="00944940" w:rsidR="00C01040" w:rsidTr="00762E3E" w14:paraId="22E5F8B5" w14:textId="77777777">
        <w:trPr>
          <w:trHeight w:val="540"/>
        </w:trPr>
        <w:tc>
          <w:tcPr>
            <w:tcW w:w="2268" w:type="dxa"/>
            <w:vAlign w:val="center"/>
          </w:tcPr>
          <w:p w:rsidRPr="0044795F" w:rsidR="00C01040" w:rsidP="00C01040" w:rsidRDefault="00C01040" w14:paraId="6E1E246A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:rsidRPr="0044795F" w:rsidR="00C01040" w:rsidP="00C01040" w:rsidRDefault="00FB5B75" w14:paraId="1567DB37" w14:textId="39F3D773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:rsidRPr="0044795F" w:rsidR="00C01040" w:rsidP="00762E3E" w:rsidRDefault="00FB5B75" w14:paraId="4C518540" w14:textId="1CB94B70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C01040" w:rsidRDefault="00C01040" w14:paraId="6E71D1E5" w14:textId="2651A5D8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C01040" w:rsidRDefault="00C01040" w14:paraId="1F8E42BE" w14:textId="28659183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44795F" w:rsidR="00C01040" w:rsidP="00C01040" w:rsidRDefault="00816D9A" w14:paraId="27AABBA8" w14:textId="1D4F5C52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 xml:space="preserve">almost 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57</w:t>
            </w:r>
            <w:r w:rsidRPr="0044795F" w:rsidR="00C01040">
              <w:rPr>
                <w:rFonts w:cs="Arial"/>
                <w:color w:val="000000" w:themeColor="text1"/>
                <w:sz w:val="15"/>
                <w:szCs w:val="15"/>
              </w:rPr>
              <w:t>-</w:t>
            </w:r>
          </w:p>
          <w:p w:rsidRPr="0044795F" w:rsidR="00C01040" w:rsidP="00762E3E" w:rsidRDefault="00C01040" w14:paraId="2FA332F0" w14:textId="7FCFE850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fold less</w:t>
            </w:r>
          </w:p>
        </w:tc>
      </w:tr>
      <w:tr w:rsidRPr="00944940" w:rsidR="00C01040" w:rsidTr="004066F3" w14:paraId="4820AC1A" w14:textId="77777777">
        <w:trPr>
          <w:trHeight w:val="366"/>
        </w:trPr>
        <w:tc>
          <w:tcPr>
            <w:tcW w:w="2268" w:type="dxa"/>
            <w:vAlign w:val="center"/>
          </w:tcPr>
          <w:p w:rsidRPr="0044795F" w:rsidR="00C01040" w:rsidP="00C01040" w:rsidRDefault="00C01040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6E79E4" w14:paraId="196CFDC3" w14:textId="34F668BB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43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86703D" w14:paraId="054FE49B" w14:textId="28713043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33</w:t>
            </w:r>
            <w:r w:rsidRPr="0044795F" w:rsidR="00B37FC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 w:rsidR="00FB5B75">
              <w:rPr>
                <w:rFonts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86703D" w:rsidRDefault="0086703D" w14:paraId="6501BBB7" w14:textId="7FD847DA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477</w:t>
            </w:r>
            <w:r w:rsidRPr="0044795F"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C01040" w:rsidRDefault="0086703D" w14:paraId="0E8B382C" w14:textId="2ADD883B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229</w:t>
            </w:r>
          </w:p>
        </w:tc>
        <w:tc>
          <w:tcPr>
            <w:tcW w:w="1058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86703D" w:rsidRDefault="0086703D" w14:paraId="0DF6978D" w14:textId="673895BD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72</w:t>
            </w:r>
            <w:r w:rsidRPr="0044795F"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0</w:t>
            </w:r>
          </w:p>
        </w:tc>
      </w:tr>
      <w:tr w:rsidRPr="00944940" w:rsidR="00C01040" w:rsidTr="004066F3" w14:paraId="347BB134" w14:textId="77777777">
        <w:trPr>
          <w:trHeight w:val="348"/>
        </w:trPr>
        <w:tc>
          <w:tcPr>
            <w:tcW w:w="2268" w:type="dxa"/>
            <w:vAlign w:val="center"/>
          </w:tcPr>
          <w:p w:rsidRPr="0044795F" w:rsidR="00C01040" w:rsidP="00C01040" w:rsidRDefault="00C01040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:rsidRPr="0044795F" w:rsidR="00C01040" w:rsidP="00C01040" w:rsidRDefault="006E79E4" w14:paraId="018ECCAB" w14:textId="5391F406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sz w:val="15"/>
                <w:szCs w:val="15"/>
              </w:rPr>
              <w:t>91</w:t>
            </w:r>
          </w:p>
        </w:tc>
        <w:tc>
          <w:tcPr>
            <w:tcW w:w="1134" w:type="dxa"/>
            <w:vAlign w:val="center"/>
          </w:tcPr>
          <w:p w:rsidRPr="0044795F" w:rsidR="00C01040" w:rsidP="00B04E91" w:rsidRDefault="0086703D" w14:paraId="5E4E785D" w14:textId="252F5EB8">
            <w:pPr>
              <w:spacing w:before="0"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189.6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86703D" w14:paraId="036C6321" w14:textId="2D5E4F73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11</w:t>
            </w:r>
            <w:r w:rsidRPr="0044795F" w:rsidR="00B37FC5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44795F" w:rsidR="00C01040" w:rsidP="0086703D" w:rsidRDefault="00816D9A" w14:paraId="702391AC" w14:textId="444BC38B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Pr="0044795F" w:rsidR="002B15B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183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Pr="0044795F" w:rsidR="00C01040" w:rsidP="0086703D" w:rsidRDefault="00816D9A" w14:paraId="1F986587" w14:textId="5094EBB2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21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  <w:r w:rsidRPr="0044795F" w:rsidR="00762E3E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  <w:r w:rsidRPr="0044795F" w:rsidR="0086703D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</w:p>
        </w:tc>
      </w:tr>
      <w:tr w:rsidRPr="00944940" w:rsidR="00C01040" w:rsidTr="004066F3" w14:paraId="104777EA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44795F" w:rsidR="00C01040" w:rsidP="00C01040" w:rsidRDefault="00C01040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6E79E4" w14:paraId="15CE9B80" w14:textId="65B31531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sz w:val="15"/>
                <w:szCs w:val="15"/>
              </w:rPr>
              <w:t>140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44795F" w:rsidR="00C01040" w:rsidP="00C01040" w:rsidRDefault="00816D9A" w14:paraId="3230310D" w14:textId="7F480455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C01040" w:rsidRDefault="00C01040" w14:paraId="7DD6985C" w14:textId="45ADB82D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C01040" w:rsidRDefault="0086703D" w14:paraId="2C9FFD0E" w14:textId="7FD11A9A">
            <w:pPr>
              <w:spacing w:after="0"/>
              <w:jc w:val="right"/>
              <w:rPr>
                <w:sz w:val="15"/>
                <w:szCs w:val="15"/>
              </w:rPr>
            </w:pPr>
            <w:r w:rsidRPr="0044795F">
              <w:rPr>
                <w:sz w:val="15"/>
                <w:szCs w:val="15"/>
              </w:rPr>
              <w:t>142</w:t>
            </w:r>
          </w:p>
        </w:tc>
        <w:tc>
          <w:tcPr>
            <w:tcW w:w="1058" w:type="dxa"/>
            <w:tcBorders>
              <w:bottom w:val="single" w:color="212492" w:sz="4" w:space="0"/>
              <w:right w:val="nil"/>
            </w:tcBorders>
            <w:vAlign w:val="center"/>
          </w:tcPr>
          <w:p w:rsidRPr="0044795F" w:rsidR="00C01040" w:rsidP="0086703D" w:rsidRDefault="0086703D" w14:paraId="10BBD0D7" w14:textId="184D3848">
            <w:pPr>
              <w:spacing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 w:rsidRPr="0044795F">
              <w:rPr>
                <w:rFonts w:cs="Arial"/>
                <w:color w:val="000000" w:themeColor="text1"/>
                <w:sz w:val="15"/>
                <w:szCs w:val="15"/>
              </w:rPr>
              <w:t>443.8</w:t>
            </w:r>
          </w:p>
        </w:tc>
      </w:tr>
    </w:tbl>
    <w:p w:rsidRPr="00B11C46" w:rsidR="00154AC9" w:rsidP="0059068B" w:rsidRDefault="005D23AA" w14:paraId="34D75009" w14:textId="4F983592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86703D">
        <w:rPr>
          <w:szCs w:val="19"/>
          <w:shd w:val="clear" w:color="auto" w:fill="FFFFFF"/>
          <w:lang w:val="en-GB"/>
        </w:rPr>
        <w:t>May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816D9A">
        <w:rPr>
          <w:szCs w:val="19"/>
          <w:shd w:val="clear" w:color="auto" w:fill="FFFFFF"/>
          <w:lang w:val="en-GB"/>
        </w:rPr>
        <w:t>8</w:t>
      </w:r>
      <w:r w:rsidR="0086703D">
        <w:rPr>
          <w:szCs w:val="19"/>
          <w:shd w:val="clear" w:color="auto" w:fill="FFFFFF"/>
          <w:lang w:val="en-GB"/>
        </w:rPr>
        <w:t>08</w:t>
      </w:r>
      <w:r w:rsidR="00D93EA6">
        <w:rPr>
          <w:szCs w:val="19"/>
          <w:shd w:val="clear" w:color="auto" w:fill="FFFFFF"/>
          <w:lang w:val="en-GB"/>
        </w:rPr>
        <w:t>.</w:t>
      </w:r>
      <w:r w:rsidR="0086703D">
        <w:rPr>
          <w:szCs w:val="19"/>
          <w:shd w:val="clear" w:color="auto" w:fill="FFFFFF"/>
          <w:lang w:val="en-GB"/>
        </w:rPr>
        <w:t>8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816D9A">
        <w:rPr>
          <w:szCs w:val="19"/>
          <w:shd w:val="clear" w:color="auto" w:fill="FFFFFF"/>
          <w:lang w:val="en-GB"/>
        </w:rPr>
        <w:t>7.</w:t>
      </w:r>
      <w:r w:rsidR="0086703D">
        <w:rPr>
          <w:szCs w:val="19"/>
          <w:shd w:val="clear" w:color="auto" w:fill="FFFFFF"/>
          <w:lang w:val="en-GB"/>
        </w:rPr>
        <w:t>6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6851E8" w:rsidR="00FE1642" w:rsidP="00FE1642" w:rsidRDefault="00FE1642" w14:paraId="4BA5550F" w14:textId="225696E0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</w:p>
    <w:p w:rsidR="00185C4C" w:rsidP="009300BA" w:rsidRDefault="00944940" w14:paraId="051C1979" w14:textId="1F63AFC5">
      <w:pPr>
        <w:spacing w:after="0" w:line="288" w:lineRule="auto"/>
        <w:rPr>
          <w:noProof/>
          <w:spacing w:val="-2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15C4386" wp14:anchorId="50036E1A">
                <wp:simplePos x="0" y="0"/>
                <wp:positionH relativeFrom="page">
                  <wp:posOffset>5683885</wp:posOffset>
                </wp:positionH>
                <wp:positionV relativeFrom="paragraph">
                  <wp:posOffset>83649</wp:posOffset>
                </wp:positionV>
                <wp:extent cx="1832610" cy="1862455"/>
                <wp:effectExtent l="0" t="0" r="0" b="4445"/>
                <wp:wrapSquare wrapText="bothSides"/>
                <wp:docPr id="9" name="Pole tekstowe 2" descr="In May, compared to April 2023, the number of dwellings completed and for which permits have been granted or which have been registered with a construction project decreased (respectively by 14.5% and 9.2%), whereas the number of dwellings in which construction has begun increased (by 12.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6D17B1" w:rsidP="00903A58" w:rsidRDefault="006D17B1" w14:paraId="58FBF1C9" w14:textId="14BA7C0A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</w:t>
                            </w:r>
                            <w:r w:rsidRPr="00762E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</w:t>
                            </w:r>
                            <w:r w:rsidRPr="00AC2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permits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(respectively by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14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the </w:t>
                            </w:r>
                            <w:r w:rsidRPr="005C5C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number of dwellings in which construction has begun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C2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Pr="00D47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D47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D47D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9" style="position:absolute;margin-left:447.55pt;margin-top:6.6pt;width:144.3pt;height:146.6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May, compared to April 2023, the number of dwellings completed and for which permits have been granted or which have been registered with a construction project decreased (respectively by 14.5% and 9.2%), whereas the number of dwellings in which construction has begun increased (by 12.8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">
                <v:textbox>
                  <w:txbxContent>
                    <w:p w:rsidRPr="00AC3185" w:rsidR="006D17B1" w:rsidP="00903A58" w:rsidRDefault="006D17B1" w14:paraId="58FBF1C9" w14:textId="14BA7C0A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</w:t>
                      </w:r>
                      <w:r w:rsidRPr="00762E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</w:t>
                      </w:r>
                      <w:r w:rsidRPr="00AC2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permits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(respectively by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14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the </w:t>
                      </w:r>
                      <w:r w:rsidRPr="005C5C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number of dwellings in which construction has begun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C2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Pr="00D47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D47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D47D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A1F22" w:rsidR="00EA1F22"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editId="4E5AE392" wp14:anchorId="0DAB048B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5122545" cy="2288540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2021,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825" w:rsidR="00B04E91">
        <w:rPr>
          <w:noProof/>
          <w:lang w:val="en-GB" w:eastAsia="pl-PL"/>
        </w:rPr>
        <w:t xml:space="preserve"> </w:t>
      </w:r>
      <w:r w:rsidRPr="00AA0D59" w:rsidR="00AA0D59">
        <w:rPr>
          <w:noProof/>
          <w:lang w:val="en-GB" w:eastAsia="pl-PL"/>
        </w:rPr>
        <w:t xml:space="preserve"> </w:t>
      </w:r>
      <w:r w:rsidRPr="00B61A3E" w:rsidR="00B61A3E">
        <w:rPr>
          <w:lang w:val="en-GB"/>
        </w:rPr>
        <w:t xml:space="preserve"> </w:t>
      </w:r>
      <w:r w:rsidRPr="00672ADA" w:rsidR="00D611C6">
        <w:rPr>
          <w:noProof/>
          <w:lang w:val="en-GB" w:eastAsia="pl-PL"/>
        </w:rPr>
        <w:t xml:space="preserve"> </w:t>
      </w:r>
    </w:p>
    <w:p w:rsidR="00185C4C" w:rsidP="009300BA" w:rsidRDefault="00185C4C" w14:paraId="2209DEAC" w14:textId="6528C0E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6FB02A4C" w14:textId="0E03C45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01FEC523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BD175E8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7CAE2E6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3568D74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1EB7B19E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971A30D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78E8758D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2DF8612B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3522E7">
        <w:rPr>
          <w:noProof/>
          <w:spacing w:val="-2"/>
          <w:lang w:val="en-GB"/>
        </w:rPr>
        <w:t>May</w:t>
      </w:r>
      <w:r w:rsidR="006851E8">
        <w:rPr>
          <w:noProof/>
          <w:spacing w:val="-2"/>
          <w:lang w:val="en-GB"/>
        </w:rPr>
        <w:t xml:space="preserve"> 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1</w:t>
      </w:r>
      <w:r w:rsidR="003522E7">
        <w:rPr>
          <w:noProof/>
          <w:spacing w:val="-2"/>
          <w:lang w:val="en-GB"/>
        </w:rPr>
        <w:t>8</w:t>
      </w:r>
      <w:r w:rsidRPr="0080490A" w:rsidR="00D6223C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3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>, 1</w:t>
      </w:r>
      <w:r w:rsidR="003522E7">
        <w:rPr>
          <w:noProof/>
          <w:spacing w:val="-2"/>
          <w:lang w:val="en-GB"/>
        </w:rPr>
        <w:t>3</w:t>
      </w:r>
      <w:r w:rsidRPr="0080490A" w:rsidR="00465B75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8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1</w:t>
      </w:r>
      <w:r w:rsidR="003522E7">
        <w:rPr>
          <w:noProof/>
          <w:spacing w:val="-2"/>
          <w:lang w:val="en-GB"/>
        </w:rPr>
        <w:t>5</w:t>
      </w:r>
      <w:r w:rsidR="002B15B7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6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="003522E7">
        <w:rPr>
          <w:noProof/>
          <w:spacing w:val="-2"/>
          <w:lang w:val="en-GB"/>
        </w:rPr>
        <w:t>10</w:t>
      </w:r>
      <w:r w:rsidR="002B15B7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4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="003522E7">
        <w:rPr>
          <w:noProof/>
          <w:spacing w:val="-2"/>
          <w:lang w:val="en-GB"/>
        </w:rPr>
        <w:t>5</w:t>
      </w:r>
      <w:r w:rsidR="002B15B7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7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="003522E7">
        <w:rPr>
          <w:noProof/>
          <w:spacing w:val="-2"/>
          <w:lang w:val="en-GB"/>
        </w:rPr>
        <w:t>8</w:t>
      </w:r>
      <w:r w:rsidR="002B15B7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6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="003522E7">
        <w:rPr>
          <w:noProof/>
          <w:spacing w:val="-2"/>
          <w:lang w:val="en-GB"/>
        </w:rPr>
        <w:t>9</w:t>
      </w:r>
      <w:r w:rsidR="00AA0D59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2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="003522E7">
        <w:rPr>
          <w:noProof/>
          <w:spacing w:val="-2"/>
          <w:lang w:val="en-GB"/>
        </w:rPr>
        <w:t>7</w:t>
      </w:r>
      <w:r w:rsidR="00AA0D59">
        <w:rPr>
          <w:noProof/>
          <w:spacing w:val="-2"/>
          <w:lang w:val="en-GB"/>
        </w:rPr>
        <w:t xml:space="preserve">.2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="003522E7">
        <w:rPr>
          <w:noProof/>
          <w:spacing w:val="-2"/>
          <w:lang w:val="en-GB"/>
        </w:rPr>
        <w:t>10</w:t>
      </w:r>
      <w:r w:rsidRPr="0080490A" w:rsidR="00BB44BD">
        <w:rPr>
          <w:noProof/>
          <w:spacing w:val="-2"/>
          <w:lang w:val="en-GB"/>
        </w:rPr>
        <w:t>.</w:t>
      </w:r>
      <w:r w:rsidR="003522E7">
        <w:rPr>
          <w:noProof/>
          <w:spacing w:val="-2"/>
          <w:lang w:val="en-GB"/>
        </w:rPr>
        <w:t>1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339D47B6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3522E7">
        <w:rPr>
          <w:rFonts w:ascii="Fira Sans" w:hAnsi="Fira Sans"/>
          <w:b/>
          <w:color w:val="auto"/>
          <w:sz w:val="18"/>
          <w:szCs w:val="18"/>
          <w:lang w:val="en-GB"/>
        </w:rPr>
        <w:t>May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EA1F22" w14:paraId="4C3CD6AB" w14:textId="23EBC130">
      <w:pPr>
        <w:rPr>
          <w:lang w:val="en-GB"/>
        </w:rPr>
      </w:pPr>
      <w:r w:rsidRPr="00EA1F22">
        <w:rPr>
          <w:noProof/>
          <w:lang w:eastAsia="pl-PL"/>
        </w:rPr>
        <w:drawing>
          <wp:anchor distT="0" distB="0" distL="114300" distR="114300" simplePos="0" relativeHeight="251803648" behindDoc="0" locked="0" layoutInCell="1" allowOverlap="1" wp14:editId="223D5635" wp14:anchorId="48342AA6">
            <wp:simplePos x="0" y="0"/>
            <wp:positionH relativeFrom="margin">
              <wp:align>right</wp:align>
            </wp:positionH>
            <wp:positionV relativeFrom="paragraph">
              <wp:posOffset>128270</wp:posOffset>
            </wp:positionV>
            <wp:extent cx="5122545" cy="2464435"/>
            <wp:effectExtent l="0" t="0" r="1905" b="0"/>
            <wp:wrapNone/>
            <wp:docPr id="7" name="Obraz 7" descr="Number of dwellings completed, number of dwellings for which permits have been granted or which have been registered with a construction project and number of dwellings in which construction has begun in January - May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E1642" w:rsidR="00FE1642" w:rsidP="00FE1642" w:rsidRDefault="00FE1642" w14:paraId="6E5E8C6F" w14:textId="212502DE">
      <w:pPr>
        <w:rPr>
          <w:lang w:val="en-GB" w:eastAsia="pl-PL"/>
        </w:rPr>
      </w:pPr>
    </w:p>
    <w:p w:rsidR="007A22DD" w:rsidP="00A76D03" w:rsidRDefault="007A22DD" w14:paraId="7C86092F" w14:textId="39B5BE7A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5990724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677A1C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5967A654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1BD1962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8E0574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0E7A1B" w:rsidR="007E02D8" w:rsidP="006D17B1" w:rsidRDefault="007E02D8" w14:paraId="689F6069" w14:textId="1E6F6BC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944940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04AFB5C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7E02D8" w14:paraId="4172E5C5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editId="1E1B1159" wp14:anchorId="63DC865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8E0574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8E0574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8E0574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8E0574" w14:paraId="1E2DE728" w14:textId="07EFAEA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Pr="00086E4A" w:rsidR="00134DCC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</w:t>
              </w:r>
            </w:hyperlink>
          </w:p>
          <w:p w:rsidRPr="005E4843" w:rsidR="0045506B" w:rsidP="0045506B" w:rsidRDefault="008E0574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8E0574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8E0574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8E0574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5CF21927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BE483" w14:textId="77777777" w:rsidR="008E0574" w:rsidRDefault="008E0574" w:rsidP="000662E2">
      <w:pPr>
        <w:spacing w:after="0" w:line="240" w:lineRule="auto"/>
      </w:pPr>
      <w:r>
        <w:separator/>
      </w:r>
    </w:p>
  </w:endnote>
  <w:endnote w:type="continuationSeparator" w:id="0">
    <w:p w14:paraId="452B3FBE" w14:textId="77777777" w:rsidR="008E0574" w:rsidRDefault="008E057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7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4E8CE" w14:textId="77777777" w:rsidR="006D17B1" w:rsidRPr="007B4F73" w:rsidRDefault="006D17B1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6D17B1" w:rsidRDefault="006D17B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0849A" w14:textId="77777777" w:rsidR="008E0574" w:rsidRDefault="008E0574" w:rsidP="000662E2">
      <w:pPr>
        <w:spacing w:after="0" w:line="240" w:lineRule="auto"/>
      </w:pPr>
      <w:r>
        <w:separator/>
      </w:r>
    </w:p>
  </w:footnote>
  <w:footnote w:type="continuationSeparator" w:id="0">
    <w:p w14:paraId="3F6E1FC8" w14:textId="77777777" w:rsidR="008E0574" w:rsidRDefault="008E0574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6D17B1" w:rsidRPr="008C48C6" w:rsidRDefault="006D17B1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D17B1" w:rsidRDefault="006D17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6D17B1" w:rsidRDefault="006D17B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B6FEE48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2.06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751FC35D" w:rsidR="006D17B1" w:rsidRPr="00C97596" w:rsidRDefault="006D17B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A35D9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A50E23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2.06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ORi5Gy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751FC35D" w:rsidR="006D17B1" w:rsidRPr="00C97596" w:rsidRDefault="006D17B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A35D9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A50E23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6D17B1" w:rsidRPr="003C6C8D" w:rsidRDefault="006D17B1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6D17B1" w:rsidRPr="003C6C8D" w:rsidRDefault="006D17B1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6D17B1" w:rsidRDefault="006D17B1">
    <w:pPr>
      <w:pStyle w:val="Nagwek"/>
    </w:pPr>
  </w:p>
  <w:p w14:paraId="77A82982" w14:textId="77777777" w:rsidR="006D17B1" w:rsidRDefault="006D1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4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27A3B"/>
    <w:rsid w:val="0003236F"/>
    <w:rsid w:val="00033479"/>
    <w:rsid w:val="000334A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5A43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0581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5BDB"/>
    <w:rsid w:val="004E6E55"/>
    <w:rsid w:val="004E6F53"/>
    <w:rsid w:val="004F0C3C"/>
    <w:rsid w:val="004F2A2A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2D1C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B6CB4"/>
    <w:rsid w:val="005C16BE"/>
    <w:rsid w:val="005C20C8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1"/>
    <w:rsid w:val="006D17B3"/>
    <w:rsid w:val="006D194B"/>
    <w:rsid w:val="006D4054"/>
    <w:rsid w:val="006D53F2"/>
    <w:rsid w:val="006D5A05"/>
    <w:rsid w:val="006D5ABB"/>
    <w:rsid w:val="006D7F1E"/>
    <w:rsid w:val="006E02EC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0C1E"/>
    <w:rsid w:val="0075636C"/>
    <w:rsid w:val="007571FA"/>
    <w:rsid w:val="007573AD"/>
    <w:rsid w:val="00760FC2"/>
    <w:rsid w:val="00761C18"/>
    <w:rsid w:val="0076254F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16D9A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574"/>
    <w:rsid w:val="008E0933"/>
    <w:rsid w:val="008F1937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7208C"/>
    <w:rsid w:val="00A727A8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4E91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0AB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27D9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5C8B"/>
    <w:rsid w:val="00C0737D"/>
    <w:rsid w:val="00C14638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53F8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3AD"/>
    <w:rsid w:val="00DA23DE"/>
    <w:rsid w:val="00DA26F5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1F22"/>
    <w:rsid w:val="00EA20F6"/>
    <w:rsid w:val="00EA5D60"/>
    <w:rsid w:val="00EA644B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5B75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3A83"/>
    <w:rsid w:val="00FE6CB4"/>
    <w:rsid w:val="00FE705C"/>
    <w:rsid w:val="00FF1686"/>
    <w:rsid w:val="00FF37E0"/>
    <w:rsid w:val="00FF392D"/>
    <w:rsid w:val="00FF4261"/>
    <w:rsid w:val="00FF4E11"/>
    <w:rsid w:val="00FF4E3F"/>
    <w:rsid w:val="00FF5E10"/>
    <w:rsid w:val="00FF61AB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STAT\SIPAK</Osoba>
    <NazwaPliku xmlns="AD3641B4-23D9-4536-AF9E-7D0EADDEB824">residential_construction_in_the_period_of_january-may_2023.docx.docx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EC158AC9-88A4-4950-AA2C-8592BA4D5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2023-06-20T11:23:00Z</dcterms:created>
  <dcterms:modified xsi:type="dcterms:W3CDTF">2023-06-20T11:40:00Z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LUB-OSB.6360.4.2023.13</vt:lpwstr>
  </property>
  <property fmtid="{D5CDD505-2E9C-101B-9397-08002B2CF9AE}" pid="4" name="UNPPisma">
    <vt:lpwstr>2023-138532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styczeń-maj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2023-06-20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