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3EBC6096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B04E91">
        <w:rPr>
          <w:szCs w:val="32"/>
          <w:lang w:val="en-GB"/>
        </w:rPr>
        <w:t>April</w:t>
      </w:r>
      <w:r w:rsidR="00D860E0">
        <w:rPr>
          <w:szCs w:val="32"/>
          <w:lang w:val="en-GB"/>
        </w:rPr>
        <w:t xml:space="preserve"> </w:t>
      </w:r>
      <w:r w:rsidR="00C5234B">
        <w:rPr>
          <w:szCs w:val="32"/>
          <w:shd w:val="clear" w:color="auto" w:fill="FFFFFF"/>
          <w:lang w:val="en-GB"/>
        </w:rPr>
        <w:t>2023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1A5268FC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3FA35D0E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3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A4625F" w:rsidP="00A4625F" w:rsidRDefault="00F5217C" w14:paraId="0C77FD05" w14:textId="10572D8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5217C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D27B1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103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C5234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</w:t>
                            </w:r>
                          </w:p>
                          <w:p w:rsidRPr="00A4625F" w:rsidR="00941380" w:rsidP="00941380" w:rsidRDefault="00941380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Pr="00A96DEB" w:rsidR="005B659C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103.1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">
                <v:stroke joinstyle="miter"/>
                <v:textbox>
                  <w:txbxContent>
                    <w:p w:rsidRPr="00A4625F" w:rsidR="00A4625F" w:rsidP="00A4625F" w:rsidRDefault="00F5217C" w14:paraId="0C77FD05" w14:textId="10572D8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F5217C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D27B1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103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C5234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</w:t>
                      </w:r>
                    </w:p>
                    <w:p w:rsidRPr="00A4625F" w:rsidR="00941380" w:rsidP="00941380" w:rsidRDefault="00941380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Pr="00A96DEB" w:rsidR="005B659C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first </w:t>
      </w:r>
      <w:r w:rsidR="00D27B18">
        <w:rPr>
          <w:lang w:val="en-GB"/>
        </w:rPr>
        <w:t>four months</w:t>
      </w:r>
      <w:r w:rsidR="00F5217C">
        <w:rPr>
          <w:lang w:val="en-GB"/>
        </w:rPr>
        <w:t xml:space="preserve"> </w:t>
      </w:r>
      <w:r w:rsidR="00C5234B">
        <w:rPr>
          <w:lang w:val="en-GB"/>
        </w:rPr>
        <w:t>of 2023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F5217C">
        <w:rPr>
          <w:lang w:val="en-GB"/>
        </w:rPr>
        <w:t>more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F5217C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4E3AB222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3.8% and 44.6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574E89" w:rsidP="00B93B71" w:rsidRDefault="00574E89" w14:paraId="55217834" w14:textId="057D20D8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A0B18">
                              <w:rPr>
                                <w:lang w:val="en-US"/>
                              </w:rPr>
                              <w:t>53</w:t>
                            </w:r>
                            <w:r w:rsidRPr="006D53F2" w:rsidR="005744C0">
                              <w:rPr>
                                <w:lang w:val="en-US"/>
                              </w:rPr>
                              <w:t>.</w:t>
                            </w:r>
                            <w:r w:rsidR="001A0B18">
                              <w:rPr>
                                <w:lang w:val="en-US"/>
                              </w:rPr>
                              <w:t>8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1A0B18">
                              <w:rPr>
                                <w:lang w:val="en-US"/>
                              </w:rPr>
                              <w:t>44.6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53.8% and 44.6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AIW0DleAgAAcQQAAA4AAAAAAAAAAAAAAAAALgIAAGRycy9lMm9Eb2Mu&#10;eG1sUEsBAi0AFAAGAAgAAAAhALnFt7bdAAAACQEAAA8AAAAAAAAAAAAAAAAAuAQAAGRycy9kb3du&#10;cmV2LnhtbFBLBQYAAAAABAAEAPMAAADCBQAAAAA=&#10;">
                <v:textbox>
                  <w:txbxContent>
                    <w:p w:rsidRPr="00AD1492" w:rsidR="00574E89" w:rsidP="00B93B71" w:rsidRDefault="00574E89" w14:paraId="55217834" w14:textId="057D20D8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1A0B18">
                        <w:rPr>
                          <w:lang w:val="en-US"/>
                        </w:rPr>
                        <w:t>53</w:t>
                      </w:r>
                      <w:r w:rsidRPr="006D53F2" w:rsidR="005744C0">
                        <w:rPr>
                          <w:lang w:val="en-US"/>
                        </w:rPr>
                        <w:t>.</w:t>
                      </w:r>
                      <w:r w:rsidR="001A0B18">
                        <w:rPr>
                          <w:lang w:val="en-US"/>
                        </w:rPr>
                        <w:t>8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1A0B18">
                        <w:rPr>
                          <w:lang w:val="en-US"/>
                        </w:rPr>
                        <w:t>44.6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39D2D030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75.6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Pr="0080490A" w:rsidR="007432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period </w:t>
      </w:r>
      <w:r w:rsidRPr="0080490A" w:rsidR="004E1FC1">
        <w:rPr>
          <w:rFonts w:eastAsia="Times New Roman" w:cs="Times New Roman"/>
          <w:spacing w:val="-2"/>
          <w:szCs w:val="19"/>
          <w:lang w:val="en-GB" w:eastAsia="pl-PL"/>
        </w:rPr>
        <w:t>of</w:t>
      </w:r>
      <w:r w:rsidRPr="0080490A" w:rsidR="004862A6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331E59">
        <w:rPr>
          <w:rFonts w:eastAsia="Times New Roman" w:cs="Times New Roman"/>
          <w:spacing w:val="-2"/>
          <w:szCs w:val="19"/>
          <w:lang w:val="en-GB" w:eastAsia="pl-PL"/>
        </w:rPr>
        <w:t>January</w:t>
      </w:r>
      <w:r w:rsidR="000D396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331E59">
        <w:rPr>
          <w:rFonts w:eastAsia="Times New Roman" w:cs="Times New Roman"/>
          <w:spacing w:val="-2"/>
          <w:szCs w:val="19"/>
          <w:lang w:val="en-GB" w:eastAsia="pl-PL"/>
        </w:rPr>
        <w:t>-</w:t>
      </w:r>
      <w:r w:rsidR="000D396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April</w:t>
      </w:r>
      <w:r w:rsidRPr="0080490A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.1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80490A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0.5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80490A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80490A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6.6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Pr="0080490A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1.2</w:t>
      </w:r>
      <w:r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1.3</w:t>
      </w:r>
      <w:r w:rsidRPr="0080490A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0F4E994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Pr="0080490A" w:rsidR="005E3825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97</w:t>
      </w:r>
      <w:r w:rsidRPr="0080490A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Pr="009A4851" w:rsidR="009A4851" w:rsidTr="0059068B" w14:paraId="13F2CC0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EB12F3" w14:paraId="42912E84" w14:textId="0439D3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1A0B18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D860E0" w:rsidR="009A4851" w:rsidP="009A4851" w:rsidRDefault="001A0B18" w14:paraId="56B25EFC" w14:textId="679F0E3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01-04</w:t>
            </w:r>
            <w:r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9A4851" w:rsidR="009A4851" w:rsidTr="0059068B" w14:paraId="2F027FA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7C2881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EB12F3" w14:paraId="0C716BDB" w14:textId="44A4A51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1A0B18">
              <w:rPr>
                <w:color w:val="000000" w:themeColor="text1"/>
                <w:sz w:val="16"/>
                <w:szCs w:val="16"/>
              </w:rPr>
              <w:t>4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D860E0" w:rsidR="009A4851" w:rsidP="009A4851" w:rsidRDefault="00EB12F3" w14:paraId="76436707" w14:textId="41DF34F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1A0B18">
              <w:rPr>
                <w:color w:val="000000" w:themeColor="text1"/>
                <w:sz w:val="16"/>
                <w:szCs w:val="16"/>
              </w:rPr>
              <w:t>3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D860E0" w:rsidR="009A4851" w:rsidP="009A4851" w:rsidRDefault="007C2881" w14:paraId="12D479C5" w14:textId="762147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D860E0" w:rsidR="009A4851" w:rsidP="009A4851" w:rsidRDefault="00EB12F3" w14:paraId="7C5048B7" w14:textId="48A3D69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</w:t>
            </w:r>
            <w:r w:rsidR="001A0B18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F5217C" w:rsidTr="0059068B" w14:paraId="74C961E1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</w:tcBorders>
            <w:vAlign w:val="center"/>
          </w:tcPr>
          <w:p w:rsidRPr="00D860E0" w:rsidR="00F5217C" w:rsidP="00F5217C" w:rsidRDefault="00F5217C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652E3E" w:rsidR="00F5217C" w:rsidP="00F5217C" w:rsidRDefault="00D27B18" w14:paraId="74ED01BD" w14:textId="10E8D400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D27B18"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 w:rsidR="001A0B1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27B18">
              <w:rPr>
                <w:rFonts w:cs="Arial"/>
                <w:b/>
                <w:color w:val="000000" w:themeColor="text1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652E3E" w:rsidR="00F5217C" w:rsidP="00F5217C" w:rsidRDefault="00564219" w14:paraId="4368A5D2" w14:textId="6E511DB7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111</w:t>
            </w:r>
            <w:r w:rsidR="00C01040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AC083C" w:rsidR="00F5217C" w:rsidP="00F5217C" w:rsidRDefault="00564219" w14:paraId="20AE545D" w14:textId="275BB81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</w:t>
            </w:r>
            <w:r w:rsidRPr="00564219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652E3E" w:rsidR="00F5217C" w:rsidP="00F5217C" w:rsidRDefault="00564219" w14:paraId="5AE73CEA" w14:textId="4DEF788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64219">
              <w:rPr>
                <w:rFonts w:cs="Arial"/>
                <w:b/>
                <w:color w:val="000000" w:themeColor="text1"/>
                <w:sz w:val="16"/>
                <w:szCs w:val="16"/>
              </w:rPr>
              <w:t>75</w:t>
            </w:r>
            <w:r w:rsidR="001A0B1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64219">
              <w:rPr>
                <w:rFonts w:cs="Arial"/>
                <w:b/>
                <w:color w:val="000000" w:themeColor="text1"/>
                <w:sz w:val="16"/>
                <w:szCs w:val="16"/>
              </w:rPr>
              <w:t>563</w:t>
            </w:r>
          </w:p>
        </w:tc>
        <w:tc>
          <w:tcPr>
            <w:tcW w:w="1200" w:type="dxa"/>
            <w:tcBorders>
              <w:top w:val="single" w:color="212492" w:sz="12" w:space="0"/>
              <w:right w:val="nil"/>
            </w:tcBorders>
            <w:vAlign w:val="center"/>
          </w:tcPr>
          <w:p w:rsidRPr="00AC083C" w:rsidR="00F5217C" w:rsidP="00F5217C" w:rsidRDefault="00564219" w14:paraId="7418C1A2" w14:textId="3B9EB6C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Pr="0056421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Pr="009A4851" w:rsidR="00F5217C" w:rsidTr="0059068B" w14:paraId="1DBFB85F" w14:textId="77777777">
        <w:trPr>
          <w:trHeight w:val="54"/>
        </w:trPr>
        <w:tc>
          <w:tcPr>
            <w:tcW w:w="2268" w:type="dxa"/>
            <w:vAlign w:val="center"/>
          </w:tcPr>
          <w:p w:rsidRPr="00D860E0" w:rsidR="00F5217C" w:rsidP="00F5217C" w:rsidRDefault="00F5217C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D27B18" w14:paraId="255032DB" w14:textId="46CB95E6">
            <w:pPr>
              <w:spacing w:after="0"/>
              <w:jc w:val="right"/>
              <w:rPr>
                <w:sz w:val="16"/>
                <w:szCs w:val="16"/>
              </w:rPr>
            </w:pPr>
            <w:r w:rsidRPr="00D27B1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A0B1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D27B18">
              <w:rPr>
                <w:rFonts w:cs="Arial"/>
                <w:color w:val="000000" w:themeColor="text1"/>
                <w:sz w:val="16"/>
                <w:szCs w:val="16"/>
              </w:rPr>
              <w:t>025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564219" w14:paraId="10BBBDB9" w14:textId="59A6B78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0D6A2499" w14:textId="6DF2AF5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3C0AB283" w14:textId="2760A92E">
            <w:pPr>
              <w:spacing w:after="0"/>
              <w:jc w:val="right"/>
              <w:rPr>
                <w:sz w:val="16"/>
                <w:szCs w:val="16"/>
              </w:rPr>
            </w:pP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  <w:r w:rsidR="001A0B1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F5217C" w:rsidRDefault="00564219" w14:paraId="016F1686" w14:textId="5364169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9A4851" w:rsidR="00F5217C" w:rsidTr="0059068B" w14:paraId="6E2F06BB" w14:textId="77777777">
        <w:trPr>
          <w:trHeight w:val="348"/>
        </w:trPr>
        <w:tc>
          <w:tcPr>
            <w:tcW w:w="2268" w:type="dxa"/>
            <w:vAlign w:val="center"/>
          </w:tcPr>
          <w:p w:rsidRPr="00D860E0" w:rsidR="00F5217C" w:rsidP="00F5217C" w:rsidRDefault="00F5217C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D27B18" w14:paraId="23EE99E7" w14:textId="5B950716">
            <w:pPr>
              <w:spacing w:after="0"/>
              <w:jc w:val="right"/>
              <w:rPr>
                <w:sz w:val="16"/>
                <w:szCs w:val="16"/>
              </w:rPr>
            </w:pPr>
            <w:r w:rsidRPr="00D27B1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A0B1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D27B18">
              <w:rPr>
                <w:rFonts w:cs="Arial"/>
                <w:color w:val="000000" w:themeColor="text1"/>
                <w:sz w:val="16"/>
                <w:szCs w:val="16"/>
              </w:rPr>
              <w:t>550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564219" w14:paraId="1392F143" w14:textId="10650D8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7.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073E4F9D" w14:textId="33FE54C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7C80FD51" w14:textId="67F5A84C">
            <w:pPr>
              <w:spacing w:after="0"/>
              <w:jc w:val="right"/>
              <w:rPr>
                <w:sz w:val="16"/>
                <w:szCs w:val="16"/>
              </w:rPr>
            </w:pP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  <w:r w:rsidR="001A0B1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650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F5217C" w:rsidRDefault="00564219" w14:paraId="7B8310F8" w14:textId="64DCEA9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9A4851" w:rsidR="00F5217C" w:rsidTr="009669D2" w14:paraId="24AD4DF0" w14:textId="77777777">
        <w:trPr>
          <w:trHeight w:val="341"/>
        </w:trPr>
        <w:tc>
          <w:tcPr>
            <w:tcW w:w="2268" w:type="dxa"/>
            <w:vAlign w:val="center"/>
          </w:tcPr>
          <w:p w:rsidRPr="00D860E0" w:rsidR="00F5217C" w:rsidP="00F5217C" w:rsidRDefault="00F5217C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D27B18" w14:paraId="43E0B857" w14:textId="11D97CB3">
            <w:pPr>
              <w:spacing w:after="0"/>
              <w:jc w:val="right"/>
              <w:rPr>
                <w:sz w:val="16"/>
                <w:szCs w:val="16"/>
              </w:rPr>
            </w:pPr>
            <w:r w:rsidRPr="00D27B18">
              <w:rPr>
                <w:rFonts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564219" w14:paraId="1F0CCA82" w14:textId="13F9548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Pr="00652E3E" w:rsidR="00F5217C" w:rsidP="00F5217C" w:rsidRDefault="00564219" w14:paraId="48C19C17" w14:textId="143ADF1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138.</w:t>
            </w:r>
            <w:r w:rsidRPr="0056421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Pr="00652E3E" w:rsidR="00F5217C" w:rsidP="00F5217C" w:rsidRDefault="00564219" w14:paraId="468E0768" w14:textId="75BA5B44">
            <w:pPr>
              <w:spacing w:after="0"/>
              <w:jc w:val="right"/>
              <w:rPr>
                <w:sz w:val="16"/>
                <w:szCs w:val="16"/>
              </w:rPr>
            </w:pPr>
            <w:r w:rsidRPr="00564219">
              <w:rPr>
                <w:rFonts w:cs="Arial"/>
                <w:sz w:val="16"/>
                <w:szCs w:val="16"/>
              </w:rPr>
              <w:t>266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F5217C" w:rsidRDefault="00564219" w14:paraId="51BEED95" w14:textId="2406E9C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9A4851" w:rsidR="00F5217C" w:rsidTr="0059068B" w14:paraId="4DBF5999" w14:textId="77777777">
        <w:trPr>
          <w:trHeight w:val="359"/>
        </w:trPr>
        <w:tc>
          <w:tcPr>
            <w:tcW w:w="2268" w:type="dxa"/>
            <w:vAlign w:val="center"/>
          </w:tcPr>
          <w:p w:rsidRPr="00D860E0" w:rsidR="00F5217C" w:rsidP="00F5217C" w:rsidRDefault="00F5217C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D27B18" w14:paraId="69E2D56C" w14:textId="3F096225">
            <w:pPr>
              <w:spacing w:after="0"/>
              <w:jc w:val="right"/>
              <w:rPr>
                <w:sz w:val="16"/>
                <w:szCs w:val="16"/>
              </w:rPr>
            </w:pPr>
            <w:r w:rsidRPr="00D27B18">
              <w:rPr>
                <w:rFonts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Pr="00E104E2" w:rsidR="00F5217C" w:rsidP="00F5217C" w:rsidRDefault="00564219" w14:paraId="3E22814D" w14:textId="0D6E011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400ED" w:rsidR="00F5217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E104E2" w:rsidR="00F5217C" w:rsidP="00F5217C" w:rsidRDefault="00564219" w14:paraId="4CC7447C" w14:textId="2C94A13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139B16E7" w14:textId="06933195">
            <w:pPr>
              <w:spacing w:after="0"/>
              <w:jc w:val="right"/>
              <w:rPr>
                <w:sz w:val="16"/>
                <w:szCs w:val="16"/>
              </w:rPr>
            </w:pP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453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F5217C" w:rsidRDefault="00564219" w14:paraId="3FCA44D4" w14:textId="24AD17C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9A4851" w:rsidR="00F5217C" w:rsidTr="0059068B" w14:paraId="2FCEF9DB" w14:textId="77777777">
        <w:trPr>
          <w:trHeight w:val="366"/>
        </w:trPr>
        <w:tc>
          <w:tcPr>
            <w:tcW w:w="2268" w:type="dxa"/>
            <w:vAlign w:val="center"/>
          </w:tcPr>
          <w:p w:rsidRPr="00D860E0" w:rsidR="00F5217C" w:rsidP="00F5217C" w:rsidRDefault="00F5217C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D27B18" w14:paraId="7E5E83FB" w14:textId="330B1C83">
            <w:pPr>
              <w:spacing w:after="0"/>
              <w:jc w:val="right"/>
              <w:rPr>
                <w:sz w:val="16"/>
                <w:szCs w:val="16"/>
              </w:rPr>
            </w:pPr>
            <w:r w:rsidRPr="00D27B18">
              <w:rPr>
                <w:rFonts w:cs="Arial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center"/>
          </w:tcPr>
          <w:p w:rsidRPr="00652E3E" w:rsidR="00F5217C" w:rsidP="00C01040" w:rsidRDefault="00564219" w14:paraId="0AFA2421" w14:textId="092188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407.7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3948C7DA" w14:textId="55EE599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3827C313" w14:textId="5ABC79C9">
            <w:pPr>
              <w:spacing w:after="0"/>
              <w:jc w:val="right"/>
              <w:rPr>
                <w:sz w:val="16"/>
                <w:szCs w:val="16"/>
              </w:rPr>
            </w:pP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273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F5217C" w:rsidRDefault="00564219" w14:paraId="68737150" w14:textId="3744986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183.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9A4851" w:rsidR="00F5217C" w:rsidTr="0059068B" w14:paraId="79AE12F9" w14:textId="77777777">
        <w:trPr>
          <w:trHeight w:val="348"/>
        </w:trPr>
        <w:tc>
          <w:tcPr>
            <w:tcW w:w="2268" w:type="dxa"/>
            <w:vAlign w:val="center"/>
          </w:tcPr>
          <w:p w:rsidRPr="00D860E0" w:rsidR="00F5217C" w:rsidP="00F5217C" w:rsidRDefault="00F5217C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564219" w14:paraId="60773A35" w14:textId="412CE9A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564219" w14:paraId="5900F285" w14:textId="03D693A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1464CE68" w14:textId="71DA8A5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F5217C" w14:paraId="7A4F2972" w14:textId="28C80D61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490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F5217C" w:rsidRDefault="00C01040" w14:paraId="49F5E70F" w14:textId="2FCF56D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9A4851" w:rsidR="00F5217C" w:rsidTr="0059068B" w14:paraId="16EEE8B3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D860E0" w:rsidR="00F5217C" w:rsidP="00F5217C" w:rsidRDefault="00F5217C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652E3E" w:rsidR="00F5217C" w:rsidP="00F5217C" w:rsidRDefault="00564219" w14:paraId="6BBF9FB1" w14:textId="5B4B376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652E3E" w:rsidR="00F5217C" w:rsidP="00F5217C" w:rsidRDefault="00F5217C" w14:paraId="315E4888" w14:textId="17075DA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652E3E" w:rsidR="00F5217C" w:rsidP="00F5217C" w:rsidRDefault="00564219" w14:paraId="09114D5F" w14:textId="0FD9E90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652E3E" w:rsidR="00F5217C" w:rsidP="00F5217C" w:rsidRDefault="00F5217C" w14:paraId="77D1DF52" w14:textId="0001145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bottom w:val="single" w:color="212492" w:sz="4" w:space="0"/>
              <w:right w:val="nil"/>
            </w:tcBorders>
            <w:vAlign w:val="center"/>
          </w:tcPr>
          <w:p w:rsidRPr="00652E3E" w:rsidR="00F5217C" w:rsidP="00C01040" w:rsidRDefault="00564219" w14:paraId="49713444" w14:textId="0453BA48">
            <w:pPr>
              <w:spacing w:after="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almost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11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="00C01040"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proofErr w:type="spellEnd"/>
            <w:r w:rsidR="00F5217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7E02D8" w14:paraId="2D03BCD7" w14:textId="5F68602A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1D070117" wp14:anchorId="51E55D6D">
                <wp:simplePos x="0" y="0"/>
                <wp:positionH relativeFrom="page">
                  <wp:posOffset>5677469</wp:posOffset>
                </wp:positionH>
                <wp:positionV relativeFrom="paragraph">
                  <wp:posOffset>247508</wp:posOffset>
                </wp:positionV>
                <wp:extent cx="1884841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January - April 2023 by 32.0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41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574E89" w:rsidP="00C47CE4" w:rsidRDefault="00574E89" w14:paraId="35DCCB4E" w14:textId="4CF5A51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>in</w:t>
                            </w:r>
                            <w:r w:rsidR="00FD550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B6CB4">
                              <w:rPr>
                                <w:lang w:val="en-US"/>
                              </w:rPr>
                              <w:t xml:space="preserve">the </w:t>
                            </w:r>
                            <w:r w:rsidRPr="00B04E91" w:rsidR="00B04E91">
                              <w:rPr>
                                <w:lang w:val="en-GB"/>
                              </w:rPr>
                              <w:t xml:space="preserve">period of January - April </w:t>
                            </w:r>
                            <w:r w:rsidR="005B6CB4">
                              <w:rPr>
                                <w:lang w:val="en-US"/>
                              </w:rPr>
                              <w:t>2023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FB5B75">
                              <w:rPr>
                                <w:lang w:val="en-US"/>
                              </w:rPr>
                              <w:t>32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FB5B75">
                              <w:rPr>
                                <w:lang w:val="en-US"/>
                              </w:rPr>
                              <w:t>0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447.05pt;margin-top:19.5pt;width:148.4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lt="The number of dwellings for which permits have been granted or which have been registered with a construction project decreased in the period of January - April 2023 by 32.0% y/y 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" w14:anchorId="51E55D6D">
                <v:textbox>
                  <w:txbxContent>
                    <w:p w:rsidRPr="00AD1492" w:rsidR="00574E89" w:rsidP="00C47CE4" w:rsidRDefault="00574E89" w14:paraId="35DCCB4E" w14:textId="4CF5A515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>in</w:t>
                      </w:r>
                      <w:r w:rsidR="00FD5504">
                        <w:rPr>
                          <w:lang w:val="en-US"/>
                        </w:rPr>
                        <w:t xml:space="preserve"> </w:t>
                      </w:r>
                      <w:r w:rsidR="005B6CB4">
                        <w:rPr>
                          <w:lang w:val="en-US"/>
                        </w:rPr>
                        <w:t xml:space="preserve">the </w:t>
                      </w:r>
                      <w:r w:rsidRPr="00B04E91" w:rsidR="00B04E91">
                        <w:rPr>
                          <w:lang w:val="en-GB"/>
                        </w:rPr>
                        <w:t xml:space="preserve">period of January - April </w:t>
                      </w:r>
                      <w:r w:rsidR="005B6CB4">
                        <w:rPr>
                          <w:lang w:val="en-US"/>
                        </w:rPr>
                        <w:t>2023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FB5B75">
                        <w:rPr>
                          <w:lang w:val="en-US"/>
                        </w:rPr>
                        <w:t>32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FB5B75">
                        <w:rPr>
                          <w:lang w:val="en-US"/>
                        </w:rPr>
                        <w:t>0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80490A" w:rsidR="00C47CE4" w:rsidP="009300BA" w:rsidRDefault="002B15B7" w14:paraId="03705375" w14:textId="6290C613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>In the period of January - April 2023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constru</w:t>
      </w:r>
      <w:r w:rsidR="00FB5B75">
        <w:rPr>
          <w:noProof/>
          <w:lang w:val="en-GB"/>
        </w:rPr>
        <w:t>c</w:t>
      </w:r>
      <w:r w:rsidRPr="0080490A" w:rsidR="00C47CE4">
        <w:rPr>
          <w:noProof/>
          <w:lang w:val="en-GB"/>
        </w:rPr>
        <w:t xml:space="preserve">tion of </w:t>
      </w:r>
      <w:r w:rsidR="00FB5B75">
        <w:rPr>
          <w:noProof/>
          <w:lang w:val="en-GB"/>
        </w:rPr>
        <w:t>72</w:t>
      </w:r>
      <w:r w:rsidRPr="0080490A" w:rsidR="00DE7DD4">
        <w:rPr>
          <w:noProof/>
          <w:lang w:val="en-GB"/>
        </w:rPr>
        <w:t>.</w:t>
      </w:r>
      <w:r w:rsidR="00FB5B75">
        <w:rPr>
          <w:noProof/>
          <w:lang w:val="en-GB"/>
        </w:rPr>
        <w:t>1</w:t>
      </w:r>
      <w:r w:rsidRPr="0080490A" w:rsidR="00C571F3">
        <w:rPr>
          <w:noProof/>
          <w:lang w:val="en-GB"/>
        </w:rPr>
        <w:t> </w:t>
      </w:r>
      <w:r w:rsidRPr="0080490A" w:rsidR="00086F9F">
        <w:rPr>
          <w:noProof/>
          <w:lang w:val="en-GB"/>
        </w:rPr>
        <w:t>thous</w:t>
      </w:r>
      <w:r w:rsidRPr="0080490A" w:rsidR="000348CC">
        <w:rPr>
          <w:noProof/>
          <w:lang w:val="en-GB"/>
        </w:rPr>
        <w:t>and</w:t>
      </w:r>
      <w:r w:rsidRPr="0080490A" w:rsidR="00FD0C2F">
        <w:rPr>
          <w:noProof/>
          <w:lang w:val="en-GB"/>
        </w:rPr>
        <w:t xml:space="preserve"> dwellings, </w:t>
      </w:r>
      <w:r w:rsidRPr="0080490A" w:rsidR="00C47CE4">
        <w:rPr>
          <w:noProof/>
          <w:lang w:val="en-GB"/>
        </w:rPr>
        <w:t xml:space="preserve">i.e. by </w:t>
      </w:r>
      <w:r w:rsidR="00FB5B75">
        <w:rPr>
          <w:noProof/>
          <w:lang w:val="en-GB"/>
        </w:rPr>
        <w:t>32</w:t>
      </w:r>
      <w:r w:rsidRPr="0080490A" w:rsidR="00E245E1">
        <w:rPr>
          <w:noProof/>
          <w:lang w:val="en-GB"/>
        </w:rPr>
        <w:t>.</w:t>
      </w:r>
      <w:r w:rsidR="00FB5B75">
        <w:rPr>
          <w:noProof/>
          <w:lang w:val="en-GB"/>
        </w:rPr>
        <w:t>0</w:t>
      </w:r>
      <w:r w:rsidRPr="0080490A" w:rsidR="00C47CE4">
        <w:rPr>
          <w:noProof/>
          <w:lang w:val="en-GB"/>
        </w:rPr>
        <w:t xml:space="preserve">% </w:t>
      </w:r>
      <w:r w:rsidRPr="0080490A" w:rsidR="004862A6">
        <w:rPr>
          <w:noProof/>
          <w:lang w:val="en-GB"/>
        </w:rPr>
        <w:t>less</w:t>
      </w:r>
      <w:r w:rsidRPr="0080490A" w:rsidR="00C47CE4">
        <w:rPr>
          <w:noProof/>
          <w:lang w:val="en-GB"/>
        </w:rPr>
        <w:t xml:space="preserve"> than in</w:t>
      </w:r>
      <w:r w:rsidR="000334AE">
        <w:rPr>
          <w:noProof/>
          <w:lang w:val="en-GB"/>
        </w:rPr>
        <w:t xml:space="preserve"> the corresponding period of</w:t>
      </w:r>
      <w:r w:rsidRPr="0080490A" w:rsidR="00C47CE4">
        <w:rPr>
          <w:noProof/>
          <w:lang w:val="en-GB"/>
        </w:rPr>
        <w:t xml:space="preserve"> </w:t>
      </w:r>
      <w:r w:rsidR="00B54025">
        <w:rPr>
          <w:noProof/>
          <w:lang w:val="en-GB"/>
        </w:rPr>
        <w:t>2022</w:t>
      </w:r>
      <w:r w:rsidRPr="0080490A" w:rsidR="00856FE3">
        <w:rPr>
          <w:noProof/>
          <w:lang w:val="en-GB"/>
        </w:rPr>
        <w:t xml:space="preserve">. </w:t>
      </w:r>
      <w:r w:rsidRPr="0080490A" w:rsidR="00C47CE4">
        <w:rPr>
          <w:noProof/>
          <w:lang w:val="en-GB"/>
        </w:rPr>
        <w:t>Permits for construction of the biggest nu</w:t>
      </w:r>
      <w:r w:rsidR="006851E8">
        <w:rPr>
          <w:noProof/>
          <w:lang w:val="en-GB"/>
        </w:rPr>
        <w:t xml:space="preserve">mber of dwellings were given to </w:t>
      </w:r>
      <w:r w:rsidRPr="0080490A" w:rsidR="00435283">
        <w:rPr>
          <w:noProof/>
          <w:lang w:val="en-GB"/>
        </w:rPr>
        <w:t xml:space="preserve">developers </w:t>
      </w:r>
      <w:r w:rsidRPr="0080490A" w:rsidR="00BD1D77">
        <w:rPr>
          <w:noProof/>
          <w:lang w:val="en-GB"/>
        </w:rPr>
        <w:t>(</w:t>
      </w:r>
      <w:r w:rsidR="00FB5B75">
        <w:rPr>
          <w:noProof/>
          <w:lang w:val="en-GB"/>
        </w:rPr>
        <w:t>48.5</w:t>
      </w:r>
      <w:r w:rsidRPr="0080490A" w:rsidR="000D0D69">
        <w:rPr>
          <w:noProof/>
          <w:lang w:val="en-GB"/>
        </w:rPr>
        <w:t> </w:t>
      </w:r>
      <w:r w:rsidRPr="0080490A" w:rsidR="00086F9F">
        <w:rPr>
          <w:noProof/>
          <w:lang w:val="en-GB"/>
        </w:rPr>
        <w:t>thous</w:t>
      </w:r>
      <w:r w:rsidRPr="0080490A" w:rsidR="000348CC">
        <w:rPr>
          <w:noProof/>
          <w:lang w:val="en-GB"/>
        </w:rPr>
        <w:t>and</w:t>
      </w:r>
      <w:r w:rsidR="00FF4261">
        <w:rPr>
          <w:noProof/>
          <w:lang w:val="en-GB"/>
        </w:rPr>
        <w:t xml:space="preserve">, a </w:t>
      </w:r>
      <w:r w:rsidR="00FB5B75">
        <w:rPr>
          <w:noProof/>
          <w:lang w:val="en-GB"/>
        </w:rPr>
        <w:t>decrease of 31.6</w:t>
      </w:r>
      <w:r w:rsidRPr="0080490A" w:rsidR="008A130C">
        <w:rPr>
          <w:noProof/>
          <w:lang w:val="en-GB"/>
        </w:rPr>
        <w:t>%</w:t>
      </w:r>
      <w:r w:rsidRPr="0080490A" w:rsidR="00FE3A83">
        <w:rPr>
          <w:noProof/>
          <w:lang w:val="en-GB"/>
        </w:rPr>
        <w:t xml:space="preserve"> y/y</w:t>
      </w:r>
      <w:r w:rsidRPr="0080490A" w:rsidR="00BD1D77">
        <w:rPr>
          <w:noProof/>
          <w:lang w:val="en-GB"/>
        </w:rPr>
        <w:t>)</w:t>
      </w:r>
      <w:r w:rsidRPr="0080490A" w:rsidR="00C47CE4">
        <w:rPr>
          <w:noProof/>
          <w:lang w:val="en-GB"/>
        </w:rPr>
        <w:t xml:space="preserve"> and to private investors</w:t>
      </w:r>
      <w:r w:rsidRPr="0080490A" w:rsidR="00BD1D77">
        <w:rPr>
          <w:noProof/>
          <w:lang w:val="en-GB"/>
        </w:rPr>
        <w:t xml:space="preserve"> (</w:t>
      </w:r>
      <w:r w:rsidR="00FB5B75">
        <w:rPr>
          <w:noProof/>
          <w:lang w:val="en-GB"/>
        </w:rPr>
        <w:t>21</w:t>
      </w:r>
      <w:r w:rsidRPr="0080490A" w:rsidR="00DE7DD4">
        <w:rPr>
          <w:noProof/>
          <w:lang w:val="en-GB"/>
        </w:rPr>
        <w:t>.</w:t>
      </w:r>
      <w:r w:rsidR="00B54025">
        <w:rPr>
          <w:noProof/>
          <w:lang w:val="en-GB"/>
        </w:rPr>
        <w:t>6</w:t>
      </w:r>
      <w:r w:rsidRPr="0080490A" w:rsidR="00B11C46">
        <w:rPr>
          <w:noProof/>
          <w:lang w:val="en-GB"/>
        </w:rPr>
        <w:t> </w:t>
      </w:r>
      <w:r w:rsidRPr="0080490A" w:rsidR="00086F9F">
        <w:rPr>
          <w:noProof/>
          <w:lang w:val="en-GB"/>
        </w:rPr>
        <w:t>thous</w:t>
      </w:r>
      <w:r w:rsidRPr="0080490A" w:rsidR="000348CC">
        <w:rPr>
          <w:noProof/>
          <w:lang w:val="en-GB"/>
        </w:rPr>
        <w:t>and</w:t>
      </w:r>
      <w:r w:rsidR="006851E8">
        <w:rPr>
          <w:noProof/>
          <w:lang w:val="en-GB"/>
        </w:rPr>
        <w:t>, a </w:t>
      </w:r>
      <w:r w:rsidR="00FD02E4">
        <w:rPr>
          <w:noProof/>
          <w:lang w:val="en-GB"/>
        </w:rPr>
        <w:t xml:space="preserve">decrease of </w:t>
      </w:r>
      <w:r w:rsidR="00FB5B75">
        <w:rPr>
          <w:noProof/>
          <w:lang w:val="en-GB"/>
        </w:rPr>
        <w:t>34.6</w:t>
      </w:r>
      <w:r w:rsidRPr="0080490A" w:rsidR="00FE3A83">
        <w:rPr>
          <w:noProof/>
          <w:lang w:val="en-GB"/>
        </w:rPr>
        <w:t>%</w:t>
      </w:r>
      <w:r w:rsidRPr="0080490A" w:rsidR="00BD1D77">
        <w:rPr>
          <w:noProof/>
          <w:lang w:val="en-GB"/>
        </w:rPr>
        <w:t>)</w:t>
      </w:r>
      <w:r w:rsidRPr="0080490A" w:rsidR="00CF36C5">
        <w:rPr>
          <w:noProof/>
          <w:lang w:val="en-GB"/>
        </w:rPr>
        <w:t xml:space="preserve">. </w:t>
      </w:r>
      <w:r w:rsidRPr="0080490A" w:rsidR="000A40DF">
        <w:rPr>
          <w:noProof/>
          <w:lang w:val="en-GB"/>
        </w:rPr>
        <w:t>W</w:t>
      </w:r>
      <w:r w:rsidRPr="0080490A" w:rsidR="003B05CF">
        <w:rPr>
          <w:noProof/>
          <w:lang w:val="en-GB"/>
        </w:rPr>
        <w:t>ithin</w:t>
      </w:r>
      <w:r w:rsidRPr="0080490A" w:rsidR="00507D43">
        <w:rPr>
          <w:noProof/>
          <w:lang w:val="en-GB"/>
        </w:rPr>
        <w:t xml:space="preserve"> </w:t>
      </w:r>
      <w:r w:rsidRPr="0080490A" w:rsidR="000A7C88">
        <w:rPr>
          <w:noProof/>
          <w:lang w:val="en-GB"/>
        </w:rPr>
        <w:t xml:space="preserve">these forms </w:t>
      </w:r>
      <w:r w:rsidRPr="0080490A" w:rsidR="003D5833">
        <w:rPr>
          <w:noProof/>
          <w:lang w:val="en-GB"/>
        </w:rPr>
        <w:t>of construction</w:t>
      </w:r>
      <w:r w:rsidRPr="0080490A" w:rsidR="000A40DF">
        <w:rPr>
          <w:noProof/>
          <w:lang w:val="en-GB"/>
        </w:rPr>
        <w:t xml:space="preserve">, </w:t>
      </w:r>
      <w:r w:rsidRPr="0080490A" w:rsidR="00AE2B3C">
        <w:rPr>
          <w:noProof/>
          <w:lang w:val="en-GB"/>
        </w:rPr>
        <w:t xml:space="preserve">permits have been granted </w:t>
      </w:r>
      <w:r w:rsidR="00C01040">
        <w:rPr>
          <w:noProof/>
          <w:lang w:val="en-GB"/>
        </w:rPr>
        <w:t xml:space="preserve">and registrations with a </w:t>
      </w:r>
      <w:r w:rsidRPr="0080490A" w:rsidR="000A40DF">
        <w:rPr>
          <w:noProof/>
          <w:lang w:val="en-GB"/>
        </w:rPr>
        <w:t>construction project were made for</w:t>
      </w:r>
      <w:r w:rsidR="00FB5B75">
        <w:rPr>
          <w:noProof/>
          <w:lang w:val="en-GB"/>
        </w:rPr>
        <w:t xml:space="preserve"> 97</w:t>
      </w:r>
      <w:r w:rsidRPr="0080490A" w:rsidR="001A1F89">
        <w:rPr>
          <w:noProof/>
          <w:lang w:val="en-GB"/>
        </w:rPr>
        <w:t>.</w:t>
      </w:r>
      <w:r w:rsidR="00FB5B75">
        <w:rPr>
          <w:noProof/>
          <w:lang w:val="en-GB"/>
        </w:rPr>
        <w:t>3</w:t>
      </w:r>
      <w:r w:rsidRPr="0080490A" w:rsidR="000A7C88">
        <w:rPr>
          <w:noProof/>
          <w:lang w:val="en-GB"/>
        </w:rPr>
        <w:t>% of dwellings</w:t>
      </w:r>
      <w:r w:rsidRPr="0080490A" w:rsidR="000A40DF">
        <w:rPr>
          <w:noProof/>
          <w:lang w:val="en-GB"/>
        </w:rPr>
        <w:t xml:space="preserve"> in total</w:t>
      </w:r>
      <w:r w:rsidRPr="0080490A" w:rsidR="00507D43">
        <w:rPr>
          <w:noProof/>
          <w:lang w:val="en-GB"/>
        </w:rPr>
        <w:t xml:space="preserve">. </w:t>
      </w:r>
      <w:r w:rsidRPr="0080490A" w:rsidR="00A7208C">
        <w:rPr>
          <w:noProof/>
          <w:lang w:val="en-GB"/>
        </w:rPr>
        <w:t>In</w:t>
      </w:r>
      <w:r w:rsidRPr="0080490A" w:rsidR="00C214E1">
        <w:rPr>
          <w:noProof/>
          <w:lang w:val="en-GB"/>
        </w:rPr>
        <w:t xml:space="preserve"> </w:t>
      </w:r>
      <w:r w:rsidRPr="0080490A" w:rsidR="00B64363">
        <w:rPr>
          <w:noProof/>
          <w:lang w:val="en-GB"/>
        </w:rPr>
        <w:t xml:space="preserve">other forms of construction </w:t>
      </w:r>
      <w:r w:rsidR="00FB5B75">
        <w:rPr>
          <w:noProof/>
          <w:lang w:val="en-GB"/>
        </w:rPr>
        <w:t>2.0</w:t>
      </w:r>
      <w:r w:rsidR="00155948">
        <w:rPr>
          <w:noProof/>
          <w:lang w:val="en-GB"/>
        </w:rPr>
        <w:t> </w:t>
      </w:r>
      <w:r w:rsidRPr="00DE2F35" w:rsidR="00DE2F35">
        <w:rPr>
          <w:noProof/>
          <w:lang w:val="en-GB"/>
        </w:rPr>
        <w:t xml:space="preserve">thousand </w:t>
      </w:r>
      <w:r w:rsidRPr="0080490A" w:rsidR="00B64363">
        <w:rPr>
          <w:noProof/>
          <w:lang w:val="en-GB"/>
        </w:rPr>
        <w:t xml:space="preserve">dwellings </w:t>
      </w:r>
      <w:r w:rsidRPr="0080490A" w:rsidR="00507D43">
        <w:rPr>
          <w:noProof/>
          <w:lang w:val="en-GB"/>
        </w:rPr>
        <w:t xml:space="preserve">for which permits have been granted or which have been registered </w:t>
      </w:r>
      <w:r w:rsidRPr="0080490A" w:rsidR="000E65E1">
        <w:rPr>
          <w:noProof/>
          <w:lang w:val="en-GB"/>
        </w:rPr>
        <w:t>with a </w:t>
      </w:r>
      <w:r w:rsidRPr="0080490A" w:rsidR="00507D43">
        <w:rPr>
          <w:noProof/>
          <w:lang w:val="en-GB"/>
        </w:rPr>
        <w:t xml:space="preserve">construction project </w:t>
      </w:r>
      <w:r w:rsidRPr="0080490A" w:rsidR="00C47CE4">
        <w:rPr>
          <w:noProof/>
          <w:lang w:val="en-GB"/>
        </w:rPr>
        <w:t xml:space="preserve">were </w:t>
      </w:r>
      <w:r w:rsidRPr="0080490A" w:rsidR="00CD44F1">
        <w:rPr>
          <w:noProof/>
          <w:lang w:val="en-GB"/>
        </w:rPr>
        <w:t>not</w:t>
      </w:r>
      <w:r w:rsidRPr="0080490A" w:rsidR="00507D43">
        <w:rPr>
          <w:noProof/>
          <w:lang w:val="en-GB"/>
        </w:rPr>
        <w:t>ed</w:t>
      </w:r>
      <w:r w:rsidRPr="0080490A" w:rsidR="00C214E1">
        <w:rPr>
          <w:noProof/>
          <w:lang w:val="en-GB"/>
        </w:rPr>
        <w:t xml:space="preserve"> (</w:t>
      </w:r>
      <w:r w:rsidR="00FB5B75">
        <w:rPr>
          <w:noProof/>
          <w:lang w:val="en-GB"/>
        </w:rPr>
        <w:t>similar amount</w:t>
      </w:r>
      <w:r w:rsidRPr="00DE2F35" w:rsidR="00DE2F35">
        <w:rPr>
          <w:noProof/>
          <w:lang w:val="en-GB"/>
        </w:rPr>
        <w:t xml:space="preserve"> </w:t>
      </w:r>
      <w:r w:rsidR="00FD02E4">
        <w:rPr>
          <w:noProof/>
          <w:lang w:val="en-GB"/>
        </w:rPr>
        <w:t xml:space="preserve">in the </w:t>
      </w:r>
      <w:r w:rsidRPr="0080490A" w:rsidR="00C214E1">
        <w:rPr>
          <w:noProof/>
          <w:lang w:val="en-GB"/>
        </w:rPr>
        <w:t>previous</w:t>
      </w:r>
      <w:r w:rsidR="00FD02E4">
        <w:rPr>
          <w:noProof/>
          <w:lang w:val="en-GB"/>
        </w:rPr>
        <w:t xml:space="preserve"> </w:t>
      </w:r>
      <w:r w:rsidRPr="0080490A" w:rsidR="00C214E1">
        <w:rPr>
          <w:noProof/>
          <w:lang w:val="en-GB"/>
        </w:rPr>
        <w:t>year</w:t>
      </w:r>
      <w:r w:rsidRPr="0080490A" w:rsidR="00B64363">
        <w:rPr>
          <w:noProof/>
          <w:lang w:val="en-GB"/>
        </w:rPr>
        <w:t>).</w:t>
      </w:r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Pr="00F97C1E" w:rsidR="00627FA1" w:rsidTr="00243185" w14:paraId="3982B774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B6CB4" w:rsidR="00627FA1" w:rsidP="00627FA1" w:rsidRDefault="00627FA1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5B6CB4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FF6D85" w14:paraId="429A8244" w14:textId="7F004A9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04</w:t>
            </w:r>
            <w:r w:rsidRPr="00762E3E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762E3E" w:rsidR="00627FA1" w:rsidP="00627FA1" w:rsidRDefault="00FF6D85" w14:paraId="3C84461E" w14:textId="646B9C2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01-04</w:t>
            </w:r>
            <w:r w:rsidRPr="00762E3E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F97C1E" w:rsidR="00627FA1" w:rsidTr="00B31F1A" w14:paraId="40010199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B6CB4" w:rsidR="00627FA1" w:rsidP="00627FA1" w:rsidRDefault="00627FA1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627FA1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762E3E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762E3E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762E3E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762E3E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FF6D85" w14:paraId="29F5DBEE" w14:textId="15185BF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04</w:t>
            </w:r>
            <w:r w:rsidRPr="00762E3E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FF6D85" w14:paraId="5802FAB9" w14:textId="48CE502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rFonts w:eastAsia="Fira Sans Light" w:cs="Times New Roman"/>
                <w:color w:val="000000"/>
                <w:sz w:val="15"/>
                <w:szCs w:val="15"/>
              </w:rPr>
              <w:t>03</w:t>
            </w:r>
            <w:r w:rsidRPr="00762E3E" w:rsidR="00F25CF6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F25CF6" w14:paraId="05596D11" w14:textId="7CC7D9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762E3E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762E3E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762E3E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762E3E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FF6D85" w14:paraId="52B9E131" w14:textId="1D047F3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01-04</w:t>
            </w:r>
            <w:r w:rsidRPr="00762E3E" w:rsidR="00F25CF6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A4851" w:rsidR="00C01040" w:rsidTr="00243185" w14:paraId="4960FBEE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</w:tcBorders>
            <w:vAlign w:val="center"/>
          </w:tcPr>
          <w:p w:rsidRPr="005B6CB4" w:rsidR="00C01040" w:rsidP="00C01040" w:rsidRDefault="00C01040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5B6CB4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762E3E" w:rsidR="00C01040" w:rsidP="00C01040" w:rsidRDefault="00FF6D85" w14:paraId="02B1A5FB" w14:textId="7FAD4F6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FF6D85">
              <w:rPr>
                <w:rFonts w:cs="Arial"/>
                <w:b/>
                <w:color w:val="000000" w:themeColor="text1"/>
                <w:sz w:val="15"/>
                <w:szCs w:val="15"/>
              </w:rPr>
              <w:t>20</w:t>
            </w:r>
            <w:r w:rsidR="00FB5B75">
              <w:rPr>
                <w:rFonts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FF6D85">
              <w:rPr>
                <w:rFonts w:cs="Arial"/>
                <w:b/>
                <w:color w:val="000000" w:themeColor="text1"/>
                <w:sz w:val="15"/>
                <w:szCs w:val="15"/>
              </w:rPr>
              <w:t>464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762E3E" w:rsidR="00C01040" w:rsidP="00C01040" w:rsidRDefault="00FF6D85" w14:paraId="7439481A" w14:textId="27AB5806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73</w:t>
            </w:r>
            <w:r w:rsidRPr="00762E3E" w:rsidR="00C01040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.0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762E3E" w:rsidR="00C01040" w:rsidP="00C01040" w:rsidRDefault="00FF6D85" w14:paraId="54900271" w14:textId="4723B8B8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101.</w:t>
            </w:r>
            <w:r w:rsidRPr="00FF6D85">
              <w:rPr>
                <w:rFonts w:cs="Arial"/>
                <w:b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</w:tcPr>
          <w:p w:rsidRPr="00762E3E" w:rsidR="00C01040" w:rsidP="00C01040" w:rsidRDefault="00FF6D85" w14:paraId="33BA976C" w14:textId="02960E3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FF6D85">
              <w:rPr>
                <w:rFonts w:cs="Arial"/>
                <w:b/>
                <w:color w:val="000000" w:themeColor="text1"/>
                <w:sz w:val="15"/>
                <w:szCs w:val="15"/>
              </w:rPr>
              <w:t>72</w:t>
            </w:r>
            <w:r w:rsidR="00FB5B75">
              <w:rPr>
                <w:rFonts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FF6D85">
              <w:rPr>
                <w:rFonts w:cs="Arial"/>
                <w:b/>
                <w:color w:val="000000" w:themeColor="text1"/>
                <w:sz w:val="15"/>
                <w:szCs w:val="15"/>
              </w:rPr>
              <w:t>081</w:t>
            </w:r>
          </w:p>
        </w:tc>
        <w:tc>
          <w:tcPr>
            <w:tcW w:w="1200" w:type="dxa"/>
            <w:tcBorders>
              <w:top w:val="single" w:color="212492" w:sz="12" w:space="0"/>
              <w:right w:val="nil"/>
            </w:tcBorders>
          </w:tcPr>
          <w:p w:rsidRPr="00762E3E" w:rsidR="00C01040" w:rsidP="00C01040" w:rsidRDefault="00FF6D85" w14:paraId="184FD311" w14:textId="7963AF1E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68.0</w:t>
            </w:r>
          </w:p>
        </w:tc>
      </w:tr>
      <w:tr w:rsidRPr="009A4851" w:rsidR="00C01040" w:rsidTr="00243185" w14:paraId="1DF47858" w14:textId="77777777">
        <w:trPr>
          <w:trHeight w:val="54"/>
        </w:trPr>
        <w:tc>
          <w:tcPr>
            <w:tcW w:w="2268" w:type="dxa"/>
            <w:vAlign w:val="center"/>
          </w:tcPr>
          <w:p w:rsidRPr="005B6CB4" w:rsidR="00C01040" w:rsidP="00C01040" w:rsidRDefault="00C01040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FF6D85" w14:paraId="2CE969F2" w14:textId="72FD9145">
            <w:pPr>
              <w:spacing w:after="0"/>
              <w:jc w:val="right"/>
              <w:rPr>
                <w:sz w:val="15"/>
                <w:szCs w:val="15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  <w:r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936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FF6D85" w14:paraId="11922E73" w14:textId="5C013878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66.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FF6D85" w14:paraId="300CBAD5" w14:textId="51076DB9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98.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</w:tcPr>
          <w:p w:rsidRPr="00762E3E" w:rsidR="00C01040" w:rsidP="00C01040" w:rsidRDefault="00FF6D85" w14:paraId="73685B09" w14:textId="1DFB0CD0">
            <w:pPr>
              <w:spacing w:after="0"/>
              <w:jc w:val="right"/>
              <w:rPr>
                <w:sz w:val="15"/>
                <w:szCs w:val="15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21</w:t>
            </w:r>
            <w:r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585</w:t>
            </w:r>
          </w:p>
        </w:tc>
        <w:tc>
          <w:tcPr>
            <w:tcW w:w="1200" w:type="dxa"/>
            <w:tcBorders>
              <w:right w:val="nil"/>
            </w:tcBorders>
          </w:tcPr>
          <w:p w:rsidRPr="00762E3E" w:rsidR="00C01040" w:rsidP="00C01040" w:rsidRDefault="00FF6D85" w14:paraId="05796A6D" w14:textId="7A0C36A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65.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</w:tr>
      <w:tr w:rsidRPr="009A4851" w:rsidR="00C01040" w:rsidTr="00243185" w14:paraId="0D1B9431" w14:textId="77777777">
        <w:trPr>
          <w:trHeight w:val="348"/>
        </w:trPr>
        <w:tc>
          <w:tcPr>
            <w:tcW w:w="2268" w:type="dxa"/>
            <w:vAlign w:val="center"/>
          </w:tcPr>
          <w:p w:rsidRPr="005B6CB4" w:rsidR="00C01040" w:rsidP="00C01040" w:rsidRDefault="00C01040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FF6D85" w14:paraId="56EC5D20" w14:textId="1CC45213">
            <w:pPr>
              <w:spacing w:after="0"/>
              <w:jc w:val="right"/>
              <w:rPr>
                <w:sz w:val="15"/>
                <w:szCs w:val="15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14</w:t>
            </w:r>
            <w:r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333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FF6D85" w14:paraId="44BD7848" w14:textId="185FC4F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77.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FF6D85" w14:paraId="33BC2BF6" w14:textId="487CD726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107.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FF6D85" w14:paraId="54EF52FC" w14:textId="798360AC">
            <w:pPr>
              <w:spacing w:after="0"/>
              <w:jc w:val="right"/>
              <w:rPr>
                <w:sz w:val="15"/>
                <w:szCs w:val="15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48</w:t>
            </w:r>
            <w:r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524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762E3E" w:rsidR="00C01040" w:rsidP="00C01040" w:rsidRDefault="00FF6D85" w14:paraId="7C4F667C" w14:textId="144B19A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68.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</w:tr>
      <w:tr w:rsidRPr="009A4851" w:rsidR="00C01040" w:rsidTr="00243185" w14:paraId="50E23A83" w14:textId="77777777">
        <w:trPr>
          <w:trHeight w:val="344"/>
        </w:trPr>
        <w:tc>
          <w:tcPr>
            <w:tcW w:w="2268" w:type="dxa"/>
            <w:vAlign w:val="center"/>
          </w:tcPr>
          <w:p w:rsidRPr="005B6CB4" w:rsidR="00C01040" w:rsidP="00C01040" w:rsidRDefault="00C01040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FF6D85" w14:paraId="6D853C93" w14:textId="75CC2667">
            <w:pPr>
              <w:spacing w:after="0"/>
              <w:jc w:val="right"/>
              <w:rPr>
                <w:sz w:val="15"/>
                <w:szCs w:val="15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47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FF6D85" w14:paraId="2B71D6D4" w14:textId="280085A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39.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C01040" w14:paraId="494B4D92" w14:textId="19B960D3">
            <w:pPr>
              <w:spacing w:before="0"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FF6D85" w14:paraId="68EBA99C" w14:textId="33B72C11">
            <w:pPr>
              <w:spacing w:after="0"/>
              <w:jc w:val="right"/>
              <w:rPr>
                <w:sz w:val="15"/>
                <w:szCs w:val="15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89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762E3E" w:rsidR="00C01040" w:rsidP="00C01040" w:rsidRDefault="00FF6D85" w14:paraId="33D6C221" w14:textId="227807C4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21.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</w:tr>
      <w:tr w:rsidRPr="00F25CF6" w:rsidR="00C01040" w:rsidTr="00243185" w14:paraId="67CD548E" w14:textId="77777777">
        <w:trPr>
          <w:trHeight w:val="239"/>
        </w:trPr>
        <w:tc>
          <w:tcPr>
            <w:tcW w:w="2268" w:type="dxa"/>
            <w:vAlign w:val="center"/>
          </w:tcPr>
          <w:p w:rsidRPr="005B6CB4" w:rsidR="00C01040" w:rsidP="00C01040" w:rsidRDefault="00C01040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762E3E" w:rsidR="00C01040" w:rsidP="00C01040" w:rsidRDefault="00FF6D85" w14:paraId="16AE6ED7" w14:textId="4208FEF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49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762E3E" w:rsidR="00C01040" w:rsidP="00C01040" w:rsidRDefault="00FF6D85" w14:paraId="3CDEEA20" w14:textId="545B0906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23.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FF6D85" w14:paraId="4EC8940F" w14:textId="3FB70209">
            <w:pPr>
              <w:spacing w:before="0"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61.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</w:tcPr>
          <w:p w:rsidRPr="00762E3E" w:rsidR="00C01040" w:rsidP="00C01040" w:rsidRDefault="00FF6D85" w14:paraId="7FE4D365" w14:textId="1B28CE8C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429</w:t>
            </w:r>
          </w:p>
        </w:tc>
        <w:tc>
          <w:tcPr>
            <w:tcW w:w="1200" w:type="dxa"/>
            <w:tcBorders>
              <w:bottom w:val="single" w:color="212492" w:sz="4" w:space="0"/>
              <w:right w:val="nil"/>
            </w:tcBorders>
          </w:tcPr>
          <w:p w:rsidRPr="00762E3E" w:rsidR="00C01040" w:rsidP="00C01040" w:rsidRDefault="00FF6D85" w14:paraId="088EC2A1" w14:textId="6314B48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51.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</w:tr>
      <w:tr w:rsidRPr="00F25CF6" w:rsidR="00C01040" w:rsidTr="00243185" w14:paraId="10BA3CE7" w14:textId="77777777">
        <w:trPr>
          <w:trHeight w:val="348"/>
        </w:trPr>
        <w:tc>
          <w:tcPr>
            <w:tcW w:w="2268" w:type="dxa"/>
            <w:vAlign w:val="center"/>
          </w:tcPr>
          <w:p w:rsidRPr="00F25CF6" w:rsidR="00C01040" w:rsidP="00C01040" w:rsidRDefault="00C01040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762E3E" w:rsidR="00C01040" w:rsidP="00C01040" w:rsidRDefault="00FF6D85" w14:paraId="4F13852F" w14:textId="412CC2D4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762E3E" w:rsidR="00C01040" w:rsidP="00C01040" w:rsidRDefault="00FF6D85" w14:paraId="3AE94B45" w14:textId="43748412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27.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FF6D85" w14:paraId="22F95ED3" w14:textId="394E8469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11.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762E3E" w:rsidR="00C01040" w:rsidP="00C01040" w:rsidRDefault="00FF6D85" w14:paraId="53B78670" w14:textId="52D47018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1426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762E3E" w:rsidR="00C01040" w:rsidP="00C01040" w:rsidRDefault="00FF6D85" w14:paraId="42AD62F6" w14:textId="3AB7B9F2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179.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8</w:t>
            </w:r>
          </w:p>
        </w:tc>
      </w:tr>
      <w:tr w:rsidRPr="00F25CF6" w:rsidR="00C01040" w:rsidTr="00243185" w14:paraId="5A330376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F25CF6" w:rsidR="00C01040" w:rsidP="00C01040" w:rsidRDefault="00C01040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F25CF6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762E3E" w:rsidR="00C01040" w:rsidP="00C01040" w:rsidRDefault="00FF6D85" w14:paraId="6913581D" w14:textId="0B373A47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762E3E" w:rsidR="00C01040" w:rsidP="00C01040" w:rsidRDefault="00C01040" w14:paraId="262852B0" w14:textId="07C89299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FF6D85" w14:paraId="73F8F0F7" w14:textId="23D52558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12.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FF6D85" w14:paraId="30413B6D" w14:textId="5AA13271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1200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FF6D85" w14:paraId="51919CA3" w14:textId="0B3B86C1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933.</w:t>
            </w:r>
            <w:r w:rsidRPr="00FF6D85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</w:tr>
    </w:tbl>
    <w:p w:rsidRPr="004829B9" w:rsidR="00896EB9" w:rsidP="007E02D8" w:rsidRDefault="00896EB9" w14:paraId="2230FC6A" w14:textId="77777777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2B15B7" w14:paraId="6DE247AC" w14:textId="2FED1175">
      <w:pPr>
        <w:spacing w:after="0" w:line="288" w:lineRule="auto"/>
        <w:rPr>
          <w:noProof/>
          <w:spacing w:val="-2"/>
          <w:lang w:val="en-GB"/>
        </w:rPr>
      </w:pPr>
      <w:r w:rsidRPr="002B15B7">
        <w:rPr>
          <w:noProof/>
          <w:spacing w:val="-2"/>
          <w:lang w:val="en-GB"/>
        </w:rPr>
        <w:t>In the first four months of 2023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>
        <w:rPr>
          <w:noProof/>
          <w:spacing w:val="-2"/>
          <w:lang w:val="en-GB"/>
        </w:rPr>
        <w:t>53.1</w:t>
      </w:r>
      <w:r w:rsidRPr="0080490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>
        <w:rPr>
          <w:noProof/>
          <w:spacing w:val="-2"/>
          <w:lang w:val="en-GB"/>
        </w:rPr>
        <w:t>, i.e. by 27.7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Pr="0080490A" w:rsidR="00F26939">
        <w:rPr>
          <w:noProof/>
          <w:spacing w:val="-2"/>
          <w:lang w:val="en-GB"/>
        </w:rPr>
        <w:t>less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>a year ago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>
        <w:rPr>
          <w:noProof/>
          <w:spacing w:val="-2"/>
          <w:lang w:val="en-GB"/>
        </w:rPr>
        <w:t>30</w:t>
      </w:r>
      <w:r w:rsidRPr="0080490A" w:rsidR="00CC4866">
        <w:rPr>
          <w:noProof/>
          <w:spacing w:val="-2"/>
          <w:lang w:val="en-GB"/>
        </w:rPr>
        <w:t>.</w:t>
      </w:r>
      <w:r w:rsidR="005B6CB4">
        <w:rPr>
          <w:noProof/>
          <w:spacing w:val="-2"/>
          <w:lang w:val="en-GB"/>
        </w:rPr>
        <w:t>4</w:t>
      </w:r>
      <w:r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>
        <w:rPr>
          <w:noProof/>
          <w:spacing w:val="-2"/>
          <w:lang w:val="en-GB"/>
        </w:rPr>
        <w:t>28</w:t>
      </w:r>
      <w:r w:rsidRPr="0080490A" w:rsidR="00954347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9</w:t>
      </w:r>
      <w:r w:rsidRPr="0080490A" w:rsidR="00EB69AF">
        <w:rPr>
          <w:noProof/>
          <w:spacing w:val="-2"/>
          <w:lang w:val="en-GB"/>
        </w:rPr>
        <w:t xml:space="preserve">% </w:t>
      </w:r>
      <w:r w:rsidRPr="0080490A" w:rsidR="003969D1">
        <w:rPr>
          <w:noProof/>
          <w:spacing w:val="-2"/>
          <w:lang w:val="en-GB"/>
        </w:rPr>
        <w:t>less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>
        <w:rPr>
          <w:noProof/>
          <w:spacing w:val="-2"/>
          <w:lang w:val="en-GB"/>
        </w:rPr>
        <w:t>21</w:t>
      </w:r>
      <w:r w:rsidRPr="0080490A" w:rsidR="00CC4866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4</w:t>
      </w:r>
      <w:r w:rsidRPr="0080490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>
        <w:rPr>
          <w:noProof/>
          <w:spacing w:val="-2"/>
          <w:lang w:val="en-GB"/>
        </w:rPr>
        <w:t>(by 27.8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>
        <w:rPr>
          <w:noProof/>
          <w:spacing w:val="-2"/>
          <w:lang w:val="en-GB"/>
        </w:rPr>
        <w:t>97</w:t>
      </w:r>
      <w:r w:rsidRPr="0080490A" w:rsidR="00CC4866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6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</w:t>
      </w:r>
      <w:r w:rsidR="006851E8">
        <w:rPr>
          <w:noProof/>
          <w:spacing w:val="-2"/>
          <w:lang w:val="en-GB"/>
        </w:rPr>
        <w:t>-</w:t>
      </w:r>
      <w:r w:rsidRPr="0080490A" w:rsidR="001C1808">
        <w:rPr>
          <w:noProof/>
          <w:spacing w:val="-2"/>
          <w:lang w:val="en-GB"/>
        </w:rPr>
        <w:t>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 w:rsidR="00B04E91">
        <w:rPr>
          <w:noProof/>
          <w:spacing w:val="-2"/>
          <w:lang w:val="en-GB"/>
        </w:rPr>
        <w:t>1.3</w:t>
      </w:r>
      <w:r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="00B04E91">
        <w:rPr>
          <w:noProof/>
          <w:spacing w:val="-2"/>
          <w:lang w:val="en-GB"/>
        </w:rPr>
        <w:t>1.0</w:t>
      </w:r>
      <w:r w:rsidR="00762E3E">
        <w:rPr>
          <w:noProof/>
          <w:spacing w:val="-2"/>
          <w:lang w:val="en-GB"/>
        </w:rPr>
        <w:t xml:space="preserve"> </w:t>
      </w:r>
      <w:r w:rsidRPr="00762E3E" w:rsidR="00762E3E">
        <w:rPr>
          <w:noProof/>
          <w:spacing w:val="-2"/>
          <w:lang w:val="en-GB"/>
        </w:rPr>
        <w:t>thousand</w:t>
      </w:r>
      <w:r w:rsidRPr="00DE2F35" w:rsidR="00DE2F35">
        <w:rPr>
          <w:noProof/>
          <w:spacing w:val="-2"/>
          <w:lang w:val="en-GB"/>
        </w:rPr>
        <w:t xml:space="preserve"> </w:t>
      </w:r>
      <w:r w:rsidRPr="0080490A" w:rsidR="00B77062">
        <w:rPr>
          <w:noProof/>
          <w:spacing w:val="-2"/>
          <w:lang w:val="en-GB"/>
        </w:rPr>
        <w:t>in the previous year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FE1642" w:rsidRDefault="00B4601E" w14:paraId="398571FB" w14:textId="4226270B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Pr="005B6CB4" w:rsidR="00627FA1" w:rsidTr="004066F3" w14:paraId="34F47625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B6CB4" w:rsidR="00627FA1" w:rsidP="00627FA1" w:rsidRDefault="00627FA1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5B6CB4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816D9A" w14:paraId="1C6A1AC1" w14:textId="0B40969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04</w:t>
            </w:r>
            <w:r w:rsidRPr="00762E3E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762E3E" w:rsidR="00627FA1" w:rsidP="00627FA1" w:rsidRDefault="00816D9A" w14:paraId="2D912991" w14:textId="24DCF88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01-04</w:t>
            </w:r>
            <w:r w:rsidRPr="00762E3E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5B6CB4" w:rsidR="00627FA1" w:rsidTr="004066F3" w14:paraId="57BC7BB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B6CB4" w:rsidR="00627FA1" w:rsidP="00627FA1" w:rsidRDefault="00627FA1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066F3" w:rsidR="00627FA1" w:rsidP="00627FA1" w:rsidRDefault="00627FA1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066F3">
              <w:rPr>
                <w:color w:val="000000" w:themeColor="text1"/>
                <w:sz w:val="14"/>
                <w:szCs w:val="14"/>
              </w:rPr>
              <w:t>Number</w:t>
            </w:r>
            <w:proofErr w:type="spellEnd"/>
            <w:r w:rsidRPr="004066F3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color w:val="000000" w:themeColor="text1"/>
                <w:sz w:val="14"/>
                <w:szCs w:val="14"/>
              </w:rPr>
              <w:br/>
              <w:t xml:space="preserve">of </w:t>
            </w:r>
            <w:proofErr w:type="spellStart"/>
            <w:r w:rsidRPr="004066F3">
              <w:rPr>
                <w:color w:val="000000" w:themeColor="text1"/>
                <w:sz w:val="14"/>
                <w:szCs w:val="14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816D9A" w14:paraId="2144A20E" w14:textId="578106B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04</w:t>
            </w:r>
            <w:r w:rsidRPr="00762E3E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816D9A" w14:paraId="6109C3DB" w14:textId="5768DCA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rFonts w:eastAsia="Fira Sans Light" w:cs="Times New Roman"/>
                <w:color w:val="000000"/>
                <w:sz w:val="15"/>
                <w:szCs w:val="15"/>
              </w:rPr>
              <w:t>03</w:t>
            </w:r>
            <w:r w:rsidRPr="00762E3E" w:rsidR="004066F3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4066F3" w14:paraId="4EABA16B" w14:textId="20B812D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762E3E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762E3E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762E3E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762E3E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62E3E" w:rsidR="00627FA1" w:rsidP="00627FA1" w:rsidRDefault="00816D9A" w14:paraId="295C5F30" w14:textId="02F0D6B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rFonts w:eastAsia="Fira Sans Light" w:cs="Times New Roman"/>
                <w:color w:val="000000"/>
                <w:sz w:val="15"/>
                <w:szCs w:val="15"/>
              </w:rPr>
              <w:t>01-04</w:t>
            </w:r>
            <w:r w:rsidRPr="00762E3E" w:rsidR="004066F3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</w:t>
            </w:r>
            <w:r w:rsidRPr="00762E3E" w:rsidR="004066F3">
              <w:rPr>
                <w:rFonts w:eastAsia="Fira Sans Light" w:cs="Times New Roman"/>
                <w:color w:val="000000"/>
                <w:sz w:val="15"/>
                <w:szCs w:val="15"/>
              </w:rPr>
              <w:br/>
              <w:t>2022=100</w:t>
            </w:r>
          </w:p>
        </w:tc>
      </w:tr>
      <w:tr w:rsidRPr="005B6CB4" w:rsidR="00C01040" w:rsidTr="004066F3" w14:paraId="0E4114AC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</w:tcBorders>
            <w:vAlign w:val="center"/>
          </w:tcPr>
          <w:p w:rsidRPr="005B6CB4" w:rsidR="00C01040" w:rsidP="00C01040" w:rsidRDefault="00C01040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5B6CB4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762E3E" w:rsidR="00C01040" w:rsidP="00C01040" w:rsidRDefault="00FB5B75" w14:paraId="23AD18BD" w14:textId="1DC319B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FB5B75">
              <w:rPr>
                <w:rFonts w:cs="Arial"/>
                <w:b/>
                <w:color w:val="000000" w:themeColor="text1"/>
                <w:sz w:val="15"/>
                <w:szCs w:val="15"/>
              </w:rPr>
              <w:t>14</w:t>
            </w:r>
            <w:r w:rsidR="002B15B7">
              <w:rPr>
                <w:rFonts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FB5B75">
              <w:rPr>
                <w:rFonts w:cs="Arial"/>
                <w:b/>
                <w:color w:val="000000" w:themeColor="text1"/>
                <w:sz w:val="15"/>
                <w:szCs w:val="15"/>
              </w:rPr>
              <w:t>513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762E3E" w:rsidR="00C01040" w:rsidP="00C01040" w:rsidRDefault="00B37FC5" w14:paraId="429AC8C7" w14:textId="5115CC3A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71.</w:t>
            </w:r>
            <w:r w:rsidRPr="00FB5B75" w:rsidR="00FB5B75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762E3E" w:rsidR="00C01040" w:rsidP="00C01040" w:rsidRDefault="00B37FC5" w14:paraId="47154406" w14:textId="03476CDA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79.</w:t>
            </w:r>
            <w:r w:rsidRPr="00816D9A" w:rsidR="00816D9A">
              <w:rPr>
                <w:rFonts w:cs="Arial"/>
                <w:b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762E3E" w:rsidR="00C01040" w:rsidP="00C01040" w:rsidRDefault="00816D9A" w14:paraId="15DF69D5" w14:textId="0EE1C3EB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816D9A">
              <w:rPr>
                <w:rFonts w:cs="Arial"/>
                <w:b/>
                <w:color w:val="000000" w:themeColor="text1"/>
                <w:sz w:val="15"/>
                <w:szCs w:val="15"/>
              </w:rPr>
              <w:t>53</w:t>
            </w:r>
            <w:r w:rsidR="002B15B7">
              <w:rPr>
                <w:rFonts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816D9A">
              <w:rPr>
                <w:rFonts w:cs="Arial"/>
                <w:b/>
                <w:color w:val="000000" w:themeColor="text1"/>
                <w:sz w:val="15"/>
                <w:szCs w:val="15"/>
              </w:rPr>
              <w:t>086</w:t>
            </w:r>
          </w:p>
        </w:tc>
        <w:tc>
          <w:tcPr>
            <w:tcW w:w="1058" w:type="dxa"/>
            <w:tcBorders>
              <w:top w:val="single" w:color="212492" w:sz="12" w:space="0"/>
              <w:right w:val="nil"/>
            </w:tcBorders>
            <w:vAlign w:val="center"/>
          </w:tcPr>
          <w:p w:rsidRPr="00762E3E" w:rsidR="00C01040" w:rsidP="00C01040" w:rsidRDefault="00762E3E" w14:paraId="36EBC714" w14:textId="0F05A8A0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72.</w:t>
            </w:r>
            <w:r w:rsidR="00816D9A">
              <w:rPr>
                <w:rFonts w:cs="Arial"/>
                <w:b/>
                <w:color w:val="000000" w:themeColor="text1"/>
                <w:sz w:val="15"/>
                <w:szCs w:val="15"/>
              </w:rPr>
              <w:t>3</w:t>
            </w:r>
          </w:p>
        </w:tc>
      </w:tr>
      <w:tr w:rsidRPr="005B6CB4" w:rsidR="00C01040" w:rsidTr="004066F3" w14:paraId="1FF029D5" w14:textId="77777777">
        <w:trPr>
          <w:trHeight w:val="54"/>
        </w:trPr>
        <w:tc>
          <w:tcPr>
            <w:tcW w:w="2268" w:type="dxa"/>
            <w:vAlign w:val="center"/>
          </w:tcPr>
          <w:p w:rsidRPr="005B6CB4" w:rsidR="00C01040" w:rsidP="00C01040" w:rsidRDefault="00C01040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:rsidRPr="00762E3E" w:rsidR="00C01040" w:rsidP="00C01040" w:rsidRDefault="00FB5B75" w14:paraId="591D9F98" w14:textId="49BAABB6">
            <w:pPr>
              <w:spacing w:after="0"/>
              <w:jc w:val="right"/>
              <w:rPr>
                <w:sz w:val="15"/>
                <w:szCs w:val="15"/>
              </w:rPr>
            </w:pPr>
            <w:r w:rsidRPr="00FB5B75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  <w:r w:rsidR="002B15B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FB5B75">
              <w:rPr>
                <w:rFonts w:cs="Arial"/>
                <w:color w:val="000000" w:themeColor="text1"/>
                <w:sz w:val="15"/>
                <w:szCs w:val="15"/>
              </w:rPr>
              <w:t>733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B37FC5" w14:paraId="60807E6E" w14:textId="1DE3DED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76.</w:t>
            </w:r>
            <w:r w:rsidRPr="00FB5B75" w:rsidR="00FB5B75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816D9A" w14:paraId="3C7F3799" w14:textId="6F583018">
            <w:pPr>
              <w:spacing w:after="0"/>
              <w:jc w:val="right"/>
              <w:rPr>
                <w:sz w:val="15"/>
                <w:szCs w:val="15"/>
              </w:rPr>
            </w:pPr>
            <w:r w:rsidRPr="00816D9A">
              <w:rPr>
                <w:rFonts w:cs="Arial"/>
                <w:color w:val="000000" w:themeColor="text1"/>
                <w:sz w:val="15"/>
                <w:szCs w:val="15"/>
              </w:rPr>
              <w:t>94</w:t>
            </w:r>
            <w:r w:rsidR="00027A3B">
              <w:rPr>
                <w:rFonts w:cs="Arial"/>
                <w:color w:val="000000" w:themeColor="text1"/>
                <w:sz w:val="15"/>
                <w:szCs w:val="15"/>
              </w:rPr>
              <w:t>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2B15B7" w14:paraId="7784C929" w14:textId="79304A48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 xml:space="preserve">21 </w:t>
            </w:r>
            <w:r w:rsidRPr="00816D9A" w:rsidR="00816D9A">
              <w:rPr>
                <w:rFonts w:cs="Arial"/>
                <w:color w:val="000000" w:themeColor="text1"/>
                <w:sz w:val="15"/>
                <w:szCs w:val="15"/>
              </w:rPr>
              <w:t>400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762E3E" w:rsidR="00C01040" w:rsidP="00C01040" w:rsidRDefault="00816D9A" w14:paraId="3C262F44" w14:textId="1D6A652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72</w:t>
            </w:r>
            <w:r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</w:tr>
      <w:tr w:rsidRPr="005B6CB4" w:rsidR="00C01040" w:rsidTr="004066F3" w14:paraId="304B4633" w14:textId="77777777">
        <w:trPr>
          <w:trHeight w:val="348"/>
        </w:trPr>
        <w:tc>
          <w:tcPr>
            <w:tcW w:w="2268" w:type="dxa"/>
            <w:vAlign w:val="center"/>
          </w:tcPr>
          <w:p w:rsidRPr="005B6CB4" w:rsidR="00C01040" w:rsidP="00C01040" w:rsidRDefault="00C01040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:rsidRPr="00762E3E" w:rsidR="00C01040" w:rsidP="00C01040" w:rsidRDefault="00FB5B75" w14:paraId="15FC3415" w14:textId="1F2DB4FB">
            <w:pPr>
              <w:spacing w:after="0"/>
              <w:jc w:val="right"/>
              <w:rPr>
                <w:sz w:val="15"/>
                <w:szCs w:val="15"/>
              </w:rPr>
            </w:pPr>
            <w:r w:rsidRPr="00FB5B75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  <w:r w:rsidR="002B15B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FB5B75">
              <w:rPr>
                <w:rFonts w:cs="Arial"/>
                <w:color w:val="000000" w:themeColor="text1"/>
                <w:sz w:val="15"/>
                <w:szCs w:val="15"/>
              </w:rPr>
              <w:t>981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B37FC5" w14:paraId="0766C893" w14:textId="2AF6197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62.</w:t>
            </w:r>
            <w:r w:rsidRPr="00FB5B75" w:rsidR="00FB5B75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B37FC5" w14:paraId="0D2952B2" w14:textId="38D057D8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63.</w:t>
            </w:r>
            <w:r w:rsidRPr="00816D9A" w:rsidR="00816D9A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816D9A" w14:paraId="05563F59" w14:textId="489FB303">
            <w:pPr>
              <w:spacing w:after="0"/>
              <w:jc w:val="right"/>
              <w:rPr>
                <w:sz w:val="15"/>
                <w:szCs w:val="15"/>
              </w:rPr>
            </w:pPr>
            <w:r w:rsidRPr="00816D9A">
              <w:rPr>
                <w:rFonts w:cs="Arial"/>
                <w:color w:val="000000" w:themeColor="text1"/>
                <w:sz w:val="15"/>
                <w:szCs w:val="15"/>
              </w:rPr>
              <w:t>30</w:t>
            </w:r>
            <w:r w:rsidR="002B15B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816D9A">
              <w:rPr>
                <w:rFonts w:cs="Arial"/>
                <w:color w:val="000000" w:themeColor="text1"/>
                <w:sz w:val="15"/>
                <w:szCs w:val="15"/>
              </w:rPr>
              <w:t>397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762E3E" w:rsidR="00C01040" w:rsidP="00C01040" w:rsidRDefault="00816D9A" w14:paraId="58C8F426" w14:textId="582C11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71</w:t>
            </w:r>
            <w:r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</w:tr>
      <w:tr w:rsidRPr="005B6CB4" w:rsidR="00C01040" w:rsidTr="004066F3" w14:paraId="04BD52CD" w14:textId="77777777">
        <w:trPr>
          <w:trHeight w:val="347"/>
        </w:trPr>
        <w:tc>
          <w:tcPr>
            <w:tcW w:w="2268" w:type="dxa"/>
            <w:vAlign w:val="center"/>
          </w:tcPr>
          <w:p w:rsidRPr="005B6CB4" w:rsidR="00C01040" w:rsidP="00C01040" w:rsidRDefault="00C01040" w14:paraId="52D0D7AF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:rsidRPr="00762E3E" w:rsidR="00C01040" w:rsidP="00C01040" w:rsidRDefault="00FB5B75" w14:paraId="30EF4784" w14:textId="24C24513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FB5B75">
              <w:rPr>
                <w:rFonts w:cs="Arial"/>
                <w:color w:val="000000" w:themeColor="text1"/>
                <w:sz w:val="15"/>
                <w:szCs w:val="15"/>
              </w:rPr>
              <w:t>38</w:t>
            </w:r>
          </w:p>
        </w:tc>
        <w:tc>
          <w:tcPr>
            <w:tcW w:w="1134" w:type="dxa"/>
            <w:vAlign w:val="center"/>
          </w:tcPr>
          <w:p w:rsidRPr="00762E3E" w:rsidR="00C01040" w:rsidP="00C01040" w:rsidRDefault="00B37FC5" w14:paraId="66975EDA" w14:textId="6266289C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345.</w:t>
            </w:r>
            <w:r w:rsidRPr="00FB5B75" w:rsidR="00FB5B7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B37FC5" w14:paraId="581ED179" w14:textId="5218382F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223.</w:t>
            </w:r>
            <w:r w:rsidRPr="00816D9A" w:rsidR="00816D9A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816D9A" w14:paraId="3156E799" w14:textId="4A7EF03B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816D9A">
              <w:rPr>
                <w:rFonts w:cs="Arial"/>
                <w:color w:val="000000" w:themeColor="text1"/>
                <w:sz w:val="15"/>
                <w:szCs w:val="15"/>
              </w:rPr>
              <w:t>69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762E3E" w:rsidR="00C01040" w:rsidP="00C01040" w:rsidRDefault="00816D9A" w14:paraId="6DFFADD9" w14:textId="41B5936B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33</w:t>
            </w:r>
            <w:r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  <w:tr w:rsidRPr="005B6CB4" w:rsidR="00C01040" w:rsidTr="00762E3E" w14:paraId="22E5F8B5" w14:textId="77777777">
        <w:trPr>
          <w:trHeight w:val="540"/>
        </w:trPr>
        <w:tc>
          <w:tcPr>
            <w:tcW w:w="2268" w:type="dxa"/>
            <w:vAlign w:val="center"/>
          </w:tcPr>
          <w:p w:rsidRPr="005B6CB4" w:rsidR="00C01040" w:rsidP="00C01040" w:rsidRDefault="00C01040" w14:paraId="6E1E246A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:rsidRPr="00762E3E" w:rsidR="00C01040" w:rsidP="00C01040" w:rsidRDefault="00FB5B75" w14:paraId="1567DB37" w14:textId="39F3D77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:rsidRPr="00762E3E" w:rsidR="00C01040" w:rsidP="00762E3E" w:rsidRDefault="00FB5B75" w14:paraId="4C518540" w14:textId="1CB94B70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C01040" w14:paraId="6E71D1E5" w14:textId="2651A5D8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C01040" w14:paraId="1F8E42BE" w14:textId="28659183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762E3E" w:rsidR="00C01040" w:rsidP="00C01040" w:rsidRDefault="00816D9A" w14:paraId="27AABBA8" w14:textId="5CA517FC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cs="Arial"/>
                <w:color w:val="000000" w:themeColor="text1"/>
                <w:sz w:val="15"/>
                <w:szCs w:val="15"/>
              </w:rPr>
              <w:t>almost</w:t>
            </w:r>
            <w:proofErr w:type="spellEnd"/>
            <w:r>
              <w:rPr>
                <w:rFonts w:cs="Arial"/>
                <w:color w:val="000000" w:themeColor="text1"/>
                <w:sz w:val="15"/>
                <w:szCs w:val="15"/>
              </w:rPr>
              <w:t xml:space="preserve"> 36</w:t>
            </w:r>
            <w:r w:rsidRPr="00762E3E" w:rsidR="00C01040">
              <w:rPr>
                <w:rFonts w:cs="Arial"/>
                <w:color w:val="000000" w:themeColor="text1"/>
                <w:sz w:val="15"/>
                <w:szCs w:val="15"/>
              </w:rPr>
              <w:t>-</w:t>
            </w:r>
          </w:p>
          <w:p w:rsidRPr="00762E3E" w:rsidR="00C01040" w:rsidP="00762E3E" w:rsidRDefault="00C01040" w14:paraId="2FA332F0" w14:textId="7FCFE850">
            <w:pPr>
              <w:spacing w:before="0" w:after="0"/>
              <w:jc w:val="right"/>
              <w:rPr>
                <w:sz w:val="15"/>
                <w:szCs w:val="15"/>
              </w:rPr>
            </w:pPr>
            <w:proofErr w:type="spellStart"/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fold</w:t>
            </w:r>
            <w:proofErr w:type="spellEnd"/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 xml:space="preserve"> less</w:t>
            </w:r>
          </w:p>
        </w:tc>
      </w:tr>
      <w:tr w:rsidRPr="005B6CB4" w:rsidR="00C01040" w:rsidTr="004066F3" w14:paraId="4820AC1A" w14:textId="77777777">
        <w:trPr>
          <w:trHeight w:val="366"/>
        </w:trPr>
        <w:tc>
          <w:tcPr>
            <w:tcW w:w="2268" w:type="dxa"/>
            <w:vAlign w:val="center"/>
          </w:tcPr>
          <w:p w:rsidRPr="005B6CB4" w:rsidR="00C01040" w:rsidP="00C01040" w:rsidRDefault="00C01040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762E3E" w:rsidR="00C01040" w:rsidP="00C01040" w:rsidRDefault="00FB5B75" w14:paraId="196CFDC3" w14:textId="0F0B4B08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FB5B75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762E3E" w:rsidR="00C01040" w:rsidP="00C01040" w:rsidRDefault="00B37FC5" w14:paraId="054FE49B" w14:textId="148A9F10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11.</w:t>
            </w:r>
            <w:r w:rsidRPr="00FB5B75" w:rsidR="00FB5B75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816D9A" w14:paraId="6501BBB7" w14:textId="4269964C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20</w:t>
            </w:r>
            <w:r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816D9A" w14:paraId="0E8B382C" w14:textId="7E3E0BA7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816D9A">
              <w:rPr>
                <w:rFonts w:cs="Arial"/>
                <w:color w:val="000000" w:themeColor="text1"/>
                <w:sz w:val="15"/>
                <w:szCs w:val="15"/>
              </w:rPr>
              <w:t>186</w:t>
            </w:r>
          </w:p>
        </w:tc>
        <w:tc>
          <w:tcPr>
            <w:tcW w:w="1058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816D9A" w14:paraId="0DF6978D" w14:textId="2477084A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98</w:t>
            </w:r>
            <w:r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762E3E" w:rsidR="00C01040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</w:tr>
      <w:tr w:rsidRPr="005B6CB4" w:rsidR="00C01040" w:rsidTr="004066F3" w14:paraId="347BB134" w14:textId="77777777">
        <w:trPr>
          <w:trHeight w:val="348"/>
        </w:trPr>
        <w:tc>
          <w:tcPr>
            <w:tcW w:w="2268" w:type="dxa"/>
            <w:vAlign w:val="center"/>
          </w:tcPr>
          <w:p w:rsidRPr="005B6CB4" w:rsidR="00C01040" w:rsidP="00C01040" w:rsidRDefault="00C01040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:rsidRPr="00762E3E" w:rsidR="00C01040" w:rsidP="00C01040" w:rsidRDefault="00FB5B75" w14:paraId="018ECCAB" w14:textId="06FC89BA">
            <w:pPr>
              <w:spacing w:after="0"/>
              <w:jc w:val="right"/>
              <w:rPr>
                <w:sz w:val="15"/>
                <w:szCs w:val="15"/>
              </w:rPr>
            </w:pPr>
            <w:r w:rsidRPr="00FB5B75">
              <w:rPr>
                <w:rFonts w:cs="Arial"/>
                <w:color w:val="000000" w:themeColor="text1"/>
                <w:sz w:val="15"/>
                <w:szCs w:val="15"/>
              </w:rPr>
              <w:t>790</w:t>
            </w:r>
          </w:p>
        </w:tc>
        <w:tc>
          <w:tcPr>
            <w:tcW w:w="1134" w:type="dxa"/>
            <w:vAlign w:val="center"/>
          </w:tcPr>
          <w:p w:rsidR="00027A3B" w:rsidP="00B04E91" w:rsidRDefault="00816D9A" w14:paraId="4757B987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cs="Arial"/>
                <w:color w:val="000000" w:themeColor="text1"/>
                <w:sz w:val="15"/>
                <w:szCs w:val="15"/>
              </w:rPr>
              <w:t>o</w:t>
            </w:r>
            <w:r w:rsidR="00FB5B75">
              <w:rPr>
                <w:rFonts w:cs="Arial"/>
                <w:color w:val="000000" w:themeColor="text1"/>
                <w:sz w:val="15"/>
                <w:szCs w:val="15"/>
              </w:rPr>
              <w:t>ver</w:t>
            </w:r>
            <w:proofErr w:type="spellEnd"/>
            <w:r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13-</w:t>
            </w:r>
          </w:p>
          <w:p w:rsidRPr="00762E3E" w:rsidR="00C01040" w:rsidP="00B04E91" w:rsidRDefault="00FB5B75" w14:paraId="5E4E785D" w14:textId="0B753D99">
            <w:pPr>
              <w:spacing w:before="0" w:after="0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Fonts w:cs="Arial"/>
                <w:color w:val="000000" w:themeColor="text1"/>
                <w:sz w:val="15"/>
                <w:szCs w:val="15"/>
              </w:rPr>
              <w:t>fold</w:t>
            </w:r>
            <w:proofErr w:type="spellEnd"/>
            <w:r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="00816D9A">
              <w:rPr>
                <w:rFonts w:cs="Arial"/>
                <w:color w:val="000000" w:themeColor="text1"/>
                <w:sz w:val="15"/>
                <w:szCs w:val="15"/>
              </w:rPr>
              <w:t>more</w:t>
            </w:r>
            <w:proofErr w:type="spellEnd"/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B37FC5" w14:paraId="036C6321" w14:textId="03A3126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963.</w:t>
            </w:r>
            <w:r w:rsidRPr="00816D9A" w:rsidR="00816D9A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762E3E" w:rsidR="00C01040" w:rsidP="00C01040" w:rsidRDefault="00816D9A" w14:paraId="702391AC" w14:textId="16641E35">
            <w:pPr>
              <w:spacing w:after="0"/>
              <w:jc w:val="right"/>
              <w:rPr>
                <w:sz w:val="15"/>
                <w:szCs w:val="15"/>
              </w:rPr>
            </w:pPr>
            <w:r w:rsidRPr="00816D9A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="002B15B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816D9A">
              <w:rPr>
                <w:rFonts w:cs="Arial"/>
                <w:color w:val="000000" w:themeColor="text1"/>
                <w:sz w:val="15"/>
                <w:szCs w:val="15"/>
              </w:rPr>
              <w:t>092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762E3E" w:rsidR="00C01040" w:rsidP="00C01040" w:rsidRDefault="00816D9A" w14:paraId="1F986587" w14:textId="50DE67E6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218</w:t>
            </w:r>
            <w:r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</w:tr>
      <w:tr w:rsidRPr="005B6CB4" w:rsidR="00C01040" w:rsidTr="004066F3" w14:paraId="104777EA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5B6CB4" w:rsidR="00C01040" w:rsidP="00C01040" w:rsidRDefault="00C01040" w14:paraId="0849E479" w14:textId="72B32D2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762E3E" w:rsidR="00C01040" w:rsidP="00C01040" w:rsidRDefault="00FB5B75" w14:paraId="15CE9B80" w14:textId="3FBC03A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762E3E" w:rsidR="00C01040" w:rsidP="00C01040" w:rsidRDefault="00816D9A" w14:paraId="3230310D" w14:textId="7F480455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C01040" w14:paraId="7DD6985C" w14:textId="45ADB82D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C01040" w14:paraId="2C9FFD0E" w14:textId="38DEDF7C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058" w:type="dxa"/>
            <w:tcBorders>
              <w:bottom w:val="single" w:color="212492" w:sz="4" w:space="0"/>
              <w:right w:val="nil"/>
            </w:tcBorders>
            <w:vAlign w:val="center"/>
          </w:tcPr>
          <w:p w:rsidRPr="00762E3E" w:rsidR="00C01040" w:rsidP="00C01040" w:rsidRDefault="00C01040" w14:paraId="10BBD0D7" w14:textId="35965D87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16-fold less</w:t>
            </w:r>
          </w:p>
        </w:tc>
      </w:tr>
    </w:tbl>
    <w:p w:rsidRPr="00B11C46" w:rsidR="00154AC9" w:rsidP="0059068B" w:rsidRDefault="005D23AA" w14:paraId="34D75009" w14:textId="2ABBCB94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816D9A">
        <w:rPr>
          <w:szCs w:val="19"/>
          <w:shd w:val="clear" w:color="auto" w:fill="FFFFFF"/>
          <w:lang w:val="en-GB"/>
        </w:rPr>
        <w:t>April</w:t>
      </w:r>
      <w:r w:rsidR="005B6CB4">
        <w:rPr>
          <w:szCs w:val="19"/>
          <w:shd w:val="clear" w:color="auto" w:fill="FFFFFF"/>
          <w:lang w:val="en-GB"/>
        </w:rPr>
        <w:t xml:space="preserve">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816D9A">
        <w:rPr>
          <w:szCs w:val="19"/>
          <w:shd w:val="clear" w:color="auto" w:fill="FFFFFF"/>
          <w:lang w:val="en-GB"/>
        </w:rPr>
        <w:t>810</w:t>
      </w:r>
      <w:r w:rsidR="00D93EA6">
        <w:rPr>
          <w:szCs w:val="19"/>
          <w:shd w:val="clear" w:color="auto" w:fill="FFFFFF"/>
          <w:lang w:val="en-GB"/>
        </w:rPr>
        <w:t>.</w:t>
      </w:r>
      <w:r w:rsidR="00816D9A">
        <w:rPr>
          <w:szCs w:val="19"/>
          <w:shd w:val="clear" w:color="auto" w:fill="FFFFFF"/>
          <w:lang w:val="en-GB"/>
        </w:rPr>
        <w:t>5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816D9A">
        <w:rPr>
          <w:szCs w:val="19"/>
          <w:shd w:val="clear" w:color="auto" w:fill="FFFFFF"/>
          <w:lang w:val="en-GB"/>
        </w:rPr>
        <w:t>7.0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6851E8" w:rsidR="00FE1642" w:rsidP="00FE1642" w:rsidRDefault="00FE1642" w14:paraId="4BA5550F" w14:textId="4BAE4A08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6851E8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>
        <w:rPr>
          <w:sz w:val="18"/>
          <w:szCs w:val="18"/>
          <w:lang w:val="en-GB"/>
        </w:rPr>
        <w:t>esidential construction in Poland</w:t>
      </w:r>
    </w:p>
    <w:p w:rsidR="00185C4C" w:rsidP="009300BA" w:rsidRDefault="00B04E91" w14:paraId="051C1979" w14:textId="15AD6E3B">
      <w:pPr>
        <w:spacing w:after="0" w:line="288" w:lineRule="auto"/>
        <w:rPr>
          <w:noProof/>
          <w:spacing w:val="-2"/>
          <w:lang w:val="en-GB"/>
        </w:rPr>
      </w:pPr>
      <w:r w:rsidRPr="00B04E91"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editId="7792804F" wp14:anchorId="24C33B79">
            <wp:simplePos x="0" y="0"/>
            <wp:positionH relativeFrom="column">
              <wp:posOffset>-102358</wp:posOffset>
            </wp:positionH>
            <wp:positionV relativeFrom="paragraph">
              <wp:posOffset>84095</wp:posOffset>
            </wp:positionV>
            <wp:extent cx="5122545" cy="2298700"/>
            <wp:effectExtent l="0" t="0" r="1905" b="635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2021,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9B9" w:rsidR="002B15B7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19A5EAA8" wp14:anchorId="50036E1A">
                <wp:simplePos x="0" y="0"/>
                <wp:positionH relativeFrom="page">
                  <wp:posOffset>5683885</wp:posOffset>
                </wp:positionH>
                <wp:positionV relativeFrom="paragraph">
                  <wp:posOffset>49530</wp:posOffset>
                </wp:positionV>
                <wp:extent cx="1832610" cy="1862455"/>
                <wp:effectExtent l="0" t="0" r="0" b="4445"/>
                <wp:wrapSquare wrapText="bothSides"/>
                <wp:docPr id="9" name="Pole tekstowe 2" descr="In April, compared to March 2023, the number of dwellings completed and in which construction has be-gun decreased (respectively by 0.6% and 20.7%), whereas the number of dwellings for which permits have been granted or which have been registered with a construction project increased (by 1.1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2610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574E89" w:rsidP="00903A58" w:rsidRDefault="00574E89" w14:paraId="58FBF1C9" w14:textId="3BC05E9B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bookmarkStart w:name="_GoBack" w:id="1"/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816D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816D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Pr="00F5200E" w:rsidR="00332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DF20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2023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762E3E" w:rsid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</w:t>
                            </w:r>
                            <w:r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</w:t>
                            </w:r>
                            <w:r w:rsidRPr="00762E3E" w:rsid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C1FB3"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which construction has begun decreased (respectively by </w:t>
                            </w:r>
                            <w:r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Pr="001C1FB3"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1C1FB3"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</w:t>
                            </w:r>
                            <w:r w:rsidRPr="001C1FB3"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1C1FB3"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Pr="00D47D1A"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Pr="00D47D1A" w:rsidR="002B15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B15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 the number of dwellings</w:t>
                            </w:r>
                            <w:r w:rsid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955E6" w:rsid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</w:t>
                            </w:r>
                            <w:r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2B15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Pr="00B61A3E" w:rsid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2B15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Pr="00D47D1A"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D47D1A" w:rsidR="006851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D47D1A" w:rsidR="001C1F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D47D1A"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9" style="position:absolute;margin-left:447.55pt;margin-top:3.9pt;width:144.3pt;height:146.6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April, compared to March 2023, the number of dwellings completed and in which construction has be-gun decreased (respectively by 0.6% and 20.7%), whereas the number of dwellings for which permits have been granted or which have been registered with a construction project increased (by 1.1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">
                <v:textbox>
                  <w:txbxContent>
                    <w:p w:rsidRPr="00AC3185" w:rsidR="00574E89" w:rsidP="00903A58" w:rsidRDefault="00574E89" w14:paraId="58FBF1C9" w14:textId="3BC05E9B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bookmarkStart w:name="_GoBack" w:id="2"/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816D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816D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Pr="00F5200E" w:rsidR="00332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DF20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2023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762E3E" w:rsid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</w:t>
                      </w:r>
                      <w:r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</w:t>
                      </w:r>
                      <w:r w:rsidRPr="00762E3E" w:rsid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C1FB3"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which construction has begun decreased (respectively by </w:t>
                      </w:r>
                      <w:r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Pr="001C1FB3"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1C1FB3"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</w:t>
                      </w:r>
                      <w:r w:rsidRPr="001C1FB3"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1C1FB3"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Pr="00D47D1A"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Pr="00D47D1A" w:rsidR="002B15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B15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 the number of dwellings</w:t>
                      </w:r>
                      <w:r w:rsid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955E6" w:rsid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</w:t>
                      </w:r>
                      <w:r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2B15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Pr="00B61A3E" w:rsid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2B15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Pr="00D47D1A"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D47D1A" w:rsidR="006851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D47D1A" w:rsidR="001C1F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D47D1A"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bookmarkEnd w:id="2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04E91">
        <w:rPr>
          <w:noProof/>
          <w:lang w:eastAsia="pl-PL"/>
        </w:rPr>
        <w:t xml:space="preserve"> </w:t>
      </w:r>
      <w:r w:rsidRPr="00AA0D59" w:rsidR="00AA0D59">
        <w:rPr>
          <w:noProof/>
          <w:lang w:val="en-GB" w:eastAsia="pl-PL"/>
        </w:rPr>
        <w:t xml:space="preserve"> </w:t>
      </w:r>
      <w:r w:rsidRPr="00B61A3E" w:rsidR="00B61A3E">
        <w:rPr>
          <w:lang w:val="en-GB"/>
        </w:rPr>
        <w:t xml:space="preserve"> </w:t>
      </w:r>
      <w:r w:rsidRPr="00672ADA" w:rsidR="00D611C6">
        <w:rPr>
          <w:noProof/>
          <w:lang w:val="en-GB" w:eastAsia="pl-PL"/>
        </w:rPr>
        <w:t xml:space="preserve"> </w:t>
      </w:r>
    </w:p>
    <w:p w:rsidR="00185C4C" w:rsidP="009300BA" w:rsidRDefault="00185C4C" w14:paraId="2209DEAC" w14:textId="15666F5C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6FB02A4C" w14:textId="0E03C45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01FEC523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1BD175E8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5AF60639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6AF578B1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6F05659D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3971A30D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3E85C97E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256BBDD5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="002B15B7">
        <w:rPr>
          <w:noProof/>
          <w:spacing w:val="-2"/>
          <w:lang w:val="en-GB"/>
        </w:rPr>
        <w:t>April</w:t>
      </w:r>
      <w:r w:rsidR="006851E8">
        <w:rPr>
          <w:noProof/>
          <w:spacing w:val="-2"/>
          <w:lang w:val="en-GB"/>
        </w:rPr>
        <w:t xml:space="preserve"> 2023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14</w:t>
      </w:r>
      <w:r w:rsidRPr="0080490A" w:rsidR="00D6223C">
        <w:rPr>
          <w:noProof/>
          <w:spacing w:val="-2"/>
          <w:lang w:val="en-GB"/>
        </w:rPr>
        <w:t>.</w:t>
      </w:r>
      <w:r w:rsidR="002B15B7">
        <w:rPr>
          <w:noProof/>
          <w:spacing w:val="-2"/>
          <w:lang w:val="en-GB"/>
        </w:rPr>
        <w:t>5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>, 11</w:t>
      </w:r>
      <w:r w:rsidRPr="0080490A" w:rsidR="00465B75">
        <w:rPr>
          <w:noProof/>
          <w:spacing w:val="-2"/>
          <w:lang w:val="en-GB"/>
        </w:rPr>
        <w:t>.</w:t>
      </w:r>
      <w:r w:rsidR="002B15B7">
        <w:rPr>
          <w:noProof/>
          <w:spacing w:val="-2"/>
          <w:lang w:val="en-GB"/>
        </w:rPr>
        <w:t>4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12.7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Pr="00AA0D59" w:rsid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(8.7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="002B15B7">
        <w:rPr>
          <w:noProof/>
          <w:spacing w:val="-2"/>
          <w:lang w:val="en-GB"/>
        </w:rPr>
        <w:t>4.5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5.8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(7</w:t>
      </w:r>
      <w:r w:rsidR="00AA0D59">
        <w:rPr>
          <w:noProof/>
          <w:spacing w:val="-2"/>
          <w:lang w:val="en-GB"/>
        </w:rPr>
        <w:t>.7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>, 5</w:t>
      </w:r>
      <w:r w:rsidR="00AA0D59">
        <w:rPr>
          <w:noProof/>
          <w:spacing w:val="-2"/>
          <w:lang w:val="en-GB"/>
        </w:rPr>
        <w:t xml:space="preserve">.2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8</w:t>
      </w:r>
      <w:r w:rsidRPr="0080490A" w:rsidR="00BB44BD">
        <w:rPr>
          <w:noProof/>
          <w:spacing w:val="-2"/>
          <w:lang w:val="en-GB"/>
        </w:rPr>
        <w:t>.</w:t>
      </w:r>
      <w:r w:rsidR="002B15B7">
        <w:rPr>
          <w:noProof/>
          <w:spacing w:val="-2"/>
          <w:lang w:val="en-GB"/>
        </w:rPr>
        <w:t>2</w:t>
      </w:r>
      <w:r w:rsidRPr="0080490A" w:rsidR="00D941DB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1C1808" w14:paraId="73CBA65A" w14:textId="2E5BD68D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="00B04E91">
        <w:rPr>
          <w:rFonts w:ascii="Fira Sans" w:hAnsi="Fira Sans"/>
          <w:b/>
          <w:color w:val="auto"/>
          <w:sz w:val="18"/>
          <w:szCs w:val="18"/>
          <w:lang w:val="en-GB"/>
        </w:rPr>
        <w:t>April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:rsidRPr="00B61A3E" w:rsidR="00F97C1E" w:rsidP="00FE1642" w:rsidRDefault="00F97C1E" w14:paraId="4C3CD6AB" w14:textId="06585168">
      <w:pPr>
        <w:rPr>
          <w:lang w:val="en-GB"/>
        </w:rPr>
      </w:pPr>
    </w:p>
    <w:p w:rsidRPr="00FE1642" w:rsidR="00FE1642" w:rsidP="00FE1642" w:rsidRDefault="00B04E91" w14:paraId="6E5E8C6F" w14:textId="0537AA80">
      <w:pPr>
        <w:rPr>
          <w:lang w:val="en-GB" w:eastAsia="pl-PL"/>
        </w:rPr>
      </w:pPr>
      <w:r w:rsidRPr="00B04E91"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7023B591" wp14:anchorId="1BCCFFB4">
            <wp:simplePos x="0" y="0"/>
            <wp:positionH relativeFrom="margin">
              <wp:align>right</wp:align>
            </wp:positionH>
            <wp:positionV relativeFrom="paragraph">
              <wp:posOffset>20879</wp:posOffset>
            </wp:positionV>
            <wp:extent cx="5122545" cy="2464435"/>
            <wp:effectExtent l="0" t="0" r="1905" b="0"/>
            <wp:wrapNone/>
            <wp:docPr id="6" name="Obraz 6" descr="Number of dwellings completed, number of dwellings for which permits have been granted or which have been registered with a construction project and number of dwellings in which construction has begun in January - April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2DD" w:rsidP="00A76D03" w:rsidRDefault="007A22DD" w14:paraId="7C86092F" w14:textId="39B5BE7A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376EB9C3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EC68F9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12AAEE34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1BD1962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77777777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2F0239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2F0239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2F0239" w:rsidRDefault="00BD0A3B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2F0239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0E7A1B" w:rsidR="007E02D8" w:rsidP="002F0239" w:rsidRDefault="007E02D8" w14:paraId="689F6069" w14:textId="1E6F6BC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:rsidRPr="00FF3B5B" w:rsidR="007E02D8" w:rsidP="002F0239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2F0239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2F0239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2F0239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2F0239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2F0239" w:rsidRDefault="007E02D8" w14:paraId="205CFE14" w14:textId="77777777">
            <w:pPr>
              <w:rPr>
                <w:sz w:val="18"/>
              </w:rPr>
            </w:pPr>
          </w:p>
        </w:tc>
      </w:tr>
      <w:tr w:rsidRPr="00D27B18" w:rsidR="007E02D8" w:rsidTr="002F0239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2F0239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2F0239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2F0239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2F0239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04AFB5C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2F0239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2F0239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2F0239" w:rsidRDefault="007E02D8" w14:paraId="4172E5C5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editId="1E1B1159" wp14:anchorId="63DC86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2F0239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2F0239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2F0239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2F0239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2F0239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2F0239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2F0239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2F0239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2F0239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2F0239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2F0239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2F0239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2F0239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2F0239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BD0A3B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5E4843" w:rsidR="0045506B" w:rsidP="0045506B" w:rsidRDefault="00BD0A3B" w14:paraId="6F79BEB1" w14:textId="24A4E03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Construction" w:history="1" r:id="rId26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:rsidRPr="005E4843" w:rsidR="0045506B" w:rsidP="0045506B" w:rsidRDefault="00BD0A3B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7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2F0239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BD0A3B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2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BD0A3B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0"/>
          </w:p>
          <w:p w:rsidRPr="005E4843" w:rsidR="0045506B" w:rsidP="0045506B" w:rsidRDefault="00BD0A3B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2F0239" w:rsidRDefault="007E02D8" w14:paraId="58FFC111" w14:textId="3BEC961B">
            <w:pPr>
              <w:rPr>
                <w:rStyle w:val="Hipercze"/>
              </w:rPr>
            </w:pPr>
          </w:p>
          <w:p w:rsidR="007E02D8" w:rsidP="002F0239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2F0239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2F0239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48ECE00C">
      <w:pPr>
        <w:rPr>
          <w:sz w:val="18"/>
          <w:lang w:val="en-GB"/>
        </w:rPr>
      </w:pPr>
    </w:p>
    <w:sectPr w:rsidRPr="004829B9" w:rsidR="00D261A2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00C15" w14:textId="77777777" w:rsidR="00BD0A3B" w:rsidRDefault="00BD0A3B" w:rsidP="000662E2">
      <w:pPr>
        <w:spacing w:after="0" w:line="240" w:lineRule="auto"/>
      </w:pPr>
      <w:r>
        <w:separator/>
      </w:r>
    </w:p>
  </w:endnote>
  <w:endnote w:type="continuationSeparator" w:id="0">
    <w:p w14:paraId="6DD96626" w14:textId="77777777" w:rsidR="00BD0A3B" w:rsidRDefault="00BD0A3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2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2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59036" w14:textId="77777777" w:rsidR="00BD0A3B" w:rsidRDefault="00BD0A3B" w:rsidP="000662E2">
      <w:pPr>
        <w:spacing w:after="0" w:line="240" w:lineRule="auto"/>
      </w:pPr>
      <w:r>
        <w:separator/>
      </w:r>
    </w:p>
  </w:footnote>
  <w:footnote w:type="continuationSeparator" w:id="0">
    <w:p w14:paraId="703C209D" w14:textId="77777777" w:rsidR="00BD0A3B" w:rsidRDefault="00BD0A3B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578CEB31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3.05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55CD0223" w:rsidR="00574E89" w:rsidRPr="00C97596" w:rsidRDefault="00D27B18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23.05</w:t>
                          </w:r>
                          <w:r w:rsidR="00FF4E11"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e of publication 23.05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DaB0k6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55CD0223" w:rsidR="00574E89" w:rsidRPr="00C97596" w:rsidRDefault="00D27B18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23.05</w:t>
                    </w:r>
                    <w:r w:rsidR="00FF4E11"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1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124.6pt;height:125.2pt;visibility:visible;mso-wrap-style:square" o:bullet="t">
        <v:imagedata r:id="rId1" o:title=""/>
      </v:shape>
    </w:pict>
  </w:numPicBullet>
  <w:numPicBullet w:numPicBulletId="1">
    <w:pict>
      <v:shape id="_x0000_i1241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27A3B"/>
    <w:rsid w:val="0003236F"/>
    <w:rsid w:val="00033479"/>
    <w:rsid w:val="000334AE"/>
    <w:rsid w:val="000348CC"/>
    <w:rsid w:val="00035EA7"/>
    <w:rsid w:val="000363D0"/>
    <w:rsid w:val="00036848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6C57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D0089"/>
    <w:rsid w:val="000D0D69"/>
    <w:rsid w:val="000D1427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327E"/>
    <w:rsid w:val="0015468F"/>
    <w:rsid w:val="00154AC9"/>
    <w:rsid w:val="00154CEA"/>
    <w:rsid w:val="00155948"/>
    <w:rsid w:val="0016126E"/>
    <w:rsid w:val="001616F5"/>
    <w:rsid w:val="00162325"/>
    <w:rsid w:val="00162AA8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84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424E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6F3"/>
    <w:rsid w:val="00406BFF"/>
    <w:rsid w:val="00412461"/>
    <w:rsid w:val="004130BC"/>
    <w:rsid w:val="004132CC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0581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5BDB"/>
    <w:rsid w:val="004E6E55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03D3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76B0"/>
    <w:rsid w:val="005702F8"/>
    <w:rsid w:val="00573181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2D1C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CBB"/>
    <w:rsid w:val="005B5EB4"/>
    <w:rsid w:val="005B659C"/>
    <w:rsid w:val="005B6CB4"/>
    <w:rsid w:val="005C16BE"/>
    <w:rsid w:val="005C20C8"/>
    <w:rsid w:val="005C2FE4"/>
    <w:rsid w:val="005C4A86"/>
    <w:rsid w:val="005C4E91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16D9A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937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763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7208C"/>
    <w:rsid w:val="00A727A8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710D"/>
    <w:rsid w:val="00AB0212"/>
    <w:rsid w:val="00AB0FC8"/>
    <w:rsid w:val="00AB2D96"/>
    <w:rsid w:val="00AB3F7C"/>
    <w:rsid w:val="00AB6D25"/>
    <w:rsid w:val="00AB7860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4E91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37FC5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1101"/>
    <w:rsid w:val="00BC27D9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4B4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53F8"/>
    <w:rsid w:val="00D06341"/>
    <w:rsid w:val="00D10E44"/>
    <w:rsid w:val="00D110E3"/>
    <w:rsid w:val="00D14E83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CF0"/>
    <w:rsid w:val="00D76E73"/>
    <w:rsid w:val="00D772C7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03AD"/>
    <w:rsid w:val="00DA23DE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4AC1"/>
    <w:rsid w:val="00F66B50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5B75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3A83"/>
    <w:rsid w:val="00FE6CB4"/>
    <w:rsid w:val="00FE705C"/>
    <w:rsid w:val="00FF1686"/>
    <w:rsid w:val="00FF37E0"/>
    <w:rsid w:val="00FF392D"/>
    <w:rsid w:val="00FF4261"/>
    <w:rsid w:val="00FF4E11"/>
    <w:rsid w:val="00FF4E3F"/>
    <w:rsid w:val="00FF5E10"/>
    <w:rsid w:val="00FF61AB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residential_construction_in_the_period_january-april_2023.docx.docx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BE704F7F-A42A-497C-8F4C-7C073154855F}"/>
</file>

<file path=customXml/itemProps3.xml><?xml version="1.0" encoding="utf-8"?>
<ds:datastoreItem xmlns:ds="http://schemas.openxmlformats.org/officeDocument/2006/customXml" ds:itemID="{0236255F-C8D1-4BE7-821C-DDE6F8E27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2023-05-16T13:25:00Z</dcterms:created>
  <dcterms:modified xsi:type="dcterms:W3CDTF">2023-05-18T11:13:00Z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LUB-OSB.6360.4.2023.11</vt:lpwstr>
  </property>
  <property fmtid="{D5CDD505-2E9C-101B-9397-08002B2CF9AE}" pid="4" name="UNPPisma">
    <vt:lpwstr>2023-113076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Skorupska Agnieszka</vt:lpwstr>
  </property>
  <property fmtid="{D5CDD505-2E9C-101B-9397-08002B2CF9AE}" pid="8" name="AutorInicjaly">
    <vt:lpwstr>AS</vt:lpwstr>
  </property>
  <property fmtid="{D5CDD505-2E9C-101B-9397-08002B2CF9AE}" pid="9" name="AutorNrTelefonu">
    <vt:lpwstr>815332051 wew. 110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 - kwiecień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2023-05-18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