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6D0E826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F5217C">
        <w:rPr>
          <w:szCs w:val="32"/>
          <w:lang w:val="en-GB"/>
        </w:rPr>
        <w:t>March</w:t>
      </w:r>
      <w:r w:rsidR="00D860E0">
        <w:rPr>
          <w:szCs w:val="32"/>
          <w:lang w:val="en-GB"/>
        </w:rPr>
        <w:t xml:space="preserve"> </w:t>
      </w:r>
      <w:r w:rsidR="00C5234B">
        <w:rPr>
          <w:szCs w:val="32"/>
          <w:shd w:val="clear" w:color="auto" w:fill="FFFFFF"/>
          <w:lang w:val="en-GB"/>
        </w:rPr>
        <w:t>2023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6E6617A2" w:rsidR="00095A18" w:rsidRPr="004829B9" w:rsidRDefault="00941380" w:rsidP="00896EB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3DDDADB8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0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58FA0755" w:rsidR="00A4625F" w:rsidRPr="00A4625F" w:rsidRDefault="00F5217C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5217C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100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C5234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Index number of dwellings completed y/y 100.1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CEbpFIUQIAAF0EAAAOAAAAAAAAAAAAAAAAAC4CAABkcnMvZTJvRG9jLnhtbFBLAQItABQABgAI&#10;AAAAIQAXZe263AAAAAcBAAAPAAAAAAAAAAAAAAAAAKsEAABkcnMvZG93bnJldi54bWxQSwUGAAAA&#10;AAQABADzAAAAtAUAAAAA&#10;" fillcolor="#001d77" stroked="f">
                <v:stroke joinstyle="miter"/>
                <v:textbox>
                  <w:txbxContent>
                    <w:p w14:paraId="0C77FD05" w14:textId="58FA0755" w:rsidR="00A4625F" w:rsidRPr="00A4625F" w:rsidRDefault="00F5217C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F5217C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100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C5234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="00F5217C">
        <w:rPr>
          <w:lang w:val="en-GB"/>
        </w:rPr>
        <w:t xml:space="preserve">quarter </w:t>
      </w:r>
      <w:r w:rsidR="00C5234B">
        <w:rPr>
          <w:lang w:val="en-GB"/>
        </w:rPr>
        <w:t>of 2023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F5217C">
        <w:rPr>
          <w:lang w:val="en-GB"/>
        </w:rPr>
        <w:t>more</w:t>
      </w:r>
      <w:r w:rsidR="00D860E0">
        <w:rPr>
          <w:lang w:val="en-GB"/>
        </w:rPr>
        <w:t xml:space="preserve"> </w:t>
      </w:r>
      <w:r w:rsidR="00AD1492" w:rsidRPr="004829B9">
        <w:rPr>
          <w:lang w:val="en-GB"/>
        </w:rPr>
        <w:t xml:space="preserve">dwellings completed than the year before. </w:t>
      </w:r>
      <w:r w:rsidR="00F5217C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5B50D09E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4.8% and 43.1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4EC82499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01040">
                              <w:rPr>
                                <w:lang w:val="en-US"/>
                              </w:rPr>
                              <w:t>54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15327E">
                              <w:rPr>
                                <w:lang w:val="en-US"/>
                              </w:rPr>
                              <w:t>9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C01040">
                              <w:rPr>
                                <w:lang w:val="en-US"/>
                              </w:rPr>
                              <w:t>43.1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54.8% and 43.1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Ab1Qwq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4EC82499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C01040">
                        <w:rPr>
                          <w:lang w:val="en-US"/>
                        </w:rPr>
                        <w:t>54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15327E">
                        <w:rPr>
                          <w:lang w:val="en-US"/>
                        </w:rPr>
                        <w:t>9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C01040">
                        <w:rPr>
                          <w:lang w:val="en-US"/>
                        </w:rPr>
                        <w:t>43.1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5E9181D4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54.9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="004E1FC1" w:rsidRPr="0080490A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January</w:t>
      </w:r>
      <w:r w:rsidR="000D396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-</w:t>
      </w:r>
      <w:r w:rsidR="000D396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March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0.1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30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1.1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23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0334AE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5327E">
        <w:rPr>
          <w:rFonts w:eastAsia="Times New Roman" w:cs="Times New Roman"/>
          <w:spacing w:val="-2"/>
          <w:szCs w:val="19"/>
          <w:lang w:val="en-GB" w:eastAsia="pl-PL"/>
        </w:rPr>
        <w:t>0</w:t>
      </w:r>
      <w:bookmarkStart w:id="0" w:name="_GoBack"/>
      <w:bookmarkEnd w:id="0"/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1.1</w:t>
      </w:r>
      <w:r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1.2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7AA7E514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96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21FC41E1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5217C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54705782" w:rsidR="009A4851" w:rsidRPr="00D860E0" w:rsidRDefault="00C0104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9A4851" w:rsidRPr="009A4851" w14:paraId="2F027FA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2AED2744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5217C">
              <w:rPr>
                <w:color w:val="000000" w:themeColor="text1"/>
                <w:sz w:val="16"/>
                <w:szCs w:val="16"/>
              </w:rPr>
              <w:t>3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56A4BB28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5217C">
              <w:rPr>
                <w:color w:val="000000" w:themeColor="text1"/>
                <w:sz w:val="16"/>
                <w:szCs w:val="16"/>
              </w:rPr>
              <w:t>2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2F7073FA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</w:t>
            </w:r>
            <w:r w:rsidR="00C01040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5217C" w:rsidRPr="009A4851" w14:paraId="74C961E1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ED01BD" w14:textId="3B0C3D10" w:rsidR="00F5217C" w:rsidRPr="00652E3E" w:rsidRDefault="00F5217C" w:rsidP="00F5217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368A5D2" w14:textId="64A36305" w:rsidR="00F5217C" w:rsidRPr="00652E3E" w:rsidRDefault="00C01040" w:rsidP="00F5217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105.</w:t>
            </w:r>
            <w:r w:rsidR="00F5217C" w:rsidRPr="004400ED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21A24EE4" w:rsidR="00F5217C" w:rsidRPr="00AC083C" w:rsidRDefault="00C01040" w:rsidP="00F521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131.</w:t>
            </w:r>
            <w:r w:rsidR="00F5217C"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6E92AA94" w:rsidR="00F5217C" w:rsidRPr="00652E3E" w:rsidRDefault="00F5217C" w:rsidP="00F5217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54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885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0266D728" w:rsidR="00F5217C" w:rsidRPr="00AC083C" w:rsidRDefault="00C01040" w:rsidP="00F5217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</w:t>
            </w:r>
            <w:r w:rsidR="00F5217C"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F5217C" w:rsidRPr="009A4851" w14:paraId="1DBFB85F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55032DB" w14:textId="2D9B340C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134" w:type="dxa"/>
            <w:vAlign w:val="center"/>
          </w:tcPr>
          <w:p w14:paraId="10BBBDB9" w14:textId="0AFBFF45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A2499" w14:textId="37F0014C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0AB283" w14:textId="7CAA757B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669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24FA0A97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5217C" w:rsidRPr="009A4851" w14:paraId="6E2F06BB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23EE99E7" w14:textId="593F6922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134" w:type="dxa"/>
            <w:vAlign w:val="center"/>
          </w:tcPr>
          <w:p w14:paraId="1392F143" w14:textId="5395D7D1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73E4F9D" w14:textId="7706DC60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C80FD51" w14:textId="03449152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177EDA22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F5217C" w:rsidRPr="009A4851" w14:paraId="24AD4DF0" w14:textId="77777777" w:rsidTr="009669D2">
        <w:trPr>
          <w:trHeight w:val="341"/>
        </w:trPr>
        <w:tc>
          <w:tcPr>
            <w:tcW w:w="2268" w:type="dxa"/>
            <w:vAlign w:val="center"/>
          </w:tcPr>
          <w:p w14:paraId="1D2231E4" w14:textId="0D64CDE9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43E0B857" w14:textId="4BC14059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center"/>
          </w:tcPr>
          <w:p w14:paraId="1F0CCA82" w14:textId="43A035E0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8C19C17" w14:textId="474DA931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</w:t>
            </w:r>
            <w:r w:rsidR="00F5217C" w:rsidRPr="004400E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68E0768" w14:textId="0ED028AB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sz w:val="16"/>
                <w:szCs w:val="16"/>
              </w:rPr>
              <w:t>201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2781AAC2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5217C" w:rsidRPr="009A4851" w14:paraId="4DBF5999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F5217C" w:rsidRPr="00D860E0" w:rsidRDefault="00F5217C" w:rsidP="00F5217C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9E2D56C" w14:textId="3FF44601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1134" w:type="dxa"/>
            <w:vAlign w:val="center"/>
          </w:tcPr>
          <w:p w14:paraId="3E22814D" w14:textId="5CB02A30" w:rsidR="00F5217C" w:rsidRPr="00E104E2" w:rsidRDefault="00C01040" w:rsidP="00F521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CC7447C" w14:textId="67A286B5" w:rsidR="00F5217C" w:rsidRPr="00E104E2" w:rsidRDefault="00C01040" w:rsidP="00F521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39B16E7" w14:textId="020A13CC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29B12644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71.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5217C" w:rsidRPr="009A4851" w14:paraId="2FCEF9DB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14:paraId="7E5E83FB" w14:textId="24FD923D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14:paraId="0AFA2421" w14:textId="6D3A58B7" w:rsidR="00F5217C" w:rsidRPr="00652E3E" w:rsidRDefault="00F5217C" w:rsidP="00C0104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15-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948C7DA" w14:textId="5B3C4AD9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22.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27C313" w14:textId="0EBD1D51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3F7EBB82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5217C" w:rsidRPr="009A4851" w14:paraId="79AE12F9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60773A35" w14:textId="19FDB538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354</w:t>
            </w:r>
          </w:p>
        </w:tc>
        <w:tc>
          <w:tcPr>
            <w:tcW w:w="1134" w:type="dxa"/>
            <w:vAlign w:val="center"/>
          </w:tcPr>
          <w:p w14:paraId="5900F285" w14:textId="49A48AD1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234.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64CE68" w14:textId="0CBC697D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737.</w:t>
            </w:r>
            <w:r w:rsidR="00F5217C" w:rsidRPr="004400E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F2972" w14:textId="28C80D61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490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2FCF56DD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5217C" w:rsidRPr="009A4851" w14:paraId="16EEE8B3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5217C" w:rsidRPr="00D860E0" w:rsidRDefault="00F5217C" w:rsidP="00F5217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BF9FB1" w14:textId="1A728E2C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15E4888" w14:textId="17075DAC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0FA977D4" w:rsidR="00F5217C" w:rsidRPr="00652E3E" w:rsidRDefault="00C01040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50.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00011458" w:rsidR="00F5217C" w:rsidRPr="00652E3E" w:rsidRDefault="00F5217C" w:rsidP="00F5217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2F9A89A7" w:rsidR="00F5217C" w:rsidRPr="00652E3E" w:rsidRDefault="00F5217C" w:rsidP="00C0104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10-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7C299A55">
                <wp:simplePos x="0" y="0"/>
                <wp:positionH relativeFrom="rightMargin">
                  <wp:posOffset>116205</wp:posOffset>
                </wp:positionH>
                <wp:positionV relativeFrom="paragraph">
                  <wp:posOffset>250825</wp:posOffset>
                </wp:positionV>
                <wp:extent cx="1822450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first quarter of 2023 by 33.8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1F0E8E3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>in</w:t>
                            </w:r>
                            <w:r w:rsidR="00FD550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6CB4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C01040">
                              <w:rPr>
                                <w:lang w:val="en-US"/>
                              </w:rPr>
                              <w:t>first quarter</w:t>
                            </w:r>
                            <w:r w:rsidR="005B6CB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01040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5B6CB4">
                              <w:rPr>
                                <w:lang w:val="en-US"/>
                              </w:rPr>
                              <w:t>2023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C01040">
                              <w:rPr>
                                <w:lang w:val="en-US"/>
                              </w:rPr>
                              <w:t>33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C01040">
                              <w:rPr>
                                <w:lang w:val="en-US"/>
                              </w:rPr>
                              <w:t>8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first quarter of 2023 by 33.8% y/y " style="position:absolute;margin-left:9.15pt;margin-top:19.75pt;width:143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" filled="f" stroked="f" strokeweight=".5pt">
                <v:textbox>
                  <w:txbxContent>
                    <w:p w14:paraId="35DCCB4E" w14:textId="71F0E8E3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>in</w:t>
                      </w:r>
                      <w:r w:rsidR="00FD5504">
                        <w:rPr>
                          <w:lang w:val="en-US"/>
                        </w:rPr>
                        <w:t xml:space="preserve"> </w:t>
                      </w:r>
                      <w:r w:rsidR="005B6CB4">
                        <w:rPr>
                          <w:lang w:val="en-US"/>
                        </w:rPr>
                        <w:t xml:space="preserve">the </w:t>
                      </w:r>
                      <w:r w:rsidR="00C01040">
                        <w:rPr>
                          <w:lang w:val="en-US"/>
                        </w:rPr>
                        <w:t>first quarter</w:t>
                      </w:r>
                      <w:r w:rsidR="005B6CB4">
                        <w:rPr>
                          <w:lang w:val="en-US"/>
                        </w:rPr>
                        <w:t xml:space="preserve"> </w:t>
                      </w:r>
                      <w:r w:rsidR="00C01040">
                        <w:rPr>
                          <w:lang w:val="en-US"/>
                        </w:rPr>
                        <w:t xml:space="preserve">of </w:t>
                      </w:r>
                      <w:r w:rsidR="005B6CB4">
                        <w:rPr>
                          <w:lang w:val="en-US"/>
                        </w:rPr>
                        <w:t>2023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C01040">
                        <w:rPr>
                          <w:lang w:val="en-US"/>
                        </w:rPr>
                        <w:t>33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C01040">
                        <w:rPr>
                          <w:lang w:val="en-US"/>
                        </w:rPr>
                        <w:t>8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12DECBE4" w:rsidR="00C47CE4" w:rsidRPr="0080490A" w:rsidRDefault="00FD02E4" w:rsidP="009300BA">
      <w:pPr>
        <w:pStyle w:val="Tablicagwkarodek"/>
        <w:jc w:val="left"/>
        <w:rPr>
          <w:noProof/>
          <w:lang w:val="en-GB"/>
        </w:rPr>
      </w:pPr>
      <w:r w:rsidRPr="00087AD0">
        <w:rPr>
          <w:noProof/>
          <w:lang w:val="en-GB"/>
        </w:rPr>
        <w:t>In</w:t>
      </w:r>
      <w:r w:rsidR="00B54025">
        <w:rPr>
          <w:noProof/>
          <w:lang w:val="en-GB"/>
        </w:rPr>
        <w:t xml:space="preserve"> the </w:t>
      </w:r>
      <w:r w:rsidR="00C01040">
        <w:rPr>
          <w:noProof/>
          <w:lang w:val="en-GB"/>
        </w:rPr>
        <w:t>first quarter</w:t>
      </w:r>
      <w:r w:rsidRPr="00087AD0">
        <w:rPr>
          <w:noProof/>
          <w:lang w:val="en-GB"/>
        </w:rPr>
        <w:t xml:space="preserve"> </w:t>
      </w:r>
      <w:r w:rsidR="00C01040">
        <w:rPr>
          <w:noProof/>
          <w:lang w:val="en-GB"/>
        </w:rPr>
        <w:t xml:space="preserve">of </w:t>
      </w:r>
      <w:r w:rsidR="00B54025">
        <w:rPr>
          <w:noProof/>
          <w:lang w:val="en-GB"/>
        </w:rPr>
        <w:t>2023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 xml:space="preserve">construction of </w:t>
      </w:r>
      <w:r w:rsidR="00C01040">
        <w:rPr>
          <w:noProof/>
          <w:lang w:val="en-GB"/>
        </w:rPr>
        <w:t>5</w:t>
      </w:r>
      <w:r w:rsidR="00B54025">
        <w:rPr>
          <w:noProof/>
          <w:lang w:val="en-GB"/>
        </w:rPr>
        <w:t>1</w:t>
      </w:r>
      <w:r w:rsidR="00DE7DD4" w:rsidRPr="0080490A">
        <w:rPr>
          <w:noProof/>
          <w:lang w:val="en-GB"/>
        </w:rPr>
        <w:t>.</w:t>
      </w:r>
      <w:r w:rsidR="00C01040">
        <w:rPr>
          <w:noProof/>
          <w:lang w:val="en-GB"/>
        </w:rPr>
        <w:t>6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 w:rsidR="00C01040">
        <w:rPr>
          <w:noProof/>
          <w:lang w:val="en-GB"/>
        </w:rPr>
        <w:t>33</w:t>
      </w:r>
      <w:r w:rsidR="00E245E1" w:rsidRPr="0080490A">
        <w:rPr>
          <w:noProof/>
          <w:lang w:val="en-GB"/>
        </w:rPr>
        <w:t>.</w:t>
      </w:r>
      <w:r w:rsidR="00C01040">
        <w:rPr>
          <w:noProof/>
          <w:lang w:val="en-GB"/>
        </w:rPr>
        <w:t>8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in</w:t>
      </w:r>
      <w:r w:rsidR="000334AE">
        <w:rPr>
          <w:noProof/>
          <w:lang w:val="en-GB"/>
        </w:rPr>
        <w:t xml:space="preserve"> the corresponding period of</w:t>
      </w:r>
      <w:r w:rsidR="00C47CE4" w:rsidRPr="0080490A">
        <w:rPr>
          <w:noProof/>
          <w:lang w:val="en-GB"/>
        </w:rPr>
        <w:t xml:space="preserve"> </w:t>
      </w:r>
      <w:r w:rsidR="00B54025">
        <w:rPr>
          <w:noProof/>
          <w:lang w:val="en-GB"/>
        </w:rPr>
        <w:t>2022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>Permits for construction of the biggest nu</w:t>
      </w:r>
      <w:r w:rsidR="006851E8">
        <w:rPr>
          <w:noProof/>
          <w:lang w:val="en-GB"/>
        </w:rPr>
        <w:t xml:space="preserve">mber of dwellings were given to </w:t>
      </w:r>
      <w:r w:rsidR="00435283" w:rsidRPr="0080490A">
        <w:rPr>
          <w:noProof/>
          <w:lang w:val="en-GB"/>
        </w:rPr>
        <w:t xml:space="preserve">developers </w:t>
      </w:r>
      <w:r w:rsidR="00BD1D77" w:rsidRPr="0080490A">
        <w:rPr>
          <w:noProof/>
          <w:lang w:val="en-GB"/>
        </w:rPr>
        <w:t>(</w:t>
      </w:r>
      <w:r w:rsidR="00C01040">
        <w:rPr>
          <w:noProof/>
          <w:lang w:val="en-GB"/>
        </w:rPr>
        <w:t>34.2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F4261">
        <w:rPr>
          <w:noProof/>
          <w:lang w:val="en-GB"/>
        </w:rPr>
        <w:t xml:space="preserve">, a </w:t>
      </w:r>
      <w:r w:rsidR="00C01040">
        <w:rPr>
          <w:noProof/>
          <w:lang w:val="en-GB"/>
        </w:rPr>
        <w:t>decrease of 34.9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 w:rsidR="00C01040">
        <w:rPr>
          <w:noProof/>
          <w:lang w:val="en-GB"/>
        </w:rPr>
        <w:t>15</w:t>
      </w:r>
      <w:r w:rsidR="00DE7DD4" w:rsidRPr="0080490A">
        <w:rPr>
          <w:noProof/>
          <w:lang w:val="en-GB"/>
        </w:rPr>
        <w:t>.</w:t>
      </w:r>
      <w:r w:rsidR="00B54025">
        <w:rPr>
          <w:noProof/>
          <w:lang w:val="en-GB"/>
        </w:rPr>
        <w:t>6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6851E8">
        <w:rPr>
          <w:noProof/>
          <w:lang w:val="en-GB"/>
        </w:rPr>
        <w:t>, a </w:t>
      </w:r>
      <w:r>
        <w:rPr>
          <w:noProof/>
          <w:lang w:val="en-GB"/>
        </w:rPr>
        <w:t xml:space="preserve">decrease of </w:t>
      </w:r>
      <w:r w:rsidR="00C01040">
        <w:rPr>
          <w:noProof/>
          <w:lang w:val="en-GB"/>
        </w:rPr>
        <w:t>35.0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C01040">
        <w:rPr>
          <w:noProof/>
          <w:lang w:val="en-GB"/>
        </w:rPr>
        <w:t xml:space="preserve">and registrations with a </w:t>
      </w:r>
      <w:r w:rsidR="000A40DF" w:rsidRPr="0080490A">
        <w:rPr>
          <w:noProof/>
          <w:lang w:val="en-GB"/>
        </w:rPr>
        <w:t>constru</w:t>
      </w:r>
      <w:r w:rsidR="00C01040">
        <w:rPr>
          <w:noProof/>
          <w:lang w:val="en-GB"/>
        </w:rPr>
        <w:t>-</w:t>
      </w:r>
      <w:r w:rsidR="000A40DF" w:rsidRPr="0080490A">
        <w:rPr>
          <w:noProof/>
          <w:lang w:val="en-GB"/>
        </w:rPr>
        <w:t>ction project were made for</w:t>
      </w:r>
      <w:r w:rsidR="00C01040">
        <w:rPr>
          <w:noProof/>
          <w:lang w:val="en-GB"/>
        </w:rPr>
        <w:t xml:space="preserve"> 96</w:t>
      </w:r>
      <w:r w:rsidR="001A1F89" w:rsidRPr="0080490A">
        <w:rPr>
          <w:noProof/>
          <w:lang w:val="en-GB"/>
        </w:rPr>
        <w:t>.</w:t>
      </w:r>
      <w:r w:rsidR="00C01040">
        <w:rPr>
          <w:noProof/>
          <w:lang w:val="en-GB"/>
        </w:rPr>
        <w:t>6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C01040">
        <w:rPr>
          <w:noProof/>
          <w:lang w:val="en-GB"/>
        </w:rPr>
        <w:t>1.8</w:t>
      </w:r>
      <w:r w:rsidR="00155948">
        <w:rPr>
          <w:noProof/>
          <w:lang w:val="en-GB"/>
        </w:rPr>
        <w:t> </w:t>
      </w:r>
      <w:r w:rsidR="00DE2F35" w:rsidRPr="00DE2F35">
        <w:rPr>
          <w:noProof/>
          <w:lang w:val="en-GB"/>
        </w:rPr>
        <w:t xml:space="preserve">thousand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 w:rsidR="00C01040">
        <w:rPr>
          <w:noProof/>
          <w:lang w:val="en-GB"/>
        </w:rPr>
        <w:t>1</w:t>
      </w:r>
      <w:r w:rsidR="00FD5504">
        <w:rPr>
          <w:noProof/>
          <w:lang w:val="en-GB"/>
        </w:rPr>
        <w:t>.</w:t>
      </w:r>
      <w:r w:rsidR="000C4AF7">
        <w:rPr>
          <w:lang w:val="en-GB"/>
        </w:rPr>
        <w:t>4</w:t>
      </w:r>
      <w:r w:rsidR="00FD5504">
        <w:rPr>
          <w:lang w:val="en-GB"/>
        </w:rPr>
        <w:t> </w:t>
      </w:r>
      <w:r w:rsidR="00DE2F35" w:rsidRPr="00FD5504">
        <w:rPr>
          <w:lang w:val="en-GB"/>
        </w:rPr>
        <w:t>thousand</w:t>
      </w:r>
      <w:r w:rsidR="00DE2F35" w:rsidRPr="00DE2F35">
        <w:rPr>
          <w:noProof/>
          <w:lang w:val="en-GB"/>
        </w:rPr>
        <w:t xml:space="preserve"> </w:t>
      </w:r>
      <w:r>
        <w:rPr>
          <w:noProof/>
          <w:lang w:val="en-GB"/>
        </w:rPr>
        <w:t xml:space="preserve">in the </w:t>
      </w:r>
      <w:r w:rsidR="00C214E1" w:rsidRPr="0080490A">
        <w:rPr>
          <w:noProof/>
          <w:lang w:val="en-GB"/>
        </w:rPr>
        <w:t>previous</w:t>
      </w:r>
      <w:r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27FA1" w:rsidRPr="00F97C1E" w14:paraId="3982B774" w14:textId="77777777" w:rsidTr="0024318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5B6CB4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66F5A5DA" w:rsidR="00627FA1" w:rsidRPr="00762E3E" w:rsidRDefault="00C01040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>03</w:t>
            </w:r>
            <w:r w:rsidR="00627FA1" w:rsidRPr="00762E3E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0A33C80E" w:rsidR="00627FA1" w:rsidRPr="00762E3E" w:rsidRDefault="00C01040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>01-03</w:t>
            </w:r>
            <w:r w:rsidR="00627FA1" w:rsidRPr="00762E3E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="00627FA1" w:rsidRPr="00F97C1E" w14:paraId="40010199" w14:textId="77777777" w:rsidTr="00B31F1A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627FA1" w:rsidRPr="00762E3E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762E3E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0550E0AF" w:rsidR="00627FA1" w:rsidRPr="00762E3E" w:rsidRDefault="00C01040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>03</w:t>
            </w:r>
            <w:r w:rsidR="00627FA1" w:rsidRPr="00762E3E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32207E54" w:rsidR="00627FA1" w:rsidRPr="00762E3E" w:rsidRDefault="00C01040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rFonts w:eastAsia="Fira Sans Light" w:cs="Times New Roman"/>
                <w:color w:val="000000"/>
                <w:sz w:val="15"/>
                <w:szCs w:val="15"/>
              </w:rPr>
              <w:t>02</w:t>
            </w:r>
            <w:r w:rsidR="00F25CF6" w:rsidRPr="00762E3E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5596D11" w14:textId="7CC7D9FD" w:rsidR="00627FA1" w:rsidRPr="00762E3E" w:rsidRDefault="00F25CF6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762E3E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2B9E131" w14:textId="6FE736B2" w:rsidR="00627FA1" w:rsidRPr="00762E3E" w:rsidRDefault="00C01040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>01-03</w:t>
            </w:r>
            <w:r w:rsidR="00F25CF6" w:rsidRPr="00762E3E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="00C01040" w:rsidRPr="009A4851" w14:paraId="4960FBEE" w14:textId="77777777" w:rsidTr="0024318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5B6CB4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B1A5FB" w14:textId="1035CE94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20 242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39481A" w14:textId="4EA7926F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67.0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314935C8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125.1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33BA976C" w14:textId="16D3BE8C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51 617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4A10EA1F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66.2</w:t>
            </w:r>
          </w:p>
        </w:tc>
      </w:tr>
      <w:tr w:rsidR="00C01040" w:rsidRPr="009A4851" w14:paraId="1DF47858" w14:textId="77777777" w:rsidTr="00243185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CE969F2" w14:textId="03DF723A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6 051</w:t>
            </w:r>
          </w:p>
        </w:tc>
        <w:tc>
          <w:tcPr>
            <w:tcW w:w="1134" w:type="dxa"/>
            <w:vAlign w:val="center"/>
          </w:tcPr>
          <w:p w14:paraId="11922E73" w14:textId="708808BC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59.9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0CBAD5" w14:textId="7778FBBF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126.0</w:t>
            </w:r>
          </w:p>
        </w:tc>
        <w:tc>
          <w:tcPr>
            <w:tcW w:w="1134" w:type="dxa"/>
            <w:tcBorders>
              <w:right w:val="nil"/>
            </w:tcBorders>
          </w:tcPr>
          <w:p w14:paraId="73685B09" w14:textId="38A34E3A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15 649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66C9B093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65.0</w:t>
            </w:r>
          </w:p>
        </w:tc>
      </w:tr>
      <w:tr w:rsidR="00C01040" w:rsidRPr="009A4851" w14:paraId="0D1B9431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56EC5D20" w14:textId="013DC2A9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13 278</w:t>
            </w:r>
          </w:p>
        </w:tc>
        <w:tc>
          <w:tcPr>
            <w:tcW w:w="1134" w:type="dxa"/>
            <w:vAlign w:val="center"/>
          </w:tcPr>
          <w:p w14:paraId="44BD7848" w14:textId="0114F607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69.2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BC2BF6" w14:textId="1D34E505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123.6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EF52FC" w14:textId="53F63611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34 191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C4F667C" w14:textId="761CAC63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65.1</w:t>
            </w:r>
          </w:p>
        </w:tc>
      </w:tr>
      <w:tr w:rsidR="00C01040" w:rsidRPr="009A4851" w14:paraId="50E23A83" w14:textId="77777777" w:rsidTr="00243185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C01040" w:rsidRPr="005B6CB4" w:rsidRDefault="00C01040" w:rsidP="00C01040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D853C93" w14:textId="5DAB0402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14:paraId="2B71D6D4" w14:textId="2FC9B02E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4B4D92" w14:textId="19B960D3" w:rsidR="00C01040" w:rsidRPr="00762E3E" w:rsidRDefault="00C01040" w:rsidP="00C01040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8EBA99C" w14:textId="3BF7D6D8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42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3D6C221" w14:textId="6292E0D3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14.1</w:t>
            </w:r>
          </w:p>
        </w:tc>
      </w:tr>
      <w:tr w:rsidR="00C01040" w:rsidRPr="00F25CF6" w14:paraId="67CD548E" w14:textId="77777777" w:rsidTr="00243185">
        <w:trPr>
          <w:trHeight w:val="239"/>
        </w:trPr>
        <w:tc>
          <w:tcPr>
            <w:tcW w:w="2268" w:type="dxa"/>
            <w:vAlign w:val="center"/>
          </w:tcPr>
          <w:p w14:paraId="11EB9B38" w14:textId="77777777" w:rsidR="00C01040" w:rsidRPr="005B6CB4" w:rsidRDefault="00C01040" w:rsidP="00C01040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6AE6ED7" w14:textId="352C5B67" w:rsidR="00C01040" w:rsidRPr="00762E3E" w:rsidRDefault="00C01040" w:rsidP="00C01040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CDEEA20" w14:textId="6423B279" w:rsidR="00C01040" w:rsidRPr="00762E3E" w:rsidRDefault="00C01040" w:rsidP="00C01040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21.4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56858A5F" w:rsidR="00C01040" w:rsidRPr="00762E3E" w:rsidRDefault="00C01040" w:rsidP="00C01040">
            <w:pPr>
              <w:spacing w:before="0"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28.9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7FE4D365" w14:textId="2F70EF30" w:rsidR="00C01040" w:rsidRPr="00762E3E" w:rsidRDefault="00C01040" w:rsidP="00C01040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380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088EC2A1" w14:textId="710BE02C" w:rsidR="00C01040" w:rsidRPr="00762E3E" w:rsidRDefault="00C01040" w:rsidP="00C01040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61.2</w:t>
            </w:r>
          </w:p>
        </w:tc>
      </w:tr>
      <w:tr w:rsidR="00C01040" w:rsidRPr="00F25CF6" w14:paraId="10BA3CE7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C01040" w:rsidRPr="00F25CF6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243C02D7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809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3CBF335A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244.4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6BB2B080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248.2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3B78670" w14:textId="6215DF49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1330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2AD62F6" w14:textId="7125C49C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300.2</w:t>
            </w:r>
          </w:p>
        </w:tc>
      </w:tr>
      <w:tr w:rsidR="00C01040" w:rsidRPr="00F25CF6" w14:paraId="5A330376" w14:textId="77777777" w:rsidTr="00243185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C01040" w:rsidRPr="00F25CF6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F25CF6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913581D" w14:textId="21B00A7E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262852B0" w14:textId="07C89299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6CC8DEB4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24-fold more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0413B6D" w14:textId="468C20B8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1919CA3" w14:textId="5077C8D0" w:rsidR="00C01040" w:rsidRPr="00762E3E" w:rsidRDefault="00C01040" w:rsidP="00C01040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  <w:lang w:val="en-GB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833.3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0F72713B" w:rsidR="00967B91" w:rsidRPr="0080490A" w:rsidRDefault="00F66B50" w:rsidP="009300BA">
      <w:pPr>
        <w:spacing w:after="0" w:line="288" w:lineRule="auto"/>
        <w:rPr>
          <w:noProof/>
          <w:spacing w:val="-2"/>
          <w:lang w:val="en-GB"/>
        </w:rPr>
      </w:pPr>
      <w:r w:rsidRPr="00F66B50">
        <w:rPr>
          <w:noProof/>
          <w:spacing w:val="-2"/>
          <w:lang w:val="en-GB"/>
        </w:rPr>
        <w:t xml:space="preserve">In the first </w:t>
      </w:r>
      <w:r w:rsidR="00EF4080">
        <w:rPr>
          <w:noProof/>
          <w:spacing w:val="-2"/>
          <w:lang w:val="en-GB"/>
        </w:rPr>
        <w:t>quarter</w:t>
      </w:r>
      <w:r w:rsidRPr="00F66B50">
        <w:rPr>
          <w:noProof/>
          <w:spacing w:val="-2"/>
          <w:lang w:val="en-GB"/>
        </w:rPr>
        <w:t xml:space="preserve"> of 2023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762E3E">
        <w:rPr>
          <w:noProof/>
          <w:spacing w:val="-2"/>
          <w:lang w:val="en-GB"/>
        </w:rPr>
        <w:t>27.6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62E3E">
        <w:rPr>
          <w:noProof/>
          <w:spacing w:val="-2"/>
          <w:lang w:val="en-GB"/>
        </w:rPr>
        <w:t>, i.e. by 27.6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 w:rsidR="00762E3E">
        <w:rPr>
          <w:noProof/>
          <w:spacing w:val="-2"/>
          <w:lang w:val="en-GB"/>
        </w:rPr>
        <w:t>23</w:t>
      </w:r>
      <w:r w:rsidR="00CC4866" w:rsidRPr="0080490A">
        <w:rPr>
          <w:noProof/>
          <w:spacing w:val="-2"/>
          <w:lang w:val="en-GB"/>
        </w:rPr>
        <w:t>.</w:t>
      </w:r>
      <w:r w:rsidR="005B6CB4">
        <w:rPr>
          <w:noProof/>
          <w:spacing w:val="-2"/>
          <w:lang w:val="en-GB"/>
        </w:rPr>
        <w:t>4</w:t>
      </w:r>
      <w:r w:rsidR="000E269F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762E3E">
        <w:rPr>
          <w:noProof/>
          <w:spacing w:val="-2"/>
          <w:lang w:val="en-GB"/>
        </w:rPr>
        <w:t>26</w:t>
      </w:r>
      <w:r w:rsidR="00954347" w:rsidRPr="0080490A">
        <w:rPr>
          <w:noProof/>
          <w:spacing w:val="-2"/>
          <w:lang w:val="en-GB"/>
        </w:rPr>
        <w:t>.</w:t>
      </w:r>
      <w:r w:rsidR="00762E3E">
        <w:rPr>
          <w:noProof/>
          <w:spacing w:val="-2"/>
          <w:lang w:val="en-GB"/>
        </w:rPr>
        <w:t>1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762E3E">
        <w:rPr>
          <w:noProof/>
          <w:spacing w:val="-2"/>
          <w:lang w:val="en-GB"/>
        </w:rPr>
        <w:t>14</w:t>
      </w:r>
      <w:r w:rsidR="00CC4866" w:rsidRPr="0080490A">
        <w:rPr>
          <w:noProof/>
          <w:spacing w:val="-2"/>
          <w:lang w:val="en-GB"/>
        </w:rPr>
        <w:t>.</w:t>
      </w:r>
      <w:r w:rsidR="00762E3E">
        <w:rPr>
          <w:noProof/>
          <w:spacing w:val="-2"/>
          <w:lang w:val="en-GB"/>
        </w:rPr>
        <w:t>7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762E3E">
        <w:rPr>
          <w:noProof/>
          <w:spacing w:val="-2"/>
          <w:lang w:val="en-GB"/>
        </w:rPr>
        <w:t>(by 29.7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6A4AA8" w:rsidRPr="0080490A">
        <w:rPr>
          <w:noProof/>
          <w:spacing w:val="-2"/>
          <w:lang w:val="en-GB"/>
        </w:rPr>
        <w:t>98</w:t>
      </w:r>
      <w:r w:rsidR="00CC4866" w:rsidRPr="0080490A">
        <w:rPr>
          <w:noProof/>
          <w:spacing w:val="-2"/>
          <w:lang w:val="en-GB"/>
        </w:rPr>
        <w:t>.</w:t>
      </w:r>
      <w:r w:rsidR="00762E3E">
        <w:rPr>
          <w:noProof/>
          <w:spacing w:val="-2"/>
          <w:lang w:val="en-GB"/>
        </w:rPr>
        <w:t>7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="001C1808" w:rsidRPr="0080490A">
        <w:rPr>
          <w:noProof/>
          <w:spacing w:val="-2"/>
          <w:lang w:val="en-GB"/>
        </w:rPr>
        <w:t>dwell</w:t>
      </w:r>
      <w:r w:rsidR="006851E8">
        <w:rPr>
          <w:noProof/>
          <w:spacing w:val="-2"/>
          <w:lang w:val="en-GB"/>
        </w:rPr>
        <w:t>-</w:t>
      </w:r>
      <w:r w:rsidR="001C1808" w:rsidRPr="0080490A">
        <w:rPr>
          <w:noProof/>
          <w:spacing w:val="-2"/>
          <w:lang w:val="en-GB"/>
        </w:rPr>
        <w:t>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762E3E">
        <w:rPr>
          <w:noProof/>
          <w:spacing w:val="-2"/>
          <w:lang w:val="en-GB"/>
        </w:rPr>
        <w:t>0.5</w:t>
      </w:r>
      <w:r w:rsidR="00DE2F35">
        <w:rPr>
          <w:noProof/>
          <w:spacing w:val="-2"/>
          <w:lang w:val="en-GB"/>
        </w:rPr>
        <w:t xml:space="preserve"> 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EC9" w:rsidRPr="0080490A">
        <w:rPr>
          <w:noProof/>
          <w:spacing w:val="-2"/>
          <w:lang w:val="en-GB"/>
        </w:rPr>
        <w:t>(</w:t>
      </w:r>
      <w:r w:rsidR="00762E3E">
        <w:rPr>
          <w:noProof/>
          <w:spacing w:val="-2"/>
          <w:lang w:val="en-GB"/>
        </w:rPr>
        <w:t xml:space="preserve">0.8 </w:t>
      </w:r>
      <w:r w:rsidR="00762E3E" w:rsidRPr="00762E3E">
        <w:rPr>
          <w:noProof/>
          <w:spacing w:val="-2"/>
          <w:lang w:val="en-GB"/>
        </w:rPr>
        <w:t>thousand</w:t>
      </w:r>
      <w:r w:rsidR="00DE2F35" w:rsidRPr="00DE2F35">
        <w:rPr>
          <w:noProof/>
          <w:spacing w:val="-2"/>
          <w:lang w:val="en-GB"/>
        </w:rPr>
        <w:t xml:space="preserve">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="00627FA1" w:rsidRPr="005B6CB4" w14:paraId="34F47625" w14:textId="77777777" w:rsidTr="004066F3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5B6CB4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08678772" w:rsidR="00627FA1" w:rsidRPr="00762E3E" w:rsidRDefault="00414DB2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03</w:t>
            </w:r>
            <w:r w:rsidR="00627FA1" w:rsidRPr="00762E3E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02123684" w:rsidR="00627FA1" w:rsidRPr="00762E3E" w:rsidRDefault="00414DB2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01-03</w:t>
            </w:r>
            <w:r w:rsidR="00627FA1" w:rsidRPr="00762E3E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="00627FA1" w:rsidRPr="005B6CB4" w14:paraId="57BC7BB1" w14:textId="77777777" w:rsidTr="004066F3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 xml:space="preserve">Number 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7BF97AC2" w:rsidR="00627FA1" w:rsidRPr="00762E3E" w:rsidRDefault="00414DB2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03</w:t>
            </w:r>
            <w:r w:rsidR="00627FA1" w:rsidRPr="00762E3E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2738F6CB" w:rsidR="00627FA1" w:rsidRPr="00762E3E" w:rsidRDefault="00414DB2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="Fira Sans Light" w:cs="Times New Roman"/>
                <w:color w:val="000000"/>
                <w:sz w:val="15"/>
                <w:szCs w:val="15"/>
              </w:rPr>
              <w:t>02</w:t>
            </w:r>
            <w:r w:rsidR="004066F3" w:rsidRPr="00762E3E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4EABA16B" w14:textId="20B812D0" w:rsidR="00627FA1" w:rsidRPr="00762E3E" w:rsidRDefault="004066F3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762E3E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762E3E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95C5F30" w14:textId="5DFAA79C" w:rsidR="00627FA1" w:rsidRPr="00762E3E" w:rsidRDefault="00414DB2" w:rsidP="00627FA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="Fira Sans Light" w:cs="Times New Roman"/>
                <w:color w:val="000000"/>
                <w:sz w:val="15"/>
                <w:szCs w:val="15"/>
              </w:rPr>
              <w:t>01-03</w:t>
            </w:r>
            <w:r w:rsidR="004066F3" w:rsidRPr="00762E3E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</w:t>
            </w:r>
            <w:r w:rsidR="004066F3" w:rsidRPr="00762E3E">
              <w:rPr>
                <w:rFonts w:eastAsia="Fira Sans Light" w:cs="Times New Roman"/>
                <w:color w:val="000000"/>
                <w:sz w:val="15"/>
                <w:szCs w:val="15"/>
              </w:rPr>
              <w:br/>
              <w:t>2022=100</w:t>
            </w:r>
          </w:p>
        </w:tc>
      </w:tr>
      <w:tr w:rsidR="00C01040" w:rsidRPr="005B6CB4" w14:paraId="0E4114AC" w14:textId="77777777" w:rsidTr="004066F3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5B6CB4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3AD18BD" w14:textId="45C2FB89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18 310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29AC8C7" w14:textId="162F62EB" w:rsidR="00C01040" w:rsidRPr="00762E3E" w:rsidRDefault="00762E3E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77.</w:t>
            </w:r>
            <w:r w:rsidR="00C01040" w:rsidRPr="00762E3E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03A91691" w:rsidR="00C01040" w:rsidRPr="00762E3E" w:rsidRDefault="00762E3E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169.</w:t>
            </w:r>
            <w:r w:rsidR="00C01040"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15DF69D5" w14:textId="60BD8DE6" w:rsidR="00C01040" w:rsidRPr="00762E3E" w:rsidRDefault="00C01040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38 573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36EBC714" w14:textId="331C9062" w:rsidR="00C01040" w:rsidRPr="00762E3E" w:rsidRDefault="00762E3E" w:rsidP="00C01040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5"/>
                <w:szCs w:val="15"/>
              </w:rPr>
              <w:t>72.</w:t>
            </w:r>
            <w:r w:rsidR="00C01040" w:rsidRPr="00762E3E">
              <w:rPr>
                <w:rFonts w:cs="Arial"/>
                <w:b/>
                <w:color w:val="000000" w:themeColor="text1"/>
                <w:sz w:val="15"/>
                <w:szCs w:val="15"/>
              </w:rPr>
              <w:t>4</w:t>
            </w:r>
          </w:p>
        </w:tc>
      </w:tr>
      <w:tr w:rsidR="00C01040" w:rsidRPr="005B6CB4" w14:paraId="1FF029D5" w14:textId="77777777" w:rsidTr="004066F3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591D9F98" w14:textId="7FA6FE80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7 161</w:t>
            </w:r>
          </w:p>
        </w:tc>
        <w:tc>
          <w:tcPr>
            <w:tcW w:w="1134" w:type="dxa"/>
            <w:vAlign w:val="center"/>
          </w:tcPr>
          <w:p w14:paraId="60807E6E" w14:textId="3A6767B0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69.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7F3799" w14:textId="131676C7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181.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784C929" w14:textId="52B412A4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14 667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3C262F44" w14:textId="1BF354BE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70.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</w:tr>
      <w:tr w:rsidR="00C01040" w:rsidRPr="005B6CB4" w14:paraId="304B4633" w14:textId="77777777" w:rsidTr="004066F3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15FC3415" w14:textId="7BB04843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11 011</w:t>
            </w:r>
          </w:p>
        </w:tc>
        <w:tc>
          <w:tcPr>
            <w:tcW w:w="1134" w:type="dxa"/>
            <w:vAlign w:val="center"/>
          </w:tcPr>
          <w:p w14:paraId="0766C893" w14:textId="23F083A7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84.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2952B2" w14:textId="271BC703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167.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5563F59" w14:textId="7CDCA826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23 416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58C8F426" w14:textId="577958DF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73.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</w:tr>
      <w:tr w:rsidR="00C01040" w:rsidRPr="005B6CB4" w14:paraId="04BD52CD" w14:textId="77777777" w:rsidTr="004066F3">
        <w:trPr>
          <w:trHeight w:val="347"/>
        </w:trPr>
        <w:tc>
          <w:tcPr>
            <w:tcW w:w="2268" w:type="dxa"/>
            <w:vAlign w:val="center"/>
          </w:tcPr>
          <w:p w14:paraId="52D0D7AF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30EF4784" w14:textId="3ED90507" w:rsidR="00C01040" w:rsidRPr="00762E3E" w:rsidRDefault="00C01040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1134" w:type="dxa"/>
            <w:vAlign w:val="center"/>
          </w:tcPr>
          <w:p w14:paraId="66975EDA" w14:textId="295E5EF5" w:rsidR="00C01040" w:rsidRPr="00762E3E" w:rsidRDefault="00762E3E" w:rsidP="00C01040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42.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ED179" w14:textId="0E1A087B" w:rsidR="00C01040" w:rsidRPr="00762E3E" w:rsidRDefault="00C01040" w:rsidP="00C01040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340</w:t>
            </w:r>
            <w:r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156E799" w14:textId="2F0B21E5" w:rsidR="00C01040" w:rsidRPr="00762E3E" w:rsidRDefault="00C01040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DFFADD9" w14:textId="446A882E" w:rsidR="00C01040" w:rsidRPr="00762E3E" w:rsidRDefault="00762E3E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15.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</w:tr>
      <w:tr w:rsidR="00C01040" w:rsidRPr="005B6CB4" w14:paraId="22E5F8B5" w14:textId="77777777" w:rsidTr="00762E3E">
        <w:trPr>
          <w:trHeight w:val="540"/>
        </w:trPr>
        <w:tc>
          <w:tcPr>
            <w:tcW w:w="2268" w:type="dxa"/>
            <w:vAlign w:val="center"/>
          </w:tcPr>
          <w:p w14:paraId="6E1E246A" w14:textId="77777777" w:rsidR="00C01040" w:rsidRPr="005B6CB4" w:rsidRDefault="00C01040" w:rsidP="00C0104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1567DB37" w14:textId="514CE0D8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vAlign w:val="center"/>
          </w:tcPr>
          <w:p w14:paraId="4C518540" w14:textId="68B92910" w:rsidR="00C01040" w:rsidRPr="00762E3E" w:rsidRDefault="00C01040" w:rsidP="00762E3E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over 19-fold less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71D1E5" w14:textId="2651A5D8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8E42BE" w14:textId="28659183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27AABBA8" w14:textId="63D32208" w:rsidR="00C01040" w:rsidRPr="00762E3E" w:rsidRDefault="00C01040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over 19-</w:t>
            </w:r>
          </w:p>
          <w:p w14:paraId="2FA332F0" w14:textId="7FCFE850" w:rsidR="00C01040" w:rsidRPr="00762E3E" w:rsidRDefault="00C01040" w:rsidP="00762E3E">
            <w:pPr>
              <w:spacing w:before="0"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fold less</w:t>
            </w:r>
          </w:p>
        </w:tc>
      </w:tr>
      <w:tr w:rsidR="00C01040" w:rsidRPr="005B6CB4" w14:paraId="4820AC1A" w14:textId="77777777" w:rsidTr="004066F3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96CFDC3" w14:textId="3A0E3C05" w:rsidR="00C01040" w:rsidRPr="00762E3E" w:rsidRDefault="00C01040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54FE49B" w14:textId="27540FF3" w:rsidR="00C01040" w:rsidRPr="00762E3E" w:rsidRDefault="00762E3E" w:rsidP="00C01040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166.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52EABE7B" w:rsidR="00C01040" w:rsidRPr="00762E3E" w:rsidRDefault="00762E3E" w:rsidP="00C01040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34.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E8B382C" w14:textId="11D81227" w:rsidR="00C01040" w:rsidRPr="00762E3E" w:rsidRDefault="00C01040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177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0DF6978D" w14:textId="18B7D762" w:rsidR="00C01040" w:rsidRPr="00762E3E" w:rsidRDefault="00762E3E" w:rsidP="00C01040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162.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</w:tr>
      <w:tr w:rsidR="00C01040" w:rsidRPr="005B6CB4" w14:paraId="347BB134" w14:textId="77777777" w:rsidTr="004066F3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018ECCAB" w14:textId="51F78617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82</w:t>
            </w:r>
          </w:p>
        </w:tc>
        <w:tc>
          <w:tcPr>
            <w:tcW w:w="1134" w:type="dxa"/>
            <w:vAlign w:val="center"/>
          </w:tcPr>
          <w:p w14:paraId="5E4E785D" w14:textId="6CBA5B7A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100.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6C6321" w14:textId="1524B85A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55.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02391AC" w14:textId="3651AD94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302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1F986587" w14:textId="4AC4AF3F" w:rsidR="00C01040" w:rsidRPr="00762E3E" w:rsidRDefault="00762E3E" w:rsidP="00C01040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68.</w:t>
            </w:r>
            <w:r w:rsidR="00C01040" w:rsidRPr="00762E3E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="00C01040" w:rsidRPr="005B6CB4" w14:paraId="104777EA" w14:textId="77777777" w:rsidTr="004066F3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2B32D20" w:rsidR="00C01040" w:rsidRPr="005B6CB4" w:rsidRDefault="00C01040" w:rsidP="00C010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5CE9B80" w14:textId="0847CE56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230310D" w14:textId="1192199A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16-fold less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4C6E9667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C9FFD0E" w14:textId="38DEDF7C" w:rsidR="00C01040" w:rsidRPr="00762E3E" w:rsidRDefault="00C01040" w:rsidP="00C01040">
            <w:pPr>
              <w:spacing w:after="0"/>
              <w:jc w:val="right"/>
              <w:rPr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10BBD0D7" w14:textId="35965D87" w:rsidR="00C01040" w:rsidRPr="00762E3E" w:rsidRDefault="00C01040" w:rsidP="00C01040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762E3E">
              <w:rPr>
                <w:rFonts w:cs="Arial"/>
                <w:color w:val="000000" w:themeColor="text1"/>
                <w:sz w:val="15"/>
                <w:szCs w:val="15"/>
              </w:rPr>
              <w:t>16-fold less</w:t>
            </w:r>
          </w:p>
        </w:tc>
      </w:tr>
    </w:tbl>
    <w:p w14:paraId="34D75009" w14:textId="6E01F8F0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762E3E">
        <w:rPr>
          <w:szCs w:val="19"/>
          <w:shd w:val="clear" w:color="auto" w:fill="FFFFFF"/>
          <w:lang w:val="en-GB"/>
        </w:rPr>
        <w:t>March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762E3E">
        <w:rPr>
          <w:szCs w:val="19"/>
          <w:shd w:val="clear" w:color="auto" w:fill="FFFFFF"/>
          <w:lang w:val="en-GB"/>
        </w:rPr>
        <w:t>816</w:t>
      </w:r>
      <w:r w:rsidR="00D93EA6">
        <w:rPr>
          <w:szCs w:val="19"/>
          <w:shd w:val="clear" w:color="auto" w:fill="FFFFFF"/>
          <w:lang w:val="en-GB"/>
        </w:rPr>
        <w:t>.</w:t>
      </w:r>
      <w:r w:rsidR="00762E3E">
        <w:rPr>
          <w:szCs w:val="19"/>
          <w:shd w:val="clear" w:color="auto" w:fill="FFFFFF"/>
          <w:lang w:val="en-GB"/>
        </w:rPr>
        <w:t>7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762E3E">
        <w:rPr>
          <w:szCs w:val="19"/>
          <w:shd w:val="clear" w:color="auto" w:fill="FFFFFF"/>
          <w:lang w:val="en-GB"/>
        </w:rPr>
        <w:t>6.1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1228DC40" w:rsidR="00FE1642" w:rsidRPr="006851E8" w:rsidRDefault="00FE1642" w:rsidP="00FE1642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</w:p>
    <w:p w14:paraId="051C1979" w14:textId="27970F94" w:rsidR="00185C4C" w:rsidRDefault="00AA0D59" w:rsidP="009300BA">
      <w:pPr>
        <w:spacing w:after="0" w:line="288" w:lineRule="auto"/>
        <w:rPr>
          <w:noProof/>
          <w:spacing w:val="-2"/>
          <w:lang w:val="en-GB"/>
        </w:rPr>
      </w:pPr>
      <w:r w:rsidRPr="00AA0D59"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0A3916D1" wp14:editId="4A0B4FAC">
            <wp:simplePos x="0" y="0"/>
            <wp:positionH relativeFrom="margin">
              <wp:align>left</wp:align>
            </wp:positionH>
            <wp:positionV relativeFrom="paragraph">
              <wp:posOffset>79221</wp:posOffset>
            </wp:positionV>
            <wp:extent cx="5122545" cy="2298700"/>
            <wp:effectExtent l="0" t="0" r="1905" b="635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2021,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B50"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73811D2C">
                <wp:simplePos x="0" y="0"/>
                <wp:positionH relativeFrom="page">
                  <wp:posOffset>5650230</wp:posOffset>
                </wp:positionH>
                <wp:positionV relativeFrom="paragraph">
                  <wp:posOffset>46990</wp:posOffset>
                </wp:positionV>
                <wp:extent cx="1866900" cy="1633220"/>
                <wp:effectExtent l="0" t="0" r="0" b="5080"/>
                <wp:wrapSquare wrapText="bothSides"/>
                <wp:docPr id="9" name="Pole tekstowe 2" descr="In March, compared to February 2023, the number of dwellings completed increased (by 31.3%) as well as for which permits have been granted or which have been registered with a construction project increased (by 25.1%) and in which construction has begun (by 69.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63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6C0C031C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DF20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762E3E"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762E3E"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31.3</w:t>
                            </w:r>
                            <w:r w:rsidR="00762E3E"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D59" w:rsidRP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955E6" w:rsidRP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25.1%)</w:t>
                            </w:r>
                            <w:r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B61A3E" w:rsidRP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 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69</w:t>
                            </w:r>
                            <w:r w:rsidR="006851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AA0D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March, compared to February 2023, the number of dwellings completed increased (by 31.3%) as well as for which permits have been granted or which have been registered with a construction project increased (by 25.1%) and in which construction has begun (by 69.3%)" style="position:absolute;margin-left:444.9pt;margin-top:3.7pt;width:147pt;height:128.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" filled="f" stroked="f">
                <v:textbox>
                  <w:txbxContent>
                    <w:p w14:paraId="58FBF1C9" w14:textId="6C0C031C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DF20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762E3E"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762E3E"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31.3</w:t>
                      </w:r>
                      <w:r w:rsidR="00762E3E"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D59" w:rsidRP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955E6" w:rsidRP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25.1%)</w:t>
                      </w:r>
                      <w:r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B61A3E" w:rsidRP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 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69</w:t>
                      </w:r>
                      <w:r w:rsidR="006851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AA0D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A0D59">
        <w:rPr>
          <w:noProof/>
          <w:lang w:val="en-GB" w:eastAsia="pl-PL"/>
        </w:rPr>
        <w:t xml:space="preserve"> </w:t>
      </w:r>
      <w:r w:rsidR="00B61A3E" w:rsidRPr="00B61A3E">
        <w:rPr>
          <w:lang w:val="en-GB"/>
        </w:rPr>
        <w:t xml:space="preserve"> </w:t>
      </w:r>
      <w:r w:rsidR="00D611C6" w:rsidRPr="00672ADA">
        <w:rPr>
          <w:noProof/>
          <w:lang w:val="en-GB" w:eastAsia="pl-PL"/>
        </w:rPr>
        <w:t xml:space="preserve"> </w:t>
      </w:r>
    </w:p>
    <w:p w14:paraId="2209DEAC" w14:textId="178E689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57584C1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5A6A50D3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6995EE9F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721828CC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6AF578B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6F05659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07D91B34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3060F905" w14:textId="3E85C97E" w:rsidR="00011EFD" w:rsidRDefault="00011EFD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50831BEE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AA0D59">
        <w:rPr>
          <w:noProof/>
          <w:spacing w:val="-2"/>
          <w:lang w:val="en-GB"/>
        </w:rPr>
        <w:t>March</w:t>
      </w:r>
      <w:r w:rsidR="006851E8">
        <w:rPr>
          <w:noProof/>
          <w:spacing w:val="-2"/>
          <w:lang w:val="en-GB"/>
        </w:rPr>
        <w:t xml:space="preserve"> 2023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="0016126E" w:rsidRPr="0080490A">
        <w:rPr>
          <w:noProof/>
          <w:spacing w:val="-2"/>
          <w:lang w:val="en-GB"/>
        </w:rPr>
        <w:t>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AA0D59">
        <w:rPr>
          <w:noProof/>
          <w:spacing w:val="-2"/>
          <w:lang w:val="en-GB"/>
        </w:rPr>
        <w:t>10</w:t>
      </w:r>
      <w:r w:rsidR="00D6223C" w:rsidRPr="0080490A">
        <w:rPr>
          <w:noProof/>
          <w:spacing w:val="-2"/>
          <w:lang w:val="en-GB"/>
        </w:rPr>
        <w:t>.</w:t>
      </w:r>
      <w:r w:rsidR="00AA0D59">
        <w:rPr>
          <w:noProof/>
          <w:spacing w:val="-2"/>
          <w:lang w:val="en-GB"/>
        </w:rPr>
        <w:t>9</w:t>
      </w:r>
      <w:r w:rsidR="00672ADA">
        <w:rPr>
          <w:noProof/>
          <w:spacing w:val="-2"/>
          <w:lang w:val="en-GB"/>
        </w:rPr>
        <w:t xml:space="preserve"> </w:t>
      </w:r>
      <w:r w:rsidR="00EF6032" w:rsidRPr="0080490A">
        <w:rPr>
          <w:noProof/>
          <w:spacing w:val="-2"/>
          <w:lang w:val="en-GB"/>
        </w:rPr>
        <w:t>thousand</w:t>
      </w:r>
      <w:r w:rsidR="00BB44BD" w:rsidRPr="0080490A">
        <w:rPr>
          <w:noProof/>
          <w:spacing w:val="-2"/>
          <w:lang w:val="en-GB"/>
        </w:rPr>
        <w:t xml:space="preserve">, </w:t>
      </w:r>
      <w:r w:rsidR="00AA0D59">
        <w:rPr>
          <w:noProof/>
          <w:spacing w:val="-2"/>
          <w:lang w:val="en-GB"/>
        </w:rPr>
        <w:t>8</w:t>
      </w:r>
      <w:r w:rsidR="00465B75" w:rsidRPr="0080490A">
        <w:rPr>
          <w:noProof/>
          <w:spacing w:val="-2"/>
          <w:lang w:val="en-GB"/>
        </w:rPr>
        <w:t>.</w:t>
      </w:r>
      <w:r w:rsidR="00AA0D59">
        <w:rPr>
          <w:noProof/>
          <w:spacing w:val="-2"/>
          <w:lang w:val="en-GB"/>
        </w:rPr>
        <w:t>7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 and 9</w:t>
      </w:r>
      <w:r w:rsidR="00B61A3E">
        <w:rPr>
          <w:noProof/>
          <w:spacing w:val="-2"/>
          <w:lang w:val="en-GB"/>
        </w:rPr>
        <w:t>.5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AA0D59" w:rsidRPr="00AA0D59">
        <w:rPr>
          <w:noProof/>
          <w:spacing w:val="-2"/>
          <w:lang w:val="en-GB"/>
        </w:rPr>
        <w:t xml:space="preserve">Wielkopolskie </w:t>
      </w:r>
      <w:r w:rsidR="00AA0D59">
        <w:rPr>
          <w:noProof/>
          <w:spacing w:val="-2"/>
          <w:lang w:val="en-GB"/>
        </w:rPr>
        <w:t>(6.0</w:t>
      </w:r>
      <w:r w:rsidR="00AA0D59" w:rsidRPr="00AA0D59">
        <w:rPr>
          <w:noProof/>
          <w:spacing w:val="-2"/>
          <w:lang w:val="en-GB"/>
        </w:rPr>
        <w:t xml:space="preserve"> thousand, </w:t>
      </w:r>
      <w:r w:rsidR="00AA0D59">
        <w:rPr>
          <w:noProof/>
          <w:spacing w:val="-2"/>
          <w:lang w:val="en-GB"/>
        </w:rPr>
        <w:t>3.6</w:t>
      </w:r>
      <w:r w:rsidR="00AA0D59" w:rsidRPr="00AA0D59">
        <w:rPr>
          <w:noProof/>
          <w:spacing w:val="-2"/>
          <w:lang w:val="en-GB"/>
        </w:rPr>
        <w:t> thousand and</w:t>
      </w:r>
      <w:r w:rsidR="00AA0D59">
        <w:rPr>
          <w:noProof/>
          <w:spacing w:val="-2"/>
          <w:lang w:val="en-GB"/>
        </w:rPr>
        <w:t xml:space="preserve"> 4.0</w:t>
      </w:r>
      <w:r w:rsidR="00AA0D59" w:rsidRP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</w:t>
      </w:r>
      <w:r w:rsidR="00AA0D59">
        <w:rPr>
          <w:noProof/>
          <w:spacing w:val="-2"/>
          <w:lang w:val="en-GB"/>
        </w:rPr>
        <w:t>-</w:t>
      </w:r>
      <w:r w:rsidR="00B61A3E">
        <w:rPr>
          <w:noProof/>
          <w:spacing w:val="-2"/>
          <w:lang w:val="en-GB"/>
        </w:rPr>
        <w:t>skie</w:t>
      </w:r>
      <w:r w:rsidR="00D6223C" w:rsidRPr="0080490A">
        <w:rPr>
          <w:noProof/>
          <w:spacing w:val="-2"/>
          <w:lang w:val="en-GB"/>
        </w:rPr>
        <w:t xml:space="preserve"> </w:t>
      </w:r>
      <w:r w:rsidR="00AA0D59">
        <w:rPr>
          <w:noProof/>
          <w:spacing w:val="-2"/>
          <w:lang w:val="en-GB"/>
        </w:rPr>
        <w:t>(5.7</w:t>
      </w:r>
      <w:r w:rsidR="009F4CF9" w:rsidRPr="0080490A">
        <w:rPr>
          <w:noProof/>
          <w:spacing w:val="-2"/>
          <w:lang w:val="en-GB"/>
        </w:rPr>
        <w:t> thousand</w:t>
      </w:r>
      <w:r w:rsidR="00AA0D59">
        <w:rPr>
          <w:noProof/>
          <w:spacing w:val="-2"/>
          <w:lang w:val="en-GB"/>
        </w:rPr>
        <w:t xml:space="preserve">, 3.2 </w:t>
      </w:r>
      <w:r w:rsidR="009F4CF9" w:rsidRPr="0080490A">
        <w:rPr>
          <w:noProof/>
          <w:spacing w:val="-2"/>
          <w:lang w:val="en-GB"/>
        </w:rPr>
        <w:t>thousand</w:t>
      </w:r>
      <w:r w:rsidR="00AA0D59">
        <w:rPr>
          <w:noProof/>
          <w:spacing w:val="-2"/>
          <w:lang w:val="en-GB"/>
        </w:rPr>
        <w:t xml:space="preserve"> and 6</w:t>
      </w:r>
      <w:r w:rsidR="00BB44BD" w:rsidRPr="0080490A">
        <w:rPr>
          <w:noProof/>
          <w:spacing w:val="-2"/>
          <w:lang w:val="en-GB"/>
        </w:rPr>
        <w:t>.</w:t>
      </w:r>
      <w:r w:rsidR="00AA0D59">
        <w:rPr>
          <w:noProof/>
          <w:spacing w:val="-2"/>
          <w:lang w:val="en-GB"/>
        </w:rPr>
        <w:t>0</w:t>
      </w:r>
      <w:r w:rsidR="00D941DB" w:rsidRPr="0080490A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14:paraId="73CBA65A" w14:textId="06BDEB92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AA0D59">
        <w:rPr>
          <w:rFonts w:ascii="Fira Sans" w:hAnsi="Fira Sans"/>
          <w:b/>
          <w:color w:val="auto"/>
          <w:sz w:val="18"/>
          <w:szCs w:val="18"/>
          <w:lang w:val="en-GB"/>
        </w:rPr>
        <w:t>March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14:paraId="4C3CD6AB" w14:textId="37CC6FE8" w:rsidR="00F97C1E" w:rsidRPr="00B61A3E" w:rsidRDefault="00AA0D59" w:rsidP="00FE1642">
      <w:pPr>
        <w:rPr>
          <w:lang w:val="en-GB"/>
        </w:rPr>
      </w:pPr>
      <w:r w:rsidRPr="00AA0D59"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7AE25CFF" wp14:editId="3F030593">
            <wp:simplePos x="0" y="0"/>
            <wp:positionH relativeFrom="column">
              <wp:posOffset>-24755</wp:posOffset>
            </wp:positionH>
            <wp:positionV relativeFrom="paragraph">
              <wp:posOffset>196281</wp:posOffset>
            </wp:positionV>
            <wp:extent cx="5122545" cy="2464435"/>
            <wp:effectExtent l="0" t="0" r="1905" b="0"/>
            <wp:wrapNone/>
            <wp:docPr id="5" name="Obraz 5" descr="Number of dwellings completed, number of dwellings for which permits have been granted or which have been registered with a construction project and number of dwellings in which construction has begun in January - March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E8C6F" w14:textId="7E08EF2C" w:rsidR="00FE1642" w:rsidRPr="00FE1642" w:rsidRDefault="00FE1642" w:rsidP="00FE1642">
      <w:pPr>
        <w:rPr>
          <w:lang w:val="en-GB" w:eastAsia="pl-PL"/>
        </w:rPr>
      </w:pPr>
    </w:p>
    <w:p w14:paraId="7C86092F" w14:textId="39B5BE7A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376EB9C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EC68F9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12AAEE34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1BD1962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40FAE50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B02E4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E41103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1BC841F2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15327E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E41103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E41103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E41103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E41103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E41103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E41103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378FC" w14:textId="77777777" w:rsidR="00E41103" w:rsidRDefault="00E41103" w:rsidP="000662E2">
      <w:pPr>
        <w:spacing w:after="0" w:line="240" w:lineRule="auto"/>
      </w:pPr>
      <w:r>
        <w:separator/>
      </w:r>
    </w:p>
  </w:endnote>
  <w:endnote w:type="continuationSeparator" w:id="0">
    <w:p w14:paraId="4E30E99D" w14:textId="77777777" w:rsidR="00E41103" w:rsidRDefault="00E411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2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FBCDF" w14:textId="77777777" w:rsidR="00E41103" w:rsidRDefault="00E41103" w:rsidP="000662E2">
      <w:pPr>
        <w:spacing w:after="0" w:line="240" w:lineRule="auto"/>
      </w:pPr>
      <w:r>
        <w:separator/>
      </w:r>
    </w:p>
  </w:footnote>
  <w:footnote w:type="continuationSeparator" w:id="0">
    <w:p w14:paraId="5DBC270C" w14:textId="77777777" w:rsidR="00E41103" w:rsidRDefault="00E41103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7A802415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4.04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F757358" w:rsidR="00574E89" w:rsidRPr="00C97596" w:rsidRDefault="00F5217C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24.04</w:t>
                          </w:r>
                          <w:r w:rsidR="00FF4E11"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4.04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CXYk0j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6F757358" w:rsidR="00574E89" w:rsidRPr="00C97596" w:rsidRDefault="00F5217C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24.04</w:t>
                    </w:r>
                    <w:r w:rsidR="00FF4E11"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4pt;height:1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34A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6E55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2D1C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B6CB4"/>
    <w:rsid w:val="005C16BE"/>
    <w:rsid w:val="005C20C8"/>
    <w:rsid w:val="005C2FE4"/>
    <w:rsid w:val="005C4A86"/>
    <w:rsid w:val="005C4E91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937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7208C"/>
    <w:rsid w:val="00A727A8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710D"/>
    <w:rsid w:val="00AB0212"/>
    <w:rsid w:val="00AB0FC8"/>
    <w:rsid w:val="00AB2D96"/>
    <w:rsid w:val="00AB3F7C"/>
    <w:rsid w:val="00AB6D25"/>
    <w:rsid w:val="00AB7860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27D9"/>
    <w:rsid w:val="00BC3F05"/>
    <w:rsid w:val="00BC46FE"/>
    <w:rsid w:val="00BC4AAD"/>
    <w:rsid w:val="00BC514E"/>
    <w:rsid w:val="00BC6B56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53F8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3AD"/>
    <w:rsid w:val="00DA23DE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1642"/>
    <w:rsid w:val="00FE1F5D"/>
    <w:rsid w:val="00FE3A83"/>
    <w:rsid w:val="00FE6CB4"/>
    <w:rsid w:val="00FE705C"/>
    <w:rsid w:val="00FF1686"/>
    <w:rsid w:val="00FF37E0"/>
    <w:rsid w:val="00FF392D"/>
    <w:rsid w:val="00FF4261"/>
    <w:rsid w:val="00FF4E11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residential_construction_in_the_period_january-march_2023 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13177678-E6EF-4614-8483-0FDCE5B6A8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6570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January-November 2022</vt:lpstr>
    </vt:vector>
  </TitlesOfParts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2023-04-20T10:41:00Z</dcterms:created>
  <dcterms:modified xsi:type="dcterms:W3CDTF">2023-04-21T05:20:00Z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