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2E13B4F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CA0BF2">
        <w:rPr>
          <w:szCs w:val="32"/>
          <w:lang w:val="en-GB"/>
        </w:rPr>
        <w:t>January</w:t>
      </w:r>
      <w:r w:rsidR="00D860E0">
        <w:rPr>
          <w:szCs w:val="32"/>
          <w:lang w:val="en-GB"/>
        </w:rPr>
        <w:t xml:space="preserve"> </w:t>
      </w:r>
      <w:r w:rsidR="00C90E46">
        <w:rPr>
          <w:szCs w:val="32"/>
          <w:shd w:val="clear" w:color="auto" w:fill="FFFFFF"/>
          <w:lang w:val="en-GB"/>
        </w:rPr>
        <w:t>2023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39301194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7C524077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109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2FACE08" w:rsidR="00A4625F" w:rsidRPr="00A4625F" w:rsidRDefault="00D860E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A4625F" w:rsidRPr="00A4625F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A7601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109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A7601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109.1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" fillcolor="#001d77" stroked="f">
                <v:stroke joinstyle="miter"/>
                <v:textbox>
                  <w:txbxContent>
                    <w:p w14:paraId="0C77FD05" w14:textId="02FACE08" w:rsidR="00A4625F" w:rsidRPr="00A4625F" w:rsidRDefault="00D860E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1"/>
                      </w:r>
                      <w:r w:rsidR="00A4625F" w:rsidRPr="00A4625F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A7601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109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A7601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AF28E0">
        <w:rPr>
          <w:lang w:val="en-GB"/>
        </w:rPr>
        <w:t>January 2023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860E0">
        <w:rPr>
          <w:lang w:val="en-GB"/>
        </w:rPr>
        <w:t xml:space="preserve">more </w:t>
      </w:r>
      <w:r w:rsidR="00AD1492" w:rsidRPr="004829B9">
        <w:rPr>
          <w:lang w:val="en-GB"/>
        </w:rPr>
        <w:t xml:space="preserve">dwellings completed than the year before. </w:t>
      </w:r>
      <w:r w:rsidR="00D860E0">
        <w:rPr>
          <w:lang w:val="en-GB"/>
        </w:rPr>
        <w:t>Whereas 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A95C1AA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7.1% and 41.7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64094E8E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42F32">
                              <w:rPr>
                                <w:lang w:val="en-US"/>
                              </w:rPr>
                              <w:t>57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042F32">
                              <w:rPr>
                                <w:lang w:val="en-US"/>
                              </w:rPr>
                              <w:t>1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042F32">
                              <w:rPr>
                                <w:lang w:val="en-US"/>
                              </w:rPr>
                              <w:t>41.7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Developers and private investors completed respectively: 57.1% and 41.7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DsWobI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64094E8E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042F32">
                        <w:rPr>
                          <w:lang w:val="en-US"/>
                        </w:rPr>
                        <w:t>57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042F32">
                        <w:rPr>
                          <w:lang w:val="en-US"/>
                        </w:rPr>
                        <w:t>1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042F32">
                        <w:rPr>
                          <w:lang w:val="en-US"/>
                        </w:rPr>
                        <w:t>41.7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329DED53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A7601E">
        <w:rPr>
          <w:rFonts w:eastAsia="Times New Roman" w:cs="Times New Roman"/>
          <w:spacing w:val="-2"/>
          <w:szCs w:val="19"/>
          <w:lang w:val="en-GB" w:eastAsia="pl-PL"/>
        </w:rPr>
        <w:t>18.2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A7601E">
        <w:rPr>
          <w:rFonts w:eastAsia="Times New Roman" w:cs="Times New Roman"/>
          <w:spacing w:val="-2"/>
          <w:szCs w:val="19"/>
          <w:lang w:val="en-GB" w:eastAsia="pl-PL"/>
        </w:rPr>
        <w:t>January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A7601E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</w:t>
      </w:r>
      <w:r w:rsidR="00A7601E">
        <w:rPr>
          <w:rFonts w:eastAsia="Times New Roman" w:cs="Times New Roman"/>
          <w:spacing w:val="-2"/>
          <w:szCs w:val="19"/>
          <w:lang w:val="en-GB" w:eastAsia="pl-PL"/>
        </w:rPr>
        <w:t>i.e. 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9.1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more than in the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 xml:space="preserve">corresponding </w:t>
      </w:r>
      <w:r w:rsidR="00A7601E">
        <w:rPr>
          <w:rFonts w:eastAsia="Times New Roman" w:cs="Times New Roman"/>
          <w:spacing w:val="-2"/>
          <w:szCs w:val="19"/>
          <w:lang w:val="en-GB" w:eastAsia="pl-PL"/>
        </w:rPr>
        <w:t>month of 2022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10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6.1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7D606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FF4261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970194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244CFE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</w:t>
      </w:r>
      <w:r w:rsidR="00CD7B5E" w:rsidRPr="00FF3A7E">
        <w:rPr>
          <w:rFonts w:eastAsia="Times New Roman" w:cs="Times New Roman"/>
          <w:spacing w:val="-2"/>
          <w:szCs w:val="19"/>
          <w:lang w:val="en-GB" w:eastAsia="pl-PL"/>
        </w:rPr>
        <w:t>i.e. cooperative, municipal, public building society and company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0.2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0.4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72DF9947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4E4BB8" w:rsidRPr="0080490A">
        <w:rPr>
          <w:rFonts w:eastAsia="Times New Roman" w:cs="Times New Roman"/>
          <w:spacing w:val="-2"/>
          <w:szCs w:val="19"/>
          <w:lang w:val="en-GB" w:eastAsia="pl-PL"/>
        </w:rPr>
        <w:t>more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94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42F32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835"/>
        <w:gridCol w:w="1701"/>
        <w:gridCol w:w="1701"/>
        <w:gridCol w:w="1843"/>
      </w:tblGrid>
      <w:tr w:rsidR="00C90E46" w:rsidRPr="009A4851" w14:paraId="13F2CC01" w14:textId="77777777" w:rsidTr="00C90E46">
        <w:trPr>
          <w:trHeight w:val="18"/>
        </w:trPr>
        <w:tc>
          <w:tcPr>
            <w:tcW w:w="283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C90E46" w:rsidRPr="00D860E0" w:rsidRDefault="00C90E46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245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58AA10E2" w:rsidR="00C90E46" w:rsidRPr="00D860E0" w:rsidRDefault="00534F7E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01 2023</w:t>
            </w:r>
          </w:p>
        </w:tc>
      </w:tr>
      <w:tr w:rsidR="00C90E46" w:rsidRPr="009A4851" w14:paraId="2F027FA1" w14:textId="77777777" w:rsidTr="00AE5920">
        <w:trPr>
          <w:trHeight w:val="18"/>
        </w:trPr>
        <w:tc>
          <w:tcPr>
            <w:tcW w:w="283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C90E46" w:rsidRPr="00D860E0" w:rsidRDefault="00C90E46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C90E46" w:rsidRPr="00D860E0" w:rsidRDefault="00C90E46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1151951D" w:rsidR="00C90E46" w:rsidRPr="00D860E0" w:rsidRDefault="00534F7E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C90E4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="00C90E46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843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2F4F4EF5" w:rsidR="00C90E46" w:rsidRPr="00D860E0" w:rsidRDefault="00265B5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C90E46">
              <w:rPr>
                <w:color w:val="000000" w:themeColor="text1"/>
                <w:sz w:val="16"/>
                <w:szCs w:val="16"/>
              </w:rPr>
              <w:t xml:space="preserve"> </w:t>
            </w:r>
            <w:r w:rsidR="00C90E46" w:rsidRPr="00D860E0">
              <w:rPr>
                <w:color w:val="000000" w:themeColor="text1"/>
                <w:sz w:val="16"/>
                <w:szCs w:val="16"/>
              </w:rPr>
              <w:t>2022=100</w:t>
            </w:r>
          </w:p>
        </w:tc>
      </w:tr>
      <w:tr w:rsidR="00C90E46" w:rsidRPr="009A4851" w14:paraId="74C961E1" w14:textId="77777777" w:rsidTr="00AE5920">
        <w:trPr>
          <w:trHeight w:val="54"/>
        </w:trPr>
        <w:tc>
          <w:tcPr>
            <w:tcW w:w="2835" w:type="dxa"/>
            <w:tcBorders>
              <w:top w:val="single" w:sz="12" w:space="0" w:color="212492"/>
            </w:tcBorders>
            <w:vAlign w:val="center"/>
          </w:tcPr>
          <w:p w14:paraId="0DE713BD" w14:textId="32B4E516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74ED01BD" w14:textId="0FC5D08D" w:rsidR="00C90E46" w:rsidRPr="00652E3E" w:rsidRDefault="00534F7E" w:rsidP="00534F7E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C90E4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4368A5D2" w14:textId="33DF0343" w:rsidR="00C90E46" w:rsidRPr="00652E3E" w:rsidRDefault="00C90E46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534F7E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09</w:t>
            </w: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534F7E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11CBDCC6" w:rsidR="00C90E46" w:rsidRPr="00AC083C" w:rsidRDefault="00534F7E" w:rsidP="00FF4E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74</w:t>
            </w:r>
            <w:r w:rsidR="00C90E4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C90E46" w:rsidRPr="00C707E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C90E46" w:rsidRPr="009A4851" w14:paraId="1DBFB85F" w14:textId="77777777" w:rsidTr="00AE5920">
        <w:trPr>
          <w:trHeight w:val="54"/>
        </w:trPr>
        <w:tc>
          <w:tcPr>
            <w:tcW w:w="2835" w:type="dxa"/>
            <w:vAlign w:val="center"/>
          </w:tcPr>
          <w:p w14:paraId="6CBCE2A8" w14:textId="09768B09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701" w:type="dxa"/>
            <w:vAlign w:val="center"/>
          </w:tcPr>
          <w:p w14:paraId="255032DB" w14:textId="4B2DEC94" w:rsidR="00C90E46" w:rsidRPr="00652E3E" w:rsidRDefault="00534F7E" w:rsidP="00534F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610</w:t>
            </w:r>
          </w:p>
        </w:tc>
        <w:tc>
          <w:tcPr>
            <w:tcW w:w="1701" w:type="dxa"/>
            <w:vAlign w:val="center"/>
          </w:tcPr>
          <w:p w14:paraId="10BBBDB9" w14:textId="2A30FCA2" w:rsidR="00C90E46" w:rsidRPr="00652E3E" w:rsidRDefault="00C90E46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C707E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534F7E">
              <w:rPr>
                <w:rFonts w:cs="Arial"/>
                <w:color w:val="000000" w:themeColor="text1"/>
                <w:sz w:val="16"/>
                <w:szCs w:val="16"/>
              </w:rPr>
              <w:t>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34F7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D6A2499" w14:textId="5BB74EF6" w:rsidR="00C90E46" w:rsidRPr="00652E3E" w:rsidRDefault="00265B5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C90E46" w:rsidRPr="009A4851" w14:paraId="6E2F06BB" w14:textId="77777777" w:rsidTr="00AE5920">
        <w:trPr>
          <w:trHeight w:val="348"/>
        </w:trPr>
        <w:tc>
          <w:tcPr>
            <w:tcW w:w="2835" w:type="dxa"/>
            <w:vAlign w:val="center"/>
          </w:tcPr>
          <w:p w14:paraId="5F10D600" w14:textId="2BD51A89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701" w:type="dxa"/>
            <w:vAlign w:val="center"/>
          </w:tcPr>
          <w:p w14:paraId="23EE99E7" w14:textId="59A29013" w:rsidR="00C90E46" w:rsidRPr="00652E3E" w:rsidRDefault="00534F7E" w:rsidP="00534F7E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414</w:t>
            </w:r>
          </w:p>
        </w:tc>
        <w:tc>
          <w:tcPr>
            <w:tcW w:w="1701" w:type="dxa"/>
            <w:vAlign w:val="center"/>
          </w:tcPr>
          <w:p w14:paraId="1392F143" w14:textId="1CCB82ED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116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73E4F9D" w14:textId="41524804" w:rsidR="00C90E46" w:rsidRPr="00652E3E" w:rsidRDefault="00265B5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C90E46" w:rsidRPr="009A4851" w14:paraId="24AD4DF0" w14:textId="77777777" w:rsidTr="00AE5920">
        <w:trPr>
          <w:trHeight w:val="341"/>
        </w:trPr>
        <w:tc>
          <w:tcPr>
            <w:tcW w:w="2835" w:type="dxa"/>
            <w:vAlign w:val="center"/>
          </w:tcPr>
          <w:p w14:paraId="1D2231E4" w14:textId="0D64CDE9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701" w:type="dxa"/>
            <w:vAlign w:val="center"/>
          </w:tcPr>
          <w:p w14:paraId="43E0B857" w14:textId="683D0E46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701" w:type="dxa"/>
            <w:vAlign w:val="center"/>
          </w:tcPr>
          <w:p w14:paraId="1F0CCA82" w14:textId="0CA6C251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auto"/>
            <w:vAlign w:val="center"/>
          </w:tcPr>
          <w:p w14:paraId="48C19C17" w14:textId="1ADF809C" w:rsidR="00C90E46" w:rsidRPr="00652E3E" w:rsidRDefault="00265B5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76</w:t>
            </w:r>
            <w:r w:rsidR="00C90E4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C90E46" w:rsidRPr="009A4851" w14:paraId="4DBF5999" w14:textId="77777777" w:rsidTr="00AE5920">
        <w:trPr>
          <w:trHeight w:val="359"/>
        </w:trPr>
        <w:tc>
          <w:tcPr>
            <w:tcW w:w="2835" w:type="dxa"/>
            <w:vAlign w:val="center"/>
          </w:tcPr>
          <w:p w14:paraId="2793BDBD" w14:textId="6FB46D68" w:rsidR="00C90E46" w:rsidRPr="00D860E0" w:rsidRDefault="00C90E46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701" w:type="dxa"/>
            <w:vAlign w:val="center"/>
          </w:tcPr>
          <w:p w14:paraId="69E2D56C" w14:textId="51F20280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vAlign w:val="center"/>
          </w:tcPr>
          <w:p w14:paraId="3E22814D" w14:textId="05D4DB3A" w:rsidR="00C90E46" w:rsidRPr="00E104E2" w:rsidRDefault="009D1DEF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13-fold less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CC7447C" w14:textId="796C176F" w:rsidR="00C90E46" w:rsidRPr="00E104E2" w:rsidRDefault="00265B5F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C90E46" w:rsidRPr="009A4851" w14:paraId="2FCEF9DB" w14:textId="77777777" w:rsidTr="00AE5920">
        <w:trPr>
          <w:trHeight w:val="366"/>
        </w:trPr>
        <w:tc>
          <w:tcPr>
            <w:tcW w:w="2835" w:type="dxa"/>
            <w:vAlign w:val="center"/>
          </w:tcPr>
          <w:p w14:paraId="40DD2197" w14:textId="6A68BE3F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701" w:type="dxa"/>
            <w:vAlign w:val="center"/>
          </w:tcPr>
          <w:p w14:paraId="7E5E83FB" w14:textId="49A671B3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701" w:type="dxa"/>
            <w:vAlign w:val="center"/>
          </w:tcPr>
          <w:p w14:paraId="0AFA2421" w14:textId="1F02E964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853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948C7DA" w14:textId="205AFAA4" w:rsidR="00C90E46" w:rsidRPr="00652E3E" w:rsidRDefault="00265B5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</w:p>
        </w:tc>
      </w:tr>
      <w:tr w:rsidR="00C90E46" w:rsidRPr="009A4851" w14:paraId="79AE12F9" w14:textId="77777777" w:rsidTr="00AE5920">
        <w:trPr>
          <w:trHeight w:val="348"/>
        </w:trPr>
        <w:tc>
          <w:tcPr>
            <w:tcW w:w="2835" w:type="dxa"/>
            <w:vAlign w:val="center"/>
          </w:tcPr>
          <w:p w14:paraId="325420B3" w14:textId="669AE064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701" w:type="dxa"/>
            <w:vAlign w:val="center"/>
          </w:tcPr>
          <w:p w14:paraId="60773A35" w14:textId="2CEE1785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701" w:type="dxa"/>
            <w:vAlign w:val="center"/>
          </w:tcPr>
          <w:p w14:paraId="5900F285" w14:textId="782C61D9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1464CE68" w14:textId="3ED62410" w:rsidR="00C90E46" w:rsidRPr="00652E3E" w:rsidRDefault="00265B5F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  <w:r w:rsidR="00C90E46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90E46" w:rsidRPr="009A4851" w14:paraId="16EEE8B3" w14:textId="77777777" w:rsidTr="00AE5920">
        <w:trPr>
          <w:trHeight w:val="356"/>
        </w:trPr>
        <w:tc>
          <w:tcPr>
            <w:tcW w:w="283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C90E46" w:rsidRPr="00D860E0" w:rsidRDefault="00C90E46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BBF9FB1" w14:textId="3600A1FC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315E4888" w14:textId="1104D720" w:rsidR="00C90E46" w:rsidRPr="00652E3E" w:rsidRDefault="00534F7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3274777C" w:rsidR="00C90E46" w:rsidRPr="00652E3E" w:rsidRDefault="00C90E46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7F501891">
                <wp:simplePos x="0" y="0"/>
                <wp:positionH relativeFrom="rightMargin">
                  <wp:posOffset>140740</wp:posOffset>
                </wp:positionH>
                <wp:positionV relativeFrom="paragraph">
                  <wp:posOffset>258699</wp:posOffset>
                </wp:positionV>
                <wp:extent cx="1791615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January 2023 by 32.5% y/y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61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53CBB077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>in</w:t>
                            </w:r>
                            <w:r w:rsidR="00FD55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308EA">
                              <w:rPr>
                                <w:lang w:val="en-US"/>
                              </w:rPr>
                              <w:t>January</w:t>
                            </w:r>
                            <w:r w:rsidR="00961B9D">
                              <w:rPr>
                                <w:lang w:val="en-US"/>
                              </w:rPr>
                              <w:t xml:space="preserve"> 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961B9D">
                              <w:rPr>
                                <w:lang w:val="en-US"/>
                              </w:rPr>
                              <w:t>32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961B9D">
                              <w:rPr>
                                <w:lang w:val="en-US"/>
                              </w:rPr>
                              <w:t>5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5D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9" type="#_x0000_t202" alt="The number of dwellings for which permits have been granted or which have been registered with a construction project decreased in January 2023 by 32.5% y/y  " style="position:absolute;margin-left:11.1pt;margin-top:20.35pt;width:141.0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" filled="f" stroked="f" strokeweight=".5pt">
                <v:textbox>
                  <w:txbxContent>
                    <w:p w14:paraId="35DCCB4E" w14:textId="53CBB077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>in</w:t>
                      </w:r>
                      <w:r w:rsidR="00FD5504">
                        <w:rPr>
                          <w:lang w:val="en-US"/>
                        </w:rPr>
                        <w:t xml:space="preserve"> </w:t>
                      </w:r>
                      <w:r w:rsidR="00F308EA">
                        <w:rPr>
                          <w:lang w:val="en-US"/>
                        </w:rPr>
                        <w:t>January</w:t>
                      </w:r>
                      <w:r w:rsidR="00961B9D">
                        <w:rPr>
                          <w:lang w:val="en-US"/>
                        </w:rPr>
                        <w:t xml:space="preserve"> 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961B9D">
                        <w:rPr>
                          <w:lang w:val="en-US"/>
                        </w:rPr>
                        <w:t>32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961B9D">
                        <w:rPr>
                          <w:lang w:val="en-US"/>
                        </w:rPr>
                        <w:t>5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3BD44450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r w:rsidRPr="00087AD0">
        <w:rPr>
          <w:noProof/>
          <w:lang w:val="en-GB"/>
        </w:rPr>
        <w:t xml:space="preserve">In </w:t>
      </w:r>
      <w:r w:rsidR="00042F32">
        <w:rPr>
          <w:noProof/>
          <w:lang w:val="en-GB"/>
        </w:rPr>
        <w:t>January 2023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F308EA">
        <w:rPr>
          <w:noProof/>
          <w:lang w:val="en-GB"/>
        </w:rPr>
        <w:t xml:space="preserve">construction of </w:t>
      </w:r>
      <w:r w:rsidR="00042F32">
        <w:rPr>
          <w:noProof/>
          <w:lang w:val="en-GB"/>
        </w:rPr>
        <w:t>15</w:t>
      </w:r>
      <w:r w:rsidR="00DE7DD4" w:rsidRPr="0080490A">
        <w:rPr>
          <w:noProof/>
          <w:lang w:val="en-GB"/>
        </w:rPr>
        <w:t>.</w:t>
      </w:r>
      <w:r w:rsidR="00042F32">
        <w:rPr>
          <w:noProof/>
          <w:lang w:val="en-GB"/>
        </w:rPr>
        <w:t>2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 w:rsidR="00042F32">
        <w:rPr>
          <w:noProof/>
          <w:lang w:val="en-GB"/>
        </w:rPr>
        <w:t>32</w:t>
      </w:r>
      <w:r w:rsidR="00E245E1" w:rsidRPr="0080490A">
        <w:rPr>
          <w:noProof/>
          <w:lang w:val="en-GB"/>
        </w:rPr>
        <w:t>.</w:t>
      </w:r>
      <w:r w:rsidR="00042F32">
        <w:rPr>
          <w:noProof/>
          <w:lang w:val="en-GB"/>
        </w:rPr>
        <w:t>5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</w:t>
      </w:r>
      <w:r w:rsidR="00C47CE4" w:rsidRPr="002A2E7C">
        <w:rPr>
          <w:noProof/>
          <w:lang w:val="en-GB"/>
        </w:rPr>
        <w:t>in</w:t>
      </w:r>
      <w:r w:rsidR="002A2E7C" w:rsidRPr="002A2E7C">
        <w:rPr>
          <w:noProof/>
          <w:lang w:val="en-GB"/>
        </w:rPr>
        <w:t xml:space="preserve"> January</w:t>
      </w:r>
      <w:r w:rsidR="00C47CE4" w:rsidRPr="002A2E7C">
        <w:rPr>
          <w:noProof/>
          <w:lang w:val="en-GB"/>
        </w:rPr>
        <w:t xml:space="preserve"> </w:t>
      </w:r>
      <w:r w:rsidR="00042F32" w:rsidRPr="002A2E7C">
        <w:rPr>
          <w:noProof/>
          <w:lang w:val="en-GB"/>
        </w:rPr>
        <w:t>2022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>Permits for construction of the biggest nu</w:t>
      </w:r>
      <w:r w:rsidR="00D20CD1">
        <w:rPr>
          <w:noProof/>
          <w:lang w:val="en-GB"/>
        </w:rPr>
        <w:t xml:space="preserve">mber of dwellings were given to </w:t>
      </w:r>
      <w:r w:rsidR="00435283" w:rsidRPr="0080490A">
        <w:rPr>
          <w:noProof/>
          <w:lang w:val="en-GB"/>
        </w:rPr>
        <w:t xml:space="preserve">developers </w:t>
      </w:r>
      <w:r w:rsidR="00BD1D77" w:rsidRPr="0080490A">
        <w:rPr>
          <w:noProof/>
          <w:lang w:val="en-GB"/>
        </w:rPr>
        <w:t>(</w:t>
      </w:r>
      <w:r w:rsidR="00042F32">
        <w:rPr>
          <w:noProof/>
          <w:lang w:val="en-GB"/>
        </w:rPr>
        <w:t>10.2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F4261">
        <w:rPr>
          <w:noProof/>
          <w:lang w:val="en-GB"/>
        </w:rPr>
        <w:t xml:space="preserve">, a </w:t>
      </w:r>
      <w:r w:rsidR="00042F32">
        <w:rPr>
          <w:noProof/>
          <w:lang w:val="en-GB"/>
        </w:rPr>
        <w:t>decrease of 35.9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042F32">
        <w:rPr>
          <w:noProof/>
          <w:lang w:val="en-GB"/>
        </w:rPr>
        <w:t>4</w:t>
      </w:r>
      <w:r w:rsidR="00DE7DD4" w:rsidRPr="0080490A">
        <w:rPr>
          <w:noProof/>
          <w:lang w:val="en-GB"/>
        </w:rPr>
        <w:t>.</w:t>
      </w:r>
      <w:r w:rsidR="00042F32">
        <w:rPr>
          <w:noProof/>
          <w:lang w:val="en-GB"/>
        </w:rPr>
        <w:t>8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>
        <w:rPr>
          <w:noProof/>
          <w:lang w:val="en-GB"/>
        </w:rPr>
        <w:t xml:space="preserve">, a decrease of </w:t>
      </w:r>
      <w:r w:rsidR="00042F32">
        <w:rPr>
          <w:noProof/>
          <w:lang w:val="en-GB"/>
        </w:rPr>
        <w:t>26</w:t>
      </w:r>
      <w:r w:rsidR="00FD5504">
        <w:rPr>
          <w:noProof/>
          <w:lang w:val="en-GB"/>
        </w:rPr>
        <w:t>.2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7E7CF5" w:rsidRPr="0080490A">
        <w:rPr>
          <w:noProof/>
          <w:lang w:val="en-GB"/>
        </w:rPr>
        <w:t xml:space="preserve"> 98</w:t>
      </w:r>
      <w:r w:rsidR="001A1F89" w:rsidRPr="0080490A">
        <w:rPr>
          <w:noProof/>
          <w:lang w:val="en-GB"/>
        </w:rPr>
        <w:t>.</w:t>
      </w:r>
      <w:r w:rsidR="00042F32">
        <w:rPr>
          <w:noProof/>
          <w:lang w:val="en-GB"/>
        </w:rPr>
        <w:t>6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961B9D">
        <w:rPr>
          <w:noProof/>
          <w:lang w:val="en-GB"/>
        </w:rPr>
        <w:t>0.2</w:t>
      </w:r>
      <w:r w:rsidR="00DE2F35">
        <w:rPr>
          <w:noProof/>
          <w:lang w:val="en-GB"/>
        </w:rPr>
        <w:t xml:space="preserve"> </w:t>
      </w:r>
      <w:r w:rsidR="00DE2F35" w:rsidRPr="00DE2F35">
        <w:rPr>
          <w:noProof/>
          <w:lang w:val="en-GB"/>
        </w:rPr>
        <w:t xml:space="preserve">thousand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 w:rsidR="00961B9D">
        <w:rPr>
          <w:noProof/>
          <w:lang w:val="en-GB"/>
        </w:rPr>
        <w:t>0</w:t>
      </w:r>
      <w:r w:rsidR="00FD5504">
        <w:rPr>
          <w:noProof/>
          <w:lang w:val="en-GB"/>
        </w:rPr>
        <w:t>.</w:t>
      </w:r>
      <w:r w:rsidR="00961B9D">
        <w:rPr>
          <w:lang w:val="en-GB"/>
        </w:rPr>
        <w:t>1</w:t>
      </w:r>
      <w:r w:rsidR="00FD5504">
        <w:rPr>
          <w:lang w:val="en-GB"/>
        </w:rPr>
        <w:t> </w:t>
      </w:r>
      <w:r w:rsidR="00DE2F35" w:rsidRPr="00FD5504">
        <w:rPr>
          <w:lang w:val="en-GB"/>
        </w:rPr>
        <w:t>thousand</w:t>
      </w:r>
      <w:r w:rsidR="00DE2F35" w:rsidRPr="00DE2F35">
        <w:rPr>
          <w:noProof/>
          <w:lang w:val="en-GB"/>
        </w:rPr>
        <w:t xml:space="preserve"> </w:t>
      </w:r>
      <w:r>
        <w:rPr>
          <w:noProof/>
          <w:lang w:val="en-GB"/>
        </w:rPr>
        <w:t xml:space="preserve">dwellings 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835"/>
        <w:gridCol w:w="1701"/>
        <w:gridCol w:w="1701"/>
        <w:gridCol w:w="1701"/>
      </w:tblGrid>
      <w:tr w:rsidR="00AE5920" w:rsidRPr="00F97C1E" w14:paraId="3982B774" w14:textId="77777777" w:rsidTr="00AE5920">
        <w:trPr>
          <w:trHeight w:val="18"/>
        </w:trPr>
        <w:tc>
          <w:tcPr>
            <w:tcW w:w="283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AE5920" w:rsidRPr="00FF4E11" w:rsidRDefault="00AE5920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F4E1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10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7E599A04" w:rsidR="00AE5920" w:rsidRPr="00FF4E11" w:rsidRDefault="00042F32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01 2023</w:t>
            </w:r>
          </w:p>
        </w:tc>
      </w:tr>
      <w:tr w:rsidR="00AE5920" w:rsidRPr="00F97C1E" w14:paraId="40010199" w14:textId="77777777" w:rsidTr="00AE5920">
        <w:trPr>
          <w:trHeight w:val="18"/>
        </w:trPr>
        <w:tc>
          <w:tcPr>
            <w:tcW w:w="283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AE5920" w:rsidRPr="00FF4E11" w:rsidRDefault="00AE5920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7777777" w:rsidR="00AE5920" w:rsidRPr="00FF4E11" w:rsidRDefault="00AE5920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1C33B573" w:rsidR="00AE5920" w:rsidRPr="00FF4E11" w:rsidRDefault="00042F32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01 2022</w:t>
            </w:r>
            <w:r w:rsidR="00AE5920" w:rsidRPr="00FF4E1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02FAB9" w14:textId="280E2F5A" w:rsidR="00AE5920" w:rsidRPr="00FF4E11" w:rsidRDefault="00042F32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AE5920" w:rsidRPr="00FF4E11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</w:tr>
      <w:tr w:rsidR="00AE5920" w:rsidRPr="009A4851" w14:paraId="4960FBEE" w14:textId="77777777" w:rsidTr="00AE5920">
        <w:trPr>
          <w:trHeight w:val="54"/>
        </w:trPr>
        <w:tc>
          <w:tcPr>
            <w:tcW w:w="2835" w:type="dxa"/>
            <w:tcBorders>
              <w:top w:val="single" w:sz="12" w:space="0" w:color="212492"/>
            </w:tcBorders>
            <w:vAlign w:val="center"/>
          </w:tcPr>
          <w:p w14:paraId="01A71A89" w14:textId="77777777" w:rsidR="00AE5920" w:rsidRPr="00FF4E11" w:rsidRDefault="00AE5920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F4E11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02B1A5FB" w14:textId="45C638E8" w:rsidR="00AE5920" w:rsidRPr="00DE2F35" w:rsidRDefault="00AE5920" w:rsidP="00265B5F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15 189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7439481A" w14:textId="38AB47F3" w:rsidR="00AE5920" w:rsidRPr="00DE2F35" w:rsidRDefault="00AE5920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67.</w:t>
            </w:r>
            <w:r w:rsidRPr="00C707E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601D2DB4" w:rsidR="00AE5920" w:rsidRPr="00DE2F35" w:rsidRDefault="00AE5920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76.0</w:t>
            </w:r>
          </w:p>
        </w:tc>
      </w:tr>
      <w:tr w:rsidR="00AE5920" w:rsidRPr="009A4851" w14:paraId="1DF47858" w14:textId="77777777" w:rsidTr="00AE5920">
        <w:trPr>
          <w:trHeight w:val="54"/>
        </w:trPr>
        <w:tc>
          <w:tcPr>
            <w:tcW w:w="2835" w:type="dxa"/>
            <w:vAlign w:val="center"/>
          </w:tcPr>
          <w:p w14:paraId="28ADC19D" w14:textId="77777777" w:rsidR="00AE5920" w:rsidRPr="00FF4E11" w:rsidRDefault="00AE5920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701" w:type="dxa"/>
            <w:vAlign w:val="center"/>
          </w:tcPr>
          <w:p w14:paraId="2CE969F2" w14:textId="0803C3FC" w:rsidR="00AE5920" w:rsidRPr="00DE2F35" w:rsidRDefault="00AE5920" w:rsidP="00265B5F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4 795</w:t>
            </w:r>
          </w:p>
        </w:tc>
        <w:tc>
          <w:tcPr>
            <w:tcW w:w="1701" w:type="dxa"/>
            <w:vAlign w:val="center"/>
          </w:tcPr>
          <w:p w14:paraId="11922E73" w14:textId="7B020E18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73.8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00CBAD5" w14:textId="04970411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91.9</w:t>
            </w:r>
          </w:p>
        </w:tc>
      </w:tr>
      <w:tr w:rsidR="00AE5920" w:rsidRPr="009A4851" w14:paraId="0D1B9431" w14:textId="77777777" w:rsidTr="00AE5920">
        <w:trPr>
          <w:trHeight w:val="348"/>
        </w:trPr>
        <w:tc>
          <w:tcPr>
            <w:tcW w:w="2835" w:type="dxa"/>
            <w:vAlign w:val="center"/>
          </w:tcPr>
          <w:p w14:paraId="46B989E8" w14:textId="77777777" w:rsidR="00AE5920" w:rsidRPr="00FF4E11" w:rsidRDefault="00AE5920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701" w:type="dxa"/>
            <w:vAlign w:val="center"/>
          </w:tcPr>
          <w:p w14:paraId="56EC5D20" w14:textId="432ECF30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10 174</w:t>
            </w:r>
          </w:p>
        </w:tc>
        <w:tc>
          <w:tcPr>
            <w:tcW w:w="1701" w:type="dxa"/>
            <w:vAlign w:val="center"/>
          </w:tcPr>
          <w:p w14:paraId="44BD7848" w14:textId="31C37AAF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64.1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3BC2BF6" w14:textId="4B624074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71.</w:t>
            </w:r>
            <w:r w:rsidRPr="00A473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AE5920" w:rsidRPr="009A4851" w14:paraId="50E23A83" w14:textId="77777777" w:rsidTr="00AE5920">
        <w:trPr>
          <w:trHeight w:val="344"/>
        </w:trPr>
        <w:tc>
          <w:tcPr>
            <w:tcW w:w="2835" w:type="dxa"/>
            <w:vAlign w:val="center"/>
          </w:tcPr>
          <w:p w14:paraId="4A77B5C6" w14:textId="77777777" w:rsidR="00AE5920" w:rsidRPr="00FF4E11" w:rsidRDefault="00AE5920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701" w:type="dxa"/>
            <w:vAlign w:val="center"/>
          </w:tcPr>
          <w:p w14:paraId="6D853C93" w14:textId="6CE4D20F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2B71D6D4" w14:textId="1B9C916D" w:rsidR="00AE5920" w:rsidRPr="00DE2F35" w:rsidRDefault="009D1DEF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25-fold less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94B4D92" w14:textId="530B8EA4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50.0</w:t>
            </w:r>
          </w:p>
        </w:tc>
      </w:tr>
      <w:tr w:rsidR="00AE5920" w:rsidRPr="009A4851" w14:paraId="67CD548E" w14:textId="77777777" w:rsidTr="00AE5920">
        <w:trPr>
          <w:trHeight w:val="239"/>
        </w:trPr>
        <w:tc>
          <w:tcPr>
            <w:tcW w:w="2835" w:type="dxa"/>
            <w:vAlign w:val="center"/>
          </w:tcPr>
          <w:p w14:paraId="11EB9B38" w14:textId="77777777" w:rsidR="00AE5920" w:rsidRPr="00FF4E11" w:rsidRDefault="00AE5920" w:rsidP="00FF4E11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16AE6ED7" w14:textId="45582948" w:rsidR="00AE5920" w:rsidRPr="00DE2F35" w:rsidRDefault="00AE5920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3CDEEA20" w14:textId="2B8635E0" w:rsidR="00AE5920" w:rsidRPr="00DE2F35" w:rsidRDefault="00AE5920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35.4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5F265105" w:rsidR="00AE5920" w:rsidRPr="00DE2F35" w:rsidRDefault="009D1DEF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14-fold less</w:t>
            </w:r>
          </w:p>
        </w:tc>
      </w:tr>
      <w:tr w:rsidR="00AE5920" w:rsidRPr="009A4851" w14:paraId="10BA3CE7" w14:textId="77777777" w:rsidTr="00AE5920">
        <w:trPr>
          <w:trHeight w:val="348"/>
        </w:trPr>
        <w:tc>
          <w:tcPr>
            <w:tcW w:w="2835" w:type="dxa"/>
            <w:vAlign w:val="center"/>
          </w:tcPr>
          <w:p w14:paraId="4B31C305" w14:textId="77777777" w:rsidR="00AE5920" w:rsidRPr="00FF4E11" w:rsidRDefault="00AE5920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3B5AB0D7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117D19BE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2CFA1F99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72.5</w:t>
            </w:r>
          </w:p>
        </w:tc>
      </w:tr>
      <w:tr w:rsidR="00AE5920" w:rsidRPr="009A4851" w14:paraId="5A330376" w14:textId="77777777" w:rsidTr="00AE5920">
        <w:trPr>
          <w:trHeight w:val="356"/>
        </w:trPr>
        <w:tc>
          <w:tcPr>
            <w:tcW w:w="283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AE5920" w:rsidRPr="00FF4E11" w:rsidRDefault="00AE5920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6913581D" w14:textId="0804008F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262852B0" w14:textId="286C0D26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5C065B4A" w:rsidR="00AE5920" w:rsidRPr="00DE2F35" w:rsidRDefault="00AE5920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5DA5B204" w14:textId="77777777" w:rsidR="00AE5920" w:rsidRDefault="00AE5920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5E8DEC1D" w:rsidR="00967B91" w:rsidRPr="0080490A" w:rsidRDefault="00FD5504" w:rsidP="009300BA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In</w:t>
      </w:r>
      <w:r w:rsidR="00F00F20" w:rsidRPr="0080490A">
        <w:rPr>
          <w:noProof/>
          <w:spacing w:val="-2"/>
          <w:lang w:val="en-GB"/>
        </w:rPr>
        <w:t xml:space="preserve"> </w:t>
      </w:r>
      <w:r w:rsidR="00961B9D">
        <w:rPr>
          <w:noProof/>
          <w:spacing w:val="-2"/>
          <w:lang w:val="en-GB"/>
        </w:rPr>
        <w:t>January 2023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961B9D">
        <w:rPr>
          <w:noProof/>
          <w:spacing w:val="-2"/>
          <w:lang w:val="en-GB"/>
        </w:rPr>
        <w:t>9.4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961B9D">
        <w:rPr>
          <w:noProof/>
          <w:spacing w:val="-2"/>
          <w:lang w:val="en-GB"/>
        </w:rPr>
        <w:t>, i.e. by 19.9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>
        <w:rPr>
          <w:noProof/>
          <w:spacing w:val="-2"/>
          <w:lang w:val="en-GB"/>
        </w:rPr>
        <w:t>5</w:t>
      </w:r>
      <w:r w:rsidR="00CC4866" w:rsidRPr="0080490A">
        <w:rPr>
          <w:noProof/>
          <w:spacing w:val="-2"/>
          <w:lang w:val="en-GB"/>
        </w:rPr>
        <w:t>.</w:t>
      </w:r>
      <w:r w:rsidR="00A74BC2">
        <w:rPr>
          <w:noProof/>
          <w:spacing w:val="-2"/>
          <w:lang w:val="en-GB"/>
        </w:rPr>
        <w:t>8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A74BC2">
        <w:rPr>
          <w:noProof/>
          <w:spacing w:val="-2"/>
          <w:lang w:val="en-GB"/>
        </w:rPr>
        <w:t>2</w:t>
      </w:r>
      <w:r>
        <w:rPr>
          <w:noProof/>
          <w:spacing w:val="-2"/>
          <w:lang w:val="en-GB"/>
        </w:rPr>
        <w:t>0</w:t>
      </w:r>
      <w:r w:rsidR="00954347" w:rsidRPr="0080490A">
        <w:rPr>
          <w:noProof/>
          <w:spacing w:val="-2"/>
          <w:lang w:val="en-GB"/>
        </w:rPr>
        <w:t>.</w:t>
      </w:r>
      <w:r>
        <w:rPr>
          <w:noProof/>
          <w:spacing w:val="-2"/>
          <w:lang w:val="en-GB"/>
        </w:rPr>
        <w:t>7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F308EA">
        <w:rPr>
          <w:noProof/>
          <w:spacing w:val="-2"/>
          <w:lang w:val="en-GB"/>
        </w:rPr>
        <w:t>3</w:t>
      </w:r>
      <w:r w:rsidR="00CC4866" w:rsidRPr="0080490A">
        <w:rPr>
          <w:noProof/>
          <w:spacing w:val="-2"/>
          <w:lang w:val="en-GB"/>
        </w:rPr>
        <w:t>.</w:t>
      </w:r>
      <w:r w:rsidR="00F308EA">
        <w:rPr>
          <w:noProof/>
          <w:spacing w:val="-2"/>
          <w:lang w:val="en-GB"/>
        </w:rPr>
        <w:t>6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A74BC2">
        <w:rPr>
          <w:noProof/>
          <w:spacing w:val="-2"/>
          <w:lang w:val="en-GB"/>
        </w:rPr>
        <w:t>(by 18.2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042F32">
        <w:rPr>
          <w:noProof/>
          <w:spacing w:val="-2"/>
          <w:lang w:val="en-GB"/>
        </w:rPr>
        <w:t>99</w:t>
      </w:r>
      <w:r w:rsidR="00CC4866" w:rsidRPr="0080490A">
        <w:rPr>
          <w:noProof/>
          <w:spacing w:val="-2"/>
          <w:lang w:val="en-GB"/>
        </w:rPr>
        <w:t>.</w:t>
      </w:r>
      <w:r w:rsidR="00042F32">
        <w:rPr>
          <w:noProof/>
          <w:spacing w:val="-2"/>
          <w:lang w:val="en-GB"/>
        </w:rPr>
        <w:t>2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1C1808" w:rsidRPr="0080490A">
        <w:rPr>
          <w:noProof/>
          <w:spacing w:val="-2"/>
          <w:lang w:val="en-GB"/>
        </w:rPr>
        <w:t>total number of dwellings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A74BC2">
        <w:rPr>
          <w:noProof/>
          <w:spacing w:val="-2"/>
          <w:lang w:val="en-GB"/>
        </w:rPr>
        <w:t>0.1</w:t>
      </w:r>
      <w:r w:rsidR="00F308EA">
        <w:rPr>
          <w:noProof/>
          <w:spacing w:val="-2"/>
          <w:lang w:val="en-GB"/>
        </w:rPr>
        <w:t> 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 w:rsidR="00FF3A7E">
        <w:rPr>
          <w:noProof/>
          <w:spacing w:val="-2"/>
          <w:lang w:val="en-GB"/>
        </w:rPr>
        <w:t>simillar amount</w:t>
      </w:r>
      <w:r w:rsidR="00DE2F35" w:rsidRPr="00DE2F35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918"/>
        <w:gridCol w:w="1618"/>
        <w:gridCol w:w="1701"/>
        <w:gridCol w:w="1701"/>
      </w:tblGrid>
      <w:tr w:rsidR="00D94FFD" w:rsidRPr="009A4851" w14:paraId="34F47625" w14:textId="77777777" w:rsidTr="00D94FFD">
        <w:trPr>
          <w:trHeight w:val="18"/>
        </w:trPr>
        <w:tc>
          <w:tcPr>
            <w:tcW w:w="291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D94FFD" w:rsidRPr="00FF4E11" w:rsidRDefault="00D94FFD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F4E1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020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21E5A572" w:rsidR="00D94FFD" w:rsidRPr="00FF4E11" w:rsidRDefault="00D94FFD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01 2023</w:t>
            </w:r>
          </w:p>
        </w:tc>
      </w:tr>
      <w:tr w:rsidR="00D94FFD" w:rsidRPr="009A4851" w14:paraId="57BC7BB1" w14:textId="77777777" w:rsidTr="00D94FFD">
        <w:trPr>
          <w:trHeight w:val="18"/>
        </w:trPr>
        <w:tc>
          <w:tcPr>
            <w:tcW w:w="291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D94FFD" w:rsidRPr="00FF4E11" w:rsidRDefault="00D94FFD" w:rsidP="0048731D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77777777" w:rsidR="00D94FFD" w:rsidRPr="00FF4E11" w:rsidRDefault="00D94FFD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FF4E11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00261DD8" w:rsidR="00D94FFD" w:rsidRPr="00FF4E11" w:rsidRDefault="00D94FFD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01 2022</w:t>
            </w:r>
            <w:r w:rsidRPr="00FF4E1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701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109C3DB" w14:textId="4C759188" w:rsidR="00D94FFD" w:rsidRPr="00FF4E11" w:rsidRDefault="00D94FFD" w:rsidP="0048731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Pr="00FF4E11">
              <w:rPr>
                <w:color w:val="000000" w:themeColor="text1"/>
                <w:sz w:val="16"/>
                <w:szCs w:val="16"/>
              </w:rPr>
              <w:t xml:space="preserve"> 2022=100</w:t>
            </w:r>
          </w:p>
        </w:tc>
      </w:tr>
      <w:tr w:rsidR="00D94FFD" w:rsidRPr="009A4851" w14:paraId="0E4114AC" w14:textId="77777777" w:rsidTr="00D94FFD">
        <w:trPr>
          <w:trHeight w:val="54"/>
        </w:trPr>
        <w:tc>
          <w:tcPr>
            <w:tcW w:w="2918" w:type="dxa"/>
            <w:tcBorders>
              <w:top w:val="single" w:sz="12" w:space="0" w:color="212492"/>
            </w:tcBorders>
            <w:vAlign w:val="center"/>
          </w:tcPr>
          <w:p w14:paraId="74E22B89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FF4E11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618" w:type="dxa"/>
            <w:tcBorders>
              <w:top w:val="single" w:sz="12" w:space="0" w:color="212492"/>
            </w:tcBorders>
            <w:vAlign w:val="center"/>
          </w:tcPr>
          <w:p w14:paraId="23AD18BD" w14:textId="367BEB63" w:rsidR="00D94FFD" w:rsidRPr="00DE2F35" w:rsidRDefault="00D94FFD" w:rsidP="00D94FFD">
            <w:pPr>
              <w:spacing w:after="0"/>
              <w:jc w:val="right"/>
              <w:rPr>
                <w:b/>
                <w:sz w:val="15"/>
                <w:szCs w:val="15"/>
              </w:rPr>
            </w:pPr>
            <w:r w:rsidRPr="00A473C1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446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14:paraId="429AC8C7" w14:textId="1383E32F" w:rsidR="00D94FFD" w:rsidRPr="00DE2F35" w:rsidRDefault="00D94FFD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80.1</w:t>
            </w:r>
          </w:p>
        </w:tc>
        <w:tc>
          <w:tcPr>
            <w:tcW w:w="1701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4EE055FD" w:rsidR="00D94FFD" w:rsidRPr="00DE2F35" w:rsidRDefault="00D94FFD" w:rsidP="00FF4E11">
            <w:pPr>
              <w:spacing w:after="0"/>
              <w:jc w:val="right"/>
              <w:rPr>
                <w:b/>
                <w:sz w:val="15"/>
                <w:szCs w:val="15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96.0</w:t>
            </w:r>
          </w:p>
        </w:tc>
      </w:tr>
      <w:tr w:rsidR="00D94FFD" w:rsidRPr="009A4851" w14:paraId="1FF029D5" w14:textId="77777777" w:rsidTr="00D94FFD">
        <w:trPr>
          <w:trHeight w:val="54"/>
        </w:trPr>
        <w:tc>
          <w:tcPr>
            <w:tcW w:w="2918" w:type="dxa"/>
            <w:vAlign w:val="center"/>
          </w:tcPr>
          <w:p w14:paraId="71C2CC1E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618" w:type="dxa"/>
            <w:vAlign w:val="center"/>
          </w:tcPr>
          <w:p w14:paraId="591D9F98" w14:textId="05B56DA2" w:rsidR="00D94FFD" w:rsidRPr="00DE2F35" w:rsidRDefault="00D94FFD" w:rsidP="00D94FF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3 557</w:t>
            </w:r>
          </w:p>
        </w:tc>
        <w:tc>
          <w:tcPr>
            <w:tcW w:w="1701" w:type="dxa"/>
            <w:vAlign w:val="center"/>
          </w:tcPr>
          <w:p w14:paraId="60807E6E" w14:textId="1D9DA4A1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81.8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C7F3799" w14:textId="560595D5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125.8</w:t>
            </w:r>
          </w:p>
        </w:tc>
      </w:tr>
      <w:tr w:rsidR="00D94FFD" w:rsidRPr="009A4851" w14:paraId="304B4633" w14:textId="77777777" w:rsidTr="00D94FFD">
        <w:trPr>
          <w:trHeight w:val="348"/>
        </w:trPr>
        <w:tc>
          <w:tcPr>
            <w:tcW w:w="2918" w:type="dxa"/>
            <w:vAlign w:val="center"/>
          </w:tcPr>
          <w:p w14:paraId="5B8199F5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618" w:type="dxa"/>
            <w:vAlign w:val="center"/>
          </w:tcPr>
          <w:p w14:paraId="15FC3415" w14:textId="20613050" w:rsidR="00D94FFD" w:rsidRPr="00DE2F35" w:rsidRDefault="00D94FFD" w:rsidP="00D94FFD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5 817</w:t>
            </w:r>
          </w:p>
        </w:tc>
        <w:tc>
          <w:tcPr>
            <w:tcW w:w="1701" w:type="dxa"/>
            <w:vAlign w:val="center"/>
          </w:tcPr>
          <w:p w14:paraId="0766C893" w14:textId="632084E3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79.3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D2952B2" w14:textId="7CDF37F3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83.7</w:t>
            </w:r>
          </w:p>
        </w:tc>
      </w:tr>
      <w:tr w:rsidR="00D94FFD" w:rsidRPr="009A4851" w14:paraId="04BD52CD" w14:textId="77777777" w:rsidTr="00D94FFD">
        <w:trPr>
          <w:trHeight w:val="347"/>
        </w:trPr>
        <w:tc>
          <w:tcPr>
            <w:tcW w:w="2918" w:type="dxa"/>
            <w:vAlign w:val="center"/>
          </w:tcPr>
          <w:p w14:paraId="52D0D7AF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FF4E1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618" w:type="dxa"/>
            <w:vAlign w:val="center"/>
          </w:tcPr>
          <w:p w14:paraId="30EF4784" w14:textId="0D84743F" w:rsidR="00D94FFD" w:rsidRPr="0047027C" w:rsidRDefault="00D94FF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14:paraId="66975EDA" w14:textId="6DE57DD3" w:rsidR="00D94FFD" w:rsidRPr="00DE2F35" w:rsidRDefault="009D1DEF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over 17-fold less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581ED179" w14:textId="4D4AC178" w:rsidR="00D94FFD" w:rsidRPr="00DE2F35" w:rsidRDefault="009D1DEF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almost 17-fold less</w:t>
            </w:r>
          </w:p>
        </w:tc>
      </w:tr>
      <w:tr w:rsidR="00D94FFD" w:rsidRPr="009A4851" w14:paraId="22E5F8B5" w14:textId="77777777" w:rsidTr="00D94FFD">
        <w:trPr>
          <w:trHeight w:val="359"/>
        </w:trPr>
        <w:tc>
          <w:tcPr>
            <w:tcW w:w="2918" w:type="dxa"/>
            <w:vAlign w:val="center"/>
          </w:tcPr>
          <w:p w14:paraId="6E1E246A" w14:textId="77777777" w:rsidR="00D94FFD" w:rsidRPr="00FF4E11" w:rsidRDefault="00D94FFD" w:rsidP="00FF4E1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FF4E11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618" w:type="dxa"/>
            <w:vAlign w:val="center"/>
          </w:tcPr>
          <w:p w14:paraId="1567DB37" w14:textId="03A9E54C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C518540" w14:textId="30850798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E71D1E5" w14:textId="440A90A8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D94FFD" w:rsidRPr="009A4851" w14:paraId="4820AC1A" w14:textId="77777777" w:rsidTr="00D94FFD">
        <w:trPr>
          <w:trHeight w:val="366"/>
        </w:trPr>
        <w:tc>
          <w:tcPr>
            <w:tcW w:w="2918" w:type="dxa"/>
            <w:vAlign w:val="center"/>
          </w:tcPr>
          <w:p w14:paraId="6B82F139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618" w:type="dxa"/>
            <w:tcBorders>
              <w:bottom w:val="single" w:sz="4" w:space="0" w:color="212492"/>
            </w:tcBorders>
            <w:vAlign w:val="center"/>
          </w:tcPr>
          <w:p w14:paraId="196CFDC3" w14:textId="500A0B23" w:rsidR="00D94FFD" w:rsidRPr="0047027C" w:rsidRDefault="00D94FF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054FE49B" w14:textId="5BC3BFFC" w:rsidR="00D94FFD" w:rsidRPr="00DE2F35" w:rsidRDefault="00D94FFD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4C26538B" w:rsidR="00D94FFD" w:rsidRPr="00DE2F35" w:rsidRDefault="00D94FFD" w:rsidP="00FF4E11">
            <w:pPr>
              <w:spacing w:before="0"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D94FFD" w:rsidRPr="009A4851" w14:paraId="347BB134" w14:textId="77777777" w:rsidTr="00D94FFD">
        <w:trPr>
          <w:trHeight w:val="348"/>
        </w:trPr>
        <w:tc>
          <w:tcPr>
            <w:tcW w:w="2918" w:type="dxa"/>
            <w:vAlign w:val="center"/>
          </w:tcPr>
          <w:p w14:paraId="28773DE9" w14:textId="77777777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618" w:type="dxa"/>
            <w:vAlign w:val="center"/>
          </w:tcPr>
          <w:p w14:paraId="018ECCAB" w14:textId="3AEA12C6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701" w:type="dxa"/>
            <w:vAlign w:val="center"/>
          </w:tcPr>
          <w:p w14:paraId="5E4E785D" w14:textId="4C551C35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036C6321" w14:textId="2B0F54FE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156.5</w:t>
            </w:r>
          </w:p>
        </w:tc>
      </w:tr>
      <w:tr w:rsidR="00D94FFD" w:rsidRPr="009A4851" w14:paraId="104777EA" w14:textId="77777777" w:rsidTr="00D94FFD">
        <w:trPr>
          <w:trHeight w:val="356"/>
        </w:trPr>
        <w:tc>
          <w:tcPr>
            <w:tcW w:w="291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2B32D20" w:rsidR="00D94FFD" w:rsidRPr="00FF4E11" w:rsidRDefault="00D94FFD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FF4E11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618" w:type="dxa"/>
            <w:tcBorders>
              <w:bottom w:val="single" w:sz="4" w:space="0" w:color="212492"/>
            </w:tcBorders>
            <w:vAlign w:val="center"/>
          </w:tcPr>
          <w:p w14:paraId="15CE9B80" w14:textId="0EBDEEEA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212492"/>
            </w:tcBorders>
            <w:vAlign w:val="center"/>
          </w:tcPr>
          <w:p w14:paraId="3230310D" w14:textId="6EC6B6F8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66A150E0" w:rsidR="00D94FFD" w:rsidRPr="00DE2F35" w:rsidRDefault="00D94FFD" w:rsidP="00FF4E11">
            <w:pPr>
              <w:spacing w:after="0"/>
              <w:jc w:val="right"/>
              <w:rPr>
                <w:sz w:val="15"/>
                <w:szCs w:val="15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34D75009" w14:textId="0F3E1ABF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D94FFD">
        <w:rPr>
          <w:szCs w:val="19"/>
          <w:shd w:val="clear" w:color="auto" w:fill="FFFFFF"/>
          <w:lang w:val="en-GB"/>
        </w:rPr>
        <w:t>January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D94FFD">
        <w:rPr>
          <w:szCs w:val="19"/>
          <w:shd w:val="clear" w:color="auto" w:fill="FFFFFF"/>
          <w:lang w:val="en-GB"/>
        </w:rPr>
        <w:t>824</w:t>
      </w:r>
      <w:r w:rsidR="00D93EA6">
        <w:rPr>
          <w:szCs w:val="19"/>
          <w:shd w:val="clear" w:color="auto" w:fill="FFFFFF"/>
          <w:lang w:val="en-GB"/>
        </w:rPr>
        <w:t>.</w:t>
      </w:r>
      <w:r w:rsidR="00D94FFD">
        <w:rPr>
          <w:szCs w:val="19"/>
          <w:shd w:val="clear" w:color="auto" w:fill="FFFFFF"/>
          <w:lang w:val="en-GB"/>
        </w:rPr>
        <w:t>2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</w:t>
      </w:r>
      <w:bookmarkStart w:id="1" w:name="_GoBack"/>
      <w:bookmarkEnd w:id="1"/>
      <w:r w:rsidRPr="004829B9">
        <w:rPr>
          <w:szCs w:val="19"/>
          <w:shd w:val="clear" w:color="auto" w:fill="FFFFFF"/>
          <w:lang w:val="en-GB"/>
        </w:rPr>
        <w:t xml:space="preserve">construction, i.e. by </w:t>
      </w:r>
      <w:r w:rsidR="00D94FFD">
        <w:rPr>
          <w:szCs w:val="19"/>
          <w:shd w:val="clear" w:color="auto" w:fill="FFFFFF"/>
          <w:lang w:val="en-GB"/>
        </w:rPr>
        <w:t>4.9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F308EA">
        <w:rPr>
          <w:szCs w:val="19"/>
          <w:shd w:val="clear" w:color="auto" w:fill="FFFFFF"/>
          <w:lang w:val="en-GB"/>
        </w:rPr>
        <w:t>month</w:t>
      </w:r>
      <w:r w:rsidR="00D94FFD">
        <w:rPr>
          <w:szCs w:val="19"/>
          <w:shd w:val="clear" w:color="auto" w:fill="FFFFFF"/>
          <w:lang w:val="en-GB"/>
        </w:rPr>
        <w:t xml:space="preserve"> of 2022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5F9FDA00" w:rsidR="00FE1642" w:rsidRPr="00FE1642" w:rsidRDefault="00857D18" w:rsidP="00FE1642">
      <w:pPr>
        <w:pStyle w:val="Tytutablicy"/>
        <w:spacing w:before="240" w:after="0"/>
        <w:rPr>
          <w:bCs w:val="0"/>
          <w:shd w:val="clear" w:color="auto" w:fill="FFFFFF"/>
          <w:lang w:val="en-GB"/>
        </w:rPr>
      </w:pPr>
      <w:r w:rsidRPr="00AF28E0">
        <w:rPr>
          <w:noProof/>
        </w:rPr>
        <w:drawing>
          <wp:anchor distT="0" distB="0" distL="114300" distR="114300" simplePos="0" relativeHeight="251798528" behindDoc="0" locked="0" layoutInCell="1" allowOverlap="1" wp14:anchorId="583CF8CF" wp14:editId="189A9774">
            <wp:simplePos x="0" y="0"/>
            <wp:positionH relativeFrom="column">
              <wp:posOffset>-46990</wp:posOffset>
            </wp:positionH>
            <wp:positionV relativeFrom="paragraph">
              <wp:posOffset>259655</wp:posOffset>
            </wp:positionV>
            <wp:extent cx="5122545" cy="2298700"/>
            <wp:effectExtent l="0" t="0" r="1905" b="6350"/>
            <wp:wrapTopAndBottom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2021,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BD9"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43E42B74">
                <wp:simplePos x="0" y="0"/>
                <wp:positionH relativeFrom="page">
                  <wp:posOffset>5647055</wp:posOffset>
                </wp:positionH>
                <wp:positionV relativeFrom="paragraph">
                  <wp:posOffset>276225</wp:posOffset>
                </wp:positionV>
                <wp:extent cx="1819275" cy="2113915"/>
                <wp:effectExtent l="0" t="0" r="0" b="635"/>
                <wp:wrapSquare wrapText="bothSides"/>
                <wp:docPr id="9" name="Pole tekstowe 2" descr="In January 2023, compared to December 2022, the number of dwellings completed decreased (by 25.1%), as well as the number of dwellings for which permits have been granted or which have been registered with a construction project and in which construction has begun (respectively by 24.0% and 4.0%)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11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27909620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6102DE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</w:t>
                            </w:r>
                            <w:r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December</w:t>
                            </w:r>
                            <w:r w:rsidR="00332CA8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332CA8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  <w:r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completed </w:t>
                            </w:r>
                            <w:r w:rsidR="00F308EA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(by 25.1%),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as well as </w:t>
                            </w:r>
                            <w:r w:rsidR="00F308EA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number of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dwellings</w:t>
                            </w:r>
                            <w:r w:rsidR="002A2E7C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for which permits have been granted or which have been registered with a construction project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2A2E7C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and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 which construction has begun </w:t>
                            </w:r>
                            <w:r w:rsidR="00FF2BD9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</w:t>
                            </w:r>
                            <w:r w:rsidR="005B1A70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respectively </w:t>
                            </w:r>
                            <w:r w:rsidR="00A97466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 </w:t>
                            </w:r>
                            <w:r w:rsidR="006102DE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24.0</w:t>
                            </w:r>
                            <w:r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</w:t>
                            </w:r>
                            <w:r w:rsidR="002A2E7C"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4.0%</w:t>
                            </w:r>
                            <w:r w:rsidRPr="002A2E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36E1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alt="In January 2023, compared to December 2022, the number of dwellings completed decreased (by 25.1%), as well as the number of dwellings for which permits have been granted or which have been registered with a construction project and in which construction has begun (respectively by 24.0% and 4.0%))" style="position:absolute;margin-left:444.65pt;margin-top:21.75pt;width:143.25pt;height:166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" filled="f" stroked="f">
                <v:textbox>
                  <w:txbxContent>
                    <w:p w14:paraId="58FBF1C9" w14:textId="27909620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bookmarkStart w:id="2" w:name="_GoBack"/>
                      <w:r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6102DE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</w:t>
                      </w:r>
                      <w:r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December</w:t>
                      </w:r>
                      <w:r w:rsidR="00332CA8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332CA8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  <w:r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completed </w:t>
                      </w:r>
                      <w:r w:rsidR="00F308EA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(by 25.1%),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as well as </w:t>
                      </w:r>
                      <w:r w:rsidR="00F308EA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number of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dwellings</w:t>
                      </w:r>
                      <w:r w:rsidR="002A2E7C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for which permits have been granted or which have been registered with a construction project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2A2E7C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and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 which construction has begun </w:t>
                      </w:r>
                      <w:r w:rsidR="00FF2BD9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</w:t>
                      </w:r>
                      <w:r w:rsidR="005B1A70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respectively </w:t>
                      </w:r>
                      <w:r w:rsidR="00A97466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 </w:t>
                      </w:r>
                      <w:r w:rsidR="006102DE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24.0</w:t>
                      </w:r>
                      <w:r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</w:t>
                      </w:r>
                      <w:r w:rsidR="002A2E7C"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4.0%</w:t>
                      </w:r>
                      <w:r w:rsidRPr="002A2E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9038EF">
        <w:rPr>
          <w:szCs w:val="18"/>
          <w:lang w:val="en-GB"/>
        </w:rPr>
        <w:t>Chart 1.</w:t>
      </w:r>
      <w:r w:rsidR="00FE1642" w:rsidRPr="007E02D8">
        <w:rPr>
          <w:lang w:val="en-GB"/>
        </w:rPr>
        <w:t xml:space="preserve"> </w:t>
      </w:r>
      <w:r w:rsidR="00A7601E">
        <w:rPr>
          <w:lang w:val="en-GB"/>
        </w:rPr>
        <w:t xml:space="preserve">Housing </w:t>
      </w:r>
      <w:r w:rsidR="00A7601E">
        <w:rPr>
          <w:szCs w:val="18"/>
          <w:lang w:val="en-GB"/>
        </w:rPr>
        <w:t>c</w:t>
      </w:r>
      <w:r w:rsidR="00FE1642" w:rsidRPr="009038EF">
        <w:rPr>
          <w:szCs w:val="18"/>
          <w:lang w:val="en-GB"/>
        </w:rPr>
        <w:t>onstruction in</w:t>
      </w:r>
      <w:r w:rsidR="00FE1642" w:rsidRPr="00FE1642">
        <w:rPr>
          <w:szCs w:val="18"/>
          <w:lang w:val="en-GB"/>
        </w:rPr>
        <w:t xml:space="preserve"> </w:t>
      </w:r>
      <w:r w:rsidR="00FE1642" w:rsidRPr="009038EF">
        <w:rPr>
          <w:szCs w:val="18"/>
          <w:lang w:val="en-GB"/>
        </w:rPr>
        <w:t>Poland</w:t>
      </w:r>
    </w:p>
    <w:p w14:paraId="6B2C5EA1" w14:textId="6CF312B6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6102DE">
        <w:rPr>
          <w:noProof/>
          <w:spacing w:val="-2"/>
          <w:lang w:val="en-GB"/>
        </w:rPr>
        <w:t>January 2023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="0016126E" w:rsidRPr="0080490A">
        <w:rPr>
          <w:noProof/>
          <w:spacing w:val="-2"/>
          <w:lang w:val="en-GB"/>
        </w:rPr>
        <w:t>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9955E6">
        <w:rPr>
          <w:noProof/>
          <w:spacing w:val="-2"/>
          <w:lang w:val="en-GB"/>
        </w:rPr>
        <w:t>3</w:t>
      </w:r>
      <w:r w:rsidR="00D6223C" w:rsidRPr="0080490A">
        <w:rPr>
          <w:noProof/>
          <w:spacing w:val="-2"/>
          <w:lang w:val="en-GB"/>
        </w:rPr>
        <w:t>.</w:t>
      </w:r>
      <w:r w:rsidR="006102DE">
        <w:rPr>
          <w:noProof/>
          <w:spacing w:val="-2"/>
          <w:lang w:val="en-GB"/>
        </w:rPr>
        <w:t>2</w:t>
      </w:r>
      <w:r w:rsidR="00672ADA">
        <w:rPr>
          <w:noProof/>
          <w:spacing w:val="-2"/>
          <w:lang w:val="en-GB"/>
        </w:rPr>
        <w:t xml:space="preserve"> 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6102DE">
        <w:rPr>
          <w:noProof/>
          <w:spacing w:val="-2"/>
          <w:lang w:val="en-GB"/>
        </w:rPr>
        <w:t>2</w:t>
      </w:r>
      <w:r w:rsidR="00465B75" w:rsidRPr="0080490A">
        <w:rPr>
          <w:noProof/>
          <w:spacing w:val="-2"/>
          <w:lang w:val="en-GB"/>
        </w:rPr>
        <w:t>.</w:t>
      </w:r>
      <w:r w:rsidR="006102DE">
        <w:rPr>
          <w:noProof/>
          <w:spacing w:val="-2"/>
          <w:lang w:val="en-GB"/>
        </w:rPr>
        <w:t>0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6102DE">
        <w:rPr>
          <w:noProof/>
          <w:spacing w:val="-2"/>
          <w:lang w:val="en-GB"/>
        </w:rPr>
        <w:t xml:space="preserve"> and 2.5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6102DE" w:rsidRPr="006102DE">
        <w:rPr>
          <w:noProof/>
          <w:spacing w:val="-2"/>
          <w:lang w:val="en-GB"/>
        </w:rPr>
        <w:t xml:space="preserve">Małopolskie </w:t>
      </w:r>
      <w:r w:rsidR="006102DE">
        <w:rPr>
          <w:noProof/>
          <w:spacing w:val="-2"/>
          <w:lang w:val="en-GB"/>
        </w:rPr>
        <w:t>(2.2</w:t>
      </w:r>
      <w:r w:rsidR="009F4CF9" w:rsidRPr="0080490A">
        <w:rPr>
          <w:noProof/>
          <w:spacing w:val="-2"/>
          <w:lang w:val="en-GB"/>
        </w:rPr>
        <w:t> thousand</w:t>
      </w:r>
      <w:r w:rsidR="006102DE">
        <w:rPr>
          <w:noProof/>
          <w:spacing w:val="-2"/>
          <w:lang w:val="en-GB"/>
        </w:rPr>
        <w:t>, 0</w:t>
      </w:r>
      <w:r w:rsidR="009955E6">
        <w:rPr>
          <w:noProof/>
          <w:spacing w:val="-2"/>
          <w:lang w:val="en-GB"/>
        </w:rPr>
        <w:t>.7</w:t>
      </w:r>
      <w:r w:rsidR="009F4CF9" w:rsidRPr="0080490A">
        <w:rPr>
          <w:noProof/>
          <w:spacing w:val="-2"/>
          <w:lang w:val="en-GB"/>
        </w:rPr>
        <w:t> thousand</w:t>
      </w:r>
      <w:r w:rsidR="006102DE">
        <w:rPr>
          <w:noProof/>
          <w:spacing w:val="-2"/>
          <w:lang w:val="en-GB"/>
        </w:rPr>
        <w:t xml:space="preserve"> and 1</w:t>
      </w:r>
      <w:r w:rsidR="00BB44BD" w:rsidRPr="0080490A">
        <w:rPr>
          <w:noProof/>
          <w:spacing w:val="-2"/>
          <w:lang w:val="en-GB"/>
        </w:rPr>
        <w:t>.</w:t>
      </w:r>
      <w:r w:rsidR="009955E6">
        <w:rPr>
          <w:noProof/>
          <w:spacing w:val="-2"/>
          <w:lang w:val="en-GB"/>
        </w:rPr>
        <w:t>8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C34696" w:rsidRPr="0080490A">
        <w:rPr>
          <w:noProof/>
          <w:spacing w:val="-2"/>
          <w:lang w:val="en-GB"/>
        </w:rPr>
        <w:t>and</w:t>
      </w:r>
      <w:r w:rsidR="0080490A">
        <w:rPr>
          <w:noProof/>
          <w:spacing w:val="-2"/>
          <w:lang w:val="en-GB"/>
        </w:rPr>
        <w:t xml:space="preserve"> </w:t>
      </w:r>
      <w:r w:rsidR="006102DE" w:rsidRPr="0080490A">
        <w:rPr>
          <w:noProof/>
          <w:spacing w:val="-2"/>
          <w:lang w:val="en-GB"/>
        </w:rPr>
        <w:t xml:space="preserve">Wielkopolskie </w:t>
      </w:r>
      <w:r w:rsidR="006102DE">
        <w:rPr>
          <w:noProof/>
          <w:spacing w:val="-2"/>
          <w:lang w:val="en-GB"/>
        </w:rPr>
        <w:t>(2.1</w:t>
      </w:r>
      <w:r w:rsidR="00253C25">
        <w:rPr>
          <w:noProof/>
          <w:spacing w:val="-2"/>
          <w:lang w:val="en-GB"/>
        </w:rPr>
        <w:t> </w:t>
      </w:r>
      <w:r w:rsidR="009955E6">
        <w:rPr>
          <w:noProof/>
          <w:spacing w:val="-2"/>
          <w:lang w:val="en-GB"/>
        </w:rPr>
        <w:t>thousand,</w:t>
      </w:r>
      <w:r w:rsidR="00785289">
        <w:rPr>
          <w:noProof/>
          <w:spacing w:val="-2"/>
          <w:lang w:val="en-GB"/>
        </w:rPr>
        <w:t xml:space="preserve"> </w:t>
      </w:r>
      <w:r w:rsidR="006102DE">
        <w:rPr>
          <w:noProof/>
          <w:spacing w:val="-2"/>
          <w:lang w:val="en-GB"/>
        </w:rPr>
        <w:t>1.1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6102DE">
        <w:rPr>
          <w:noProof/>
          <w:spacing w:val="-2"/>
          <w:lang w:val="en-GB"/>
        </w:rPr>
        <w:t xml:space="preserve"> 1.3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19E8ECAF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A7601E">
        <w:rPr>
          <w:rFonts w:ascii="Fira Sans" w:hAnsi="Fira Sans"/>
          <w:b/>
          <w:color w:val="auto"/>
          <w:sz w:val="18"/>
          <w:szCs w:val="18"/>
          <w:lang w:val="en-GB"/>
        </w:rPr>
        <w:t>Housing 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A7601E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January 2023</w:t>
      </w:r>
    </w:p>
    <w:p w14:paraId="4C3CD6AB" w14:textId="3C552E79" w:rsidR="00F97C1E" w:rsidRPr="00DE2F35" w:rsidRDefault="00AF28E0" w:rsidP="00FE1642">
      <w:pPr>
        <w:rPr>
          <w:lang w:val="en-GB"/>
        </w:rPr>
      </w:pPr>
      <w:r w:rsidRPr="00AF28E0"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52EC4082" wp14:editId="24281C9B">
            <wp:simplePos x="0" y="0"/>
            <wp:positionH relativeFrom="margin">
              <wp:posOffset>-87833</wp:posOffset>
            </wp:positionH>
            <wp:positionV relativeFrom="paragraph">
              <wp:posOffset>168021</wp:posOffset>
            </wp:positionV>
            <wp:extent cx="5122545" cy="2464435"/>
            <wp:effectExtent l="0" t="0" r="1905" b="0"/>
            <wp:wrapTopAndBottom/>
            <wp:docPr id="3" name="Obraz 3" descr="Number of dwellings completed, number of dwellings for which permits have been granted or which have been registered with a construction project and number of dwellings in which construction has begun in January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E8C6F" w14:textId="05056DE2" w:rsidR="00FE1642" w:rsidRPr="00FE1642" w:rsidRDefault="00FE1642" w:rsidP="00FE1642">
      <w:pPr>
        <w:rPr>
          <w:lang w:val="en-GB" w:eastAsia="pl-PL"/>
        </w:rPr>
      </w:pPr>
    </w:p>
    <w:p w14:paraId="7C86092F" w14:textId="1CB95CE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59AB995F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C822EEE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4FBD418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8975B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1BC841F2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2A2E7C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8975B8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42708" w14:textId="77777777" w:rsidR="008975B8" w:rsidRDefault="008975B8" w:rsidP="000662E2">
      <w:pPr>
        <w:spacing w:after="0" w:line="240" w:lineRule="auto"/>
      </w:pPr>
      <w:r>
        <w:separator/>
      </w:r>
    </w:p>
  </w:endnote>
  <w:endnote w:type="continuationSeparator" w:id="0">
    <w:p w14:paraId="25C08C22" w14:textId="77777777" w:rsidR="008975B8" w:rsidRDefault="008975B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B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4B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A64C7" w14:textId="77777777" w:rsidR="008975B8" w:rsidRDefault="008975B8" w:rsidP="000662E2">
      <w:pPr>
        <w:spacing w:after="0" w:line="240" w:lineRule="auto"/>
      </w:pPr>
      <w:r>
        <w:separator/>
      </w:r>
    </w:p>
  </w:footnote>
  <w:footnote w:type="continuationSeparator" w:id="0">
    <w:p w14:paraId="51F258F4" w14:textId="77777777" w:rsidR="008975B8" w:rsidRDefault="008975B8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3792DFBF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82CBE06" w:rsidR="00574E89" w:rsidRPr="00C97596" w:rsidRDefault="00C90E46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21.02</w:t>
                          </w:r>
                          <w:r w:rsidR="00FF4E11"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2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uLKA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BgPIuL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582CBE06" w:rsidR="00574E89" w:rsidRPr="00C97596" w:rsidRDefault="00C90E46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21.02</w:t>
                    </w:r>
                    <w:r w:rsidR="00FF4E11"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4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363D0"/>
    <w:rsid w:val="000401D6"/>
    <w:rsid w:val="000411F6"/>
    <w:rsid w:val="00042F32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6490"/>
    <w:rsid w:val="00237220"/>
    <w:rsid w:val="00237A99"/>
    <w:rsid w:val="00243185"/>
    <w:rsid w:val="00243A60"/>
    <w:rsid w:val="00244842"/>
    <w:rsid w:val="00244CFE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65B5F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2E7C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48C9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6E55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4B9E"/>
    <w:rsid w:val="0052510F"/>
    <w:rsid w:val="00525CAC"/>
    <w:rsid w:val="00527B0C"/>
    <w:rsid w:val="00527BA1"/>
    <w:rsid w:val="005303D3"/>
    <w:rsid w:val="00532256"/>
    <w:rsid w:val="00533632"/>
    <w:rsid w:val="00534F7E"/>
    <w:rsid w:val="005352B1"/>
    <w:rsid w:val="00536E29"/>
    <w:rsid w:val="005378A0"/>
    <w:rsid w:val="005405B9"/>
    <w:rsid w:val="005415DA"/>
    <w:rsid w:val="0054251F"/>
    <w:rsid w:val="00542771"/>
    <w:rsid w:val="005430E7"/>
    <w:rsid w:val="00543779"/>
    <w:rsid w:val="005454EF"/>
    <w:rsid w:val="00546790"/>
    <w:rsid w:val="00546F13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97D3B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C105F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160"/>
    <w:rsid w:val="005F6FE0"/>
    <w:rsid w:val="006030DD"/>
    <w:rsid w:val="00603549"/>
    <w:rsid w:val="00603FBB"/>
    <w:rsid w:val="006044FF"/>
    <w:rsid w:val="006072EE"/>
    <w:rsid w:val="00607CC5"/>
    <w:rsid w:val="006102AA"/>
    <w:rsid w:val="006102DE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213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57D18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791"/>
    <w:rsid w:val="00891CF0"/>
    <w:rsid w:val="0089381E"/>
    <w:rsid w:val="00893B4E"/>
    <w:rsid w:val="008941E0"/>
    <w:rsid w:val="008948E4"/>
    <w:rsid w:val="00896EB9"/>
    <w:rsid w:val="008975B8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2A65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B9D"/>
    <w:rsid w:val="00961CE9"/>
    <w:rsid w:val="00964B1A"/>
    <w:rsid w:val="009651E5"/>
    <w:rsid w:val="009658F1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242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1DEF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7208C"/>
    <w:rsid w:val="00A72CF4"/>
    <w:rsid w:val="00A741A0"/>
    <w:rsid w:val="00A74B1F"/>
    <w:rsid w:val="00A74BC2"/>
    <w:rsid w:val="00A7601E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5920"/>
    <w:rsid w:val="00AE6DB4"/>
    <w:rsid w:val="00AE6FA9"/>
    <w:rsid w:val="00AE726C"/>
    <w:rsid w:val="00AE7EE2"/>
    <w:rsid w:val="00AF0752"/>
    <w:rsid w:val="00AF19C9"/>
    <w:rsid w:val="00AF28E0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1AD6"/>
    <w:rsid w:val="00B5362C"/>
    <w:rsid w:val="00B53935"/>
    <w:rsid w:val="00B55DAB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87453"/>
    <w:rsid w:val="00B914E9"/>
    <w:rsid w:val="00B93B71"/>
    <w:rsid w:val="00B956EE"/>
    <w:rsid w:val="00B9574A"/>
    <w:rsid w:val="00B95FA8"/>
    <w:rsid w:val="00B963B0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3F05"/>
    <w:rsid w:val="00BC46FE"/>
    <w:rsid w:val="00BC4AAD"/>
    <w:rsid w:val="00BC514E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0E46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4FFD"/>
    <w:rsid w:val="00D96026"/>
    <w:rsid w:val="00DA23DE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72D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4610"/>
    <w:rsid w:val="00E346D7"/>
    <w:rsid w:val="00E35889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6939"/>
    <w:rsid w:val="00F26991"/>
    <w:rsid w:val="00F272FB"/>
    <w:rsid w:val="00F27301"/>
    <w:rsid w:val="00F27C8F"/>
    <w:rsid w:val="00F300D6"/>
    <w:rsid w:val="00F308EA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2E0A"/>
    <w:rsid w:val="00F9379A"/>
    <w:rsid w:val="00F94574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1642"/>
    <w:rsid w:val="00FE3A83"/>
    <w:rsid w:val="00FE6CB4"/>
    <w:rsid w:val="00FE705C"/>
    <w:rsid w:val="00FF1686"/>
    <w:rsid w:val="00FF2BD9"/>
    <w:rsid w:val="00FF37E0"/>
    <w:rsid w:val="00FF392D"/>
    <w:rsid w:val="00FF3A7E"/>
    <w:rsid w:val="00FF4261"/>
    <w:rsid w:val="00FF4E11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STAT\POWESKAA</Osoba>
    <NazwaPliku xmlns="AD3641B4-23D9-4536-AF9E-7D0EADDEB824">residential_construction_in_january_2023.docx.docx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C90ACFF-7922-4119-9067-543F56FF8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January-November 2022</vt:lpstr>
    </vt:vector>
  </TitlesOfParts>
  <Company>Statistics Poland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January-November 2022</dc:title>
  <dc:subject>Residential construction</dc:subject>
  <cp:keywords>dwellings completed; dwellings under construction; dwellings started; building permit; useful floor area</cp:keywords>
  <cp:lastPrinted>2022-06-15T11:38:00Z</cp:lastPrinted>
  <dcterms:created xsi:type="dcterms:W3CDTF">2023-02-17T09:19:00Z</dcterms:created>
  <dcterms:modified xsi:type="dcterms:W3CDTF">2023-02-17T09:19:00Z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