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F71D84" w:rsidRDefault="00572BD4" w:rsidP="00F049AB">
      <w:pPr>
        <w:pStyle w:val="Tytuinfomacjisygnalnej"/>
        <w:rPr>
          <w:lang w:val="en-GB"/>
        </w:rPr>
      </w:pPr>
      <w:r w:rsidRPr="00F71D84">
        <w:rPr>
          <w:lang w:val="en-GB"/>
        </w:rPr>
        <w:t xml:space="preserve">Value chains of </w:t>
      </w:r>
      <w:r w:rsidR="005B2656" w:rsidRPr="00F71D84">
        <w:rPr>
          <w:lang w:val="en-GB"/>
        </w:rPr>
        <w:t>national</w:t>
      </w:r>
      <w:r w:rsidRPr="00F71D84">
        <w:rPr>
          <w:lang w:val="en-GB"/>
        </w:rPr>
        <w:t xml:space="preserve"> enterprises in 2021</w:t>
      </w:r>
    </w:p>
    <w:p w:rsidR="00572BD4" w:rsidRPr="00F71D84" w:rsidRDefault="00572BD4" w:rsidP="00395168">
      <w:pPr>
        <w:pStyle w:val="Nagwek1"/>
        <w:spacing w:line="240" w:lineRule="exact"/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</w:pPr>
      <w:r w:rsidRPr="00F71D8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5EB7A57" wp14:editId="409CB9D8">
                <wp:simplePos x="0" y="0"/>
                <wp:positionH relativeFrom="margin">
                  <wp:posOffset>-1237</wp:posOffset>
                </wp:positionH>
                <wp:positionV relativeFrom="paragraph">
                  <wp:posOffset>29985</wp:posOffset>
                </wp:positionV>
                <wp:extent cx="2329180" cy="1381125"/>
                <wp:effectExtent l="0" t="0" r="0" b="9525"/>
                <wp:wrapSquare wrapText="bothSides"/>
                <wp:docPr id="6" name="Pole tekstowe 2" descr="41,0% of enterprises sourced business functions externally at the end of 2021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3811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F5C" w:rsidRPr="00ED4952" w:rsidRDefault="00351BA7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ED4952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41</w:t>
                            </w:r>
                            <w:r w:rsidR="008F4612" w:rsidRPr="00ED4952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,</w:t>
                            </w:r>
                            <w:r w:rsidRPr="00ED4952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0</w:t>
                            </w:r>
                            <w:r w:rsidR="004B4292" w:rsidRPr="00ED4952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:rsidR="00313F5C" w:rsidRPr="00572BD4" w:rsidRDefault="00572BD4" w:rsidP="00313F5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572BD4">
                              <w:rPr>
                                <w:lang w:val="en-US"/>
                              </w:rPr>
                              <w:t xml:space="preserve">of enterprises </w:t>
                            </w:r>
                            <w:r w:rsidR="002B53D1" w:rsidRPr="00D2752E">
                              <w:rPr>
                                <w:lang w:val="en-GB"/>
                              </w:rPr>
                              <w:t>sourced business functions</w:t>
                            </w:r>
                            <w:r w:rsidR="002B53D1">
                              <w:rPr>
                                <w:lang w:val="en-GB"/>
                              </w:rPr>
                              <w:t xml:space="preserve"> externally</w:t>
                            </w:r>
                            <w:r w:rsidRPr="00572BD4">
                              <w:rPr>
                                <w:lang w:val="en-US"/>
                              </w:rPr>
                              <w:t xml:space="preserve"> at the end of 2021</w:t>
                            </w:r>
                          </w:p>
                          <w:p w:rsidR="005C0CAC" w:rsidRPr="00572BD4" w:rsidRDefault="005C0CAC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B7A57" id="Pole tekstowe 2" o:spid="_x0000_s1026" alt="41,0% of enterprises sourced business functions externally at the end of 2021&#10;" style="position:absolute;margin-left:-.1pt;margin-top:2.35pt;width:183.4pt;height:108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" fillcolor="#001d77" stroked="f">
                <v:stroke joinstyle="miter"/>
                <v:textbox>
                  <w:txbxContent>
                    <w:p w:rsidR="00313F5C" w:rsidRPr="00ED4952" w:rsidRDefault="00351BA7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ED4952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41</w:t>
                      </w:r>
                      <w:r w:rsidR="008F4612" w:rsidRPr="00ED4952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,</w:t>
                      </w:r>
                      <w:r w:rsidRPr="00ED4952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0</w:t>
                      </w:r>
                      <w:r w:rsidR="004B4292" w:rsidRPr="00ED4952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:rsidR="00313F5C" w:rsidRPr="00572BD4" w:rsidRDefault="00572BD4" w:rsidP="00313F5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 w:rsidRPr="00572BD4">
                        <w:rPr>
                          <w:lang w:val="en-US"/>
                        </w:rPr>
                        <w:t xml:space="preserve">of enterprises </w:t>
                      </w:r>
                      <w:r w:rsidR="002B53D1" w:rsidRPr="00D2752E">
                        <w:rPr>
                          <w:lang w:val="en-GB"/>
                        </w:rPr>
                        <w:t>sourced business functions</w:t>
                      </w:r>
                      <w:r w:rsidR="002B53D1">
                        <w:rPr>
                          <w:lang w:val="en-GB"/>
                        </w:rPr>
                        <w:t xml:space="preserve"> externally</w:t>
                      </w:r>
                      <w:r w:rsidRPr="00572BD4">
                        <w:rPr>
                          <w:lang w:val="en-US"/>
                        </w:rPr>
                        <w:t xml:space="preserve"> at the end of 2021</w:t>
                      </w:r>
                    </w:p>
                    <w:p w:rsidR="005C0CAC" w:rsidRPr="00572BD4" w:rsidRDefault="005C0CAC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At the end of 2021, 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most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 (59.0%) of the surveyed enterprises with 10 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or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 more</w:t>
      </w:r>
      <w:r w:rsidR="002B53D1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 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persons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 employe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d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 performed business functions 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only internally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 and did not source them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 outside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. The phenomenon of 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external 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sourcing concerned 41.0% of the surveyed 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enterprises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, most of which (91.4%) 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contracted out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 functions only to other domestic ent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erprises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. Business functions abroad were </w:t>
      </w:r>
      <w:r w:rsidR="005B2656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 xml:space="preserve">contracted out </w:t>
      </w:r>
      <w:r w:rsidR="00CB62D2" w:rsidRPr="00F71D84">
        <w:rPr>
          <w:rFonts w:ascii="Fira Sans" w:eastAsiaTheme="minorHAnsi" w:hAnsi="Fira Sans" w:cstheme="minorBidi"/>
          <w:b/>
          <w:bCs w:val="0"/>
          <w:noProof/>
          <w:color w:val="auto"/>
          <w:szCs w:val="19"/>
          <w:lang w:val="en-GB"/>
        </w:rPr>
        <w:t>mainly to European Union countries.</w:t>
      </w:r>
    </w:p>
    <w:p w:rsidR="00F15B38" w:rsidRPr="00F71D84" w:rsidRDefault="00572BD4" w:rsidP="00F15B38">
      <w:pPr>
        <w:pStyle w:val="Nagwek1"/>
        <w:rPr>
          <w:rFonts w:ascii="Fira Sans" w:hAnsi="Fira Sans"/>
          <w:b/>
          <w:szCs w:val="19"/>
          <w:lang w:val="en-GB"/>
        </w:rPr>
      </w:pPr>
      <w:bookmarkStart w:id="0" w:name="_Hlk106914598"/>
      <w:r w:rsidRPr="00F71D84">
        <w:rPr>
          <w:rFonts w:ascii="Fira Sans" w:hAnsi="Fira Sans"/>
          <w:b/>
          <w:szCs w:val="19"/>
          <w:lang w:val="en-GB"/>
        </w:rPr>
        <w:t>Place of performance of business functions</w:t>
      </w:r>
    </w:p>
    <w:bookmarkEnd w:id="0"/>
    <w:p w:rsidR="00CB62D2" w:rsidRPr="00F71D84" w:rsidRDefault="00CB62D2" w:rsidP="00395168">
      <w:pPr>
        <w:spacing w:line="288" w:lineRule="auto"/>
        <w:rPr>
          <w:szCs w:val="19"/>
          <w:lang w:val="en-GB"/>
        </w:rPr>
      </w:pPr>
      <w:r w:rsidRPr="00F71D84">
        <w:rPr>
          <w:szCs w:val="19"/>
          <w:lang w:val="en-GB"/>
        </w:rPr>
        <w:t xml:space="preserve">At the end of 2021, three-fifths (25,570) of the surveyed enterprises (legal entities) </w:t>
      </w:r>
      <w:r w:rsidR="002B53D1" w:rsidRPr="00F71D84">
        <w:rPr>
          <w:shd w:val="clear" w:color="auto" w:fill="FFFFFF"/>
          <w:lang w:val="en-GB"/>
        </w:rPr>
        <w:t>with 10 or more persons employed</w:t>
      </w:r>
      <w:r w:rsidR="002B53D1" w:rsidRPr="00F71D84" w:rsidDel="002B53D1">
        <w:rPr>
          <w:szCs w:val="19"/>
          <w:lang w:val="en-GB"/>
        </w:rPr>
        <w:t xml:space="preserve"> </w:t>
      </w:r>
      <w:r w:rsidRPr="00F71D84">
        <w:rPr>
          <w:szCs w:val="19"/>
          <w:lang w:val="en-GB"/>
        </w:rPr>
        <w:t>performed business functions</w:t>
      </w:r>
      <w:r w:rsidR="00302355" w:rsidRPr="00F71D84">
        <w:rPr>
          <w:rStyle w:val="Odwoanieprzypisudolnego"/>
          <w:szCs w:val="19"/>
          <w:lang w:val="en-GB"/>
        </w:rPr>
        <w:footnoteReference w:id="1"/>
      </w:r>
      <w:r w:rsidRPr="00F71D84">
        <w:rPr>
          <w:szCs w:val="19"/>
          <w:lang w:val="en-GB"/>
        </w:rPr>
        <w:t xml:space="preserve"> entirely within the enterprise, and two-fifths (17,761) sourced functions </w:t>
      </w:r>
      <w:r w:rsidR="00B9494A" w:rsidRPr="00F71D84">
        <w:rPr>
          <w:szCs w:val="19"/>
          <w:lang w:val="en-GB"/>
        </w:rPr>
        <w:t xml:space="preserve">externally </w:t>
      </w:r>
      <w:r w:rsidRPr="00F71D84">
        <w:rPr>
          <w:szCs w:val="19"/>
          <w:lang w:val="en-GB"/>
        </w:rPr>
        <w:t xml:space="preserve">to be performed completely or partially to others units. </w:t>
      </w:r>
      <w:r w:rsidR="00ED4952" w:rsidRPr="00F71D84">
        <w:rPr>
          <w:szCs w:val="19"/>
          <w:lang w:val="en-GB"/>
        </w:rPr>
        <w:t>In comparison with previous year, the structure slightly changed – the share of enterprises sourci</w:t>
      </w:r>
      <w:r w:rsidR="00B9494A" w:rsidRPr="00F71D84">
        <w:rPr>
          <w:szCs w:val="19"/>
          <w:lang w:val="en-GB"/>
        </w:rPr>
        <w:t>ng</w:t>
      </w:r>
      <w:r w:rsidR="00ED4952" w:rsidRPr="00F71D84">
        <w:rPr>
          <w:szCs w:val="19"/>
          <w:lang w:val="en-GB"/>
        </w:rPr>
        <w:t xml:space="preserve"> functions to other units increased by 7.8 percentage point.</w:t>
      </w:r>
    </w:p>
    <w:p w:rsidR="00B71871" w:rsidRPr="00F71D84" w:rsidRDefault="00A10470" w:rsidP="00990890">
      <w:pPr>
        <w:pStyle w:val="Tytutablicy"/>
        <w:tabs>
          <w:tab w:val="left" w:pos="709"/>
        </w:tabs>
        <w:spacing w:before="240"/>
        <w:ind w:left="709" w:hanging="709"/>
        <w:rPr>
          <w:lang w:val="en-GB"/>
        </w:rPr>
      </w:pPr>
      <w:r w:rsidRPr="00F71D84">
        <w:rPr>
          <w:lang w:val="en-GB"/>
        </w:rPr>
        <w:t>Chart 1. Structure of the surveyed enterprises by size class and place of</w:t>
      </w:r>
      <w:r w:rsidR="00FC22EC" w:rsidRPr="00F71D84">
        <w:rPr>
          <w:lang w:val="en-GB"/>
        </w:rPr>
        <w:t xml:space="preserve"> business</w:t>
      </w:r>
      <w:r w:rsidRPr="00F71D84">
        <w:rPr>
          <w:lang w:val="en-GB"/>
        </w:rPr>
        <w:t xml:space="preserve"> function</w:t>
      </w:r>
      <w:r w:rsidR="00FC22EC" w:rsidRPr="00F71D84">
        <w:rPr>
          <w:lang w:val="en-GB"/>
        </w:rPr>
        <w:t>s</w:t>
      </w:r>
      <w:r w:rsidRPr="00F71D84">
        <w:rPr>
          <w:lang w:val="en-GB"/>
        </w:rPr>
        <w:t xml:space="preserve"> performance in 2021</w:t>
      </w:r>
    </w:p>
    <w:bookmarkStart w:id="1" w:name="_Hlk106914625"/>
    <w:bookmarkStart w:id="2" w:name="_Hlk106915098"/>
    <w:p w:rsidR="00FC22EC" w:rsidRPr="00F71D84" w:rsidRDefault="002B53D1" w:rsidP="00CB62D2">
      <w:pPr>
        <w:spacing w:line="288" w:lineRule="auto"/>
        <w:rPr>
          <w:shd w:val="clear" w:color="auto" w:fill="FFFFFF"/>
          <w:lang w:val="en-GB"/>
        </w:rPr>
      </w:pPr>
      <w:r w:rsidRPr="00F71D84">
        <w:rPr>
          <w:b/>
          <w:noProof/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1" locked="1" layoutInCell="1" allowOverlap="1" wp14:anchorId="7ECD82B1" wp14:editId="7FD0E84B">
                <wp:simplePos x="0" y="0"/>
                <wp:positionH relativeFrom="column">
                  <wp:posOffset>5275580</wp:posOffset>
                </wp:positionH>
                <wp:positionV relativeFrom="paragraph">
                  <wp:posOffset>257810</wp:posOffset>
                </wp:positionV>
                <wp:extent cx="1724400" cy="1591200"/>
                <wp:effectExtent l="0" t="0" r="0" b="0"/>
                <wp:wrapTight wrapText="bothSides">
                  <wp:wrapPolygon edited="0">
                    <wp:start x="716" y="0"/>
                    <wp:lineTo x="716" y="21212"/>
                    <wp:lineTo x="20765" y="21212"/>
                    <wp:lineTo x="20765" y="0"/>
                    <wp:lineTo x="716" y="0"/>
                  </wp:wrapPolygon>
                </wp:wrapTight>
                <wp:docPr id="2" name="Pole tekstowe 2" descr="In 2021, functions were sourced externally more often by small enterprises, i.e. with 10‒49 persons employed ‒ 43.8% of entities in this size class compared to 41.0% for the to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59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572BD4" w:rsidRDefault="00A0100B" w:rsidP="00553507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  <w:r w:rsidRPr="00A0100B">
                              <w:rPr>
                                <w:lang w:val="en-US"/>
                              </w:rPr>
                              <w:t>In 2021, functions were sourced</w:t>
                            </w:r>
                            <w:r w:rsidR="006562B6">
                              <w:rPr>
                                <w:lang w:val="en-US"/>
                              </w:rPr>
                              <w:t xml:space="preserve"> externally</w:t>
                            </w:r>
                            <w:r w:rsidRPr="00A0100B">
                              <w:rPr>
                                <w:lang w:val="en-US"/>
                              </w:rPr>
                              <w:t xml:space="preserve"> more often by small enterprises, i.e. with 10</w:t>
                            </w:r>
                            <w:r w:rsidR="002B53D1">
                              <w:rPr>
                                <w:lang w:val="en-US"/>
                              </w:rPr>
                              <w:t>‒</w:t>
                            </w:r>
                            <w:r w:rsidRPr="00A0100B">
                              <w:rPr>
                                <w:lang w:val="en-US"/>
                              </w:rPr>
                              <w:t xml:space="preserve">49 </w:t>
                            </w:r>
                            <w:r w:rsidR="00302355">
                              <w:rPr>
                                <w:lang w:val="en-US"/>
                              </w:rPr>
                              <w:t>persons employed</w:t>
                            </w:r>
                            <w:r w:rsidRPr="00A0100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B53D1">
                              <w:rPr>
                                <w:lang w:val="en-US"/>
                              </w:rPr>
                              <w:t>‒</w:t>
                            </w:r>
                            <w:r w:rsidRPr="00A0100B">
                              <w:rPr>
                                <w:lang w:val="en-US"/>
                              </w:rPr>
                              <w:t xml:space="preserve"> 43.8% of entities in this size class compared to 41.0% for the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D82B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2021, functions were sourced externally more often by small enterprises, i.e. with 10‒49 persons employed ‒ 43.8% of entities in this size class compared to 41.0% for the total" style="position:absolute;margin-left:415.4pt;margin-top:20.3pt;width:135.8pt;height:125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" filled="f" stroked="f">
                <v:textbox>
                  <w:txbxContent>
                    <w:p w:rsidR="00D616D2" w:rsidRPr="00572BD4" w:rsidRDefault="00A0100B" w:rsidP="00553507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  <w:r w:rsidRPr="00A0100B">
                        <w:rPr>
                          <w:lang w:val="en-US"/>
                        </w:rPr>
                        <w:t>In 2021, functions were sourced</w:t>
                      </w:r>
                      <w:r w:rsidR="006562B6">
                        <w:rPr>
                          <w:lang w:val="en-US"/>
                        </w:rPr>
                        <w:t xml:space="preserve"> externally</w:t>
                      </w:r>
                      <w:r w:rsidRPr="00A0100B">
                        <w:rPr>
                          <w:lang w:val="en-US"/>
                        </w:rPr>
                        <w:t xml:space="preserve"> more often by small enterprises, i.e. with 10</w:t>
                      </w:r>
                      <w:r w:rsidR="002B53D1">
                        <w:rPr>
                          <w:lang w:val="en-US"/>
                        </w:rPr>
                        <w:t>‒</w:t>
                      </w:r>
                      <w:r w:rsidRPr="00A0100B">
                        <w:rPr>
                          <w:lang w:val="en-US"/>
                        </w:rPr>
                        <w:t xml:space="preserve">49 </w:t>
                      </w:r>
                      <w:r w:rsidR="00302355">
                        <w:rPr>
                          <w:lang w:val="en-US"/>
                        </w:rPr>
                        <w:t>persons employed</w:t>
                      </w:r>
                      <w:r w:rsidRPr="00A0100B">
                        <w:rPr>
                          <w:lang w:val="en-US"/>
                        </w:rPr>
                        <w:t xml:space="preserve"> </w:t>
                      </w:r>
                      <w:r w:rsidR="002B53D1">
                        <w:rPr>
                          <w:lang w:val="en-US"/>
                        </w:rPr>
                        <w:t>‒</w:t>
                      </w:r>
                      <w:r w:rsidRPr="00A0100B">
                        <w:rPr>
                          <w:lang w:val="en-US"/>
                        </w:rPr>
                        <w:t xml:space="preserve"> 43.8% of entities in this size class compared to 41.0% for the total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397E39" w:rsidRPr="00F71D84">
        <w:rPr>
          <w:noProof/>
          <w:lang w:val="en-GB"/>
        </w:rPr>
        <w:drawing>
          <wp:inline distT="0" distB="0" distL="0" distR="0" wp14:anchorId="09EB2BD3" wp14:editId="2BE82E91">
            <wp:extent cx="5082369" cy="2479367"/>
            <wp:effectExtent l="0" t="0" r="0" b="0"/>
            <wp:docPr id="26" name="Obraz 26" descr="Chart 1. Structure of the surveyed enterprises by size class and place of business functions performance in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04" cy="2489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62D2" w:rsidRPr="00F71D84">
        <w:rPr>
          <w:lang w:val="en-GB"/>
        </w:rPr>
        <w:t xml:space="preserve"> </w:t>
      </w:r>
      <w:r w:rsidR="00ED4952" w:rsidRPr="00786697">
        <w:rPr>
          <w:rFonts w:eastAsia="Times New Roman" w:cs="Times New Roman"/>
          <w:szCs w:val="19"/>
          <w:lang w:val="en-GB" w:eastAsia="pl-PL"/>
        </w:rPr>
        <w:t>In 2021, functions were sourced</w:t>
      </w:r>
      <w:r w:rsidR="00B9494A" w:rsidRPr="00786697">
        <w:rPr>
          <w:rFonts w:eastAsia="Times New Roman" w:cs="Times New Roman"/>
          <w:szCs w:val="19"/>
          <w:lang w:val="en-GB" w:eastAsia="pl-PL"/>
        </w:rPr>
        <w:t xml:space="preserve"> externally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 more often by small enterprises (</w:t>
      </w:r>
      <w:r w:rsidR="005B2656" w:rsidRPr="00786697">
        <w:rPr>
          <w:rFonts w:eastAsia="Times New Roman" w:cs="Times New Roman"/>
          <w:szCs w:val="19"/>
          <w:lang w:val="en-GB" w:eastAsia="pl-PL"/>
        </w:rPr>
        <w:t>with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 10</w:t>
      </w:r>
      <w:r w:rsidR="00302355" w:rsidRPr="00786697">
        <w:rPr>
          <w:rFonts w:eastAsia="Times New Roman" w:cs="Times New Roman"/>
          <w:szCs w:val="19"/>
          <w:lang w:val="en-GB" w:eastAsia="pl-PL"/>
        </w:rPr>
        <w:t>‒</w:t>
      </w:r>
      <w:r w:rsidR="00ED4952" w:rsidRPr="00786697">
        <w:rPr>
          <w:rFonts w:eastAsia="Times New Roman" w:cs="Times New Roman"/>
          <w:szCs w:val="19"/>
          <w:lang w:val="en-GB" w:eastAsia="pl-PL"/>
        </w:rPr>
        <w:t>49 pe</w:t>
      </w:r>
      <w:r w:rsidR="005B2656" w:rsidRPr="00786697">
        <w:rPr>
          <w:rFonts w:eastAsia="Times New Roman" w:cs="Times New Roman"/>
          <w:szCs w:val="19"/>
          <w:lang w:val="en-GB" w:eastAsia="pl-PL"/>
        </w:rPr>
        <w:t>rsons employed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) </w:t>
      </w:r>
      <w:r w:rsidR="00302355" w:rsidRPr="00786697">
        <w:rPr>
          <w:rFonts w:eastAsia="Times New Roman" w:cs="Times New Roman"/>
          <w:szCs w:val="19"/>
          <w:lang w:val="en-GB" w:eastAsia="pl-PL"/>
        </w:rPr>
        <w:t>‒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 43.8% of entities belonging to this size class, and less frequently by medium-sized enterprises (</w:t>
      </w:r>
      <w:r w:rsidR="00674E29" w:rsidRPr="00786697">
        <w:rPr>
          <w:rFonts w:eastAsia="Times New Roman" w:cs="Times New Roman"/>
          <w:szCs w:val="19"/>
          <w:lang w:val="en-GB" w:eastAsia="pl-PL"/>
        </w:rPr>
        <w:t xml:space="preserve">with </w:t>
      </w:r>
      <w:r w:rsidR="00ED4952" w:rsidRPr="00786697">
        <w:rPr>
          <w:rFonts w:eastAsia="Times New Roman" w:cs="Times New Roman"/>
          <w:szCs w:val="19"/>
          <w:lang w:val="en-GB" w:eastAsia="pl-PL"/>
        </w:rPr>
        <w:t>50</w:t>
      </w:r>
      <w:r w:rsidR="00302355" w:rsidRPr="00786697">
        <w:rPr>
          <w:rFonts w:eastAsia="Times New Roman" w:cs="Times New Roman"/>
          <w:szCs w:val="19"/>
          <w:lang w:val="en-GB" w:eastAsia="pl-PL"/>
        </w:rPr>
        <w:t>‒</w:t>
      </w:r>
      <w:r w:rsidR="00ED4952" w:rsidRPr="00786697">
        <w:rPr>
          <w:rFonts w:eastAsia="Times New Roman" w:cs="Times New Roman"/>
          <w:szCs w:val="19"/>
          <w:lang w:val="en-GB" w:eastAsia="pl-PL"/>
        </w:rPr>
        <w:t>249 pe</w:t>
      </w:r>
      <w:r w:rsidR="005B2656" w:rsidRPr="00786697">
        <w:rPr>
          <w:rFonts w:eastAsia="Times New Roman" w:cs="Times New Roman"/>
          <w:szCs w:val="19"/>
          <w:lang w:val="en-GB" w:eastAsia="pl-PL"/>
        </w:rPr>
        <w:t>rsons employed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) </w:t>
      </w:r>
      <w:r w:rsidR="00302355" w:rsidRPr="00786697">
        <w:rPr>
          <w:rFonts w:eastAsia="Times New Roman" w:cs="Times New Roman"/>
          <w:szCs w:val="19"/>
          <w:lang w:val="en-GB" w:eastAsia="pl-PL"/>
        </w:rPr>
        <w:t>‒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 35</w:t>
      </w:r>
      <w:r w:rsidR="00302355" w:rsidRPr="00786697">
        <w:rPr>
          <w:rFonts w:eastAsia="Times New Roman" w:cs="Times New Roman"/>
          <w:szCs w:val="19"/>
          <w:lang w:val="en-GB" w:eastAsia="pl-PL"/>
        </w:rPr>
        <w:t>.</w:t>
      </w:r>
      <w:r w:rsidR="00ED4952" w:rsidRPr="00786697">
        <w:rPr>
          <w:rFonts w:eastAsia="Times New Roman" w:cs="Times New Roman"/>
          <w:szCs w:val="19"/>
          <w:lang w:val="en-GB" w:eastAsia="pl-PL"/>
        </w:rPr>
        <w:t>5% and large (</w:t>
      </w:r>
      <w:r w:rsidR="00674E29" w:rsidRPr="00786697">
        <w:rPr>
          <w:rFonts w:eastAsia="Times New Roman" w:cs="Times New Roman"/>
          <w:szCs w:val="19"/>
          <w:lang w:val="en-GB" w:eastAsia="pl-PL"/>
        </w:rPr>
        <w:t>with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 250 or more pe</w:t>
      </w:r>
      <w:r w:rsidR="00674E29" w:rsidRPr="00786697">
        <w:rPr>
          <w:rFonts w:eastAsia="Times New Roman" w:cs="Times New Roman"/>
          <w:szCs w:val="19"/>
          <w:lang w:val="en-GB" w:eastAsia="pl-PL"/>
        </w:rPr>
        <w:t>rsons employed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) </w:t>
      </w:r>
      <w:r w:rsidR="00302355" w:rsidRPr="00786697">
        <w:rPr>
          <w:rFonts w:eastAsia="Times New Roman" w:cs="Times New Roman"/>
          <w:szCs w:val="19"/>
          <w:lang w:val="en-GB" w:eastAsia="pl-PL"/>
        </w:rPr>
        <w:t>‒</w:t>
      </w:r>
      <w:r w:rsidR="00ED4952" w:rsidRPr="00786697">
        <w:rPr>
          <w:rFonts w:eastAsia="Times New Roman" w:cs="Times New Roman"/>
          <w:szCs w:val="19"/>
          <w:lang w:val="en-GB" w:eastAsia="pl-PL"/>
        </w:rPr>
        <w:t xml:space="preserve"> 36.0%. In the previous year, these shares were different and amounted to 30.4%, 36.8% and 44.7%, respectively.</w:t>
      </w:r>
      <w:r w:rsidR="00786697" w:rsidRPr="00786697">
        <w:rPr>
          <w:rFonts w:eastAsia="Times New Roman" w:cs="Times New Roman"/>
          <w:szCs w:val="19"/>
          <w:lang w:val="en-GB" w:eastAsia="pl-PL"/>
        </w:rPr>
        <w:t xml:space="preserve"> Enterprises owned by domestic capital sourced functions externally slightly less frequently (40.7%) than enterprises with foreign capital (42.3%).</w:t>
      </w:r>
    </w:p>
    <w:p w:rsidR="00ED4952" w:rsidRPr="00F71D84" w:rsidRDefault="00ED4952" w:rsidP="00CB62D2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lastRenderedPageBreak/>
        <w:t xml:space="preserve">Enterprises owned by domestic capital sourced functions </w:t>
      </w:r>
      <w:r w:rsidR="00B9494A" w:rsidRPr="00F71D84">
        <w:rPr>
          <w:shd w:val="clear" w:color="auto" w:fill="FFFFFF"/>
          <w:lang w:val="en-GB"/>
        </w:rPr>
        <w:t xml:space="preserve">externally </w:t>
      </w:r>
      <w:r w:rsidRPr="00F71D84">
        <w:rPr>
          <w:shd w:val="clear" w:color="auto" w:fill="FFFFFF"/>
          <w:lang w:val="en-GB"/>
        </w:rPr>
        <w:t xml:space="preserve">slightly less frequently (40.7%) than enterprises </w:t>
      </w:r>
      <w:r w:rsidR="00302355" w:rsidRPr="00F71D84">
        <w:rPr>
          <w:shd w:val="clear" w:color="auto" w:fill="FFFFFF"/>
          <w:lang w:val="en-GB"/>
        </w:rPr>
        <w:t>with</w:t>
      </w:r>
      <w:r w:rsidRPr="00F71D84">
        <w:rPr>
          <w:shd w:val="clear" w:color="auto" w:fill="FFFFFF"/>
          <w:lang w:val="en-GB"/>
        </w:rPr>
        <w:t xml:space="preserve"> foreign capital (42.3%).</w:t>
      </w:r>
    </w:p>
    <w:p w:rsidR="00302355" w:rsidRPr="00F71D84" w:rsidRDefault="006562B6" w:rsidP="00990890">
      <w:pPr>
        <w:spacing w:after="0" w:line="288" w:lineRule="auto"/>
        <w:rPr>
          <w:shd w:val="clear" w:color="auto" w:fill="FFFFFF"/>
          <w:lang w:val="en-GB"/>
        </w:rPr>
      </w:pPr>
      <w:r w:rsidRPr="00F71D84">
        <w:rPr>
          <w:b/>
          <w:noProof/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766784" behindDoc="1" locked="1" layoutInCell="1" allowOverlap="1" wp14:anchorId="1CCEC560" wp14:editId="2E0C6FB0">
                <wp:simplePos x="0" y="0"/>
                <wp:positionH relativeFrom="column">
                  <wp:posOffset>5283835</wp:posOffset>
                </wp:positionH>
                <wp:positionV relativeFrom="paragraph">
                  <wp:posOffset>-69850</wp:posOffset>
                </wp:positionV>
                <wp:extent cx="1724025" cy="1590675"/>
                <wp:effectExtent l="0" t="0" r="0" b="0"/>
                <wp:wrapTight wrapText="bothSides">
                  <wp:wrapPolygon edited="0">
                    <wp:start x="716" y="0"/>
                    <wp:lineTo x="716" y="21212"/>
                    <wp:lineTo x="20765" y="21212"/>
                    <wp:lineTo x="20765" y="0"/>
                    <wp:lineTo x="716" y="0"/>
                  </wp:wrapPolygon>
                </wp:wrapTight>
                <wp:docPr id="32" name="Pole tekstowe 32" descr="In 2021, the implementation of functions was most often entrusted to external entities by enterprises from the education, and human health and social work activities sec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297" w:rsidRPr="00801297" w:rsidRDefault="00801297" w:rsidP="00801297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  <w:r w:rsidRPr="00801297">
                              <w:rPr>
                                <w:bCs w:val="0"/>
                                <w:lang w:val="en-US"/>
                              </w:rPr>
                              <w:t>In 2021, the implementation of functions was most often entrusted to external entities by enterprises from the education,</w:t>
                            </w:r>
                            <w:r w:rsidR="00335265">
                              <w:rPr>
                                <w:bCs w:val="0"/>
                                <w:lang w:val="en-US"/>
                              </w:rPr>
                              <w:t xml:space="preserve"> and</w:t>
                            </w:r>
                            <w:r w:rsidRPr="00801297">
                              <w:rPr>
                                <w:bCs w:val="0"/>
                                <w:lang w:val="en-US"/>
                              </w:rPr>
                              <w:t xml:space="preserve"> </w:t>
                            </w:r>
                            <w:r w:rsidR="00335265">
                              <w:rPr>
                                <w:bCs w:val="0"/>
                                <w:lang w:val="en-US"/>
                              </w:rPr>
                              <w:t xml:space="preserve">human </w:t>
                            </w:r>
                            <w:r w:rsidRPr="00801297">
                              <w:rPr>
                                <w:bCs w:val="0"/>
                                <w:lang w:val="en-US"/>
                              </w:rPr>
                              <w:t xml:space="preserve">health and social </w:t>
                            </w:r>
                            <w:r w:rsidR="00335265">
                              <w:rPr>
                                <w:bCs w:val="0"/>
                                <w:lang w:val="en-US"/>
                              </w:rPr>
                              <w:t xml:space="preserve">work activities </w:t>
                            </w:r>
                            <w:r w:rsidRPr="00801297">
                              <w:rPr>
                                <w:bCs w:val="0"/>
                                <w:lang w:val="en-US"/>
                              </w:rPr>
                              <w:t>sections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EC560" id="Pole tekstowe 32" o:spid="_x0000_s1028" type="#_x0000_t202" alt="In 2021, the implementation of functions was most often entrusted to external entities by enterprises from the education, and human health and social work activities sections" style="position:absolute;margin-left:416.05pt;margin-top:-5.5pt;width:135.75pt;height:125.2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" filled="f" stroked="f">
                <v:textbox>
                  <w:txbxContent>
                    <w:p w:rsidR="00801297" w:rsidRPr="00801297" w:rsidRDefault="00801297" w:rsidP="00801297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  <w:r w:rsidRPr="00801297">
                        <w:rPr>
                          <w:bCs w:val="0"/>
                          <w:lang w:val="en-US"/>
                        </w:rPr>
                        <w:t>In 2021, the implementation of functions was most often entrusted to external entities by enterprises from the education,</w:t>
                      </w:r>
                      <w:r w:rsidR="00335265">
                        <w:rPr>
                          <w:bCs w:val="0"/>
                          <w:lang w:val="en-US"/>
                        </w:rPr>
                        <w:t xml:space="preserve"> and</w:t>
                      </w:r>
                      <w:r w:rsidRPr="00801297">
                        <w:rPr>
                          <w:bCs w:val="0"/>
                          <w:lang w:val="en-US"/>
                        </w:rPr>
                        <w:t xml:space="preserve"> </w:t>
                      </w:r>
                      <w:r w:rsidR="00335265">
                        <w:rPr>
                          <w:bCs w:val="0"/>
                          <w:lang w:val="en-US"/>
                        </w:rPr>
                        <w:t xml:space="preserve">human </w:t>
                      </w:r>
                      <w:r w:rsidRPr="00801297">
                        <w:rPr>
                          <w:bCs w:val="0"/>
                          <w:lang w:val="en-US"/>
                        </w:rPr>
                        <w:t xml:space="preserve">health and social </w:t>
                      </w:r>
                      <w:r w:rsidR="00335265">
                        <w:rPr>
                          <w:bCs w:val="0"/>
                          <w:lang w:val="en-US"/>
                        </w:rPr>
                        <w:t xml:space="preserve">work activities </w:t>
                      </w:r>
                      <w:r w:rsidRPr="00801297">
                        <w:rPr>
                          <w:bCs w:val="0"/>
                          <w:lang w:val="en-US"/>
                        </w:rPr>
                        <w:t>sections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DB49DD" w:rsidRPr="00F71D84">
        <w:rPr>
          <w:shd w:val="clear" w:color="auto" w:fill="FFFFFF"/>
          <w:lang w:val="en-GB"/>
        </w:rPr>
        <w:t xml:space="preserve">Implementation of functions to external entities was most often </w:t>
      </w:r>
      <w:r w:rsidR="00A5681D" w:rsidRPr="00F71D84">
        <w:rPr>
          <w:shd w:val="clear" w:color="auto" w:fill="FFFFFF"/>
          <w:lang w:val="en-GB"/>
        </w:rPr>
        <w:t>sourced</w:t>
      </w:r>
      <w:r w:rsidR="00DB49DD" w:rsidRPr="00F71D84">
        <w:rPr>
          <w:shd w:val="clear" w:color="auto" w:fill="FFFFFF"/>
          <w:lang w:val="en-GB"/>
        </w:rPr>
        <w:t xml:space="preserve"> </w:t>
      </w:r>
      <w:r w:rsidR="00A5681D" w:rsidRPr="00F71D84">
        <w:rPr>
          <w:shd w:val="clear" w:color="auto" w:fill="FFFFFF"/>
          <w:lang w:val="en-GB"/>
        </w:rPr>
        <w:t>by</w:t>
      </w:r>
      <w:r w:rsidR="00DB49DD" w:rsidRPr="00F71D84">
        <w:rPr>
          <w:shd w:val="clear" w:color="auto" w:fill="FFFFFF"/>
          <w:lang w:val="en-GB"/>
        </w:rPr>
        <w:t xml:space="preserve"> units dealing with education, </w:t>
      </w:r>
      <w:r w:rsidR="00A5681D" w:rsidRPr="00F71D84">
        <w:rPr>
          <w:shd w:val="clear" w:color="auto" w:fill="FFFFFF"/>
          <w:lang w:val="en-GB"/>
        </w:rPr>
        <w:t>human health and social work activities</w:t>
      </w:r>
      <w:r w:rsidR="00DB49DD" w:rsidRPr="00F71D84">
        <w:rPr>
          <w:shd w:val="clear" w:color="auto" w:fill="FFFFFF"/>
          <w:lang w:val="en-GB"/>
        </w:rPr>
        <w:t xml:space="preserve"> </w:t>
      </w:r>
      <w:r w:rsidR="00240A1D">
        <w:rPr>
          <w:shd w:val="clear" w:color="auto" w:fill="FFFFFF"/>
          <w:lang w:val="en-GB"/>
        </w:rPr>
        <w:t>(</w:t>
      </w:r>
      <w:r w:rsidR="00DB49DD" w:rsidRPr="00F71D84">
        <w:rPr>
          <w:shd w:val="clear" w:color="auto" w:fill="FFFFFF"/>
          <w:lang w:val="en-GB"/>
        </w:rPr>
        <w:t>they constituted more than 50%</w:t>
      </w:r>
      <w:r w:rsidR="00A95AD2">
        <w:rPr>
          <w:shd w:val="clear" w:color="auto" w:fill="FFFFFF"/>
          <w:lang w:val="en-GB"/>
        </w:rPr>
        <w:t xml:space="preserve"> </w:t>
      </w:r>
      <w:r w:rsidR="00DB49DD" w:rsidRPr="00F71D84">
        <w:rPr>
          <w:shd w:val="clear" w:color="auto" w:fill="FFFFFF"/>
          <w:lang w:val="en-GB"/>
        </w:rPr>
        <w:t>of entities within these sections</w:t>
      </w:r>
      <w:r w:rsidR="00240A1D">
        <w:rPr>
          <w:shd w:val="clear" w:color="auto" w:fill="FFFFFF"/>
          <w:lang w:val="en-GB"/>
        </w:rPr>
        <w:t>)</w:t>
      </w:r>
      <w:r w:rsidR="00DB49DD" w:rsidRPr="00F71D84">
        <w:rPr>
          <w:shd w:val="clear" w:color="auto" w:fill="FFFFFF"/>
          <w:lang w:val="en-GB"/>
        </w:rPr>
        <w:t xml:space="preserve">. A high share of enterprises sourcing </w:t>
      </w:r>
      <w:r w:rsidR="00A5681D" w:rsidRPr="00F71D84">
        <w:rPr>
          <w:shd w:val="clear" w:color="auto" w:fill="FFFFFF"/>
          <w:lang w:val="en-GB"/>
        </w:rPr>
        <w:t xml:space="preserve">externally </w:t>
      </w:r>
      <w:r w:rsidR="00DB49DD" w:rsidRPr="00F71D84">
        <w:rPr>
          <w:shd w:val="clear" w:color="auto" w:fill="FFFFFF"/>
          <w:lang w:val="en-GB"/>
        </w:rPr>
        <w:t>business functions (nearly 50%) was also observed in the case of other service activities and construction. Industrial</w:t>
      </w:r>
      <w:r w:rsidR="00786697">
        <w:rPr>
          <w:rStyle w:val="Odwoanieprzypisudolnego"/>
          <w:shd w:val="clear" w:color="auto" w:fill="FFFFFF"/>
          <w:lang w:val="en-GB"/>
        </w:rPr>
        <w:footnoteReference w:id="2"/>
      </w:r>
      <w:r w:rsidR="00DB49DD" w:rsidRPr="00F71D84">
        <w:rPr>
          <w:shd w:val="clear" w:color="auto" w:fill="FFFFFF"/>
          <w:lang w:val="en-GB"/>
        </w:rPr>
        <w:t xml:space="preserve"> enterprises were characterized by a slightly lower share of entities commissioning the implementation of </w:t>
      </w:r>
      <w:r w:rsidR="00A5681D" w:rsidRPr="00F71D84">
        <w:rPr>
          <w:shd w:val="clear" w:color="auto" w:fill="FFFFFF"/>
          <w:lang w:val="en-GB"/>
        </w:rPr>
        <w:t>functions</w:t>
      </w:r>
      <w:r w:rsidR="00DB49DD" w:rsidRPr="00F71D84">
        <w:rPr>
          <w:shd w:val="clear" w:color="auto" w:fill="FFFFFF"/>
          <w:lang w:val="en-GB"/>
        </w:rPr>
        <w:t xml:space="preserve"> to other enterprises than entities conducting other types of activity. The lowest percentage of such entities was observed among enterprises operating in the field of water supply, sew</w:t>
      </w:r>
      <w:r w:rsidR="009E3F5B" w:rsidRPr="00F71D84">
        <w:rPr>
          <w:shd w:val="clear" w:color="auto" w:fill="FFFFFF"/>
          <w:lang w:val="en-GB"/>
        </w:rPr>
        <w:t>erage</w:t>
      </w:r>
      <w:r w:rsidR="00DB49DD" w:rsidRPr="00F71D84">
        <w:rPr>
          <w:shd w:val="clear" w:color="auto" w:fill="FFFFFF"/>
          <w:lang w:val="en-GB"/>
        </w:rPr>
        <w:t xml:space="preserve">, </w:t>
      </w:r>
      <w:r w:rsidR="00A5681D" w:rsidRPr="00F71D84">
        <w:rPr>
          <w:shd w:val="clear" w:color="auto" w:fill="FFFFFF"/>
          <w:lang w:val="en-GB"/>
        </w:rPr>
        <w:t>waste management and remediation activities</w:t>
      </w:r>
      <w:r w:rsidR="00DB49DD" w:rsidRPr="00F71D84">
        <w:rPr>
          <w:shd w:val="clear" w:color="auto" w:fill="FFFFFF"/>
          <w:lang w:val="en-GB"/>
        </w:rPr>
        <w:t>, as well as mining and quarrying (about 30% each).</w:t>
      </w:r>
    </w:p>
    <w:p w:rsidR="00ED4952" w:rsidRPr="00F71D84" w:rsidRDefault="00FB0819" w:rsidP="00990890">
      <w:pPr>
        <w:pStyle w:val="Tytutablicy"/>
        <w:tabs>
          <w:tab w:val="left" w:pos="709"/>
        </w:tabs>
        <w:spacing w:before="240"/>
        <w:ind w:left="709" w:hanging="709"/>
        <w:rPr>
          <w:lang w:val="en-GB"/>
        </w:rPr>
      </w:pPr>
      <w:r w:rsidRPr="00F71D84">
        <w:rPr>
          <w:lang w:val="en-GB"/>
        </w:rPr>
        <w:t>Chart</w:t>
      </w:r>
      <w:r w:rsidR="00ED4952" w:rsidRPr="00F71D84">
        <w:rPr>
          <w:lang w:val="en-GB"/>
        </w:rPr>
        <w:t xml:space="preserve"> 2. </w:t>
      </w:r>
      <w:r w:rsidR="00335265" w:rsidRPr="00F71D84">
        <w:rPr>
          <w:lang w:val="en-GB"/>
        </w:rPr>
        <w:t xml:space="preserve">Percentage </w:t>
      </w:r>
      <w:r w:rsidRPr="00F71D84">
        <w:rPr>
          <w:lang w:val="en-GB"/>
        </w:rPr>
        <w:t xml:space="preserve">of enterprises sourcing business functions </w:t>
      </w:r>
      <w:r w:rsidR="00335265" w:rsidRPr="00F71D84">
        <w:rPr>
          <w:lang w:val="en-GB"/>
        </w:rPr>
        <w:t xml:space="preserve">externally </w:t>
      </w:r>
      <w:r w:rsidRPr="00F71D84">
        <w:rPr>
          <w:lang w:val="en-GB"/>
        </w:rPr>
        <w:t>by NACE sections</w:t>
      </w:r>
      <w:r w:rsidR="00FC22EC" w:rsidRPr="00F71D84">
        <w:rPr>
          <w:lang w:val="en-GB"/>
        </w:rPr>
        <w:t xml:space="preserve"> </w:t>
      </w:r>
      <w:r w:rsidRPr="00F71D84">
        <w:rPr>
          <w:lang w:val="en-GB"/>
        </w:rPr>
        <w:t>in 2021</w:t>
      </w:r>
    </w:p>
    <w:p w:rsidR="00ED4952" w:rsidRPr="00F71D84" w:rsidRDefault="005A1615" w:rsidP="00ED4952">
      <w:pPr>
        <w:spacing w:line="288" w:lineRule="auto"/>
        <w:rPr>
          <w:shd w:val="clear" w:color="auto" w:fill="FFFFFF"/>
          <w:lang w:val="en-GB"/>
        </w:rPr>
      </w:pPr>
      <w:r w:rsidRPr="00F71D84">
        <w:rPr>
          <w:noProof/>
          <w:shd w:val="clear" w:color="auto" w:fill="FFFFFF"/>
          <w:lang w:val="en-GB"/>
        </w:rPr>
        <w:drawing>
          <wp:inline distT="0" distB="0" distL="0" distR="0" wp14:anchorId="3A1E97F2" wp14:editId="5C5C23CC">
            <wp:extent cx="5089657" cy="3063923"/>
            <wp:effectExtent l="0" t="0" r="0" b="3175"/>
            <wp:docPr id="3" name="Obraz 3" descr="Chart 2. Percentage of enterprises sourcing business functions externally by NACE sections in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2" cy="3080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266" w:rsidRPr="00F71D84" w:rsidRDefault="00674E29" w:rsidP="00CB62D2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t>In terms of location</w:t>
      </w:r>
      <w:r w:rsidR="00CB62D2" w:rsidRPr="00F71D84">
        <w:rPr>
          <w:shd w:val="clear" w:color="auto" w:fill="FFFFFF"/>
          <w:lang w:val="en-GB"/>
        </w:rPr>
        <w:t xml:space="preserve"> of the surveyed ent</w:t>
      </w:r>
      <w:r w:rsidR="003F6EBB" w:rsidRPr="00F71D84">
        <w:rPr>
          <w:shd w:val="clear" w:color="auto" w:fill="FFFFFF"/>
          <w:lang w:val="en-GB"/>
        </w:rPr>
        <w:t>erprises</w:t>
      </w:r>
      <w:r w:rsidR="00CB62D2" w:rsidRPr="00F71D84">
        <w:rPr>
          <w:shd w:val="clear" w:color="auto" w:fill="FFFFFF"/>
          <w:lang w:val="en-GB"/>
        </w:rPr>
        <w:t xml:space="preserve">, </w:t>
      </w:r>
      <w:r w:rsidRPr="00F71D84">
        <w:rPr>
          <w:shd w:val="clear" w:color="auto" w:fill="FFFFFF"/>
          <w:lang w:val="en-GB"/>
        </w:rPr>
        <w:t xml:space="preserve">the share of enterprises sourcing functions </w:t>
      </w:r>
      <w:r w:rsidR="00B9494A" w:rsidRPr="00F71D84">
        <w:rPr>
          <w:shd w:val="clear" w:color="auto" w:fill="FFFFFF"/>
          <w:lang w:val="en-GB"/>
        </w:rPr>
        <w:t>externally</w:t>
      </w:r>
      <w:r w:rsidRPr="00F71D84">
        <w:rPr>
          <w:shd w:val="clear" w:color="auto" w:fill="FFFFFF"/>
          <w:lang w:val="en-GB"/>
        </w:rPr>
        <w:t xml:space="preserve"> </w:t>
      </w:r>
      <w:r w:rsidR="00211BC7" w:rsidRPr="00F71D84">
        <w:rPr>
          <w:shd w:val="clear" w:color="auto" w:fill="FFFFFF"/>
          <w:lang w:val="en-GB"/>
        </w:rPr>
        <w:t>differed slightly</w:t>
      </w:r>
      <w:r w:rsidR="003F6EBB" w:rsidRPr="00F71D84">
        <w:rPr>
          <w:shd w:val="clear" w:color="auto" w:fill="FFFFFF"/>
          <w:lang w:val="en-GB"/>
        </w:rPr>
        <w:t xml:space="preserve"> in particular voivodships</w:t>
      </w:r>
      <w:r w:rsidR="00211BC7" w:rsidRPr="00F71D84">
        <w:rPr>
          <w:shd w:val="clear" w:color="auto" w:fill="FFFFFF"/>
          <w:lang w:val="en-GB"/>
        </w:rPr>
        <w:t>. T</w:t>
      </w:r>
      <w:r w:rsidR="00CB62D2" w:rsidRPr="00F71D84">
        <w:rPr>
          <w:shd w:val="clear" w:color="auto" w:fill="FFFFFF"/>
          <w:lang w:val="en-GB"/>
        </w:rPr>
        <w:t xml:space="preserve">he performance of functions was sourced </w:t>
      </w:r>
      <w:r w:rsidR="00211BC7" w:rsidRPr="00F71D84">
        <w:rPr>
          <w:shd w:val="clear" w:color="auto" w:fill="FFFFFF"/>
          <w:lang w:val="en-GB"/>
        </w:rPr>
        <w:t xml:space="preserve">externally </w:t>
      </w:r>
      <w:r w:rsidR="00CB62D2" w:rsidRPr="00F71D84">
        <w:rPr>
          <w:shd w:val="clear" w:color="auto" w:fill="FFFFFF"/>
          <w:lang w:val="en-GB"/>
        </w:rPr>
        <w:t xml:space="preserve">more often by enterprises located in the following voivodships: </w:t>
      </w:r>
      <w:proofErr w:type="spellStart"/>
      <w:r w:rsidR="00CB62D2" w:rsidRPr="00F71D84">
        <w:rPr>
          <w:shd w:val="clear" w:color="auto" w:fill="FFFFFF"/>
          <w:lang w:val="en-GB"/>
        </w:rPr>
        <w:t>Pomorskie</w:t>
      </w:r>
      <w:proofErr w:type="spellEnd"/>
      <w:r w:rsidR="00CB62D2" w:rsidRPr="00F71D84">
        <w:rPr>
          <w:shd w:val="clear" w:color="auto" w:fill="FFFFFF"/>
          <w:lang w:val="en-GB"/>
        </w:rPr>
        <w:t xml:space="preserve"> (44.5%), </w:t>
      </w:r>
      <w:proofErr w:type="spellStart"/>
      <w:r w:rsidR="00CB62D2" w:rsidRPr="00F71D84">
        <w:rPr>
          <w:shd w:val="clear" w:color="auto" w:fill="FFFFFF"/>
          <w:lang w:val="en-GB"/>
        </w:rPr>
        <w:t>Podlaskie</w:t>
      </w:r>
      <w:proofErr w:type="spellEnd"/>
      <w:r w:rsidR="00CB62D2" w:rsidRPr="00F71D84">
        <w:rPr>
          <w:shd w:val="clear" w:color="auto" w:fill="FFFFFF"/>
          <w:lang w:val="en-GB"/>
        </w:rPr>
        <w:t xml:space="preserve"> (44.0%)</w:t>
      </w:r>
      <w:r w:rsidR="00CE1CD7" w:rsidRPr="00F71D84">
        <w:rPr>
          <w:shd w:val="clear" w:color="auto" w:fill="FFFFFF"/>
          <w:lang w:val="en-GB"/>
        </w:rPr>
        <w:t>,</w:t>
      </w:r>
      <w:r w:rsidR="00F71D84" w:rsidRPr="00F71D84">
        <w:rPr>
          <w:shd w:val="clear" w:color="auto" w:fill="FFFFFF"/>
          <w:lang w:val="en-GB"/>
        </w:rPr>
        <w:t xml:space="preserve"> </w:t>
      </w:r>
      <w:proofErr w:type="spellStart"/>
      <w:r w:rsidR="00CB62D2" w:rsidRPr="00F71D84">
        <w:rPr>
          <w:shd w:val="clear" w:color="auto" w:fill="FFFFFF"/>
          <w:lang w:val="en-GB"/>
        </w:rPr>
        <w:t>Wielkopolskie</w:t>
      </w:r>
      <w:proofErr w:type="spellEnd"/>
      <w:r w:rsidR="00CB62D2" w:rsidRPr="00F71D84">
        <w:rPr>
          <w:shd w:val="clear" w:color="auto" w:fill="FFFFFF"/>
          <w:lang w:val="en-GB"/>
        </w:rPr>
        <w:t xml:space="preserve"> (42.1%). Enterprises from the </w:t>
      </w:r>
      <w:proofErr w:type="spellStart"/>
      <w:r w:rsidR="00CB62D2" w:rsidRPr="00F71D84">
        <w:rPr>
          <w:shd w:val="clear" w:color="auto" w:fill="FFFFFF"/>
          <w:lang w:val="en-GB"/>
        </w:rPr>
        <w:t>Opolskie</w:t>
      </w:r>
      <w:proofErr w:type="spellEnd"/>
      <w:r w:rsidR="00CB62D2" w:rsidRPr="00F71D84">
        <w:rPr>
          <w:shd w:val="clear" w:color="auto" w:fill="FFFFFF"/>
          <w:lang w:val="en-GB"/>
        </w:rPr>
        <w:t xml:space="preserve"> Voivodeship performed all functions entirely on their own more often than entities from other voivodships (63.6%).</w:t>
      </w:r>
    </w:p>
    <w:bookmarkEnd w:id="1"/>
    <w:p w:rsidR="00E95B8E" w:rsidRPr="00F71D84" w:rsidRDefault="00CE1CD7" w:rsidP="00FB7150">
      <w:pPr>
        <w:pStyle w:val="Nagwek1"/>
        <w:rPr>
          <w:rFonts w:ascii="Fira Sans" w:hAnsi="Fira Sans"/>
          <w:b/>
          <w:szCs w:val="19"/>
          <w:lang w:val="en-GB"/>
        </w:rPr>
      </w:pPr>
      <w:r w:rsidRPr="00F71D8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48352" behindDoc="1" locked="1" layoutInCell="1" allowOverlap="1" wp14:anchorId="25B24297" wp14:editId="7899853E">
                <wp:simplePos x="0" y="0"/>
                <wp:positionH relativeFrom="page">
                  <wp:posOffset>5761355</wp:posOffset>
                </wp:positionH>
                <wp:positionV relativeFrom="paragraph">
                  <wp:posOffset>326390</wp:posOffset>
                </wp:positionV>
                <wp:extent cx="1724400" cy="1342800"/>
                <wp:effectExtent l="0" t="0" r="0" b="0"/>
                <wp:wrapTight wrapText="bothSides">
                  <wp:wrapPolygon edited="0">
                    <wp:start x="716" y="0"/>
                    <wp:lineTo x="716" y="21150"/>
                    <wp:lineTo x="20765" y="21150"/>
                    <wp:lineTo x="20765" y="0"/>
                    <wp:lineTo x="716" y="0"/>
                  </wp:wrapPolygon>
                </wp:wrapTight>
                <wp:docPr id="4" name="Pole tekstowe 4" descr="At the end of 2021, the most frequently performed function within enterprises was marketing, sales and after-sales services ‒ it was performed by 60.8% of the surveyed ent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34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F6" w:rsidRPr="00572BD4" w:rsidRDefault="00572BD4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  <w:r w:rsidRPr="00572BD4">
                              <w:rPr>
                                <w:lang w:val="en-US"/>
                              </w:rPr>
                              <w:t xml:space="preserve">At the end of 2021, the most frequently performed function within enterprises was marketing, sales and after-sales services </w:t>
                            </w:r>
                            <w:r w:rsidR="008D36A7">
                              <w:rPr>
                                <w:lang w:val="en-US"/>
                              </w:rPr>
                              <w:t>‒</w:t>
                            </w:r>
                            <w:r w:rsidRPr="00572BD4">
                              <w:rPr>
                                <w:lang w:val="en-US"/>
                              </w:rPr>
                              <w:t xml:space="preserve"> it was performed by 60.8% of the surveyed entities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24297" id="Pole tekstowe 4" o:spid="_x0000_s1029" type="#_x0000_t202" alt="At the end of 2021, the most frequently performed function within enterprises was marketing, sales and after-sales services ‒ it was performed by 60.8% of the surveyed entities" style="position:absolute;margin-left:453.65pt;margin-top:25.7pt;width:135.8pt;height:105.7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" filled="f" stroked="f">
                <v:textbox>
                  <w:txbxContent>
                    <w:p w:rsidR="00D972F6" w:rsidRPr="00572BD4" w:rsidRDefault="00572BD4" w:rsidP="003937A5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  <w:r w:rsidRPr="00572BD4">
                        <w:rPr>
                          <w:lang w:val="en-US"/>
                        </w:rPr>
                        <w:t xml:space="preserve">At the end of 2021, the most frequently performed function within enterprises was marketing, sales and after-sales services </w:t>
                      </w:r>
                      <w:r w:rsidR="008D36A7">
                        <w:rPr>
                          <w:lang w:val="en-US"/>
                        </w:rPr>
                        <w:t>‒</w:t>
                      </w:r>
                      <w:r w:rsidRPr="00572BD4">
                        <w:rPr>
                          <w:lang w:val="en-US"/>
                        </w:rPr>
                        <w:t xml:space="preserve"> it was performed by 60.8% of the surveyed entities</w:t>
                      </w:r>
                    </w:p>
                  </w:txbxContent>
                </v:textbox>
                <w10:wrap type="tight" anchorx="page"/>
                <w10:anchorlock/>
              </v:shape>
            </w:pict>
          </mc:Fallback>
        </mc:AlternateContent>
      </w:r>
      <w:r w:rsidR="00572BD4" w:rsidRPr="00F71D84">
        <w:rPr>
          <w:rFonts w:ascii="Fira Sans" w:hAnsi="Fira Sans"/>
          <w:b/>
          <w:szCs w:val="19"/>
          <w:lang w:val="en-GB"/>
        </w:rPr>
        <w:t>Activities performed independently by enterprises</w:t>
      </w:r>
    </w:p>
    <w:p w:rsidR="00FC22EC" w:rsidRPr="00F71D84" w:rsidRDefault="00CB62D2" w:rsidP="000374B6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F71D84">
        <w:rPr>
          <w:rFonts w:eastAsia="Times New Roman" w:cs="Times New Roman"/>
          <w:szCs w:val="19"/>
          <w:lang w:val="en-GB" w:eastAsia="pl-PL"/>
        </w:rPr>
        <w:t xml:space="preserve">At the end of 2021, </w:t>
      </w:r>
      <w:r w:rsidR="00CE1CD7" w:rsidRPr="00F71D84">
        <w:rPr>
          <w:rFonts w:eastAsia="Times New Roman" w:cs="Times New Roman"/>
          <w:szCs w:val="19"/>
          <w:lang w:val="en-GB" w:eastAsia="pl-PL"/>
        </w:rPr>
        <w:t xml:space="preserve">similarly like in the previous year, </w:t>
      </w:r>
      <w:r w:rsidRPr="00F71D84">
        <w:rPr>
          <w:rFonts w:eastAsia="Times New Roman" w:cs="Times New Roman"/>
          <w:szCs w:val="19"/>
          <w:lang w:val="en-GB" w:eastAsia="pl-PL"/>
        </w:rPr>
        <w:t xml:space="preserve">the surveyed enterprises </w:t>
      </w:r>
      <w:r w:rsidR="00CE1CD7" w:rsidRPr="00F71D84">
        <w:rPr>
          <w:rFonts w:eastAsia="Times New Roman" w:cs="Times New Roman"/>
          <w:szCs w:val="19"/>
          <w:lang w:val="en-GB" w:eastAsia="pl-PL"/>
        </w:rPr>
        <w:t xml:space="preserve">with </w:t>
      </w:r>
      <w:r w:rsidRPr="00F71D84">
        <w:rPr>
          <w:rFonts w:eastAsia="Times New Roman" w:cs="Times New Roman"/>
          <w:szCs w:val="19"/>
          <w:lang w:val="en-GB" w:eastAsia="pl-PL"/>
        </w:rPr>
        <w:t>10 or more pe</w:t>
      </w:r>
      <w:r w:rsidR="003F6EBB" w:rsidRPr="00F71D84">
        <w:rPr>
          <w:rFonts w:eastAsia="Times New Roman" w:cs="Times New Roman"/>
          <w:szCs w:val="19"/>
          <w:lang w:val="en-GB" w:eastAsia="pl-PL"/>
        </w:rPr>
        <w:t>rsons employed</w:t>
      </w:r>
      <w:r w:rsidRPr="00F71D84">
        <w:rPr>
          <w:rFonts w:eastAsia="Times New Roman" w:cs="Times New Roman"/>
          <w:szCs w:val="19"/>
          <w:lang w:val="en-GB" w:eastAsia="pl-PL"/>
        </w:rPr>
        <w:t xml:space="preserve"> most often performed </w:t>
      </w:r>
      <w:r w:rsidR="003F6EBB" w:rsidRPr="00F71D84">
        <w:rPr>
          <w:rFonts w:eastAsia="Times New Roman" w:cs="Times New Roman"/>
          <w:szCs w:val="19"/>
          <w:lang w:val="en-GB" w:eastAsia="pl-PL"/>
        </w:rPr>
        <w:t xml:space="preserve">on their own </w:t>
      </w:r>
      <w:r w:rsidRPr="00F71D84">
        <w:rPr>
          <w:rFonts w:eastAsia="Times New Roman" w:cs="Times New Roman"/>
          <w:szCs w:val="19"/>
          <w:lang w:val="en-GB" w:eastAsia="pl-PL"/>
        </w:rPr>
        <w:t>functions related to marketing, sales and after-sales services (in 60.8% of the surveyed enterprises), management and administration (57.7%)</w:t>
      </w:r>
      <w:r w:rsidR="00F71D84" w:rsidRPr="00F71D84">
        <w:rPr>
          <w:rFonts w:eastAsia="Times New Roman" w:cs="Times New Roman"/>
          <w:szCs w:val="19"/>
          <w:lang w:val="en-GB" w:eastAsia="pl-PL"/>
        </w:rPr>
        <w:t>,</w:t>
      </w:r>
      <w:r w:rsidRPr="00F71D84">
        <w:rPr>
          <w:rFonts w:eastAsia="Times New Roman" w:cs="Times New Roman"/>
          <w:szCs w:val="19"/>
          <w:lang w:val="en-GB" w:eastAsia="pl-PL"/>
        </w:rPr>
        <w:t xml:space="preserve"> other business functions (46.7%) and production (45.8%). In total, four</w:t>
      </w:r>
      <w:r w:rsidR="00F71D84" w:rsidRPr="00F71D84">
        <w:rPr>
          <w:rFonts w:eastAsia="Times New Roman" w:cs="Times New Roman"/>
          <w:szCs w:val="19"/>
          <w:lang w:val="en-GB" w:eastAsia="pl-PL"/>
        </w:rPr>
        <w:t>-</w:t>
      </w:r>
      <w:r w:rsidRPr="00F71D84">
        <w:rPr>
          <w:rFonts w:eastAsia="Times New Roman" w:cs="Times New Roman"/>
          <w:szCs w:val="19"/>
          <w:lang w:val="en-GB" w:eastAsia="pl-PL"/>
        </w:rPr>
        <w:t xml:space="preserve">fifths (4,089.4 thousand </w:t>
      </w:r>
      <w:r w:rsidR="00CE1CD7" w:rsidRPr="00F71D84">
        <w:rPr>
          <w:rFonts w:eastAsia="Times New Roman" w:cs="Times New Roman"/>
          <w:szCs w:val="19"/>
          <w:lang w:val="en-GB" w:eastAsia="pl-PL"/>
        </w:rPr>
        <w:t>persons</w:t>
      </w:r>
      <w:r w:rsidRPr="00F71D84">
        <w:rPr>
          <w:rFonts w:eastAsia="Times New Roman" w:cs="Times New Roman"/>
          <w:szCs w:val="19"/>
          <w:lang w:val="en-GB" w:eastAsia="pl-PL"/>
        </w:rPr>
        <w:t xml:space="preserve">) of </w:t>
      </w:r>
      <w:r w:rsidR="003F6EBB" w:rsidRPr="00F71D84">
        <w:rPr>
          <w:rFonts w:eastAsia="Times New Roman" w:cs="Times New Roman"/>
          <w:szCs w:val="19"/>
          <w:lang w:val="en-GB" w:eastAsia="pl-PL"/>
        </w:rPr>
        <w:t>the total number of persons employed</w:t>
      </w:r>
      <w:r w:rsidRPr="00F71D84">
        <w:rPr>
          <w:rFonts w:eastAsia="Times New Roman" w:cs="Times New Roman"/>
          <w:szCs w:val="19"/>
          <w:lang w:val="en-GB" w:eastAsia="pl-PL"/>
        </w:rPr>
        <w:t xml:space="preserve"> in the surveyed enterprises were involved in the implementation of these functions. The least frequently performed functions by the surveyed units were engineering and related technical services (in 13.5% of the surveyed enterprises) and research and development (6.1%). These functions also involved the smallest number of </w:t>
      </w:r>
      <w:r w:rsidR="003F6EBB" w:rsidRPr="00F71D84">
        <w:rPr>
          <w:rFonts w:eastAsia="Times New Roman" w:cs="Times New Roman"/>
          <w:szCs w:val="19"/>
          <w:lang w:val="en-GB" w:eastAsia="pl-PL"/>
        </w:rPr>
        <w:t xml:space="preserve">persons </w:t>
      </w:r>
      <w:r w:rsidRPr="00F71D84">
        <w:rPr>
          <w:rFonts w:eastAsia="Times New Roman" w:cs="Times New Roman"/>
          <w:szCs w:val="19"/>
          <w:lang w:val="en-GB" w:eastAsia="pl-PL"/>
        </w:rPr>
        <w:t>employe</w:t>
      </w:r>
      <w:r w:rsidR="003F6EBB" w:rsidRPr="00F71D84">
        <w:rPr>
          <w:rFonts w:eastAsia="Times New Roman" w:cs="Times New Roman"/>
          <w:szCs w:val="19"/>
          <w:lang w:val="en-GB" w:eastAsia="pl-PL"/>
        </w:rPr>
        <w:t>d</w:t>
      </w:r>
      <w:r w:rsidRPr="00F71D84">
        <w:rPr>
          <w:rFonts w:eastAsia="Times New Roman" w:cs="Times New Roman"/>
          <w:szCs w:val="19"/>
          <w:lang w:val="en-GB" w:eastAsia="pl-PL"/>
        </w:rPr>
        <w:t>.</w:t>
      </w:r>
    </w:p>
    <w:p w:rsidR="00E95B8E" w:rsidRPr="00F71D84" w:rsidRDefault="00A400B8" w:rsidP="00FC22EC">
      <w:pPr>
        <w:pStyle w:val="Tytutablicy"/>
        <w:tabs>
          <w:tab w:val="left" w:pos="709"/>
        </w:tabs>
        <w:ind w:left="709" w:hanging="709"/>
        <w:rPr>
          <w:lang w:val="en-GB"/>
        </w:rPr>
      </w:pPr>
      <w:bookmarkStart w:id="3" w:name="_Hlk106905962"/>
      <w:bookmarkStart w:id="4" w:name="_Hlk106915130"/>
      <w:bookmarkEnd w:id="2"/>
      <w:r w:rsidRPr="00F71D84">
        <w:rPr>
          <w:lang w:val="en-GB"/>
        </w:rPr>
        <w:lastRenderedPageBreak/>
        <w:t xml:space="preserve">Table 1. Enterprises and </w:t>
      </w:r>
      <w:r w:rsidR="00501217" w:rsidRPr="00F71D84">
        <w:rPr>
          <w:lang w:val="en-GB"/>
        </w:rPr>
        <w:t xml:space="preserve">persons </w:t>
      </w:r>
      <w:r w:rsidRPr="00F71D84">
        <w:rPr>
          <w:lang w:val="en-GB"/>
        </w:rPr>
        <w:t>employ</w:t>
      </w:r>
      <w:r w:rsidR="00501217" w:rsidRPr="00F71D84">
        <w:rPr>
          <w:lang w:val="en-GB"/>
        </w:rPr>
        <w:t>ed</w:t>
      </w:r>
      <w:r w:rsidRPr="00F71D84">
        <w:rPr>
          <w:lang w:val="en-GB"/>
        </w:rPr>
        <w:t xml:space="preserve"> by business function (as of </w:t>
      </w:r>
      <w:r w:rsidR="00501217" w:rsidRPr="00F71D84">
        <w:rPr>
          <w:lang w:val="en-GB"/>
        </w:rPr>
        <w:t xml:space="preserve">31 </w:t>
      </w:r>
      <w:r w:rsidRPr="00F71D84">
        <w:rPr>
          <w:lang w:val="en-GB"/>
        </w:rPr>
        <w:t>December 2021)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rzedsiębiorstwa i pracujący według funkcji biznesowych (stan na 31 grudnia 2020 r.)"/>
      </w:tblPr>
      <w:tblGrid>
        <w:gridCol w:w="3969"/>
        <w:gridCol w:w="1297"/>
        <w:gridCol w:w="1254"/>
        <w:gridCol w:w="1418"/>
      </w:tblGrid>
      <w:tr w:rsidR="00252F6D" w:rsidRPr="00F71D84" w:rsidTr="00FC22EC">
        <w:trPr>
          <w:trHeight w:val="456"/>
        </w:trPr>
        <w:tc>
          <w:tcPr>
            <w:tcW w:w="3969" w:type="dxa"/>
            <w:vMerge w:val="restart"/>
            <w:noWrap/>
            <w:vAlign w:val="center"/>
            <w:hideMark/>
          </w:tcPr>
          <w:p w:rsidR="00252F6D" w:rsidRPr="00F71D84" w:rsidRDefault="00A400B8" w:rsidP="009D0892">
            <w:pPr>
              <w:pStyle w:val="Tablicagwka"/>
              <w:ind w:left="0"/>
              <w:jc w:val="center"/>
              <w:rPr>
                <w:lang w:val="en-GB"/>
              </w:rPr>
            </w:pPr>
            <w:bookmarkStart w:id="5" w:name="_Hlk135405209"/>
            <w:bookmarkEnd w:id="3"/>
            <w:r w:rsidRPr="00F71D84">
              <w:rPr>
                <w:lang w:val="en-GB"/>
              </w:rPr>
              <w:t>Business function</w:t>
            </w:r>
            <w:r w:rsidR="00170202" w:rsidRPr="00F71D84">
              <w:rPr>
                <w:lang w:val="en-GB"/>
              </w:rPr>
              <w:t>s</w:t>
            </w:r>
          </w:p>
        </w:tc>
        <w:tc>
          <w:tcPr>
            <w:tcW w:w="1297" w:type="dxa"/>
            <w:vMerge w:val="restart"/>
            <w:vAlign w:val="center"/>
            <w:hideMark/>
          </w:tcPr>
          <w:p w:rsidR="00252F6D" w:rsidRPr="00F71D84" w:rsidRDefault="00C93CA9" w:rsidP="002F7CBF">
            <w:pPr>
              <w:pStyle w:val="Tablicagwkarodek"/>
              <w:rPr>
                <w:lang w:val="en-GB"/>
              </w:rPr>
            </w:pPr>
            <w:r w:rsidRPr="00F71D84">
              <w:rPr>
                <w:lang w:val="en-GB"/>
              </w:rPr>
              <w:t xml:space="preserve">Number of </w:t>
            </w:r>
            <w:proofErr w:type="spellStart"/>
            <w:r w:rsidRPr="00F71D84">
              <w:rPr>
                <w:lang w:val="en-GB"/>
              </w:rPr>
              <w:t>enterprises</w:t>
            </w:r>
            <w:r w:rsidR="00F320B0" w:rsidRPr="00F71D84">
              <w:rPr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2672" w:type="dxa"/>
            <w:gridSpan w:val="2"/>
            <w:vAlign w:val="center"/>
            <w:hideMark/>
          </w:tcPr>
          <w:p w:rsidR="00252F6D" w:rsidRPr="00F71D84" w:rsidRDefault="00C93CA9" w:rsidP="002F7CBF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F71D84">
              <w:rPr>
                <w:rFonts w:eastAsia="Fira Sans Light" w:cs="Times New Roman"/>
                <w:lang w:val="en-GB"/>
              </w:rPr>
              <w:t>Number of persons employed</w:t>
            </w:r>
          </w:p>
        </w:tc>
      </w:tr>
      <w:tr w:rsidR="00252F6D" w:rsidRPr="00F71D84" w:rsidTr="00FC22EC">
        <w:trPr>
          <w:trHeight w:val="456"/>
        </w:trPr>
        <w:tc>
          <w:tcPr>
            <w:tcW w:w="3969" w:type="dxa"/>
            <w:vMerge/>
            <w:vAlign w:val="center"/>
            <w:hideMark/>
          </w:tcPr>
          <w:p w:rsidR="00252F6D" w:rsidRPr="00F71D84" w:rsidRDefault="00252F6D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:rsidR="00252F6D" w:rsidRPr="00F71D84" w:rsidRDefault="00252F6D" w:rsidP="002F7CBF">
            <w:pPr>
              <w:pStyle w:val="Tablicagwkarodek"/>
              <w:rPr>
                <w:rFonts w:eastAsia="Fira Sans Light" w:cs="Times New Roman"/>
                <w:lang w:val="en-GB"/>
              </w:rPr>
            </w:pPr>
          </w:p>
        </w:tc>
        <w:tc>
          <w:tcPr>
            <w:tcW w:w="1254" w:type="dxa"/>
            <w:vAlign w:val="center"/>
          </w:tcPr>
          <w:p w:rsidR="00252F6D" w:rsidRPr="00F71D84" w:rsidRDefault="00C93CA9" w:rsidP="002F7CBF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F71D84">
              <w:rPr>
                <w:rFonts w:eastAsia="Fira Sans Light" w:cs="Times New Roman"/>
                <w:lang w:val="en-GB"/>
              </w:rPr>
              <w:t xml:space="preserve">In </w:t>
            </w:r>
            <w:r w:rsidR="00501217" w:rsidRPr="00F71D84">
              <w:rPr>
                <w:rFonts w:eastAsia="Fira Sans Light" w:cs="Times New Roman"/>
                <w:lang w:val="en-GB"/>
              </w:rPr>
              <w:t>absolute number</w:t>
            </w:r>
          </w:p>
        </w:tc>
        <w:tc>
          <w:tcPr>
            <w:tcW w:w="1418" w:type="dxa"/>
            <w:vAlign w:val="center"/>
            <w:hideMark/>
          </w:tcPr>
          <w:p w:rsidR="00252F6D" w:rsidRPr="00F71D84" w:rsidRDefault="00C93CA9" w:rsidP="002F7CBF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F71D84">
              <w:rPr>
                <w:rFonts w:eastAsia="Fira Sans Light" w:cs="Times New Roman"/>
                <w:lang w:val="en-GB"/>
              </w:rPr>
              <w:t>in</w:t>
            </w:r>
            <w:r w:rsidR="009857AE" w:rsidRPr="00F71D84">
              <w:rPr>
                <w:rFonts w:eastAsia="Fira Sans Light" w:cs="Times New Roman"/>
                <w:lang w:val="en-GB"/>
              </w:rPr>
              <w:t xml:space="preserve"> </w:t>
            </w:r>
            <w:r w:rsidR="00252F6D" w:rsidRPr="00F71D84">
              <w:rPr>
                <w:rFonts w:eastAsia="Fira Sans Light" w:cs="Times New Roman"/>
                <w:lang w:val="en-GB"/>
              </w:rPr>
              <w:t>%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  <w:vAlign w:val="bottom"/>
          </w:tcPr>
          <w:p w:rsidR="00D22A74" w:rsidRPr="00F71D84" w:rsidRDefault="00A400B8" w:rsidP="00D22A74">
            <w:pPr>
              <w:pStyle w:val="Tablicaboczek"/>
              <w:rPr>
                <w:lang w:val="en-GB"/>
              </w:rPr>
            </w:pPr>
            <w:r w:rsidRPr="00F71D84">
              <w:rPr>
                <w:lang w:val="en-GB"/>
              </w:rPr>
              <w:t>Total</w:t>
            </w:r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43 331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5 010 822</w:t>
            </w:r>
          </w:p>
        </w:tc>
        <w:tc>
          <w:tcPr>
            <w:tcW w:w="1418" w:type="dxa"/>
            <w:noWrap/>
            <w:vAlign w:val="center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100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0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  <w:hideMark/>
          </w:tcPr>
          <w:p w:rsidR="00D22A74" w:rsidRPr="00F71D84" w:rsidRDefault="00D22A74" w:rsidP="00D22A74">
            <w:pPr>
              <w:pStyle w:val="Tablicaboczek"/>
              <w:rPr>
                <w:lang w:val="en-GB"/>
              </w:rPr>
            </w:pPr>
            <w:r w:rsidRPr="00F71D84">
              <w:rPr>
                <w:lang w:val="en-GB"/>
              </w:rPr>
              <w:t>Produ</w:t>
            </w:r>
            <w:r w:rsidR="00A400B8" w:rsidRPr="00F71D84">
              <w:rPr>
                <w:lang w:val="en-GB"/>
              </w:rPr>
              <w:t>ction</w:t>
            </w:r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19 863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highlight w:val="yellow"/>
                <w:lang w:val="en-GB"/>
              </w:rPr>
            </w:pPr>
            <w:r w:rsidRPr="00F71D84">
              <w:rPr>
                <w:lang w:val="en-GB"/>
              </w:rPr>
              <w:t>1 656 649</w:t>
            </w:r>
          </w:p>
        </w:tc>
        <w:tc>
          <w:tcPr>
            <w:tcW w:w="1418" w:type="dxa"/>
            <w:noWrap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33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1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  <w:hideMark/>
          </w:tcPr>
          <w:p w:rsidR="00D22A74" w:rsidRPr="00F71D84" w:rsidRDefault="00A400B8" w:rsidP="00D22A74">
            <w:pPr>
              <w:pStyle w:val="Tablicaboczek"/>
              <w:rPr>
                <w:lang w:val="en-GB"/>
              </w:rPr>
            </w:pPr>
            <w:r w:rsidRPr="00F71D84">
              <w:rPr>
                <w:lang w:val="en-GB"/>
              </w:rPr>
              <w:t>Management and administration</w:t>
            </w:r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24 999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highlight w:val="yellow"/>
                <w:lang w:val="en-GB"/>
              </w:rPr>
            </w:pPr>
            <w:r w:rsidRPr="00F71D84">
              <w:rPr>
                <w:lang w:val="en-GB"/>
              </w:rPr>
              <w:t>542 818</w:t>
            </w:r>
          </w:p>
        </w:tc>
        <w:tc>
          <w:tcPr>
            <w:tcW w:w="1418" w:type="dxa"/>
            <w:noWrap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10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8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</w:tcPr>
          <w:p w:rsidR="00D22A74" w:rsidRPr="00F71D84" w:rsidRDefault="00A400B8" w:rsidP="00D22A74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F71D84">
              <w:rPr>
                <w:lang w:val="en-GB"/>
              </w:rPr>
              <w:t>Engineering and related technical services</w:t>
            </w:r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5 861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130 135</w:t>
            </w:r>
          </w:p>
        </w:tc>
        <w:tc>
          <w:tcPr>
            <w:tcW w:w="1418" w:type="dxa"/>
            <w:noWrap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2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6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</w:tcPr>
          <w:p w:rsidR="00D22A74" w:rsidRPr="00F71D84" w:rsidRDefault="00A400B8" w:rsidP="00D22A74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F71D84">
              <w:rPr>
                <w:rFonts w:eastAsia="Times New Roman" w:cs="Calibri"/>
                <w:lang w:val="en-GB" w:eastAsia="pl-PL"/>
              </w:rPr>
              <w:t>Research and development</w:t>
            </w:r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2 649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59 711</w:t>
            </w:r>
          </w:p>
        </w:tc>
        <w:tc>
          <w:tcPr>
            <w:tcW w:w="1418" w:type="dxa"/>
            <w:noWrap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2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</w:tcPr>
          <w:p w:rsidR="00D22A74" w:rsidRPr="00F71D84" w:rsidRDefault="00A400B8" w:rsidP="00D22A74">
            <w:pPr>
              <w:pStyle w:val="Tablicaboczekwcicie2"/>
              <w:ind w:left="0"/>
              <w:rPr>
                <w:lang w:val="en-GB"/>
              </w:rPr>
            </w:pPr>
            <w:r w:rsidRPr="00F71D84">
              <w:rPr>
                <w:lang w:val="en-GB"/>
              </w:rPr>
              <w:t>Information technologies</w:t>
            </w:r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7 833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202 896</w:t>
            </w:r>
          </w:p>
        </w:tc>
        <w:tc>
          <w:tcPr>
            <w:tcW w:w="1418" w:type="dxa"/>
            <w:noWrap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4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0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</w:tcPr>
          <w:p w:rsidR="00D22A74" w:rsidRPr="00F71D84" w:rsidRDefault="00A400B8" w:rsidP="00D22A74">
            <w:pPr>
              <w:pStyle w:val="Tablicaboczekwcicie2"/>
              <w:ind w:left="0"/>
              <w:rPr>
                <w:lang w:val="en-GB"/>
              </w:rPr>
            </w:pPr>
            <w:r w:rsidRPr="00F71D84">
              <w:rPr>
                <w:lang w:val="en-GB"/>
              </w:rPr>
              <w:t>Marketing, sales, and after-sales service</w:t>
            </w:r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26 354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945 097</w:t>
            </w:r>
          </w:p>
        </w:tc>
        <w:tc>
          <w:tcPr>
            <w:tcW w:w="1418" w:type="dxa"/>
            <w:noWrap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18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9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</w:tcPr>
          <w:p w:rsidR="00D22A74" w:rsidRPr="00F71D84" w:rsidRDefault="00A400B8" w:rsidP="00D22A74">
            <w:pPr>
              <w:pStyle w:val="Tablicaboczekwcicie2"/>
              <w:ind w:left="0"/>
              <w:rPr>
                <w:lang w:val="en-GB"/>
              </w:rPr>
            </w:pPr>
            <w:r w:rsidRPr="00F71D84">
              <w:rPr>
                <w:lang w:val="en-GB"/>
              </w:rPr>
              <w:t>Transport, logistics and storage</w:t>
            </w:r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14 083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528 709</w:t>
            </w:r>
          </w:p>
        </w:tc>
        <w:tc>
          <w:tcPr>
            <w:tcW w:w="1418" w:type="dxa"/>
            <w:noWrap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10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6</w:t>
            </w:r>
          </w:p>
        </w:tc>
      </w:tr>
      <w:tr w:rsidR="00D22A74" w:rsidRPr="00F71D84" w:rsidTr="00FC22EC">
        <w:trPr>
          <w:trHeight w:val="300"/>
        </w:trPr>
        <w:tc>
          <w:tcPr>
            <w:tcW w:w="3969" w:type="dxa"/>
            <w:noWrap/>
            <w:hideMark/>
          </w:tcPr>
          <w:p w:rsidR="00D22A74" w:rsidRPr="00F71D84" w:rsidRDefault="00C93CA9" w:rsidP="00D22A74">
            <w:pPr>
              <w:pStyle w:val="Tablicaboczek"/>
              <w:rPr>
                <w:lang w:val="en-GB"/>
              </w:rPr>
            </w:pPr>
            <w:r w:rsidRPr="00F71D84">
              <w:rPr>
                <w:lang w:val="en-GB"/>
              </w:rPr>
              <w:t xml:space="preserve">Other business </w:t>
            </w:r>
            <w:proofErr w:type="spellStart"/>
            <w:r w:rsidRPr="00F71D84">
              <w:rPr>
                <w:lang w:val="en-GB"/>
              </w:rPr>
              <w:t>functions</w:t>
            </w:r>
            <w:r w:rsidR="00604F91" w:rsidRPr="00F71D84"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297" w:type="dxa"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20 245</w:t>
            </w:r>
          </w:p>
        </w:tc>
        <w:tc>
          <w:tcPr>
            <w:tcW w:w="1254" w:type="dxa"/>
          </w:tcPr>
          <w:p w:rsidR="00D22A74" w:rsidRPr="00F71D84" w:rsidRDefault="00D22A74" w:rsidP="00D22A74">
            <w:pPr>
              <w:pStyle w:val="Tablicadanerodek"/>
              <w:rPr>
                <w:highlight w:val="yellow"/>
                <w:lang w:val="en-GB"/>
              </w:rPr>
            </w:pPr>
            <w:r w:rsidRPr="00F71D84">
              <w:rPr>
                <w:lang w:val="en-GB"/>
              </w:rPr>
              <w:t>944 807</w:t>
            </w:r>
          </w:p>
        </w:tc>
        <w:tc>
          <w:tcPr>
            <w:tcW w:w="1418" w:type="dxa"/>
            <w:noWrap/>
          </w:tcPr>
          <w:p w:rsidR="00D22A74" w:rsidRPr="00F71D84" w:rsidRDefault="00D22A74" w:rsidP="00D22A74">
            <w:pPr>
              <w:pStyle w:val="Tablicadanerodek"/>
              <w:rPr>
                <w:lang w:val="en-GB"/>
              </w:rPr>
            </w:pPr>
            <w:r w:rsidRPr="00F71D84">
              <w:rPr>
                <w:lang w:val="en-GB"/>
              </w:rPr>
              <w:t>18</w:t>
            </w:r>
            <w:r w:rsidR="00604F91" w:rsidRPr="00F71D84">
              <w:rPr>
                <w:lang w:val="en-GB"/>
              </w:rPr>
              <w:t>.</w:t>
            </w:r>
            <w:r w:rsidRPr="00F71D84">
              <w:rPr>
                <w:lang w:val="en-GB"/>
              </w:rPr>
              <w:t>9</w:t>
            </w:r>
          </w:p>
        </w:tc>
      </w:tr>
    </w:tbl>
    <w:bookmarkEnd w:id="5"/>
    <w:p w:rsidR="00E878A4" w:rsidRPr="00F71D84" w:rsidRDefault="00E95B8E" w:rsidP="00085E08">
      <w:pPr>
        <w:pStyle w:val="Tablicanotka"/>
        <w:rPr>
          <w:lang w:val="en-GB"/>
        </w:rPr>
      </w:pPr>
      <w:r w:rsidRPr="00F71D84">
        <w:rPr>
          <w:lang w:val="en-GB"/>
        </w:rPr>
        <w:t xml:space="preserve">a </w:t>
      </w:r>
      <w:r w:rsidR="00C93CA9" w:rsidRPr="00F71D84">
        <w:rPr>
          <w:lang w:val="en-GB"/>
        </w:rPr>
        <w:t>Due to the possibility of performing many functions within the enterprise, th</w:t>
      </w:r>
      <w:bookmarkStart w:id="6" w:name="_GoBack"/>
      <w:bookmarkEnd w:id="6"/>
      <w:r w:rsidR="00C93CA9" w:rsidRPr="00F71D84">
        <w:rPr>
          <w:lang w:val="en-GB"/>
        </w:rPr>
        <w:t xml:space="preserve">e functions do not add up to the "total" value. b Includes </w:t>
      </w:r>
      <w:r w:rsidR="00604F91" w:rsidRPr="00F71D84">
        <w:rPr>
          <w:lang w:val="en-GB"/>
        </w:rPr>
        <w:t>inter alia</w:t>
      </w:r>
      <w:r w:rsidR="00C93CA9" w:rsidRPr="00F71D84">
        <w:rPr>
          <w:lang w:val="en-GB"/>
        </w:rPr>
        <w:t xml:space="preserve"> facility management, repair and maintenance services and other services</w:t>
      </w:r>
      <w:r w:rsidR="00E878A4" w:rsidRPr="00F71D84">
        <w:rPr>
          <w:lang w:val="en-GB"/>
        </w:rPr>
        <w:t>.</w:t>
      </w:r>
    </w:p>
    <w:p w:rsidR="00846537" w:rsidRPr="00F71D84" w:rsidRDefault="00ED4952" w:rsidP="00DA331D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t>Large enterprises (</w:t>
      </w:r>
      <w:r w:rsidR="00A96934" w:rsidRPr="00F71D84">
        <w:rPr>
          <w:shd w:val="clear" w:color="auto" w:fill="FFFFFF"/>
          <w:lang w:val="en-GB"/>
        </w:rPr>
        <w:t>with</w:t>
      </w:r>
      <w:r w:rsidRPr="00F71D84">
        <w:rPr>
          <w:shd w:val="clear" w:color="auto" w:fill="FFFFFF"/>
          <w:lang w:val="en-GB"/>
        </w:rPr>
        <w:t xml:space="preserve"> 250 and more pe</w:t>
      </w:r>
      <w:r w:rsidR="001F6E11" w:rsidRPr="00F71D84">
        <w:rPr>
          <w:shd w:val="clear" w:color="auto" w:fill="FFFFFF"/>
          <w:lang w:val="en-GB"/>
        </w:rPr>
        <w:t>rsons employed</w:t>
      </w:r>
      <w:r w:rsidRPr="00F71D84">
        <w:rPr>
          <w:shd w:val="clear" w:color="auto" w:fill="FFFFFF"/>
          <w:lang w:val="en-GB"/>
        </w:rPr>
        <w:t xml:space="preserve">) were characterized by a slightly </w:t>
      </w:r>
      <w:r w:rsidR="00A96934" w:rsidRPr="00F71D84">
        <w:rPr>
          <w:shd w:val="clear" w:color="auto" w:fill="FFFFFF"/>
          <w:lang w:val="en-GB"/>
        </w:rPr>
        <w:t>different</w:t>
      </w:r>
      <w:r w:rsidRPr="00F71D84">
        <w:rPr>
          <w:shd w:val="clear" w:color="auto" w:fill="FFFFFF"/>
          <w:lang w:val="en-GB"/>
        </w:rPr>
        <w:t xml:space="preserve"> structure </w:t>
      </w:r>
      <w:r w:rsidR="008D36A7" w:rsidRPr="00F71D84">
        <w:rPr>
          <w:shd w:val="clear" w:color="auto" w:fill="FFFFFF"/>
          <w:lang w:val="en-GB"/>
        </w:rPr>
        <w:t>‒</w:t>
      </w:r>
      <w:r w:rsidRPr="00F71D84">
        <w:rPr>
          <w:shd w:val="clear" w:color="auto" w:fill="FFFFFF"/>
          <w:lang w:val="en-GB"/>
        </w:rPr>
        <w:t xml:space="preserve"> the most frequently performed function was management and administration (in 80.7% of the surveyed enterprises). In addition, e</w:t>
      </w:r>
      <w:r w:rsidR="00A96934" w:rsidRPr="00F71D84">
        <w:rPr>
          <w:shd w:val="clear" w:color="auto" w:fill="FFFFFF"/>
          <w:lang w:val="en-GB"/>
        </w:rPr>
        <w:t>nterprises</w:t>
      </w:r>
      <w:r w:rsidRPr="00F71D84">
        <w:rPr>
          <w:shd w:val="clear" w:color="auto" w:fill="FFFFFF"/>
          <w:lang w:val="en-GB"/>
        </w:rPr>
        <w:t xml:space="preserve"> of this size class almost 3 times more often than all surveyed enterprises indicated the independent implementation of the information technolog</w:t>
      </w:r>
      <w:r w:rsidR="00605BEC" w:rsidRPr="00F71D84">
        <w:rPr>
          <w:shd w:val="clear" w:color="auto" w:fill="FFFFFF"/>
          <w:lang w:val="en-GB"/>
        </w:rPr>
        <w:t>ies</w:t>
      </w:r>
      <w:r w:rsidRPr="00F71D84">
        <w:rPr>
          <w:shd w:val="clear" w:color="auto" w:fill="FFFFFF"/>
          <w:lang w:val="en-GB"/>
        </w:rPr>
        <w:t xml:space="preserve"> function (52.5% against 18.1% in total) and almost 4 times</w:t>
      </w:r>
      <w:r w:rsidR="0035719E">
        <w:rPr>
          <w:shd w:val="clear" w:color="auto" w:fill="FFFFFF"/>
          <w:lang w:val="en-GB"/>
        </w:rPr>
        <w:t xml:space="preserve"> –</w:t>
      </w:r>
      <w:r w:rsidRPr="00F71D84">
        <w:rPr>
          <w:shd w:val="clear" w:color="auto" w:fill="FFFFFF"/>
          <w:lang w:val="en-GB"/>
        </w:rPr>
        <w:t xml:space="preserve"> the research and development function (23.0% against 6.1% </w:t>
      </w:r>
      <w:r w:rsidR="00A96934" w:rsidRPr="00F71D84">
        <w:rPr>
          <w:shd w:val="clear" w:color="auto" w:fill="FFFFFF"/>
          <w:lang w:val="en-GB"/>
        </w:rPr>
        <w:t>in</w:t>
      </w:r>
      <w:r w:rsidRPr="00F71D84">
        <w:rPr>
          <w:shd w:val="clear" w:color="auto" w:fill="FFFFFF"/>
          <w:lang w:val="en-GB"/>
        </w:rPr>
        <w:t xml:space="preserve"> total).</w:t>
      </w:r>
    </w:p>
    <w:p w:rsidR="00846537" w:rsidRPr="00F71D84" w:rsidRDefault="00604F91" w:rsidP="00FC22EC">
      <w:pPr>
        <w:pStyle w:val="Tytutablicy"/>
        <w:tabs>
          <w:tab w:val="left" w:pos="709"/>
        </w:tabs>
        <w:ind w:left="709" w:hanging="709"/>
        <w:rPr>
          <w:lang w:val="en-GB"/>
        </w:rPr>
      </w:pPr>
      <w:bookmarkStart w:id="7" w:name="_Hlk106915164"/>
      <w:bookmarkEnd w:id="4"/>
      <w:r w:rsidRPr="00F71D84">
        <w:rPr>
          <w:lang w:val="en-GB"/>
        </w:rPr>
        <w:t xml:space="preserve">Chart </w:t>
      </w:r>
      <w:r w:rsidR="00DE6C6B" w:rsidRPr="00F71D84">
        <w:rPr>
          <w:lang w:val="en-GB"/>
        </w:rPr>
        <w:t>3</w:t>
      </w:r>
      <w:r w:rsidRPr="00F71D84">
        <w:rPr>
          <w:lang w:val="en-GB"/>
        </w:rPr>
        <w:t xml:space="preserve">. Percentage of surveyed enterprises in </w:t>
      </w:r>
      <w:r w:rsidR="00501217" w:rsidRPr="00F71D84">
        <w:rPr>
          <w:lang w:val="en-GB"/>
        </w:rPr>
        <w:t>each</w:t>
      </w:r>
      <w:r w:rsidRPr="00F71D84">
        <w:rPr>
          <w:lang w:val="en-GB"/>
        </w:rPr>
        <w:t xml:space="preserve"> size class by type of </w:t>
      </w:r>
      <w:r w:rsidR="00FC22EC" w:rsidRPr="00F71D84">
        <w:rPr>
          <w:lang w:val="en-GB"/>
        </w:rPr>
        <w:t xml:space="preserve">business </w:t>
      </w:r>
      <w:r w:rsidRPr="00F71D84">
        <w:rPr>
          <w:lang w:val="en-GB"/>
        </w:rPr>
        <w:t>functions performed in</w:t>
      </w:r>
      <w:r w:rsidR="00501217" w:rsidRPr="00F71D84">
        <w:rPr>
          <w:lang w:val="en-GB"/>
        </w:rPr>
        <w:t>ternally</w:t>
      </w:r>
      <w:r w:rsidRPr="00F71D84">
        <w:rPr>
          <w:lang w:val="en-GB"/>
        </w:rPr>
        <w:t xml:space="preserve"> in 2021</w:t>
      </w:r>
    </w:p>
    <w:p w:rsidR="00FC22EC" w:rsidRPr="00F71D84" w:rsidRDefault="00397E39" w:rsidP="00DA331D">
      <w:pPr>
        <w:spacing w:line="288" w:lineRule="auto"/>
        <w:rPr>
          <w:shd w:val="clear" w:color="auto" w:fill="FFFFFF"/>
          <w:lang w:val="en-GB"/>
        </w:rPr>
      </w:pPr>
      <w:bookmarkStart w:id="8" w:name="_Hlk106802936"/>
      <w:r w:rsidRPr="00F71D84">
        <w:rPr>
          <w:noProof/>
          <w:shd w:val="clear" w:color="auto" w:fill="FFFFFF"/>
          <w:lang w:val="en-GB"/>
        </w:rPr>
        <w:drawing>
          <wp:inline distT="0" distB="0" distL="0" distR="0" wp14:anchorId="1D6FB381" wp14:editId="2612E7D2">
            <wp:extent cx="5090103" cy="3012778"/>
            <wp:effectExtent l="0" t="0" r="0" b="0"/>
            <wp:docPr id="27" name="Obraz 27" descr="Chart 3. Percentage of surveyed enterprises in each size class by type of business functions performed internally in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991" cy="3022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2EC" w:rsidRPr="00F71D84" w:rsidRDefault="00FC22EC">
      <w:pPr>
        <w:spacing w:before="0" w:after="160" w:line="259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br w:type="page"/>
      </w:r>
    </w:p>
    <w:p w:rsidR="00E6134D" w:rsidRPr="00F71D84" w:rsidRDefault="00ED4952" w:rsidP="00DA331D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lastRenderedPageBreak/>
        <w:t xml:space="preserve">Enterprises with foreign capital accounted for 18.9% of all surveyed enterprises and </w:t>
      </w:r>
      <w:r w:rsidR="00B9494A" w:rsidRPr="00F71D84">
        <w:rPr>
          <w:shd w:val="clear" w:color="auto" w:fill="FFFFFF"/>
          <w:lang w:val="en-GB"/>
        </w:rPr>
        <w:t>for</w:t>
      </w:r>
      <w:r w:rsidRPr="00F71D84">
        <w:rPr>
          <w:shd w:val="clear" w:color="auto" w:fill="FFFFFF"/>
          <w:lang w:val="en-GB"/>
        </w:rPr>
        <w:t xml:space="preserve"> 40.2% of all pe</w:t>
      </w:r>
      <w:r w:rsidR="00F713BF" w:rsidRPr="00F71D84">
        <w:rPr>
          <w:shd w:val="clear" w:color="auto" w:fill="FFFFFF"/>
          <w:lang w:val="en-GB"/>
        </w:rPr>
        <w:t>rsons employed</w:t>
      </w:r>
      <w:r w:rsidRPr="00F71D84">
        <w:rPr>
          <w:shd w:val="clear" w:color="auto" w:fill="FFFFFF"/>
          <w:lang w:val="en-GB"/>
        </w:rPr>
        <w:t xml:space="preserve">. </w:t>
      </w:r>
      <w:r w:rsidR="00A95AD2">
        <w:rPr>
          <w:shd w:val="clear" w:color="auto" w:fill="FFFFFF"/>
          <w:lang w:val="en-GB"/>
        </w:rPr>
        <w:t xml:space="preserve">In </w:t>
      </w:r>
      <w:r w:rsidR="00A91B2F">
        <w:rPr>
          <w:shd w:val="clear" w:color="auto" w:fill="FFFFFF"/>
          <w:lang w:val="en-GB"/>
        </w:rPr>
        <w:t xml:space="preserve">particular business functions </w:t>
      </w:r>
      <w:r w:rsidR="00A95AD2">
        <w:rPr>
          <w:shd w:val="clear" w:color="auto" w:fill="FFFFFF"/>
          <w:lang w:val="en-GB"/>
        </w:rPr>
        <w:t>performing</w:t>
      </w:r>
      <w:r w:rsidR="00A95AD2">
        <w:rPr>
          <w:shd w:val="clear" w:color="auto" w:fill="FFFFFF"/>
          <w:lang w:val="en-GB"/>
        </w:rPr>
        <w:t xml:space="preserve"> </w:t>
      </w:r>
      <w:r w:rsidR="00A91B2F">
        <w:rPr>
          <w:shd w:val="clear" w:color="auto" w:fill="FFFFFF"/>
          <w:lang w:val="en-GB"/>
        </w:rPr>
        <w:t>internally</w:t>
      </w:r>
      <w:r w:rsidRPr="00F71D84">
        <w:rPr>
          <w:shd w:val="clear" w:color="auto" w:fill="FFFFFF"/>
          <w:lang w:val="en-GB"/>
        </w:rPr>
        <w:t xml:space="preserve">, </w:t>
      </w:r>
      <w:r w:rsidR="00A95AD2">
        <w:rPr>
          <w:shd w:val="clear" w:color="auto" w:fill="FFFFFF"/>
          <w:lang w:val="en-GB"/>
        </w:rPr>
        <w:t xml:space="preserve">their share varied between </w:t>
      </w:r>
      <w:r w:rsidRPr="00F71D84">
        <w:rPr>
          <w:shd w:val="clear" w:color="auto" w:fill="FFFFFF"/>
          <w:lang w:val="en-GB"/>
        </w:rPr>
        <w:t xml:space="preserve">17.0% in other business functions </w:t>
      </w:r>
      <w:r w:rsidR="00A95AD2">
        <w:rPr>
          <w:shd w:val="clear" w:color="auto" w:fill="FFFFFF"/>
          <w:lang w:val="en-GB"/>
        </w:rPr>
        <w:t>and</w:t>
      </w:r>
      <w:r w:rsidRPr="00F71D84">
        <w:rPr>
          <w:shd w:val="clear" w:color="auto" w:fill="FFFFFF"/>
          <w:lang w:val="en-GB"/>
        </w:rPr>
        <w:t xml:space="preserve"> 33.9% in the </w:t>
      </w:r>
      <w:r w:rsidR="008E59FD" w:rsidRPr="00F71D84">
        <w:rPr>
          <w:shd w:val="clear" w:color="auto" w:fill="FFFFFF"/>
          <w:lang w:val="en-GB"/>
        </w:rPr>
        <w:t>information technologies</w:t>
      </w:r>
      <w:r w:rsidRPr="00F71D84">
        <w:rPr>
          <w:shd w:val="clear" w:color="auto" w:fill="FFFFFF"/>
          <w:lang w:val="en-GB"/>
        </w:rPr>
        <w:t xml:space="preserve"> function. In the function related to information technolog</w:t>
      </w:r>
      <w:r w:rsidR="006620F9" w:rsidRPr="00F71D84">
        <w:rPr>
          <w:shd w:val="clear" w:color="auto" w:fill="FFFFFF"/>
          <w:lang w:val="en-GB"/>
        </w:rPr>
        <w:t>ies</w:t>
      </w:r>
      <w:r w:rsidRPr="00F71D84">
        <w:rPr>
          <w:shd w:val="clear" w:color="auto" w:fill="FFFFFF"/>
          <w:lang w:val="en-GB"/>
        </w:rPr>
        <w:t xml:space="preserve">, </w:t>
      </w:r>
      <w:r w:rsidR="008E59FD" w:rsidRPr="00F71D84">
        <w:rPr>
          <w:shd w:val="clear" w:color="auto" w:fill="FFFFFF"/>
          <w:lang w:val="en-GB"/>
        </w:rPr>
        <w:t>persons employed</w:t>
      </w:r>
      <w:r w:rsidRPr="00F71D84">
        <w:rPr>
          <w:shd w:val="clear" w:color="auto" w:fill="FFFFFF"/>
          <w:lang w:val="en-GB"/>
        </w:rPr>
        <w:t xml:space="preserve"> in enterprises with foreign capital dominated in the total number of p</w:t>
      </w:r>
      <w:r w:rsidR="008E59FD" w:rsidRPr="00F71D84">
        <w:rPr>
          <w:shd w:val="clear" w:color="auto" w:fill="FFFFFF"/>
          <w:lang w:val="en-GB"/>
        </w:rPr>
        <w:t>ersons</w:t>
      </w:r>
      <w:r w:rsidRPr="00F71D84">
        <w:rPr>
          <w:shd w:val="clear" w:color="auto" w:fill="FFFFFF"/>
          <w:lang w:val="en-GB"/>
        </w:rPr>
        <w:t xml:space="preserve"> employed there (61.6%).</w:t>
      </w:r>
    </w:p>
    <w:p w:rsidR="00DA331D" w:rsidRPr="00F71D84" w:rsidRDefault="006562B6" w:rsidP="000647A9">
      <w:pPr>
        <w:pStyle w:val="Nagwek1"/>
        <w:rPr>
          <w:rFonts w:ascii="Fira Sans" w:hAnsi="Fira Sans"/>
          <w:b/>
          <w:szCs w:val="19"/>
          <w:lang w:val="en-GB"/>
        </w:rPr>
      </w:pPr>
      <w:r w:rsidRPr="00F71D84">
        <w:rPr>
          <w:b/>
          <w:noProof/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750400" behindDoc="1" locked="1" layoutInCell="1" allowOverlap="1" wp14:anchorId="4BB84798" wp14:editId="46C13F8B">
                <wp:simplePos x="0" y="0"/>
                <wp:positionH relativeFrom="rightMargin">
                  <wp:posOffset>142875</wp:posOffset>
                </wp:positionH>
                <wp:positionV relativeFrom="margin">
                  <wp:posOffset>1422400</wp:posOffset>
                </wp:positionV>
                <wp:extent cx="1724400" cy="1220400"/>
                <wp:effectExtent l="0" t="0" r="0" b="0"/>
                <wp:wrapTight wrapText="bothSides">
                  <wp:wrapPolygon edited="0">
                    <wp:start x="716" y="0"/>
                    <wp:lineTo x="716" y="21251"/>
                    <wp:lineTo x="20765" y="21251"/>
                    <wp:lineTo x="20765" y="0"/>
                    <wp:lineTo x="716" y="0"/>
                  </wp:wrapPolygon>
                </wp:wrapTight>
                <wp:docPr id="13" name="Pole tekstowe 13" descr="Among enterprises sourcing business functions externally at the end of 2021, the vast majority (91.4%) performed them only in other domestic enterpri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34" w:rsidRPr="00572BD4" w:rsidRDefault="00572BD4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  <w:r w:rsidRPr="00572BD4">
                              <w:rPr>
                                <w:lang w:val="en-US"/>
                              </w:rPr>
                              <w:t xml:space="preserve">Among enterprises sourcing business functions </w:t>
                            </w:r>
                            <w:r w:rsidR="00F52EF8">
                              <w:rPr>
                                <w:lang w:val="en-US"/>
                              </w:rPr>
                              <w:t xml:space="preserve">externally </w:t>
                            </w:r>
                            <w:r w:rsidRPr="00572BD4">
                              <w:rPr>
                                <w:lang w:val="en-US"/>
                              </w:rPr>
                              <w:t>at the end of 2021, the vast majority (91.4%) performed them only in other domestic enterprises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4798" id="Pole tekstowe 13" o:spid="_x0000_s1030" type="#_x0000_t202" alt="Among enterprises sourcing business functions externally at the end of 2021, the vast majority (91.4%) performed them only in other domestic enterprises" style="position:absolute;margin-left:11.25pt;margin-top:112pt;width:135.8pt;height:96.1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" filled="f" stroked="f">
                <v:textbox>
                  <w:txbxContent>
                    <w:p w:rsidR="00216634" w:rsidRPr="00572BD4" w:rsidRDefault="00572BD4" w:rsidP="003937A5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  <w:r w:rsidRPr="00572BD4">
                        <w:rPr>
                          <w:lang w:val="en-US"/>
                        </w:rPr>
                        <w:t xml:space="preserve">Among enterprises sourcing business functions </w:t>
                      </w:r>
                      <w:r w:rsidR="00F52EF8">
                        <w:rPr>
                          <w:lang w:val="en-US"/>
                        </w:rPr>
                        <w:t xml:space="preserve">externally </w:t>
                      </w:r>
                      <w:r w:rsidRPr="00572BD4">
                        <w:rPr>
                          <w:lang w:val="en-US"/>
                        </w:rPr>
                        <w:t>at the end of 2021, the vast majority (91.4%) performed them only in other domestic enterprises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572BD4" w:rsidRPr="00F71D84">
        <w:rPr>
          <w:rFonts w:ascii="Fira Sans" w:hAnsi="Fira Sans"/>
          <w:b/>
          <w:szCs w:val="19"/>
          <w:lang w:val="en-GB"/>
        </w:rPr>
        <w:t>Directions of ordering selected activities</w:t>
      </w:r>
    </w:p>
    <w:bookmarkEnd w:id="8"/>
    <w:p w:rsidR="00AE65EB" w:rsidRPr="00F71D84" w:rsidRDefault="00CB62D2" w:rsidP="00216634">
      <w:pPr>
        <w:spacing w:line="288" w:lineRule="auto"/>
        <w:rPr>
          <w:shd w:val="clear" w:color="auto" w:fill="FFFFFF"/>
          <w:lang w:val="en-GB"/>
        </w:rPr>
      </w:pPr>
      <w:r w:rsidRPr="00F71D84">
        <w:rPr>
          <w:rFonts w:eastAsia="Times New Roman" w:cs="Times New Roman"/>
          <w:szCs w:val="19"/>
          <w:lang w:val="en-GB" w:eastAsia="pl-PL"/>
        </w:rPr>
        <w:t xml:space="preserve">Out of 17,761 surveyed enterprises </w:t>
      </w:r>
      <w:r w:rsidR="008E59FD" w:rsidRPr="00F71D84">
        <w:rPr>
          <w:rFonts w:eastAsia="Times New Roman" w:cs="Times New Roman"/>
          <w:szCs w:val="19"/>
          <w:lang w:val="en-GB" w:eastAsia="pl-PL"/>
        </w:rPr>
        <w:t>with</w:t>
      </w:r>
      <w:r w:rsidRPr="00F71D84">
        <w:rPr>
          <w:rFonts w:eastAsia="Times New Roman" w:cs="Times New Roman"/>
          <w:szCs w:val="19"/>
          <w:lang w:val="en-GB" w:eastAsia="pl-PL"/>
        </w:rPr>
        <w:t xml:space="preserve"> 10 or more pe</w:t>
      </w:r>
      <w:r w:rsidR="008E59FD" w:rsidRPr="00F71D84">
        <w:rPr>
          <w:rFonts w:eastAsia="Times New Roman" w:cs="Times New Roman"/>
          <w:szCs w:val="19"/>
          <w:lang w:val="en-GB" w:eastAsia="pl-PL"/>
        </w:rPr>
        <w:t>rsons employed</w:t>
      </w:r>
      <w:r w:rsidRPr="00F71D84">
        <w:rPr>
          <w:rFonts w:eastAsia="Times New Roman" w:cs="Times New Roman"/>
          <w:szCs w:val="19"/>
          <w:lang w:val="en-GB" w:eastAsia="pl-PL"/>
        </w:rPr>
        <w:t xml:space="preserve">, </w:t>
      </w:r>
      <w:r w:rsidR="008E59FD" w:rsidRPr="00F71D84">
        <w:rPr>
          <w:rFonts w:eastAsia="Times New Roman" w:cs="Times New Roman"/>
          <w:szCs w:val="19"/>
          <w:lang w:val="en-GB" w:eastAsia="pl-PL"/>
        </w:rPr>
        <w:t xml:space="preserve">which sourced functions </w:t>
      </w:r>
      <w:r w:rsidR="006620F9" w:rsidRPr="00F71D84">
        <w:rPr>
          <w:rFonts w:eastAsia="Times New Roman" w:cs="Times New Roman"/>
          <w:szCs w:val="19"/>
          <w:lang w:val="en-GB" w:eastAsia="pl-PL"/>
        </w:rPr>
        <w:t xml:space="preserve">externally </w:t>
      </w:r>
      <w:r w:rsidR="008E59FD" w:rsidRPr="00F71D84">
        <w:rPr>
          <w:rFonts w:eastAsia="Times New Roman" w:cs="Times New Roman"/>
          <w:szCs w:val="19"/>
          <w:lang w:val="en-GB" w:eastAsia="pl-PL"/>
        </w:rPr>
        <w:t xml:space="preserve">completely or partially at the end of </w:t>
      </w:r>
      <w:r w:rsidRPr="00F71D84">
        <w:rPr>
          <w:rFonts w:eastAsia="Times New Roman" w:cs="Times New Roman"/>
          <w:szCs w:val="19"/>
          <w:lang w:val="en-GB" w:eastAsia="pl-PL"/>
        </w:rPr>
        <w:t>2021, the vast majority (91.4%) indicated only other domestic enterprises as the place of perform</w:t>
      </w:r>
      <w:r w:rsidR="008E59FD" w:rsidRPr="00F71D84">
        <w:rPr>
          <w:rFonts w:eastAsia="Times New Roman" w:cs="Times New Roman"/>
          <w:szCs w:val="19"/>
          <w:lang w:val="en-GB" w:eastAsia="pl-PL"/>
        </w:rPr>
        <w:t>ing the functions</w:t>
      </w:r>
      <w:r w:rsidRPr="00F71D84">
        <w:rPr>
          <w:rFonts w:eastAsia="Times New Roman" w:cs="Times New Roman"/>
          <w:szCs w:val="19"/>
          <w:lang w:val="en-GB" w:eastAsia="pl-PL"/>
        </w:rPr>
        <w:t>,</w:t>
      </w:r>
      <w:r w:rsidR="00550A68" w:rsidRPr="00F71D84">
        <w:rPr>
          <w:rFonts w:eastAsia="Times New Roman" w:cs="Times New Roman"/>
          <w:szCs w:val="19"/>
          <w:lang w:val="en-GB" w:eastAsia="pl-PL"/>
        </w:rPr>
        <w:t xml:space="preserve"> </w:t>
      </w:r>
      <w:r w:rsidRPr="00F71D84">
        <w:rPr>
          <w:rFonts w:eastAsia="Times New Roman" w:cs="Times New Roman"/>
          <w:szCs w:val="19"/>
          <w:lang w:val="en-GB" w:eastAsia="pl-PL"/>
        </w:rPr>
        <w:t>7</w:t>
      </w:r>
      <w:r w:rsidR="00550A68" w:rsidRPr="00F71D84">
        <w:rPr>
          <w:rFonts w:eastAsia="Times New Roman" w:cs="Times New Roman"/>
          <w:szCs w:val="19"/>
          <w:lang w:val="en-GB" w:eastAsia="pl-PL"/>
        </w:rPr>
        <w:t>.</w:t>
      </w:r>
      <w:r w:rsidRPr="00F71D84">
        <w:rPr>
          <w:rFonts w:eastAsia="Times New Roman" w:cs="Times New Roman"/>
          <w:szCs w:val="19"/>
          <w:lang w:val="en-GB" w:eastAsia="pl-PL"/>
        </w:rPr>
        <w:t xml:space="preserve">1% both domestic and foreign enterprises, and 1.5% </w:t>
      </w:r>
      <w:r w:rsidR="008E59FD" w:rsidRPr="00F71D84">
        <w:rPr>
          <w:rFonts w:eastAsia="Times New Roman" w:cs="Times New Roman"/>
          <w:szCs w:val="19"/>
          <w:lang w:val="en-GB" w:eastAsia="pl-PL"/>
        </w:rPr>
        <w:t>only</w:t>
      </w:r>
      <w:r w:rsidRPr="00F71D84">
        <w:rPr>
          <w:rFonts w:eastAsia="Times New Roman" w:cs="Times New Roman"/>
          <w:szCs w:val="19"/>
          <w:lang w:val="en-GB" w:eastAsia="pl-PL"/>
        </w:rPr>
        <w:t xml:space="preserve"> foreign enterprises. </w:t>
      </w:r>
      <w:r w:rsidR="00DE6C6B" w:rsidRPr="00F71D84">
        <w:rPr>
          <w:rFonts w:eastAsia="Times New Roman" w:cs="Times New Roman"/>
          <w:szCs w:val="19"/>
          <w:lang w:val="en-GB" w:eastAsia="pl-PL"/>
        </w:rPr>
        <w:t xml:space="preserve">Compared to the previous year, this structure changed </w:t>
      </w:r>
      <w:r w:rsidR="008E59FD" w:rsidRPr="00F71D84">
        <w:rPr>
          <w:rFonts w:eastAsia="Times New Roman" w:cs="Times New Roman"/>
          <w:szCs w:val="19"/>
          <w:lang w:val="en-GB" w:eastAsia="pl-PL"/>
        </w:rPr>
        <w:t xml:space="preserve">respectively </w:t>
      </w:r>
      <w:r w:rsidR="00DE6C6B" w:rsidRPr="00F71D84">
        <w:rPr>
          <w:rFonts w:eastAsia="Times New Roman" w:cs="Times New Roman"/>
          <w:szCs w:val="19"/>
          <w:lang w:val="en-GB" w:eastAsia="pl-PL"/>
        </w:rPr>
        <w:t xml:space="preserve">by: +3.4 percentage point, -3.0 percentage point, </w:t>
      </w:r>
      <w:r w:rsidR="008D36A7" w:rsidRPr="00F71D84">
        <w:rPr>
          <w:rFonts w:eastAsia="Times New Roman" w:cs="Times New Roman"/>
          <w:szCs w:val="19"/>
          <w:lang w:val="en-GB" w:eastAsia="pl-PL"/>
        </w:rPr>
        <w:t xml:space="preserve"> </w:t>
      </w:r>
      <w:r w:rsidR="00DE6C6B" w:rsidRPr="00F71D84">
        <w:rPr>
          <w:rFonts w:eastAsia="Times New Roman" w:cs="Times New Roman"/>
          <w:szCs w:val="19"/>
          <w:lang w:val="en-GB" w:eastAsia="pl-PL"/>
        </w:rPr>
        <w:t>-</w:t>
      </w:r>
      <w:r w:rsidR="00EE045E">
        <w:rPr>
          <w:rFonts w:eastAsia="Times New Roman" w:cs="Times New Roman"/>
          <w:szCs w:val="19"/>
          <w:lang w:val="en-GB" w:eastAsia="pl-PL"/>
        </w:rPr>
        <w:t> 0</w:t>
      </w:r>
      <w:r w:rsidR="00DE6C6B" w:rsidRPr="00F71D84">
        <w:rPr>
          <w:rFonts w:eastAsia="Times New Roman" w:cs="Times New Roman"/>
          <w:szCs w:val="19"/>
          <w:lang w:val="en-GB" w:eastAsia="pl-PL"/>
        </w:rPr>
        <w:t xml:space="preserve">.4 percentage point. The increase in the share of enterprises commissioning functions exclusively to domestic contractors was influenced primarily by the increase in this share (by 3.5 percentage point) </w:t>
      </w:r>
      <w:r w:rsidR="00FC0EAD" w:rsidRPr="00F71D84">
        <w:rPr>
          <w:rFonts w:eastAsia="Times New Roman" w:cs="Times New Roman"/>
          <w:szCs w:val="19"/>
          <w:lang w:val="en-GB" w:eastAsia="pl-PL"/>
        </w:rPr>
        <w:t>by</w:t>
      </w:r>
      <w:r w:rsidR="00DE6C6B" w:rsidRPr="00F71D84">
        <w:rPr>
          <w:rFonts w:eastAsia="Times New Roman" w:cs="Times New Roman"/>
          <w:szCs w:val="19"/>
          <w:lang w:val="en-GB" w:eastAsia="pl-PL"/>
        </w:rPr>
        <w:t xml:space="preserve"> small enterprises (</w:t>
      </w:r>
      <w:r w:rsidR="008E59FD" w:rsidRPr="00F71D84">
        <w:rPr>
          <w:rFonts w:eastAsia="Times New Roman" w:cs="Times New Roman"/>
          <w:szCs w:val="19"/>
          <w:lang w:val="en-GB" w:eastAsia="pl-PL"/>
        </w:rPr>
        <w:t>with</w:t>
      </w:r>
      <w:r w:rsidR="00DE6C6B" w:rsidRPr="00F71D84">
        <w:rPr>
          <w:rFonts w:eastAsia="Times New Roman" w:cs="Times New Roman"/>
          <w:szCs w:val="19"/>
          <w:lang w:val="en-GB" w:eastAsia="pl-PL"/>
        </w:rPr>
        <w:t xml:space="preserve"> 10</w:t>
      </w:r>
      <w:r w:rsidR="008D36A7" w:rsidRPr="00F71D84">
        <w:rPr>
          <w:rFonts w:eastAsia="Times New Roman" w:cs="Times New Roman"/>
          <w:szCs w:val="19"/>
          <w:lang w:val="en-GB" w:eastAsia="pl-PL"/>
        </w:rPr>
        <w:t>‒</w:t>
      </w:r>
      <w:r w:rsidR="00DE6C6B" w:rsidRPr="00F71D84">
        <w:rPr>
          <w:rFonts w:eastAsia="Times New Roman" w:cs="Times New Roman"/>
          <w:szCs w:val="19"/>
          <w:lang w:val="en-GB" w:eastAsia="pl-PL"/>
        </w:rPr>
        <w:t xml:space="preserve">49 </w:t>
      </w:r>
      <w:r w:rsidR="008E59FD" w:rsidRPr="00F71D84">
        <w:rPr>
          <w:rFonts w:eastAsia="Times New Roman" w:cs="Times New Roman"/>
          <w:szCs w:val="19"/>
          <w:lang w:val="en-GB" w:eastAsia="pl-PL"/>
        </w:rPr>
        <w:t>employed persons</w:t>
      </w:r>
      <w:r w:rsidR="00DE6C6B" w:rsidRPr="00F71D84">
        <w:rPr>
          <w:rFonts w:eastAsia="Times New Roman" w:cs="Times New Roman"/>
          <w:szCs w:val="19"/>
          <w:lang w:val="en-GB" w:eastAsia="pl-PL"/>
        </w:rPr>
        <w:t>).</w:t>
      </w:r>
    </w:p>
    <w:p w:rsidR="009B7F1A" w:rsidRPr="00F71D84" w:rsidRDefault="00604F91" w:rsidP="00FC22EC">
      <w:pPr>
        <w:pStyle w:val="Tytutablicy"/>
        <w:tabs>
          <w:tab w:val="left" w:pos="709"/>
        </w:tabs>
        <w:ind w:left="709" w:hanging="709"/>
        <w:rPr>
          <w:lang w:val="en-GB"/>
        </w:rPr>
      </w:pPr>
      <w:bookmarkStart w:id="9" w:name="_Hlk106803109"/>
      <w:r w:rsidRPr="00F71D84">
        <w:rPr>
          <w:lang w:val="en-GB"/>
        </w:rPr>
        <w:t xml:space="preserve">Chart </w:t>
      </w:r>
      <w:r w:rsidR="00DE6C6B" w:rsidRPr="00F71D84">
        <w:rPr>
          <w:lang w:val="en-GB"/>
        </w:rPr>
        <w:t>4</w:t>
      </w:r>
      <w:r w:rsidRPr="00F71D84">
        <w:rPr>
          <w:lang w:val="en-GB"/>
        </w:rPr>
        <w:t xml:space="preserve">. </w:t>
      </w:r>
      <w:r w:rsidR="007B1D30" w:rsidRPr="00F71D84">
        <w:rPr>
          <w:lang w:val="en-GB"/>
        </w:rPr>
        <w:t xml:space="preserve">Structure of enterprises sourcing </w:t>
      </w:r>
      <w:r w:rsidR="00FC22EC" w:rsidRPr="00F71D84">
        <w:rPr>
          <w:lang w:val="en-GB"/>
        </w:rPr>
        <w:t xml:space="preserve">business </w:t>
      </w:r>
      <w:r w:rsidR="007B1D30" w:rsidRPr="00F71D84">
        <w:rPr>
          <w:lang w:val="en-GB"/>
        </w:rPr>
        <w:t xml:space="preserve">functions externally by size class and place of sourcing in </w:t>
      </w:r>
      <w:r w:rsidRPr="00F71D84">
        <w:rPr>
          <w:lang w:val="en-GB"/>
        </w:rPr>
        <w:t>2021</w:t>
      </w:r>
    </w:p>
    <w:p w:rsidR="009E3106" w:rsidRPr="00F71D84" w:rsidRDefault="00397E39" w:rsidP="00216634">
      <w:pPr>
        <w:spacing w:line="288" w:lineRule="auto"/>
        <w:rPr>
          <w:shd w:val="clear" w:color="auto" w:fill="FFFFFF"/>
          <w:lang w:val="en-GB"/>
        </w:rPr>
      </w:pPr>
      <w:bookmarkStart w:id="10" w:name="_Hlk106802950"/>
      <w:bookmarkEnd w:id="9"/>
      <w:r w:rsidRPr="00F71D84">
        <w:rPr>
          <w:noProof/>
          <w:shd w:val="clear" w:color="auto" w:fill="FFFFFF"/>
          <w:lang w:val="en-GB"/>
        </w:rPr>
        <w:drawing>
          <wp:inline distT="0" distB="0" distL="0" distR="0" wp14:anchorId="50008947" wp14:editId="6E46E0E4">
            <wp:extent cx="5069631" cy="2601365"/>
            <wp:effectExtent l="0" t="0" r="0" b="0"/>
            <wp:docPr id="29" name="Obraz 29" descr="Chart 4. Structure of enterprises sourcing business functions externally by size class and place of sourcing in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12" cy="261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C6B" w:rsidRPr="00F71D84" w:rsidRDefault="00DE6C6B" w:rsidP="00DE6C6B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t>Large enterprises (</w:t>
      </w:r>
      <w:r w:rsidR="00BA64FC" w:rsidRPr="00F71D84">
        <w:rPr>
          <w:shd w:val="clear" w:color="auto" w:fill="FFFFFF"/>
          <w:lang w:val="en-GB"/>
        </w:rPr>
        <w:t>with</w:t>
      </w:r>
      <w:r w:rsidRPr="00F71D84">
        <w:rPr>
          <w:shd w:val="clear" w:color="auto" w:fill="FFFFFF"/>
          <w:lang w:val="en-GB"/>
        </w:rPr>
        <w:t xml:space="preserve"> 250 and more pe</w:t>
      </w:r>
      <w:r w:rsidR="00BA64FC" w:rsidRPr="00F71D84">
        <w:rPr>
          <w:shd w:val="clear" w:color="auto" w:fill="FFFFFF"/>
          <w:lang w:val="en-GB"/>
        </w:rPr>
        <w:t>rsons employed</w:t>
      </w:r>
      <w:r w:rsidRPr="00F71D84">
        <w:rPr>
          <w:shd w:val="clear" w:color="auto" w:fill="FFFFFF"/>
          <w:lang w:val="en-GB"/>
        </w:rPr>
        <w:t xml:space="preserve">) more often than entities from other size classes </w:t>
      </w:r>
      <w:r w:rsidR="006620F9" w:rsidRPr="00F71D84">
        <w:rPr>
          <w:shd w:val="clear" w:color="auto" w:fill="FFFFFF"/>
          <w:lang w:val="en-GB"/>
        </w:rPr>
        <w:t>contract</w:t>
      </w:r>
      <w:r w:rsidRPr="00F71D84">
        <w:rPr>
          <w:shd w:val="clear" w:color="auto" w:fill="FFFFFF"/>
          <w:lang w:val="en-GB"/>
        </w:rPr>
        <w:t xml:space="preserve">ed functions to foreign entities, i.e. </w:t>
      </w:r>
      <w:r w:rsidR="008D36A7" w:rsidRPr="00F71D84">
        <w:rPr>
          <w:shd w:val="clear" w:color="auto" w:fill="FFFFFF"/>
          <w:lang w:val="en-GB"/>
        </w:rPr>
        <w:t xml:space="preserve">both domestic and foreign </w:t>
      </w:r>
      <w:r w:rsidRPr="00F71D84">
        <w:rPr>
          <w:shd w:val="clear" w:color="auto" w:fill="FFFFFF"/>
          <w:lang w:val="en-GB"/>
        </w:rPr>
        <w:t xml:space="preserve">or only </w:t>
      </w:r>
      <w:r w:rsidR="008D36A7" w:rsidRPr="00F71D84">
        <w:rPr>
          <w:shd w:val="clear" w:color="auto" w:fill="FFFFFF"/>
          <w:lang w:val="en-GB"/>
        </w:rPr>
        <w:t>foreign</w:t>
      </w:r>
      <w:r w:rsidR="00EE045E">
        <w:rPr>
          <w:shd w:val="clear" w:color="auto" w:fill="FFFFFF"/>
          <w:lang w:val="en-GB"/>
        </w:rPr>
        <w:t xml:space="preserve"> ones</w:t>
      </w:r>
      <w:r w:rsidR="008D36A7" w:rsidRPr="00F71D84">
        <w:rPr>
          <w:shd w:val="clear" w:color="auto" w:fill="FFFFFF"/>
          <w:lang w:val="en-GB"/>
        </w:rPr>
        <w:t xml:space="preserve"> </w:t>
      </w:r>
      <w:r w:rsidRPr="00F71D84">
        <w:rPr>
          <w:shd w:val="clear" w:color="auto" w:fill="FFFFFF"/>
          <w:lang w:val="en-GB"/>
        </w:rPr>
        <w:t>(a total of 27.9% of entities within this size class) – increase compared to the previous year by 1.8 percentage point.</w:t>
      </w:r>
    </w:p>
    <w:p w:rsidR="00DE6C6B" w:rsidRPr="00F71D84" w:rsidRDefault="00DE6C6B" w:rsidP="00DE6C6B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t xml:space="preserve">Enterprises with foreign capital accounted for </w:t>
      </w:r>
      <w:r w:rsidR="002F05C9" w:rsidRPr="00F71D84">
        <w:rPr>
          <w:shd w:val="clear" w:color="auto" w:fill="FFFFFF"/>
          <w:lang w:val="en-GB"/>
        </w:rPr>
        <w:t>about 70%</w:t>
      </w:r>
      <w:r w:rsidRPr="00F71D84">
        <w:rPr>
          <w:shd w:val="clear" w:color="auto" w:fill="FFFFFF"/>
          <w:lang w:val="en-GB"/>
        </w:rPr>
        <w:t xml:space="preserve"> of all enterprises commissioning functions abroad</w:t>
      </w:r>
      <w:r w:rsidR="008D36A7" w:rsidRPr="00F71D84">
        <w:rPr>
          <w:shd w:val="clear" w:color="auto" w:fill="FFFFFF"/>
          <w:lang w:val="en-GB"/>
        </w:rPr>
        <w:t>.</w:t>
      </w:r>
    </w:p>
    <w:p w:rsidR="00DE6C6B" w:rsidRPr="00F71D84" w:rsidRDefault="00DE6C6B" w:rsidP="00DE6C6B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t xml:space="preserve">Activities abroad were more often commissioned by enterprises from the information and communication section (14.5% of entities within this section), </w:t>
      </w:r>
      <w:r w:rsidR="00DA02D8" w:rsidRPr="00F71D84">
        <w:rPr>
          <w:shd w:val="clear" w:color="auto" w:fill="FFFFFF"/>
          <w:lang w:val="en-GB"/>
        </w:rPr>
        <w:t>manufacturing</w:t>
      </w:r>
      <w:r w:rsidRPr="00F71D84">
        <w:rPr>
          <w:shd w:val="clear" w:color="auto" w:fill="FFFFFF"/>
          <w:lang w:val="en-GB"/>
        </w:rPr>
        <w:t xml:space="preserve"> (12.9%) and mining and quarrying (12.7%).</w:t>
      </w:r>
    </w:p>
    <w:p w:rsidR="00FC22EC" w:rsidRPr="00F71D84" w:rsidRDefault="00DE6C6B" w:rsidP="00DE6C6B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t xml:space="preserve">The place of performance of business functions outside Poland was most often chosen by enterprises </w:t>
      </w:r>
      <w:r w:rsidR="004B0A63" w:rsidRPr="00F71D84">
        <w:rPr>
          <w:shd w:val="clear" w:color="auto" w:fill="FFFFFF"/>
          <w:lang w:val="en-GB"/>
        </w:rPr>
        <w:t>located</w:t>
      </w:r>
      <w:r w:rsidRPr="00F71D84">
        <w:rPr>
          <w:shd w:val="clear" w:color="auto" w:fill="FFFFFF"/>
          <w:lang w:val="en-GB"/>
        </w:rPr>
        <w:t xml:space="preserve"> in the </w:t>
      </w:r>
      <w:proofErr w:type="spellStart"/>
      <w:r w:rsidRPr="00F71D84">
        <w:rPr>
          <w:shd w:val="clear" w:color="auto" w:fill="FFFFFF"/>
          <w:lang w:val="en-GB"/>
        </w:rPr>
        <w:t>Mazowieckie</w:t>
      </w:r>
      <w:proofErr w:type="spellEnd"/>
      <w:r w:rsidRPr="00F71D84">
        <w:rPr>
          <w:shd w:val="clear" w:color="auto" w:fill="FFFFFF"/>
          <w:lang w:val="en-GB"/>
        </w:rPr>
        <w:t xml:space="preserve"> Voivodship (a total of 12.3% of ent</w:t>
      </w:r>
      <w:r w:rsidR="004B0A63" w:rsidRPr="00F71D84">
        <w:rPr>
          <w:shd w:val="clear" w:color="auto" w:fill="FFFFFF"/>
          <w:lang w:val="en-GB"/>
        </w:rPr>
        <w:t>erprises</w:t>
      </w:r>
      <w:r w:rsidRPr="00F71D84">
        <w:rPr>
          <w:shd w:val="clear" w:color="auto" w:fill="FFFFFF"/>
          <w:lang w:val="en-GB"/>
        </w:rPr>
        <w:t xml:space="preserve"> from this Voivodship), </w:t>
      </w:r>
      <w:proofErr w:type="spellStart"/>
      <w:r w:rsidRPr="00F71D84">
        <w:rPr>
          <w:shd w:val="clear" w:color="auto" w:fill="FFFFFF"/>
          <w:lang w:val="en-GB"/>
        </w:rPr>
        <w:t>Lubuskie</w:t>
      </w:r>
      <w:proofErr w:type="spellEnd"/>
      <w:r w:rsidRPr="00F71D84">
        <w:rPr>
          <w:shd w:val="clear" w:color="auto" w:fill="FFFFFF"/>
          <w:lang w:val="en-GB"/>
        </w:rPr>
        <w:t xml:space="preserve"> (11.5%) and </w:t>
      </w:r>
      <w:proofErr w:type="spellStart"/>
      <w:r w:rsidRPr="00F71D84">
        <w:rPr>
          <w:shd w:val="clear" w:color="auto" w:fill="FFFFFF"/>
          <w:lang w:val="en-GB"/>
        </w:rPr>
        <w:t>Opolskie</w:t>
      </w:r>
      <w:proofErr w:type="spellEnd"/>
      <w:r w:rsidRPr="00F71D84">
        <w:rPr>
          <w:shd w:val="clear" w:color="auto" w:fill="FFFFFF"/>
          <w:lang w:val="en-GB"/>
        </w:rPr>
        <w:t xml:space="preserve"> (11.2%), and the least frequently enterprises from the </w:t>
      </w:r>
      <w:proofErr w:type="spellStart"/>
      <w:r w:rsidRPr="00F71D84">
        <w:rPr>
          <w:shd w:val="clear" w:color="auto" w:fill="FFFFFF"/>
          <w:lang w:val="en-GB"/>
        </w:rPr>
        <w:t>Lubelskie</w:t>
      </w:r>
      <w:proofErr w:type="spellEnd"/>
      <w:r w:rsidRPr="00F71D84">
        <w:rPr>
          <w:shd w:val="clear" w:color="auto" w:fill="FFFFFF"/>
          <w:lang w:val="en-GB"/>
        </w:rPr>
        <w:t xml:space="preserve"> (3.0%) and </w:t>
      </w:r>
      <w:proofErr w:type="spellStart"/>
      <w:r w:rsidRPr="00F71D84">
        <w:rPr>
          <w:shd w:val="clear" w:color="auto" w:fill="FFFFFF"/>
          <w:lang w:val="en-GB"/>
        </w:rPr>
        <w:t>Podlaskie</w:t>
      </w:r>
      <w:proofErr w:type="spellEnd"/>
      <w:r w:rsidRPr="00F71D84">
        <w:rPr>
          <w:shd w:val="clear" w:color="auto" w:fill="FFFFFF"/>
          <w:lang w:val="en-GB"/>
        </w:rPr>
        <w:t xml:space="preserve"> (4.0%) voivodships.</w:t>
      </w:r>
    </w:p>
    <w:p w:rsidR="00FC22EC" w:rsidRPr="00F71D84" w:rsidRDefault="00FC22EC">
      <w:pPr>
        <w:spacing w:before="0" w:after="160" w:line="259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br w:type="page"/>
      </w:r>
    </w:p>
    <w:p w:rsidR="0062556F" w:rsidRPr="00F71D84" w:rsidRDefault="00604F91" w:rsidP="00FC22EC">
      <w:pPr>
        <w:pStyle w:val="Tytutablicy"/>
        <w:tabs>
          <w:tab w:val="left" w:pos="709"/>
        </w:tabs>
        <w:ind w:left="709" w:hanging="709"/>
        <w:rPr>
          <w:lang w:val="en-GB"/>
        </w:rPr>
      </w:pPr>
      <w:r w:rsidRPr="00F71D84">
        <w:rPr>
          <w:lang w:val="en-GB"/>
        </w:rPr>
        <w:lastRenderedPageBreak/>
        <w:t xml:space="preserve">Chart </w:t>
      </w:r>
      <w:r w:rsidR="00DE6C6B" w:rsidRPr="00F71D84">
        <w:rPr>
          <w:lang w:val="en-GB"/>
        </w:rPr>
        <w:t>5</w:t>
      </w:r>
      <w:r w:rsidRPr="00F71D84">
        <w:rPr>
          <w:lang w:val="en-GB"/>
        </w:rPr>
        <w:t xml:space="preserve">. </w:t>
      </w:r>
      <w:r w:rsidR="007B1D30" w:rsidRPr="00F71D84">
        <w:rPr>
          <w:lang w:val="en-GB"/>
        </w:rPr>
        <w:t>Percentage of enterprises sourcing business functions externally by type of function and place of sourcing</w:t>
      </w:r>
      <w:r w:rsidRPr="00F71D84">
        <w:rPr>
          <w:lang w:val="en-GB"/>
        </w:rPr>
        <w:t xml:space="preserve"> 2021</w:t>
      </w:r>
      <w:bookmarkEnd w:id="10"/>
    </w:p>
    <w:p w:rsidR="00DE6C6B" w:rsidRPr="00F71D84" w:rsidRDefault="009F1D8F" w:rsidP="00DE6C6B">
      <w:pPr>
        <w:spacing w:line="288" w:lineRule="auto"/>
        <w:rPr>
          <w:shd w:val="clear" w:color="auto" w:fill="FFFFFF"/>
          <w:lang w:val="en-GB"/>
        </w:rPr>
      </w:pPr>
      <w:bookmarkStart w:id="11" w:name="_Hlk106802967"/>
      <w:r w:rsidRPr="00F71D84">
        <w:rPr>
          <w:noProof/>
          <w:shd w:val="clear" w:color="auto" w:fill="FFFFFF"/>
          <w:lang w:val="en-GB"/>
        </w:rPr>
        <w:drawing>
          <wp:inline distT="0" distB="0" distL="0" distR="0" wp14:anchorId="59B04FD9" wp14:editId="10143CF4">
            <wp:extent cx="5071233" cy="3493297"/>
            <wp:effectExtent l="0" t="0" r="0" b="0"/>
            <wp:docPr id="24" name="Obraz 24" descr="Chart 5. Percentage of enterprises sourcing business functions externally by type of function and place of sourcing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759" cy="3509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6C6B" w:rsidRPr="00F71D84">
        <w:rPr>
          <w:shd w:val="clear" w:color="auto" w:fill="FFFFFF"/>
          <w:lang w:val="en-GB"/>
        </w:rPr>
        <w:t xml:space="preserve">Taking into account the type of business function, in 2021 other domestic enterprises were most often </w:t>
      </w:r>
      <w:r w:rsidR="003A6C8B" w:rsidRPr="00F71D84">
        <w:rPr>
          <w:shd w:val="clear" w:color="auto" w:fill="FFFFFF"/>
          <w:lang w:val="en-GB"/>
        </w:rPr>
        <w:t>contracted out</w:t>
      </w:r>
      <w:r w:rsidR="00DE6C6B" w:rsidRPr="00F71D84">
        <w:rPr>
          <w:shd w:val="clear" w:color="auto" w:fill="FFFFFF"/>
          <w:lang w:val="en-GB"/>
        </w:rPr>
        <w:t xml:space="preserve"> with tasks related to management and administration. Functions sourced</w:t>
      </w:r>
      <w:r w:rsidR="002B1DAA" w:rsidRPr="00F71D84">
        <w:rPr>
          <w:shd w:val="clear" w:color="auto" w:fill="FFFFFF"/>
          <w:lang w:val="en-GB"/>
        </w:rPr>
        <w:t xml:space="preserve"> externally</w:t>
      </w:r>
      <w:r w:rsidR="00DE6C6B" w:rsidRPr="00F71D84">
        <w:rPr>
          <w:shd w:val="clear" w:color="auto" w:fill="FFFFFF"/>
          <w:lang w:val="en-GB"/>
        </w:rPr>
        <w:t xml:space="preserve"> </w:t>
      </w:r>
      <w:r w:rsidR="003A6C8B" w:rsidRPr="00F71D84">
        <w:rPr>
          <w:shd w:val="clear" w:color="auto" w:fill="FFFFFF"/>
          <w:lang w:val="en-GB"/>
        </w:rPr>
        <w:t>within</w:t>
      </w:r>
      <w:r w:rsidR="00DE6C6B" w:rsidRPr="00F71D84">
        <w:rPr>
          <w:shd w:val="clear" w:color="auto" w:fill="FFFFFF"/>
          <w:lang w:val="en-GB"/>
        </w:rPr>
        <w:t xml:space="preserve"> the country were performed mainly by unrelated enterprises, i.e. outside the same </w:t>
      </w:r>
      <w:r w:rsidR="002B1DAA" w:rsidRPr="00F71D84">
        <w:rPr>
          <w:shd w:val="clear" w:color="auto" w:fill="FFFFFF"/>
          <w:lang w:val="en-GB"/>
        </w:rPr>
        <w:t xml:space="preserve">enterprise </w:t>
      </w:r>
      <w:r w:rsidR="00DE6C6B" w:rsidRPr="00F71D84">
        <w:rPr>
          <w:shd w:val="clear" w:color="auto" w:fill="FFFFFF"/>
          <w:lang w:val="en-GB"/>
        </w:rPr>
        <w:t>group.</w:t>
      </w:r>
    </w:p>
    <w:p w:rsidR="00DE6C6B" w:rsidRPr="00F71D84" w:rsidRDefault="002B1DAA" w:rsidP="00DE6C6B">
      <w:pPr>
        <w:spacing w:line="288" w:lineRule="auto"/>
        <w:rPr>
          <w:shd w:val="clear" w:color="auto" w:fill="FFFFFF"/>
          <w:lang w:val="en-GB"/>
        </w:rPr>
      </w:pPr>
      <w:r w:rsidRPr="00F71D84">
        <w:rPr>
          <w:noProof/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764736" behindDoc="1" locked="1" layoutInCell="1" allowOverlap="1" wp14:anchorId="3E7ED7D6" wp14:editId="5C68B5D6">
                <wp:simplePos x="0" y="0"/>
                <wp:positionH relativeFrom="rightMargin">
                  <wp:posOffset>143510</wp:posOffset>
                </wp:positionH>
                <wp:positionV relativeFrom="page">
                  <wp:posOffset>5986780</wp:posOffset>
                </wp:positionV>
                <wp:extent cx="1724025" cy="142875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17" name="Pole tekstowe 17" descr="The overwhelming majority (88.4%) of enterprises sourcing business functions abroad at the end of 2021 indicated enterprises from the European Union as the place of performance of the fun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217" w:rsidRPr="00572BD4" w:rsidRDefault="00572BD4" w:rsidP="00312217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  <w:r w:rsidRPr="00572BD4">
                              <w:rPr>
                                <w:lang w:val="en-US"/>
                              </w:rPr>
                              <w:t xml:space="preserve">The overwhelming majority (88.4%) of enterprises </w:t>
                            </w:r>
                            <w:r w:rsidR="002B1DAA">
                              <w:rPr>
                                <w:lang w:val="en-US"/>
                              </w:rPr>
                              <w:t>sourcing</w:t>
                            </w:r>
                            <w:r w:rsidR="002B1DAA" w:rsidRPr="00572BD4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72BD4">
                              <w:rPr>
                                <w:lang w:val="en-US"/>
                              </w:rPr>
                              <w:t>business functions abroad at the end of 2021 indicated enterprises from the European Union as the place of performance of the function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D7D6" id="Pole tekstowe 17" o:spid="_x0000_s1031" type="#_x0000_t202" alt="The overwhelming majority (88.4%) of enterprises sourcing business functions abroad at the end of 2021 indicated enterprises from the European Union as the place of performance of the function" style="position:absolute;margin-left:11.3pt;margin-top:471.4pt;width:135.75pt;height:112.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" filled="f" stroked="f">
                <v:textbox>
                  <w:txbxContent>
                    <w:p w:rsidR="00312217" w:rsidRPr="00572BD4" w:rsidRDefault="00572BD4" w:rsidP="00312217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  <w:r w:rsidRPr="00572BD4">
                        <w:rPr>
                          <w:lang w:val="en-US"/>
                        </w:rPr>
                        <w:t xml:space="preserve">The overwhelming majority (88.4%) of enterprises </w:t>
                      </w:r>
                      <w:r w:rsidR="002B1DAA">
                        <w:rPr>
                          <w:lang w:val="en-US"/>
                        </w:rPr>
                        <w:t>sourcing</w:t>
                      </w:r>
                      <w:r w:rsidR="002B1DAA" w:rsidRPr="00572BD4">
                        <w:rPr>
                          <w:lang w:val="en-US"/>
                        </w:rPr>
                        <w:t xml:space="preserve"> </w:t>
                      </w:r>
                      <w:r w:rsidRPr="00572BD4">
                        <w:rPr>
                          <w:lang w:val="en-US"/>
                        </w:rPr>
                        <w:t>business functions abroad at the end of 2021 indicated enterprises from the European Union as the place of performance of the function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r w:rsidR="00DE6C6B" w:rsidRPr="00F71D84">
        <w:rPr>
          <w:shd w:val="clear" w:color="auto" w:fill="FFFFFF"/>
          <w:lang w:val="en-GB"/>
        </w:rPr>
        <w:t>Outside Poland, tasks related to information technology were mainly performed, as well as (to a lesser extent) activities in the field of management and administration a</w:t>
      </w:r>
      <w:r w:rsidR="006620F9" w:rsidRPr="00F71D84">
        <w:rPr>
          <w:shd w:val="clear" w:color="auto" w:fill="FFFFFF"/>
          <w:lang w:val="en-GB"/>
        </w:rPr>
        <w:t>nd</w:t>
      </w:r>
      <w:r w:rsidR="00DE6C6B" w:rsidRPr="00F71D84">
        <w:rPr>
          <w:shd w:val="clear" w:color="auto" w:fill="FFFFFF"/>
          <w:lang w:val="en-GB"/>
        </w:rPr>
        <w:t xml:space="preserve"> marketing, sales and after-sales services. Functions</w:t>
      </w:r>
      <w:r w:rsidR="006620F9" w:rsidRPr="00F71D84">
        <w:rPr>
          <w:shd w:val="clear" w:color="auto" w:fill="FFFFFF"/>
          <w:lang w:val="en-GB"/>
        </w:rPr>
        <w:t xml:space="preserve"> </w:t>
      </w:r>
      <w:r w:rsidR="00DE6C6B" w:rsidRPr="00F71D84">
        <w:rPr>
          <w:shd w:val="clear" w:color="auto" w:fill="FFFFFF"/>
          <w:lang w:val="en-GB"/>
        </w:rPr>
        <w:t xml:space="preserve">sourced </w:t>
      </w:r>
      <w:r w:rsidR="006620F9" w:rsidRPr="00F71D84">
        <w:rPr>
          <w:shd w:val="clear" w:color="auto" w:fill="FFFFFF"/>
          <w:lang w:val="en-GB"/>
        </w:rPr>
        <w:t xml:space="preserve">externally </w:t>
      </w:r>
      <w:r w:rsidR="00DE6C6B" w:rsidRPr="00F71D84">
        <w:rPr>
          <w:shd w:val="clear" w:color="auto" w:fill="FFFFFF"/>
          <w:lang w:val="en-GB"/>
        </w:rPr>
        <w:t>abroad were mostly performed by other related enterprises, i.e. belonging to the same</w:t>
      </w:r>
      <w:r w:rsidRPr="00F71D84">
        <w:rPr>
          <w:shd w:val="clear" w:color="auto" w:fill="FFFFFF"/>
          <w:lang w:val="en-GB"/>
        </w:rPr>
        <w:t xml:space="preserve"> enterprise</w:t>
      </w:r>
      <w:r w:rsidR="00DE6C6B" w:rsidRPr="00F71D84">
        <w:rPr>
          <w:shd w:val="clear" w:color="auto" w:fill="FFFFFF"/>
          <w:lang w:val="en-GB"/>
        </w:rPr>
        <w:t xml:space="preserve"> group.</w:t>
      </w:r>
    </w:p>
    <w:p w:rsidR="00C052AE" w:rsidRPr="00F71D84" w:rsidRDefault="00DE6C6B" w:rsidP="00DE6C6B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t>Among the total of 1,520 enterprises</w:t>
      </w:r>
      <w:r w:rsidR="002B1DAA" w:rsidRPr="00F71D84">
        <w:rPr>
          <w:shd w:val="clear" w:color="auto" w:fill="FFFFFF"/>
          <w:lang w:val="en-GB"/>
        </w:rPr>
        <w:t xml:space="preserve"> sourcing</w:t>
      </w:r>
      <w:r w:rsidRPr="00F71D84">
        <w:rPr>
          <w:shd w:val="clear" w:color="auto" w:fill="FFFFFF"/>
          <w:lang w:val="en-GB"/>
        </w:rPr>
        <w:t xml:space="preserve"> business functions abroad at the end of 2021, the largest percentage of enterprises (95.8%) indicated European enterprises as the place of performance of functions, including 88.4% enterprises from the European Union. Compared to 2020, these shares slightly increased </w:t>
      </w:r>
      <w:r w:rsidR="002B1DAA" w:rsidRPr="00F71D84">
        <w:rPr>
          <w:shd w:val="clear" w:color="auto" w:fill="FFFFFF"/>
          <w:lang w:val="en-GB"/>
        </w:rPr>
        <w:t>‒</w:t>
      </w:r>
      <w:r w:rsidRPr="00F71D84">
        <w:rPr>
          <w:shd w:val="clear" w:color="auto" w:fill="FFFFFF"/>
          <w:lang w:val="en-GB"/>
        </w:rPr>
        <w:t xml:space="preserve"> by 0.9 </w:t>
      </w:r>
      <w:r w:rsidR="002B1DAA" w:rsidRPr="00F71D84">
        <w:rPr>
          <w:shd w:val="clear" w:color="auto" w:fill="FFFFFF"/>
          <w:lang w:val="en-GB"/>
        </w:rPr>
        <w:t>percentage point</w:t>
      </w:r>
      <w:r w:rsidRPr="00F71D84">
        <w:rPr>
          <w:shd w:val="clear" w:color="auto" w:fill="FFFFFF"/>
          <w:lang w:val="en-GB"/>
        </w:rPr>
        <w:t xml:space="preserve"> and by 1.5 percentage point</w:t>
      </w:r>
      <w:r w:rsidR="00B33F02">
        <w:rPr>
          <w:shd w:val="clear" w:color="auto" w:fill="FFFFFF"/>
          <w:lang w:val="en-GB"/>
        </w:rPr>
        <w:t>, respectively</w:t>
      </w:r>
      <w:r w:rsidR="00501F95" w:rsidRPr="00F71D84">
        <w:rPr>
          <w:shd w:val="clear" w:color="auto" w:fill="FFFFFF"/>
          <w:lang w:val="en-GB"/>
        </w:rPr>
        <w:t>.</w:t>
      </w:r>
    </w:p>
    <w:p w:rsidR="0094244B" w:rsidRPr="00F71D84" w:rsidRDefault="00170202" w:rsidP="00FC22EC">
      <w:pPr>
        <w:pStyle w:val="Tytutablicy"/>
        <w:tabs>
          <w:tab w:val="left" w:pos="709"/>
        </w:tabs>
        <w:ind w:left="709" w:hanging="709"/>
        <w:rPr>
          <w:lang w:val="en-GB"/>
        </w:rPr>
      </w:pPr>
      <w:bookmarkStart w:id="12" w:name="_Hlk106802977"/>
      <w:r w:rsidRPr="00F71D84">
        <w:rPr>
          <w:lang w:val="en-GB"/>
        </w:rPr>
        <w:t xml:space="preserve">Chart </w:t>
      </w:r>
      <w:r w:rsidR="00DE6C6B" w:rsidRPr="00F71D84">
        <w:rPr>
          <w:lang w:val="en-GB"/>
        </w:rPr>
        <w:t>6</w:t>
      </w:r>
      <w:r w:rsidRPr="00F71D84">
        <w:rPr>
          <w:lang w:val="en-GB"/>
        </w:rPr>
        <w:t xml:space="preserve">. Percentage of enterprises </w:t>
      </w:r>
      <w:r w:rsidR="007B1D30" w:rsidRPr="00F71D84">
        <w:rPr>
          <w:lang w:val="en-GB"/>
        </w:rPr>
        <w:t xml:space="preserve">sourcing business functions externally </w:t>
      </w:r>
      <w:r w:rsidRPr="00F71D84">
        <w:rPr>
          <w:lang w:val="en-GB"/>
        </w:rPr>
        <w:t>in</w:t>
      </w:r>
      <w:r w:rsidR="00501F95" w:rsidRPr="00F71D84">
        <w:rPr>
          <w:lang w:val="en-GB"/>
        </w:rPr>
        <w:t xml:space="preserve"> the</w:t>
      </w:r>
      <w:r w:rsidRPr="00F71D84">
        <w:rPr>
          <w:lang w:val="en-GB"/>
        </w:rPr>
        <w:t xml:space="preserve"> European Union countries in 2021</w:t>
      </w:r>
    </w:p>
    <w:bookmarkEnd w:id="12"/>
    <w:p w:rsidR="009B0FF2" w:rsidRPr="00F71D84" w:rsidRDefault="00397E39" w:rsidP="00167EF9">
      <w:pPr>
        <w:spacing w:line="288" w:lineRule="auto"/>
        <w:rPr>
          <w:shd w:val="clear" w:color="auto" w:fill="FFFFFF"/>
          <w:lang w:val="en-GB"/>
        </w:rPr>
      </w:pPr>
      <w:r w:rsidRPr="00F71D84">
        <w:rPr>
          <w:noProof/>
          <w:shd w:val="clear" w:color="auto" w:fill="FFFFFF"/>
          <w:lang w:val="en-GB"/>
        </w:rPr>
        <w:drawing>
          <wp:inline distT="0" distB="0" distL="0" distR="0" wp14:anchorId="2BB2CBB2" wp14:editId="11C451B4">
            <wp:extent cx="5062334" cy="2458837"/>
            <wp:effectExtent l="0" t="0" r="0" b="0"/>
            <wp:docPr id="31" name="Obraz 31" descr="Chart 6. Percentage of enterprises sourcing business functions externally in the European Union countries in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896" cy="2471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C6B" w:rsidRPr="00F71D84" w:rsidRDefault="00DE6C6B" w:rsidP="00DE6C6B">
      <w:pPr>
        <w:spacing w:line="288" w:lineRule="auto"/>
        <w:rPr>
          <w:shd w:val="clear" w:color="auto" w:fill="FFFFFF"/>
          <w:lang w:val="en-GB"/>
        </w:rPr>
      </w:pPr>
      <w:r w:rsidRPr="00F71D84">
        <w:rPr>
          <w:shd w:val="clear" w:color="auto" w:fill="FFFFFF"/>
          <w:lang w:val="en-GB"/>
        </w:rPr>
        <w:lastRenderedPageBreak/>
        <w:t xml:space="preserve">Germany (47.6%), </w:t>
      </w:r>
      <w:r w:rsidR="009E41F9" w:rsidRPr="00F71D84">
        <w:rPr>
          <w:shd w:val="clear" w:color="auto" w:fill="FFFFFF"/>
          <w:lang w:val="en-GB"/>
        </w:rPr>
        <w:t>United Kingdom</w:t>
      </w:r>
      <w:r w:rsidRPr="00F71D84">
        <w:rPr>
          <w:shd w:val="clear" w:color="auto" w:fill="FFFFFF"/>
          <w:lang w:val="en-GB"/>
        </w:rPr>
        <w:t xml:space="preserve"> (17.8%) and the Netherlands (16.6%) were the most frequently chosen </w:t>
      </w:r>
      <w:r w:rsidR="008E1940" w:rsidRPr="00F71D84">
        <w:rPr>
          <w:shd w:val="clear" w:color="auto" w:fill="FFFFFF"/>
          <w:lang w:val="en-GB"/>
        </w:rPr>
        <w:t xml:space="preserve">countries </w:t>
      </w:r>
      <w:r w:rsidRPr="00F71D84">
        <w:rPr>
          <w:shd w:val="clear" w:color="auto" w:fill="FFFFFF"/>
          <w:lang w:val="en-GB"/>
        </w:rPr>
        <w:t xml:space="preserve">of performing functions abroad. Among countries outside Europe, most functions were performed in the United States and Canada (14.3%). In the countries of the </w:t>
      </w:r>
      <w:proofErr w:type="spellStart"/>
      <w:r w:rsidRPr="00F71D84">
        <w:rPr>
          <w:shd w:val="clear" w:color="auto" w:fill="FFFFFF"/>
          <w:lang w:val="en-GB"/>
        </w:rPr>
        <w:t>Visegrad</w:t>
      </w:r>
      <w:proofErr w:type="spellEnd"/>
      <w:r w:rsidRPr="00F71D84">
        <w:rPr>
          <w:shd w:val="clear" w:color="auto" w:fill="FFFFFF"/>
          <w:lang w:val="en-GB"/>
        </w:rPr>
        <w:t xml:space="preserve"> Group, functions were performed by 20.7% of all enterprises commissioning activities abroad (15.8% in the </w:t>
      </w:r>
      <w:r w:rsidR="008E1940" w:rsidRPr="00F71D84">
        <w:rPr>
          <w:shd w:val="clear" w:color="auto" w:fill="FFFFFF"/>
          <w:lang w:val="en-GB"/>
        </w:rPr>
        <w:t>Czechia</w:t>
      </w:r>
      <w:r w:rsidRPr="00F71D84">
        <w:rPr>
          <w:shd w:val="clear" w:color="auto" w:fill="FFFFFF"/>
          <w:lang w:val="en-GB"/>
        </w:rPr>
        <w:t>, 7.8% in Slovakia, 6.8% in Hungary).</w:t>
      </w:r>
    </w:p>
    <w:p w:rsidR="00C052AE" w:rsidRPr="00F71D84" w:rsidRDefault="00170202" w:rsidP="009F1D8F">
      <w:pPr>
        <w:pStyle w:val="Tytutablicy"/>
        <w:tabs>
          <w:tab w:val="left" w:pos="709"/>
        </w:tabs>
        <w:ind w:left="709" w:hanging="709"/>
        <w:rPr>
          <w:lang w:val="en-GB"/>
        </w:rPr>
      </w:pPr>
      <w:r w:rsidRPr="00F71D84">
        <w:rPr>
          <w:lang w:val="en-GB"/>
        </w:rPr>
        <w:t xml:space="preserve">Table 2. </w:t>
      </w:r>
      <w:r w:rsidR="009F1D8F" w:rsidRPr="00F71D84">
        <w:rPr>
          <w:lang w:val="en-GB"/>
        </w:rPr>
        <w:t xml:space="preserve">Percentage of enterprises sourcing business functions externally abroad by selected areas in </w:t>
      </w:r>
      <w:r w:rsidRPr="00F71D84">
        <w:rPr>
          <w:lang w:val="en-GB"/>
        </w:rPr>
        <w:t>2021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2. Percentage of enterprises sourcing business functions externally abroad by selected areas in 2021"/>
      </w:tblPr>
      <w:tblGrid>
        <w:gridCol w:w="3941"/>
        <w:gridCol w:w="879"/>
        <w:gridCol w:w="850"/>
        <w:gridCol w:w="851"/>
        <w:gridCol w:w="708"/>
        <w:gridCol w:w="709"/>
      </w:tblGrid>
      <w:tr w:rsidR="00170202" w:rsidRPr="00F71D84" w:rsidTr="004E1B9F">
        <w:trPr>
          <w:trHeight w:val="843"/>
        </w:trPr>
        <w:tc>
          <w:tcPr>
            <w:tcW w:w="3941" w:type="dxa"/>
            <w:vMerge w:val="restart"/>
            <w:vAlign w:val="center"/>
            <w:hideMark/>
          </w:tcPr>
          <w:p w:rsidR="00170202" w:rsidRPr="00F71D84" w:rsidRDefault="00170202" w:rsidP="00170202">
            <w:pPr>
              <w:pStyle w:val="Tablicagwka"/>
              <w:ind w:left="0"/>
              <w:jc w:val="center"/>
              <w:rPr>
                <w:lang w:val="en-GB"/>
              </w:rPr>
            </w:pPr>
            <w:r w:rsidRPr="00F71D84">
              <w:rPr>
                <w:lang w:val="en-GB"/>
              </w:rPr>
              <w:t>Business functions</w:t>
            </w:r>
          </w:p>
        </w:tc>
        <w:tc>
          <w:tcPr>
            <w:tcW w:w="879" w:type="dxa"/>
            <w:vAlign w:val="center"/>
          </w:tcPr>
          <w:p w:rsidR="00170202" w:rsidRPr="00F71D84" w:rsidRDefault="00277FB4" w:rsidP="00170202">
            <w:pPr>
              <w:pStyle w:val="Tablicagwka"/>
              <w:ind w:left="0"/>
              <w:jc w:val="center"/>
              <w:rPr>
                <w:lang w:val="en-GB"/>
              </w:rPr>
            </w:pPr>
            <w:r w:rsidRPr="00F71D84">
              <w:rPr>
                <w:lang w:val="en-GB"/>
              </w:rPr>
              <w:t>Total</w:t>
            </w:r>
          </w:p>
        </w:tc>
        <w:tc>
          <w:tcPr>
            <w:tcW w:w="850" w:type="dxa"/>
            <w:vAlign w:val="center"/>
          </w:tcPr>
          <w:p w:rsidR="00170202" w:rsidRPr="00F71D84" w:rsidRDefault="00170202" w:rsidP="00170202">
            <w:pPr>
              <w:pStyle w:val="Tablicagwka"/>
              <w:ind w:left="0"/>
              <w:jc w:val="center"/>
              <w:rPr>
                <w:lang w:val="en-GB"/>
              </w:rPr>
            </w:pPr>
            <w:r w:rsidRPr="00F71D84">
              <w:rPr>
                <w:lang w:val="en-GB"/>
              </w:rPr>
              <w:t>Europ</w:t>
            </w:r>
            <w:r w:rsidR="00277FB4" w:rsidRPr="00F71D84">
              <w:rPr>
                <w:lang w:val="en-GB"/>
              </w:rPr>
              <w:t>e</w:t>
            </w:r>
          </w:p>
        </w:tc>
        <w:tc>
          <w:tcPr>
            <w:tcW w:w="851" w:type="dxa"/>
            <w:vAlign w:val="center"/>
          </w:tcPr>
          <w:p w:rsidR="00170202" w:rsidRPr="00F71D84" w:rsidRDefault="00484090" w:rsidP="00170202">
            <w:pPr>
              <w:pStyle w:val="Tablicagwka"/>
              <w:ind w:left="0"/>
              <w:jc w:val="center"/>
              <w:rPr>
                <w:lang w:val="en-GB"/>
              </w:rPr>
            </w:pPr>
            <w:r w:rsidRPr="00F71D84">
              <w:rPr>
                <w:lang w:val="en-GB"/>
              </w:rPr>
              <w:t>United States and Canada</w:t>
            </w:r>
          </w:p>
        </w:tc>
        <w:tc>
          <w:tcPr>
            <w:tcW w:w="708" w:type="dxa"/>
            <w:vAlign w:val="center"/>
          </w:tcPr>
          <w:p w:rsidR="00170202" w:rsidRPr="00F71D84" w:rsidRDefault="00170202" w:rsidP="00170202">
            <w:pPr>
              <w:pStyle w:val="Tablicagwka"/>
              <w:ind w:left="0"/>
              <w:contextualSpacing w:val="0"/>
              <w:jc w:val="center"/>
              <w:rPr>
                <w:lang w:val="en-GB"/>
              </w:rPr>
            </w:pPr>
            <w:r w:rsidRPr="00F71D84">
              <w:rPr>
                <w:lang w:val="en-GB"/>
              </w:rPr>
              <w:t>Chin</w:t>
            </w:r>
            <w:r w:rsidR="00277FB4" w:rsidRPr="00F71D84">
              <w:rPr>
                <w:lang w:val="en-GB"/>
              </w:rPr>
              <w:t>a</w:t>
            </w:r>
          </w:p>
        </w:tc>
        <w:tc>
          <w:tcPr>
            <w:tcW w:w="709" w:type="dxa"/>
            <w:vAlign w:val="center"/>
          </w:tcPr>
          <w:p w:rsidR="00170202" w:rsidRPr="00F71D84" w:rsidRDefault="00170202" w:rsidP="00170202">
            <w:pPr>
              <w:pStyle w:val="Tablicagwka"/>
              <w:ind w:left="0"/>
              <w:contextualSpacing w:val="0"/>
              <w:jc w:val="center"/>
              <w:rPr>
                <w:lang w:val="en-GB"/>
              </w:rPr>
            </w:pPr>
            <w:r w:rsidRPr="00F71D84">
              <w:rPr>
                <w:lang w:val="en-GB"/>
              </w:rPr>
              <w:t>Indi</w:t>
            </w:r>
            <w:r w:rsidR="00277FB4" w:rsidRPr="00F71D84">
              <w:rPr>
                <w:lang w:val="en-GB"/>
              </w:rPr>
              <w:t>a</w:t>
            </w:r>
          </w:p>
        </w:tc>
      </w:tr>
      <w:tr w:rsidR="00170202" w:rsidRPr="00F71D84" w:rsidTr="004E1B9F">
        <w:trPr>
          <w:trHeight w:val="416"/>
        </w:trPr>
        <w:tc>
          <w:tcPr>
            <w:tcW w:w="3941" w:type="dxa"/>
            <w:vMerge/>
          </w:tcPr>
          <w:p w:rsidR="00170202" w:rsidRPr="00F71D84" w:rsidRDefault="00170202" w:rsidP="00170202">
            <w:pPr>
              <w:pStyle w:val="Tablicagwka"/>
              <w:ind w:left="0"/>
              <w:jc w:val="center"/>
              <w:rPr>
                <w:lang w:val="en-GB"/>
              </w:rPr>
            </w:pPr>
          </w:p>
        </w:tc>
        <w:tc>
          <w:tcPr>
            <w:tcW w:w="3997" w:type="dxa"/>
            <w:gridSpan w:val="5"/>
          </w:tcPr>
          <w:p w:rsidR="00170202" w:rsidRPr="00F71D84" w:rsidRDefault="00297FA3" w:rsidP="00170202">
            <w:pPr>
              <w:pStyle w:val="Tablicagwka"/>
              <w:ind w:left="0"/>
              <w:contextualSpacing w:val="0"/>
              <w:jc w:val="center"/>
              <w:rPr>
                <w:lang w:val="en-GB"/>
              </w:rPr>
            </w:pPr>
            <w:r w:rsidRPr="00F71D84">
              <w:rPr>
                <w:lang w:val="en-GB"/>
              </w:rPr>
              <w:t>in</w:t>
            </w:r>
            <w:r w:rsidR="00170202" w:rsidRPr="00F71D84">
              <w:rPr>
                <w:lang w:val="en-GB"/>
              </w:rPr>
              <w:t xml:space="preserve"> %</w:t>
            </w:r>
          </w:p>
        </w:tc>
      </w:tr>
      <w:tr w:rsidR="001A3BBE" w:rsidRPr="00F71D84" w:rsidTr="004E1B9F">
        <w:trPr>
          <w:trHeight w:val="300"/>
        </w:trPr>
        <w:tc>
          <w:tcPr>
            <w:tcW w:w="3941" w:type="dxa"/>
            <w:noWrap/>
          </w:tcPr>
          <w:p w:rsidR="001A3BBE" w:rsidRPr="00F71D84" w:rsidRDefault="001A3BBE" w:rsidP="001A3BBE">
            <w:pPr>
              <w:pStyle w:val="Tablicadanerodek"/>
              <w:jc w:val="left"/>
              <w:rPr>
                <w:lang w:val="en-GB"/>
              </w:rPr>
            </w:pPr>
            <w:r w:rsidRPr="00F71D84">
              <w:rPr>
                <w:lang w:val="en-GB"/>
              </w:rPr>
              <w:t>Production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color w:val="000000" w:themeColor="text1"/>
                <w:lang w:val="en-GB"/>
              </w:rPr>
              <w:t>100.0</w:t>
            </w:r>
          </w:p>
        </w:tc>
        <w:tc>
          <w:tcPr>
            <w:tcW w:w="850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94.7</w:t>
            </w:r>
          </w:p>
        </w:tc>
        <w:tc>
          <w:tcPr>
            <w:tcW w:w="851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5.6</w:t>
            </w:r>
          </w:p>
        </w:tc>
        <w:tc>
          <w:tcPr>
            <w:tcW w:w="708" w:type="dxa"/>
            <w:shd w:val="clear" w:color="auto" w:fill="auto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5.6</w:t>
            </w:r>
          </w:p>
        </w:tc>
        <w:tc>
          <w:tcPr>
            <w:tcW w:w="709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1.8</w:t>
            </w:r>
          </w:p>
        </w:tc>
      </w:tr>
      <w:tr w:rsidR="001A3BBE" w:rsidRPr="00F71D84" w:rsidTr="004E1B9F">
        <w:trPr>
          <w:trHeight w:val="300"/>
        </w:trPr>
        <w:tc>
          <w:tcPr>
            <w:tcW w:w="3941" w:type="dxa"/>
            <w:noWrap/>
          </w:tcPr>
          <w:p w:rsidR="001A3BBE" w:rsidRPr="00F71D84" w:rsidRDefault="001A3BBE" w:rsidP="001A3BBE">
            <w:pPr>
              <w:pStyle w:val="Tablicadanerodek"/>
              <w:jc w:val="left"/>
              <w:rPr>
                <w:lang w:val="en-GB"/>
              </w:rPr>
            </w:pPr>
            <w:r w:rsidRPr="00F71D84">
              <w:rPr>
                <w:lang w:val="en-GB"/>
              </w:rPr>
              <w:t>Management and administration</w:t>
            </w:r>
          </w:p>
        </w:tc>
        <w:tc>
          <w:tcPr>
            <w:tcW w:w="879" w:type="dxa"/>
            <w:shd w:val="clear" w:color="auto" w:fill="auto"/>
            <w:noWrap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color w:val="000000" w:themeColor="text1"/>
                <w:lang w:val="en-GB"/>
              </w:rPr>
              <w:t>100.0</w:t>
            </w:r>
          </w:p>
        </w:tc>
        <w:tc>
          <w:tcPr>
            <w:tcW w:w="850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94.8</w:t>
            </w:r>
          </w:p>
        </w:tc>
        <w:tc>
          <w:tcPr>
            <w:tcW w:w="851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13.4</w:t>
            </w:r>
          </w:p>
        </w:tc>
        <w:tc>
          <w:tcPr>
            <w:tcW w:w="708" w:type="dxa"/>
            <w:shd w:val="clear" w:color="auto" w:fill="auto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1.2</w:t>
            </w:r>
          </w:p>
        </w:tc>
        <w:tc>
          <w:tcPr>
            <w:tcW w:w="709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4.2</w:t>
            </w:r>
          </w:p>
        </w:tc>
      </w:tr>
      <w:tr w:rsidR="001A3BBE" w:rsidRPr="00F71D84" w:rsidTr="004E1B9F">
        <w:trPr>
          <w:trHeight w:val="300"/>
        </w:trPr>
        <w:tc>
          <w:tcPr>
            <w:tcW w:w="3941" w:type="dxa"/>
            <w:noWrap/>
          </w:tcPr>
          <w:p w:rsidR="001A3BBE" w:rsidRPr="00F71D84" w:rsidRDefault="001A3BBE" w:rsidP="001A3BBE">
            <w:pPr>
              <w:pStyle w:val="Tablicadanerodek"/>
              <w:jc w:val="left"/>
              <w:rPr>
                <w:lang w:val="en-GB"/>
              </w:rPr>
            </w:pPr>
            <w:r w:rsidRPr="00F71D84">
              <w:rPr>
                <w:lang w:val="en-GB"/>
              </w:rPr>
              <w:t>Engineering and related technical services</w:t>
            </w:r>
          </w:p>
        </w:tc>
        <w:tc>
          <w:tcPr>
            <w:tcW w:w="879" w:type="dxa"/>
            <w:shd w:val="clear" w:color="auto" w:fill="auto"/>
            <w:noWrap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color w:val="000000" w:themeColor="text1"/>
                <w:lang w:val="en-GB"/>
              </w:rPr>
              <w:t>100.0</w:t>
            </w:r>
          </w:p>
        </w:tc>
        <w:tc>
          <w:tcPr>
            <w:tcW w:w="850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94.8</w:t>
            </w:r>
          </w:p>
        </w:tc>
        <w:tc>
          <w:tcPr>
            <w:tcW w:w="851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12.9</w:t>
            </w:r>
          </w:p>
        </w:tc>
        <w:tc>
          <w:tcPr>
            <w:tcW w:w="708" w:type="dxa"/>
            <w:shd w:val="clear" w:color="auto" w:fill="auto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3.1</w:t>
            </w:r>
          </w:p>
        </w:tc>
        <w:tc>
          <w:tcPr>
            <w:tcW w:w="709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3.1</w:t>
            </w:r>
          </w:p>
        </w:tc>
      </w:tr>
      <w:tr w:rsidR="001A3BBE" w:rsidRPr="00F71D84" w:rsidTr="004E1B9F">
        <w:trPr>
          <w:trHeight w:val="300"/>
        </w:trPr>
        <w:tc>
          <w:tcPr>
            <w:tcW w:w="3941" w:type="dxa"/>
            <w:noWrap/>
          </w:tcPr>
          <w:p w:rsidR="001A3BBE" w:rsidRPr="00F71D84" w:rsidRDefault="001A3BBE" w:rsidP="001A3BBE">
            <w:pPr>
              <w:pStyle w:val="Tablicadanerodek"/>
              <w:jc w:val="left"/>
              <w:rPr>
                <w:lang w:val="en-GB"/>
              </w:rPr>
            </w:pPr>
            <w:r w:rsidRPr="00F71D84">
              <w:rPr>
                <w:lang w:val="en-GB"/>
              </w:rPr>
              <w:t>Research and development</w:t>
            </w:r>
          </w:p>
        </w:tc>
        <w:tc>
          <w:tcPr>
            <w:tcW w:w="879" w:type="dxa"/>
            <w:shd w:val="clear" w:color="auto" w:fill="auto"/>
            <w:noWrap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color w:val="000000" w:themeColor="text1"/>
                <w:lang w:val="en-GB"/>
              </w:rPr>
              <w:t>100.0</w:t>
            </w:r>
          </w:p>
        </w:tc>
        <w:tc>
          <w:tcPr>
            <w:tcW w:w="850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88.8</w:t>
            </w:r>
          </w:p>
        </w:tc>
        <w:tc>
          <w:tcPr>
            <w:tcW w:w="851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13.6</w:t>
            </w:r>
          </w:p>
        </w:tc>
        <w:tc>
          <w:tcPr>
            <w:tcW w:w="708" w:type="dxa"/>
            <w:shd w:val="clear" w:color="auto" w:fill="auto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5.3</w:t>
            </w:r>
          </w:p>
        </w:tc>
        <w:tc>
          <w:tcPr>
            <w:tcW w:w="709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1.9</w:t>
            </w:r>
          </w:p>
        </w:tc>
      </w:tr>
      <w:tr w:rsidR="001A3BBE" w:rsidRPr="00F71D84" w:rsidTr="004E1B9F">
        <w:trPr>
          <w:trHeight w:val="300"/>
        </w:trPr>
        <w:tc>
          <w:tcPr>
            <w:tcW w:w="3941" w:type="dxa"/>
            <w:noWrap/>
          </w:tcPr>
          <w:p w:rsidR="001A3BBE" w:rsidRPr="00F71D84" w:rsidRDefault="001A3BBE" w:rsidP="001A3BBE">
            <w:pPr>
              <w:pStyle w:val="Tablicadanerodek"/>
              <w:jc w:val="left"/>
              <w:rPr>
                <w:lang w:val="en-GB"/>
              </w:rPr>
            </w:pPr>
            <w:r w:rsidRPr="00F71D84">
              <w:rPr>
                <w:lang w:val="en-GB"/>
              </w:rPr>
              <w:t>Information technologies</w:t>
            </w:r>
          </w:p>
        </w:tc>
        <w:tc>
          <w:tcPr>
            <w:tcW w:w="879" w:type="dxa"/>
            <w:shd w:val="clear" w:color="auto" w:fill="auto"/>
            <w:noWrap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color w:val="000000" w:themeColor="text1"/>
                <w:lang w:val="en-GB"/>
              </w:rPr>
              <w:t>100.0</w:t>
            </w:r>
          </w:p>
        </w:tc>
        <w:tc>
          <w:tcPr>
            <w:tcW w:w="850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92.3</w:t>
            </w:r>
          </w:p>
        </w:tc>
        <w:tc>
          <w:tcPr>
            <w:tcW w:w="851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14.6</w:t>
            </w:r>
          </w:p>
        </w:tc>
        <w:tc>
          <w:tcPr>
            <w:tcW w:w="708" w:type="dxa"/>
            <w:shd w:val="clear" w:color="auto" w:fill="auto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0.8</w:t>
            </w:r>
          </w:p>
        </w:tc>
        <w:tc>
          <w:tcPr>
            <w:tcW w:w="709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3.5</w:t>
            </w:r>
          </w:p>
        </w:tc>
      </w:tr>
      <w:tr w:rsidR="001A3BBE" w:rsidRPr="00F71D84" w:rsidTr="004E1B9F">
        <w:trPr>
          <w:trHeight w:val="300"/>
        </w:trPr>
        <w:tc>
          <w:tcPr>
            <w:tcW w:w="3941" w:type="dxa"/>
            <w:noWrap/>
          </w:tcPr>
          <w:p w:rsidR="001A3BBE" w:rsidRPr="00F71D84" w:rsidRDefault="001A3BBE" w:rsidP="001A3BBE">
            <w:pPr>
              <w:pStyle w:val="Tablicadanerodek"/>
              <w:jc w:val="left"/>
              <w:rPr>
                <w:lang w:val="en-GB"/>
              </w:rPr>
            </w:pPr>
            <w:r w:rsidRPr="00F71D84">
              <w:rPr>
                <w:lang w:val="en-GB"/>
              </w:rPr>
              <w:t>Marketing, sales and after-sales service</w:t>
            </w:r>
          </w:p>
        </w:tc>
        <w:tc>
          <w:tcPr>
            <w:tcW w:w="879" w:type="dxa"/>
            <w:shd w:val="clear" w:color="auto" w:fill="auto"/>
            <w:noWrap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color w:val="000000" w:themeColor="text1"/>
                <w:lang w:val="en-GB"/>
              </w:rPr>
              <w:t>100.0</w:t>
            </w:r>
          </w:p>
        </w:tc>
        <w:tc>
          <w:tcPr>
            <w:tcW w:w="850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96.2</w:t>
            </w:r>
          </w:p>
        </w:tc>
        <w:tc>
          <w:tcPr>
            <w:tcW w:w="851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9.9</w:t>
            </w:r>
          </w:p>
        </w:tc>
        <w:tc>
          <w:tcPr>
            <w:tcW w:w="708" w:type="dxa"/>
            <w:shd w:val="clear" w:color="auto" w:fill="auto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1.2</w:t>
            </w:r>
          </w:p>
        </w:tc>
        <w:tc>
          <w:tcPr>
            <w:tcW w:w="709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1.2</w:t>
            </w:r>
          </w:p>
        </w:tc>
      </w:tr>
      <w:tr w:rsidR="001A3BBE" w:rsidRPr="00F71D84" w:rsidTr="004E1B9F">
        <w:trPr>
          <w:trHeight w:val="300"/>
        </w:trPr>
        <w:tc>
          <w:tcPr>
            <w:tcW w:w="3941" w:type="dxa"/>
            <w:noWrap/>
          </w:tcPr>
          <w:p w:rsidR="001A3BBE" w:rsidRPr="00F71D84" w:rsidRDefault="001A3BBE" w:rsidP="001A3BBE">
            <w:pPr>
              <w:pStyle w:val="Tablicadanerodek"/>
              <w:jc w:val="left"/>
              <w:rPr>
                <w:lang w:val="en-GB"/>
              </w:rPr>
            </w:pPr>
            <w:r w:rsidRPr="00F71D84">
              <w:rPr>
                <w:lang w:val="en-GB"/>
              </w:rPr>
              <w:t>Transport, logistics and storage</w:t>
            </w:r>
          </w:p>
        </w:tc>
        <w:tc>
          <w:tcPr>
            <w:tcW w:w="879" w:type="dxa"/>
            <w:shd w:val="clear" w:color="auto" w:fill="auto"/>
            <w:noWrap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color w:val="000000" w:themeColor="text1"/>
                <w:lang w:val="en-GB"/>
              </w:rPr>
              <w:t>100.0</w:t>
            </w:r>
          </w:p>
        </w:tc>
        <w:tc>
          <w:tcPr>
            <w:tcW w:w="850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97.9</w:t>
            </w:r>
          </w:p>
        </w:tc>
        <w:tc>
          <w:tcPr>
            <w:tcW w:w="851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4.5</w:t>
            </w:r>
          </w:p>
        </w:tc>
        <w:tc>
          <w:tcPr>
            <w:tcW w:w="708" w:type="dxa"/>
            <w:shd w:val="clear" w:color="auto" w:fill="auto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2.7</w:t>
            </w:r>
          </w:p>
        </w:tc>
        <w:tc>
          <w:tcPr>
            <w:tcW w:w="709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1.3</w:t>
            </w:r>
          </w:p>
        </w:tc>
      </w:tr>
      <w:tr w:rsidR="001A3BBE" w:rsidRPr="00F71D84" w:rsidTr="004E1B9F">
        <w:trPr>
          <w:trHeight w:val="300"/>
        </w:trPr>
        <w:tc>
          <w:tcPr>
            <w:tcW w:w="3941" w:type="dxa"/>
            <w:noWrap/>
          </w:tcPr>
          <w:p w:rsidR="001A3BBE" w:rsidRPr="00F71D84" w:rsidRDefault="001A3BBE" w:rsidP="001A3BBE">
            <w:pPr>
              <w:pStyle w:val="Tablicadanerodek"/>
              <w:jc w:val="left"/>
              <w:rPr>
                <w:lang w:val="en-GB"/>
              </w:rPr>
            </w:pPr>
            <w:r w:rsidRPr="00F71D84">
              <w:rPr>
                <w:lang w:val="en-GB"/>
              </w:rPr>
              <w:t>Other business functions</w:t>
            </w:r>
          </w:p>
        </w:tc>
        <w:tc>
          <w:tcPr>
            <w:tcW w:w="879" w:type="dxa"/>
            <w:shd w:val="clear" w:color="auto" w:fill="auto"/>
            <w:noWrap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color w:val="000000" w:themeColor="text1"/>
                <w:lang w:val="en-GB"/>
              </w:rPr>
              <w:t>100.0</w:t>
            </w:r>
          </w:p>
        </w:tc>
        <w:tc>
          <w:tcPr>
            <w:tcW w:w="850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96.8</w:t>
            </w:r>
          </w:p>
        </w:tc>
        <w:tc>
          <w:tcPr>
            <w:tcW w:w="851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11.1</w:t>
            </w:r>
          </w:p>
        </w:tc>
        <w:tc>
          <w:tcPr>
            <w:tcW w:w="708" w:type="dxa"/>
            <w:shd w:val="clear" w:color="auto" w:fill="auto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2.2</w:t>
            </w:r>
          </w:p>
        </w:tc>
        <w:tc>
          <w:tcPr>
            <w:tcW w:w="709" w:type="dxa"/>
          </w:tcPr>
          <w:p w:rsidR="001A3BBE" w:rsidRPr="00F71D84" w:rsidRDefault="001A3BBE" w:rsidP="001A3BBE">
            <w:pPr>
              <w:pStyle w:val="Tablicadanerodek"/>
              <w:rPr>
                <w:color w:val="000000" w:themeColor="text1"/>
                <w:lang w:val="en-GB"/>
              </w:rPr>
            </w:pPr>
            <w:r w:rsidRPr="00F71D84">
              <w:rPr>
                <w:lang w:val="en-GB"/>
              </w:rPr>
              <w:t>2.9</w:t>
            </w:r>
          </w:p>
        </w:tc>
      </w:tr>
      <w:bookmarkEnd w:id="11"/>
    </w:tbl>
    <w:p w:rsidR="00FC22EC" w:rsidRPr="00F71D84" w:rsidRDefault="00FC22EC" w:rsidP="00CB62D2">
      <w:pPr>
        <w:rPr>
          <w:sz w:val="18"/>
          <w:lang w:val="en-GB"/>
        </w:rPr>
      </w:pPr>
    </w:p>
    <w:p w:rsidR="00FC22EC" w:rsidRPr="00F71D84" w:rsidRDefault="00FC22EC">
      <w:pPr>
        <w:spacing w:before="0" w:after="160" w:line="259" w:lineRule="auto"/>
        <w:rPr>
          <w:sz w:val="18"/>
          <w:lang w:val="en-GB"/>
        </w:rPr>
      </w:pPr>
      <w:r w:rsidRPr="00F71D84">
        <w:rPr>
          <w:sz w:val="18"/>
          <w:lang w:val="en-GB"/>
        </w:rPr>
        <w:br w:type="page"/>
      </w:r>
    </w:p>
    <w:p w:rsidR="00CB62D2" w:rsidRPr="00F71D84" w:rsidRDefault="00CB62D2" w:rsidP="00CB62D2">
      <w:pPr>
        <w:rPr>
          <w:sz w:val="18"/>
          <w:lang w:val="en-GB"/>
        </w:rPr>
      </w:pPr>
      <w:r w:rsidRPr="00F71D84">
        <w:rPr>
          <w:sz w:val="18"/>
          <w:lang w:val="en-GB"/>
        </w:rPr>
        <w:lastRenderedPageBreak/>
        <w:t xml:space="preserve">The data presented in this study concern 43,331 legal entities with 10 or more </w:t>
      </w:r>
      <w:r w:rsidR="008E1940" w:rsidRPr="00F71D84">
        <w:rPr>
          <w:sz w:val="18"/>
          <w:lang w:val="en-GB"/>
        </w:rPr>
        <w:t>persons employed</w:t>
      </w:r>
      <w:r w:rsidRPr="00F71D84">
        <w:rPr>
          <w:sz w:val="18"/>
          <w:lang w:val="en-GB"/>
        </w:rPr>
        <w:t>, organized in the form of civil law partnerships, partnerships, capital companies, branches of foreign entrepreneurs, state</w:t>
      </w:r>
      <w:r w:rsidR="005A7C26" w:rsidRPr="00F71D84">
        <w:rPr>
          <w:sz w:val="18"/>
          <w:lang w:val="en-GB"/>
        </w:rPr>
        <w:t>-owned</w:t>
      </w:r>
      <w:r w:rsidRPr="00F71D84">
        <w:rPr>
          <w:sz w:val="18"/>
          <w:lang w:val="en-GB"/>
        </w:rPr>
        <w:t xml:space="preserve"> enterprises, whose predominant type of activity is classified into the following sections according to the Polish Classification of Activities (PKD 2007): B, C, D, E, F, G, H, I, J (excluding cultural institutions with legal personality), K (excluding banks, cooperative savings and credit unions, insurance </w:t>
      </w:r>
      <w:r w:rsidR="008E1940" w:rsidRPr="00F71D84">
        <w:rPr>
          <w:sz w:val="18"/>
          <w:lang w:val="en-GB"/>
        </w:rPr>
        <w:t>companies,</w:t>
      </w:r>
      <w:r w:rsidRPr="00F71D84">
        <w:rPr>
          <w:sz w:val="18"/>
          <w:lang w:val="en-GB"/>
        </w:rPr>
        <w:t xml:space="preserve"> brokerage houses, investment companies and funds as well as pension companies and funds), L, M, N, P (excluding </w:t>
      </w:r>
      <w:r w:rsidR="008E1940" w:rsidRPr="00F71D84">
        <w:rPr>
          <w:sz w:val="18"/>
          <w:lang w:val="en-GB"/>
        </w:rPr>
        <w:t>higher education</w:t>
      </w:r>
      <w:r w:rsidRPr="00F71D84">
        <w:rPr>
          <w:sz w:val="18"/>
          <w:lang w:val="en-GB"/>
        </w:rPr>
        <w:t xml:space="preserve">), Q (excluding independent </w:t>
      </w:r>
      <w:r w:rsidR="008E1940" w:rsidRPr="00F71D84">
        <w:rPr>
          <w:sz w:val="18"/>
          <w:lang w:val="en-GB"/>
        </w:rPr>
        <w:t>health care facilities</w:t>
      </w:r>
      <w:r w:rsidRPr="00F71D84">
        <w:rPr>
          <w:sz w:val="18"/>
          <w:lang w:val="en-GB"/>
        </w:rPr>
        <w:t xml:space="preserve">), R (excluding cultural institutions with legal personality), S (excluding </w:t>
      </w:r>
      <w:r w:rsidR="005A7C26" w:rsidRPr="00F71D84">
        <w:rPr>
          <w:sz w:val="18"/>
          <w:lang w:val="en-GB"/>
        </w:rPr>
        <w:t xml:space="preserve">division </w:t>
      </w:r>
      <w:r w:rsidRPr="00F71D84">
        <w:rPr>
          <w:sz w:val="18"/>
          <w:lang w:val="en-GB"/>
        </w:rPr>
        <w:t>94).</w:t>
      </w:r>
    </w:p>
    <w:p w:rsidR="00D53359" w:rsidRPr="00F71D84" w:rsidRDefault="00CB62D2" w:rsidP="00CB62D2">
      <w:pPr>
        <w:rPr>
          <w:sz w:val="18"/>
          <w:lang w:val="en-GB"/>
        </w:rPr>
      </w:pPr>
      <w:r w:rsidRPr="00F71D84">
        <w:rPr>
          <w:sz w:val="18"/>
          <w:lang w:val="en-GB"/>
        </w:rPr>
        <w:t xml:space="preserve">The study of global value chains has been conducted at the </w:t>
      </w:r>
      <w:r w:rsidR="005A7C26" w:rsidRPr="00F71D84">
        <w:rPr>
          <w:sz w:val="18"/>
          <w:lang w:val="en-GB"/>
        </w:rPr>
        <w:t>Statistics Poland</w:t>
      </w:r>
      <w:r w:rsidRPr="00F71D84">
        <w:rPr>
          <w:sz w:val="18"/>
          <w:lang w:val="en-GB"/>
        </w:rPr>
        <w:t xml:space="preserve"> since 2021. The first results of the study so far have allowed for a preliminary analysis of the value chains of domestic enterprises, based on the business function. </w:t>
      </w:r>
      <w:r w:rsidR="005A7C26" w:rsidRPr="00F71D84">
        <w:rPr>
          <w:sz w:val="18"/>
          <w:lang w:val="en-GB"/>
        </w:rPr>
        <w:t xml:space="preserve">The following </w:t>
      </w:r>
      <w:r w:rsidRPr="00F71D84">
        <w:rPr>
          <w:sz w:val="18"/>
          <w:lang w:val="en-GB"/>
        </w:rPr>
        <w:t>8 business functions have been distinguished:</w:t>
      </w:r>
    </w:p>
    <w:p w:rsidR="00622257" w:rsidRPr="00F71D84" w:rsidRDefault="00622257" w:rsidP="00622257">
      <w:pPr>
        <w:numPr>
          <w:ilvl w:val="0"/>
          <w:numId w:val="8"/>
        </w:numPr>
        <w:ind w:left="426"/>
        <w:contextualSpacing/>
        <w:rPr>
          <w:rFonts w:eastAsia="Fira Sans Light" w:cs="Times New Roman"/>
          <w:sz w:val="18"/>
          <w:lang w:val="en-GB"/>
        </w:rPr>
      </w:pPr>
      <w:r w:rsidRPr="00F71D84">
        <w:rPr>
          <w:rFonts w:eastAsia="Fira Sans Light" w:cs="Times New Roman"/>
          <w:sz w:val="18"/>
          <w:lang w:val="en-GB"/>
        </w:rPr>
        <w:t>Production (manufacturing and assembly, production of energy and extraction of raw materials, construction);</w:t>
      </w:r>
    </w:p>
    <w:p w:rsidR="00622257" w:rsidRPr="00F71D84" w:rsidRDefault="00622257" w:rsidP="00622257">
      <w:pPr>
        <w:numPr>
          <w:ilvl w:val="0"/>
          <w:numId w:val="8"/>
        </w:numPr>
        <w:ind w:left="426"/>
        <w:contextualSpacing/>
        <w:rPr>
          <w:rFonts w:eastAsia="Fira Sans Light" w:cs="Times New Roman"/>
          <w:sz w:val="18"/>
          <w:lang w:val="en-GB"/>
        </w:rPr>
      </w:pPr>
      <w:r w:rsidRPr="00F71D84">
        <w:rPr>
          <w:rFonts w:eastAsia="Fira Sans Light" w:cs="Times New Roman"/>
          <w:sz w:val="18"/>
          <w:lang w:val="en-GB"/>
        </w:rPr>
        <w:t>Management and administration;</w:t>
      </w:r>
    </w:p>
    <w:p w:rsidR="00622257" w:rsidRPr="00F71D84" w:rsidRDefault="00622257" w:rsidP="00622257">
      <w:pPr>
        <w:numPr>
          <w:ilvl w:val="0"/>
          <w:numId w:val="8"/>
        </w:numPr>
        <w:ind w:left="426"/>
        <w:contextualSpacing/>
        <w:rPr>
          <w:rFonts w:eastAsia="Fira Sans Light" w:cs="Times New Roman"/>
          <w:sz w:val="18"/>
          <w:lang w:val="en-GB"/>
        </w:rPr>
      </w:pPr>
      <w:r w:rsidRPr="00F71D84">
        <w:rPr>
          <w:rFonts w:eastAsia="Fira Sans Light" w:cs="Times New Roman"/>
          <w:sz w:val="18"/>
          <w:lang w:val="en-GB"/>
        </w:rPr>
        <w:t>Engineering and related technical services;</w:t>
      </w:r>
    </w:p>
    <w:p w:rsidR="00622257" w:rsidRPr="00F71D84" w:rsidRDefault="00622257" w:rsidP="00622257">
      <w:pPr>
        <w:numPr>
          <w:ilvl w:val="0"/>
          <w:numId w:val="8"/>
        </w:numPr>
        <w:ind w:left="426"/>
        <w:contextualSpacing/>
        <w:rPr>
          <w:rFonts w:eastAsia="Fira Sans Light" w:cs="Times New Roman"/>
          <w:sz w:val="18"/>
          <w:lang w:val="en-GB"/>
        </w:rPr>
      </w:pPr>
      <w:r w:rsidRPr="00F71D84">
        <w:rPr>
          <w:rFonts w:eastAsia="Fira Sans Light" w:cs="Times New Roman"/>
          <w:sz w:val="18"/>
          <w:lang w:val="en-GB"/>
        </w:rPr>
        <w:t>Research and development;</w:t>
      </w:r>
    </w:p>
    <w:p w:rsidR="00622257" w:rsidRPr="00F71D84" w:rsidRDefault="00622257" w:rsidP="00622257">
      <w:pPr>
        <w:numPr>
          <w:ilvl w:val="0"/>
          <w:numId w:val="8"/>
        </w:numPr>
        <w:ind w:left="426"/>
        <w:contextualSpacing/>
        <w:rPr>
          <w:rFonts w:eastAsia="Fira Sans Light" w:cs="Times New Roman"/>
          <w:sz w:val="18"/>
          <w:lang w:val="en-GB"/>
        </w:rPr>
      </w:pPr>
      <w:r w:rsidRPr="00F71D84">
        <w:rPr>
          <w:rFonts w:eastAsia="Fira Sans Light" w:cs="Times New Roman"/>
          <w:sz w:val="18"/>
          <w:lang w:val="en-GB"/>
        </w:rPr>
        <w:t>Information technology (information technology services, software programming,</w:t>
      </w:r>
      <w:r w:rsidRPr="00F71D84">
        <w:rPr>
          <w:rFonts w:eastAsia="Fira Sans Light" w:cs="Times New Roman"/>
          <w:lang w:val="en-GB"/>
        </w:rPr>
        <w:t xml:space="preserve"> </w:t>
      </w:r>
      <w:r w:rsidRPr="00F71D84">
        <w:rPr>
          <w:rFonts w:eastAsia="Fira Sans Light" w:cs="Times New Roman"/>
          <w:sz w:val="18"/>
          <w:lang w:val="en-GB"/>
        </w:rPr>
        <w:t>IT system installation, maintenance, help desk services, telecommunication);</w:t>
      </w:r>
    </w:p>
    <w:p w:rsidR="00622257" w:rsidRPr="00F71D84" w:rsidRDefault="00622257" w:rsidP="00622257">
      <w:pPr>
        <w:numPr>
          <w:ilvl w:val="0"/>
          <w:numId w:val="8"/>
        </w:numPr>
        <w:ind w:left="426"/>
        <w:contextualSpacing/>
        <w:rPr>
          <w:rFonts w:eastAsia="Fira Sans Light" w:cs="Times New Roman"/>
          <w:sz w:val="18"/>
          <w:lang w:val="en-GB"/>
        </w:rPr>
      </w:pPr>
      <w:r w:rsidRPr="00F71D84">
        <w:rPr>
          <w:rFonts w:eastAsia="Fira Sans Light" w:cs="Times New Roman"/>
          <w:sz w:val="18"/>
          <w:lang w:val="en-GB"/>
        </w:rPr>
        <w:t>Marketing, sales and after-sales services;</w:t>
      </w:r>
    </w:p>
    <w:p w:rsidR="00622257" w:rsidRPr="00F71D84" w:rsidRDefault="00622257" w:rsidP="00622257">
      <w:pPr>
        <w:numPr>
          <w:ilvl w:val="0"/>
          <w:numId w:val="8"/>
        </w:numPr>
        <w:ind w:left="426"/>
        <w:contextualSpacing/>
        <w:rPr>
          <w:rFonts w:eastAsia="Fira Sans Light" w:cs="Times New Roman"/>
          <w:sz w:val="18"/>
          <w:lang w:val="en-GB"/>
        </w:rPr>
      </w:pPr>
      <w:r w:rsidRPr="00F71D84">
        <w:rPr>
          <w:rFonts w:eastAsia="Fira Sans Light" w:cs="Times New Roman"/>
          <w:sz w:val="18"/>
          <w:lang w:val="en-GB"/>
        </w:rPr>
        <w:t>Transportation, logistics and storage;</w:t>
      </w:r>
    </w:p>
    <w:p w:rsidR="00622257" w:rsidRPr="00F71D84" w:rsidRDefault="00622257" w:rsidP="00622257">
      <w:pPr>
        <w:numPr>
          <w:ilvl w:val="0"/>
          <w:numId w:val="8"/>
        </w:numPr>
        <w:ind w:left="426"/>
        <w:contextualSpacing/>
        <w:rPr>
          <w:rFonts w:eastAsia="Fira Sans Light" w:cs="Times New Roman"/>
          <w:sz w:val="18"/>
          <w:lang w:val="en-GB"/>
        </w:rPr>
      </w:pPr>
      <w:r w:rsidRPr="00F71D84">
        <w:rPr>
          <w:rFonts w:eastAsia="Fira Sans Light" w:cs="Times New Roman"/>
          <w:sz w:val="18"/>
          <w:lang w:val="en-GB"/>
        </w:rPr>
        <w:t>Other business functions (facility management, maintenance and repair services and other services).</w:t>
      </w:r>
    </w:p>
    <w:p w:rsidR="00A7574C" w:rsidRPr="00F71D84" w:rsidRDefault="005A7C26" w:rsidP="00DA331D">
      <w:pPr>
        <w:spacing w:before="360"/>
        <w:rPr>
          <w:sz w:val="18"/>
          <w:lang w:val="en-GB"/>
        </w:rPr>
        <w:sectPr w:rsidR="00A7574C" w:rsidRPr="00F71D84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71D84">
        <w:rPr>
          <w:sz w:val="18"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F71D84" w:rsidTr="00B84C43">
        <w:trPr>
          <w:trHeight w:val="1626"/>
        </w:trPr>
        <w:tc>
          <w:tcPr>
            <w:tcW w:w="4926" w:type="dxa"/>
          </w:tcPr>
          <w:bookmarkEnd w:id="7"/>
          <w:p w:rsidR="00DE2400" w:rsidRPr="00F71D84" w:rsidRDefault="00426E29" w:rsidP="00DE240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F71D84"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="00DE2400" w:rsidRPr="00F71D84">
              <w:rPr>
                <w:rFonts w:cs="Arial"/>
                <w:sz w:val="20"/>
                <w:lang w:val="en-GB"/>
              </w:rPr>
              <w:t>:</w:t>
            </w:r>
          </w:p>
          <w:p w:rsidR="00DE2400" w:rsidRPr="00F71D84" w:rsidRDefault="00426E29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F71D8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Enterprises </w:t>
            </w:r>
            <w:r w:rsidR="003E391E" w:rsidRPr="00F71D84">
              <w:rPr>
                <w:rFonts w:cs="Arial"/>
                <w:b/>
                <w:color w:val="000000" w:themeColor="text1"/>
                <w:sz w:val="20"/>
                <w:lang w:val="en-GB"/>
              </w:rPr>
              <w:t>Department</w:t>
            </w:r>
          </w:p>
          <w:p w:rsidR="00DE2400" w:rsidRPr="00F71D84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F71D84">
              <w:rPr>
                <w:b/>
                <w:sz w:val="20"/>
                <w:szCs w:val="20"/>
                <w:lang w:val="en-GB"/>
              </w:rPr>
              <w:t>D</w:t>
            </w:r>
            <w:r w:rsidR="003E391E" w:rsidRPr="00F71D84">
              <w:rPr>
                <w:b/>
                <w:sz w:val="20"/>
                <w:szCs w:val="20"/>
                <w:lang w:val="en-GB"/>
              </w:rPr>
              <w:t>irector</w:t>
            </w:r>
            <w:r w:rsidRPr="00F71D84">
              <w:rPr>
                <w:b/>
                <w:sz w:val="20"/>
                <w:szCs w:val="20"/>
                <w:lang w:val="en-GB"/>
              </w:rPr>
              <w:t xml:space="preserve"> </w:t>
            </w:r>
            <w:r w:rsidR="003A416B" w:rsidRPr="00F71D84">
              <w:rPr>
                <w:b/>
                <w:sz w:val="20"/>
                <w:szCs w:val="20"/>
                <w:lang w:val="en-GB"/>
              </w:rPr>
              <w:t>Katarzyna Walkowska</w:t>
            </w:r>
          </w:p>
          <w:p w:rsidR="00DE2400" w:rsidRPr="00F71D84" w:rsidRDefault="003E391E" w:rsidP="00253AB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</w:t>
            </w:r>
            <w:r w:rsidR="00DE2400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: </w:t>
            </w:r>
            <w:r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(+48 </w:t>
            </w:r>
            <w:r w:rsidR="00DE2400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22</w:t>
            </w:r>
            <w:r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)</w:t>
            </w:r>
            <w:r w:rsidR="00DE2400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="003A416B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608</w:t>
            </w:r>
            <w:r w:rsidR="00B16871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3A416B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35</w:t>
            </w:r>
            <w:r w:rsidR="00B16871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3A416B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66</w:t>
            </w:r>
          </w:p>
        </w:tc>
        <w:tc>
          <w:tcPr>
            <w:tcW w:w="4927" w:type="dxa"/>
          </w:tcPr>
          <w:p w:rsidR="00DE2400" w:rsidRPr="00F71D84" w:rsidRDefault="003E391E" w:rsidP="00075BD4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F71D84">
              <w:rPr>
                <w:rFonts w:cs="Arial"/>
                <w:sz w:val="20"/>
                <w:lang w:val="en-GB"/>
              </w:rPr>
              <w:t>Issued by</w:t>
            </w:r>
            <w:r w:rsidR="00DE2400" w:rsidRPr="00F71D84">
              <w:rPr>
                <w:rFonts w:cs="Arial"/>
                <w:sz w:val="20"/>
                <w:lang w:val="en-GB"/>
              </w:rPr>
              <w:t>:</w:t>
            </w:r>
            <w:r w:rsidR="00DE2400" w:rsidRPr="00F71D84">
              <w:rPr>
                <w:rFonts w:cs="Arial"/>
                <w:sz w:val="20"/>
                <w:lang w:val="en-GB"/>
              </w:rPr>
              <w:br/>
            </w:r>
            <w:r w:rsidRPr="00F71D84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</w:t>
            </w:r>
            <w:r w:rsidRPr="00F71D84">
              <w:rPr>
                <w:rFonts w:cs="Arial"/>
                <w:b/>
                <w:color w:val="000000" w:themeColor="text1"/>
                <w:sz w:val="20"/>
                <w:lang w:val="en-GB"/>
              </w:rPr>
              <w:br/>
              <w:t>of Statistics Poland</w:t>
            </w:r>
          </w:p>
          <w:p w:rsidR="00DE2400" w:rsidRPr="00F71D84" w:rsidRDefault="00DE2400" w:rsidP="00F03D62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F71D84">
              <w:rPr>
                <w:b/>
                <w:sz w:val="20"/>
                <w:szCs w:val="20"/>
                <w:lang w:val="en-GB"/>
              </w:rPr>
              <w:t>Karolina Banaszek</w:t>
            </w:r>
          </w:p>
          <w:p w:rsidR="00DE2400" w:rsidRPr="00F71D84" w:rsidRDefault="003E391E" w:rsidP="00331135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</w:t>
            </w:r>
            <w:r w:rsidR="00DE2400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: </w:t>
            </w:r>
            <w:r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(+48) </w:t>
            </w:r>
            <w:r w:rsidR="00DE2400" w:rsidRPr="00F71D8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695 255 011</w:t>
            </w:r>
          </w:p>
          <w:p w:rsidR="00DE2400" w:rsidRPr="00F71D84" w:rsidRDefault="00DE2400" w:rsidP="00747B8C">
            <w:pPr>
              <w:rPr>
                <w:sz w:val="18"/>
                <w:lang w:val="en-GB"/>
              </w:rPr>
            </w:pPr>
          </w:p>
        </w:tc>
      </w:tr>
      <w:tr w:rsidR="00DE2400" w:rsidRPr="00F71D84" w:rsidTr="00B84C43">
        <w:trPr>
          <w:trHeight w:val="418"/>
        </w:trPr>
        <w:tc>
          <w:tcPr>
            <w:tcW w:w="4926" w:type="dxa"/>
            <w:vMerge w:val="restart"/>
          </w:tcPr>
          <w:p w:rsidR="00DE2400" w:rsidRPr="00F71D84" w:rsidRDefault="003E391E" w:rsidP="00747B8C">
            <w:pPr>
              <w:rPr>
                <w:b/>
                <w:sz w:val="20"/>
                <w:lang w:val="en-GB"/>
              </w:rPr>
            </w:pPr>
            <w:r w:rsidRPr="00F71D84">
              <w:rPr>
                <w:b/>
                <w:sz w:val="20"/>
                <w:lang w:val="en-GB"/>
              </w:rPr>
              <w:t>Press Office</w:t>
            </w:r>
          </w:p>
          <w:p w:rsidR="00DE2400" w:rsidRPr="00F71D84" w:rsidRDefault="003E391E" w:rsidP="00075BD4">
            <w:pPr>
              <w:spacing w:before="0" w:after="0"/>
              <w:rPr>
                <w:sz w:val="20"/>
                <w:lang w:val="en-GB"/>
              </w:rPr>
            </w:pPr>
            <w:r w:rsidRPr="00F71D84">
              <w:rPr>
                <w:sz w:val="20"/>
                <w:lang w:val="en-GB"/>
              </w:rPr>
              <w:t>Phone</w:t>
            </w:r>
            <w:r w:rsidR="00DE2400" w:rsidRPr="00F71D84">
              <w:rPr>
                <w:sz w:val="20"/>
                <w:lang w:val="en-GB"/>
              </w:rPr>
              <w:t xml:space="preserve">: </w:t>
            </w:r>
            <w:r w:rsidRPr="00F71D84">
              <w:rPr>
                <w:sz w:val="20"/>
                <w:lang w:val="en-GB"/>
              </w:rPr>
              <w:t xml:space="preserve">(+48 </w:t>
            </w:r>
            <w:r w:rsidR="00DE2400" w:rsidRPr="00F71D84">
              <w:rPr>
                <w:sz w:val="20"/>
                <w:lang w:val="en-GB"/>
              </w:rPr>
              <w:t>22</w:t>
            </w:r>
            <w:r w:rsidRPr="00F71D84">
              <w:rPr>
                <w:sz w:val="20"/>
                <w:lang w:val="en-GB"/>
              </w:rPr>
              <w:t>)</w:t>
            </w:r>
            <w:r w:rsidR="00DE2400" w:rsidRPr="00F71D84">
              <w:rPr>
                <w:sz w:val="20"/>
                <w:lang w:val="en-GB"/>
              </w:rPr>
              <w:t xml:space="preserve"> 608 3</w:t>
            </w:r>
            <w:r w:rsidR="00E95036" w:rsidRPr="00F71D84">
              <w:rPr>
                <w:sz w:val="20"/>
                <w:lang w:val="en-GB"/>
              </w:rPr>
              <w:t>8 04</w:t>
            </w:r>
            <w:r w:rsidR="00DE2400" w:rsidRPr="00F71D84">
              <w:rPr>
                <w:sz w:val="20"/>
                <w:lang w:val="en-GB"/>
              </w:rPr>
              <w:t xml:space="preserve"> </w:t>
            </w:r>
          </w:p>
          <w:p w:rsidR="00DE2400" w:rsidRPr="00F71D84" w:rsidRDefault="00DE2400" w:rsidP="00747B8C">
            <w:pPr>
              <w:rPr>
                <w:sz w:val="18"/>
                <w:lang w:val="en-GB"/>
              </w:rPr>
            </w:pPr>
            <w:r w:rsidRPr="00F71D84">
              <w:rPr>
                <w:b/>
                <w:sz w:val="20"/>
                <w:lang w:val="en-GB"/>
              </w:rPr>
              <w:t>e-mail:</w:t>
            </w:r>
            <w:r w:rsidRPr="00F71D84">
              <w:rPr>
                <w:sz w:val="20"/>
                <w:lang w:val="en-GB"/>
              </w:rPr>
              <w:t xml:space="preserve"> </w:t>
            </w:r>
            <w:hyperlink r:id="rId20" w:history="1">
              <w:r w:rsidRPr="00F71D84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F71D84" w:rsidRDefault="00DE2400" w:rsidP="00747B8C">
            <w:pPr>
              <w:ind w:firstLine="680"/>
              <w:rPr>
                <w:sz w:val="18"/>
                <w:lang w:val="en-GB"/>
              </w:rPr>
            </w:pPr>
            <w:r w:rsidRPr="00F71D84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44256" behindDoc="0" locked="0" layoutInCell="1" allowOverlap="1" wp14:anchorId="160E4C2C" wp14:editId="3D8D02A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1D84">
              <w:rPr>
                <w:sz w:val="20"/>
                <w:lang w:val="en-GB"/>
              </w:rPr>
              <w:t>stat.gov.pl</w:t>
            </w:r>
            <w:r w:rsidR="00A65AA0" w:rsidRPr="00F71D84">
              <w:rPr>
                <w:sz w:val="20"/>
                <w:lang w:val="en-GB"/>
              </w:rPr>
              <w:t>/</w:t>
            </w:r>
            <w:proofErr w:type="spellStart"/>
            <w:r w:rsidR="00A65AA0" w:rsidRPr="00F71D84">
              <w:rPr>
                <w:sz w:val="20"/>
                <w:lang w:val="en-GB"/>
              </w:rPr>
              <w:t>en</w:t>
            </w:r>
            <w:proofErr w:type="spellEnd"/>
            <w:r w:rsidR="00A65AA0" w:rsidRPr="00F71D84">
              <w:rPr>
                <w:sz w:val="20"/>
                <w:lang w:val="en-GB"/>
              </w:rPr>
              <w:t>/</w:t>
            </w:r>
            <w:r w:rsidRPr="00F71D84">
              <w:rPr>
                <w:sz w:val="18"/>
                <w:lang w:val="en-GB"/>
              </w:rPr>
              <w:t xml:space="preserve">      </w:t>
            </w:r>
          </w:p>
        </w:tc>
      </w:tr>
      <w:tr w:rsidR="00DE2400" w:rsidRPr="00F71D84" w:rsidTr="00B84C43">
        <w:trPr>
          <w:trHeight w:val="418"/>
        </w:trPr>
        <w:tc>
          <w:tcPr>
            <w:tcW w:w="4926" w:type="dxa"/>
            <w:vMerge/>
          </w:tcPr>
          <w:p w:rsidR="00DE2400" w:rsidRPr="00F71D84" w:rsidRDefault="00DE2400" w:rsidP="00747B8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="00DE2400" w:rsidRPr="00F71D84" w:rsidRDefault="00531873" w:rsidP="00747B8C">
            <w:pPr>
              <w:ind w:firstLine="680"/>
              <w:rPr>
                <w:sz w:val="18"/>
                <w:lang w:val="en-GB"/>
              </w:rPr>
            </w:pPr>
            <w:r w:rsidRPr="00F71D84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45280" behindDoc="0" locked="0" layoutInCell="1" allowOverlap="1" wp14:anchorId="65ABDC97" wp14:editId="0D3A8CD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F71D84">
              <w:rPr>
                <w:sz w:val="20"/>
                <w:lang w:val="en-GB"/>
              </w:rPr>
              <w:t>@</w:t>
            </w:r>
            <w:proofErr w:type="spellStart"/>
            <w:r w:rsidR="00A65AA0" w:rsidRPr="00F71D84">
              <w:rPr>
                <w:sz w:val="20"/>
                <w:lang w:val="en-GB"/>
              </w:rPr>
              <w:t>StatPoland</w:t>
            </w:r>
            <w:proofErr w:type="spellEnd"/>
            <w:r w:rsidR="00DE2400" w:rsidRPr="00F71D8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DE2400" w:rsidRPr="00F71D84" w:rsidTr="00B84C43">
        <w:trPr>
          <w:trHeight w:val="476"/>
        </w:trPr>
        <w:tc>
          <w:tcPr>
            <w:tcW w:w="4926" w:type="dxa"/>
            <w:vMerge/>
          </w:tcPr>
          <w:p w:rsidR="00DE2400" w:rsidRPr="00F71D84" w:rsidRDefault="00DE2400" w:rsidP="00747B8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:rsidR="00DE2400" w:rsidRPr="00F71D84" w:rsidRDefault="00531873" w:rsidP="00747B8C">
            <w:pPr>
              <w:ind w:firstLine="680"/>
              <w:rPr>
                <w:sz w:val="18"/>
                <w:lang w:val="en-GB"/>
              </w:rPr>
            </w:pPr>
            <w:r w:rsidRPr="00F71D84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46304" behindDoc="0" locked="0" layoutInCell="1" allowOverlap="1" wp14:anchorId="1A39AA83" wp14:editId="314F22F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F71D84">
              <w:rPr>
                <w:sz w:val="20"/>
                <w:lang w:val="en-GB"/>
              </w:rPr>
              <w:t>@</w:t>
            </w:r>
            <w:proofErr w:type="spellStart"/>
            <w:r w:rsidR="00DE2400" w:rsidRPr="00F71D84">
              <w:rPr>
                <w:sz w:val="20"/>
                <w:lang w:val="en-GB"/>
              </w:rPr>
              <w:t>GlownyUrzadStatystyczny</w:t>
            </w:r>
            <w:proofErr w:type="spellEnd"/>
            <w:r w:rsidR="00DE2400" w:rsidRPr="00F71D8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531873" w:rsidRPr="00F71D84" w:rsidTr="00B84C43">
        <w:trPr>
          <w:trHeight w:val="426"/>
        </w:trPr>
        <w:tc>
          <w:tcPr>
            <w:tcW w:w="4926" w:type="dxa"/>
          </w:tcPr>
          <w:p w:rsidR="00531873" w:rsidRPr="00F71D84" w:rsidRDefault="00531873" w:rsidP="0053187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:rsidR="00531873" w:rsidRPr="00F71D84" w:rsidRDefault="00531873" w:rsidP="00531873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71D84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53472" behindDoc="0" locked="0" layoutInCell="1" allowOverlap="1" wp14:anchorId="43FDC449" wp14:editId="795FFAD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71D84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531873" w:rsidRPr="00F71D84" w:rsidTr="00B84C43">
        <w:trPr>
          <w:trHeight w:val="504"/>
        </w:trPr>
        <w:tc>
          <w:tcPr>
            <w:tcW w:w="4926" w:type="dxa"/>
          </w:tcPr>
          <w:p w:rsidR="00531873" w:rsidRPr="00F71D84" w:rsidRDefault="00531873" w:rsidP="0053187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:rsidR="00531873" w:rsidRPr="00F71D84" w:rsidRDefault="00531873" w:rsidP="00531873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71D84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55520" behindDoc="0" locked="0" layoutInCell="1" allowOverlap="1" wp14:anchorId="7226C72B" wp14:editId="54B3BE5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71D84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531873" w:rsidRPr="00F71D84" w:rsidTr="00B84C43">
        <w:trPr>
          <w:trHeight w:val="1546"/>
        </w:trPr>
        <w:tc>
          <w:tcPr>
            <w:tcW w:w="4926" w:type="dxa"/>
          </w:tcPr>
          <w:p w:rsidR="00531873" w:rsidRPr="00F71D84" w:rsidRDefault="00531873" w:rsidP="0053187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:rsidR="00531873" w:rsidRPr="00F71D84" w:rsidRDefault="00531873" w:rsidP="00531873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71D84">
              <w:rPr>
                <w:noProof/>
                <w:sz w:val="20"/>
                <w:lang w:val="en-GB" w:eastAsia="pl-PL"/>
              </w:rPr>
              <w:t>glownyurzadstatystyczny</w:t>
            </w:r>
            <w:r w:rsidRPr="00F71D84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57568" behindDoc="0" locked="0" layoutInCell="1" allowOverlap="1" wp14:anchorId="0E9939D1" wp14:editId="274BBB3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A95AD2" w:rsidTr="00BA7E10">
        <w:trPr>
          <w:trHeight w:val="1691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2F05C9" w:rsidRPr="00F71D84" w:rsidRDefault="002F05C9" w:rsidP="002F05C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F71D84">
              <w:rPr>
                <w:b/>
                <w:lang w:val="en-GB"/>
              </w:rPr>
              <w:t>Related publications</w:t>
            </w:r>
          </w:p>
          <w:p w:rsidR="002F05C9" w:rsidRPr="00F71D84" w:rsidRDefault="002F05C9" w:rsidP="002F05C9">
            <w:pPr>
              <w:rPr>
                <w:rStyle w:val="Hipercze"/>
                <w:lang w:val="en-GB"/>
              </w:rPr>
            </w:pPr>
            <w:r w:rsidRPr="00F71D84">
              <w:rPr>
                <w:rFonts w:cs="Times New Roman"/>
                <w:lang w:val="en-GB"/>
              </w:rPr>
              <w:fldChar w:fldCharType="begin"/>
            </w:r>
            <w:r w:rsidR="00FC22EC" w:rsidRPr="00F71D84">
              <w:rPr>
                <w:rFonts w:cs="Times New Roman"/>
                <w:lang w:val="en-GB"/>
              </w:rPr>
              <w:instrText>HYPERLINK "https://stat.gov.pl/en/topics/economic-activities-finances/activity-of-enterprises-activity-of-companies/value-chains-of-national-enterprises-in-2020,27,1.html" \o "Link to related publication \"Value chains of national enterprises in 2020\"</w:instrText>
            </w:r>
            <w:r w:rsidRPr="00F71D84">
              <w:rPr>
                <w:rFonts w:cs="Times New Roman"/>
                <w:lang w:val="en-GB"/>
              </w:rPr>
              <w:fldChar w:fldCharType="separate"/>
            </w:r>
            <w:r w:rsidRPr="00F71D84">
              <w:rPr>
                <w:rStyle w:val="Hipercze"/>
                <w:lang w:val="en-GB"/>
              </w:rPr>
              <w:t>Value chains of national enterprises in 2020</w:t>
            </w:r>
          </w:p>
          <w:p w:rsidR="00531873" w:rsidRPr="00F71D84" w:rsidRDefault="002F05C9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F71D84">
              <w:rPr>
                <w:rFonts w:cs="Times New Roman"/>
                <w:lang w:val="en-GB"/>
              </w:rPr>
              <w:fldChar w:fldCharType="end"/>
            </w:r>
            <w:r w:rsidR="003E391E" w:rsidRPr="00F71D84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="00531873" w:rsidRPr="00F71D84" w:rsidRDefault="00BE0D8F" w:rsidP="00531873">
            <w:pPr>
              <w:rPr>
                <w:rStyle w:val="Hipercze"/>
                <w:lang w:val="en-GB"/>
              </w:rPr>
            </w:pPr>
            <w:r w:rsidRPr="00F71D84">
              <w:rPr>
                <w:rFonts w:cs="Times New Roman"/>
                <w:lang w:val="en-GB"/>
              </w:rPr>
              <w:fldChar w:fldCharType="begin"/>
            </w:r>
            <w:r w:rsidR="00FC22EC" w:rsidRPr="00F71D84">
              <w:rPr>
                <w:rFonts w:cs="Times New Roman"/>
                <w:lang w:val="en-GB"/>
              </w:rPr>
              <w:instrText>HYPERLINK "https://stat.gov.pl/en/metainformation/glossary/terms-used-in-official-statistics/4024,term.html" \o "Link to glossary"</w:instrText>
            </w:r>
            <w:r w:rsidRPr="00F71D84">
              <w:rPr>
                <w:rFonts w:cs="Times New Roman"/>
                <w:lang w:val="en-GB"/>
              </w:rPr>
              <w:fldChar w:fldCharType="separate"/>
            </w:r>
            <w:r w:rsidR="003E391E" w:rsidRPr="00F71D84">
              <w:rPr>
                <w:rStyle w:val="Hipercze"/>
                <w:lang w:val="en-GB"/>
              </w:rPr>
              <w:t>Business function</w:t>
            </w:r>
          </w:p>
          <w:p w:rsidR="00A7574C" w:rsidRPr="00F71D84" w:rsidRDefault="00BE0D8F" w:rsidP="00531873">
            <w:pPr>
              <w:rPr>
                <w:rStyle w:val="Hipercze"/>
                <w:rFonts w:cstheme="minorBidi"/>
                <w:lang w:val="en-GB"/>
              </w:rPr>
            </w:pPr>
            <w:r w:rsidRPr="00F71D84">
              <w:rPr>
                <w:rFonts w:cs="Times New Roman"/>
                <w:lang w:val="en-GB"/>
              </w:rPr>
              <w:fldChar w:fldCharType="end"/>
            </w:r>
            <w:r w:rsidRPr="00F71D84">
              <w:rPr>
                <w:lang w:val="en-GB"/>
              </w:rPr>
              <w:fldChar w:fldCharType="begin"/>
            </w:r>
            <w:r w:rsidR="00FC22EC" w:rsidRPr="00F71D84">
              <w:rPr>
                <w:lang w:val="en-GB"/>
              </w:rPr>
              <w:instrText>HYPERLINK "https://stat.gov.pl/en/metainformation/glossary/terms-used-in-official-statistics/1740,term.html" \o "Link to glossary"</w:instrText>
            </w:r>
            <w:r w:rsidRPr="00F71D84">
              <w:rPr>
                <w:lang w:val="en-GB"/>
              </w:rPr>
              <w:fldChar w:fldCharType="separate"/>
            </w:r>
            <w:r w:rsidR="003E391E" w:rsidRPr="00F71D84">
              <w:rPr>
                <w:rStyle w:val="Hipercze"/>
                <w:rFonts w:cstheme="minorBidi"/>
                <w:lang w:val="en-GB"/>
              </w:rPr>
              <w:t>An enterprise group</w:t>
            </w:r>
          </w:p>
          <w:p w:rsidR="002F05C9" w:rsidRPr="00F71D84" w:rsidRDefault="00BE0D8F" w:rsidP="00BA7E10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F71D84">
              <w:rPr>
                <w:lang w:val="en-GB"/>
              </w:rPr>
              <w:fldChar w:fldCharType="end"/>
            </w:r>
            <w:hyperlink r:id="rId27" w:tooltip="Link to glossary" w:history="1">
              <w:r w:rsidR="002F05C9" w:rsidRPr="00F71D84">
                <w:rPr>
                  <w:rStyle w:val="Hipercze"/>
                  <w:rFonts w:cstheme="minorBidi"/>
                  <w:lang w:val="en-GB"/>
                </w:rPr>
                <w:t>Foreign capital</w:t>
              </w:r>
            </w:hyperlink>
          </w:p>
        </w:tc>
      </w:tr>
    </w:tbl>
    <w:p w:rsidR="000470AA" w:rsidRPr="00F71D84" w:rsidRDefault="000470AA" w:rsidP="000470AA">
      <w:pPr>
        <w:rPr>
          <w:sz w:val="18"/>
          <w:lang w:val="en-GB"/>
        </w:rPr>
      </w:pPr>
    </w:p>
    <w:p w:rsidR="000470AA" w:rsidRPr="00F71D84" w:rsidRDefault="000470AA" w:rsidP="000470AA">
      <w:pPr>
        <w:rPr>
          <w:sz w:val="20"/>
          <w:lang w:val="en-GB"/>
        </w:rPr>
      </w:pPr>
    </w:p>
    <w:p w:rsidR="000470AA" w:rsidRPr="00F71D84" w:rsidRDefault="000470AA" w:rsidP="000470AA">
      <w:pPr>
        <w:rPr>
          <w:sz w:val="18"/>
          <w:lang w:val="en-GB"/>
        </w:rPr>
      </w:pPr>
    </w:p>
    <w:p w:rsidR="00D261A2" w:rsidRPr="00F71D84" w:rsidRDefault="00D261A2" w:rsidP="00AD0E56">
      <w:pPr>
        <w:rPr>
          <w:sz w:val="18"/>
          <w:lang w:val="en-GB"/>
        </w:rPr>
      </w:pPr>
    </w:p>
    <w:sectPr w:rsidR="00D261A2" w:rsidRPr="00F71D84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ACD" w:rsidRDefault="00DE2ACD" w:rsidP="000662E2">
      <w:pPr>
        <w:spacing w:after="0" w:line="240" w:lineRule="auto"/>
      </w:pPr>
      <w:r>
        <w:separator/>
      </w:r>
    </w:p>
  </w:endnote>
  <w:endnote w:type="continuationSeparator" w:id="0">
    <w:p w:rsidR="00DE2ACD" w:rsidRDefault="00DE2AC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69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6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6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ACD" w:rsidRDefault="00DE2ACD" w:rsidP="000662E2">
      <w:pPr>
        <w:spacing w:after="0" w:line="240" w:lineRule="auto"/>
      </w:pPr>
      <w:r>
        <w:separator/>
      </w:r>
    </w:p>
  </w:footnote>
  <w:footnote w:type="continuationSeparator" w:id="0">
    <w:p w:rsidR="00DE2ACD" w:rsidRDefault="00DE2ACD" w:rsidP="000662E2">
      <w:pPr>
        <w:spacing w:after="0" w:line="240" w:lineRule="auto"/>
      </w:pPr>
      <w:r>
        <w:continuationSeparator/>
      </w:r>
    </w:p>
  </w:footnote>
  <w:footnote w:id="1">
    <w:p w:rsidR="00302355" w:rsidRDefault="00302355">
      <w:pPr>
        <w:pStyle w:val="Tekstprzypisudolnego"/>
        <w:rPr>
          <w:sz w:val="19"/>
          <w:szCs w:val="22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302355">
        <w:rPr>
          <w:lang w:val="en-GB"/>
        </w:rPr>
        <w:t xml:space="preserve"> </w:t>
      </w:r>
      <w:r w:rsidRPr="00DB49DD">
        <w:rPr>
          <w:sz w:val="19"/>
          <w:szCs w:val="22"/>
          <w:shd w:val="clear" w:color="auto" w:fill="FFFFFF"/>
          <w:lang w:val="en-GB"/>
        </w:rPr>
        <w:t xml:space="preserve">Business function is a set of tasks that an enterprise must carry out on a regular basis in order to bring goods or services to market. </w:t>
      </w:r>
      <w:r w:rsidRPr="00DB49DD">
        <w:rPr>
          <w:sz w:val="19"/>
          <w:szCs w:val="22"/>
          <w:shd w:val="clear" w:color="auto" w:fill="FFFFFF"/>
          <w:lang w:val="en-US"/>
        </w:rPr>
        <w:t>These tasks may be performed internally by an enterprise or sourced externally.</w:t>
      </w:r>
    </w:p>
    <w:p w:rsidR="005A1615" w:rsidRPr="00DB49DD" w:rsidRDefault="005A1615">
      <w:pPr>
        <w:pStyle w:val="Tekstprzypisudolnego"/>
        <w:rPr>
          <w:sz w:val="19"/>
          <w:szCs w:val="22"/>
          <w:shd w:val="clear" w:color="auto" w:fill="FFFFFF"/>
          <w:lang w:val="en-US"/>
        </w:rPr>
      </w:pPr>
    </w:p>
  </w:footnote>
  <w:footnote w:id="2">
    <w:p w:rsidR="00786697" w:rsidRPr="00786697" w:rsidRDefault="00786697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786697">
        <w:rPr>
          <w:lang w:val="en-GB"/>
        </w:rPr>
        <w:t xml:space="preserve"> </w:t>
      </w:r>
      <w:r w:rsidRPr="00786697">
        <w:rPr>
          <w:sz w:val="19"/>
          <w:szCs w:val="22"/>
          <w:shd w:val="clear" w:color="auto" w:fill="FFFFFF"/>
          <w:lang w:val="en-GB"/>
        </w:rPr>
        <w:t>The term „Industry” includes sections: B (Mining and quarrying), C (Manufacturing), D (Elec-</w:t>
      </w:r>
      <w:proofErr w:type="spellStart"/>
      <w:r w:rsidRPr="00786697">
        <w:rPr>
          <w:sz w:val="19"/>
          <w:szCs w:val="22"/>
          <w:shd w:val="clear" w:color="auto" w:fill="FFFFFF"/>
          <w:lang w:val="en-GB"/>
        </w:rPr>
        <w:t>tricity</w:t>
      </w:r>
      <w:proofErr w:type="spellEnd"/>
      <w:r w:rsidRPr="00786697">
        <w:rPr>
          <w:sz w:val="19"/>
          <w:szCs w:val="22"/>
          <w:shd w:val="clear" w:color="auto" w:fill="FFFFFF"/>
          <w:lang w:val="en-GB"/>
        </w:rPr>
        <w:t>, gas steam and air conditioning supply), E (Water supply; sewerage, waste manage-</w:t>
      </w:r>
      <w:proofErr w:type="spellStart"/>
      <w:r w:rsidRPr="00786697">
        <w:rPr>
          <w:sz w:val="19"/>
          <w:szCs w:val="22"/>
          <w:shd w:val="clear" w:color="auto" w:fill="FFFFFF"/>
          <w:lang w:val="en-GB"/>
        </w:rPr>
        <w:t>ment</w:t>
      </w:r>
      <w:proofErr w:type="spellEnd"/>
      <w:r w:rsidRPr="00786697">
        <w:rPr>
          <w:sz w:val="19"/>
          <w:szCs w:val="22"/>
          <w:shd w:val="clear" w:color="auto" w:fill="FFFFFF"/>
          <w:lang w:val="en-GB"/>
        </w:rPr>
        <w:t xml:space="preserve"> and remediation activities).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893BF6C" wp14:editId="57239AC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F57F07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FDD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F4B628" wp14:editId="341D77E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Series title &quot;News releases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174FDD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F4B628" id="Schemat blokowy: opóźnienie 6" o:spid="_x0000_s1032" alt="Series title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DdVD5sYAYAADk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174FDD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13A3214" wp14:editId="009FEE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438A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174FDD">
      <w:rPr>
        <w:noProof/>
        <w:lang w:eastAsia="pl-PL"/>
      </w:rPr>
      <w:drawing>
        <wp:inline distT="0" distB="0" distL="0" distR="0" wp14:anchorId="128D780C" wp14:editId="3516997B">
          <wp:extent cx="2078990" cy="719455"/>
          <wp:effectExtent l="0" t="0" r="0" b="4445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40146DF" wp14:editId="04D1BBD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7.06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F13750" w:rsidP="00F049AB">
                          <w:pPr>
                            <w:pStyle w:val="Datainformacjisygnalnej"/>
                          </w:pPr>
                          <w:r>
                            <w:t>27</w:t>
                          </w:r>
                          <w:r w:rsidR="00DE6B58">
                            <w:t>.</w:t>
                          </w:r>
                          <w:r>
                            <w:t>06</w:t>
                          </w:r>
                          <w:r w:rsidR="00DE6B58">
                            <w:t>.</w:t>
                          </w:r>
                          <w:r>
                            <w:t>202</w:t>
                          </w:r>
                          <w:r w:rsidR="00C913AA"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146D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7.06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HXpNQEhAgAAFA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:rsidR="00F37172" w:rsidRPr="00A01B40" w:rsidRDefault="00F13750" w:rsidP="00F049AB">
                    <w:pPr>
                      <w:pStyle w:val="Datainformacjisygnalnej"/>
                    </w:pPr>
                    <w:r>
                      <w:t>27</w:t>
                    </w:r>
                    <w:r w:rsidR="00DE6B58">
                      <w:t>.</w:t>
                    </w:r>
                    <w:r>
                      <w:t>06</w:t>
                    </w:r>
                    <w:r w:rsidR="00DE6B58">
                      <w:t>.</w:t>
                    </w:r>
                    <w:r>
                      <w:t>202</w:t>
                    </w:r>
                    <w:r w:rsidR="00C913AA"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135" type="#_x0000_t75" style="width:123.75pt;height:124.5pt;visibility:visible;mso-wrap-style:square" o:bullet="t">
        <v:imagedata r:id="rId2" o:title=""/>
      </v:shape>
    </w:pict>
  </w:numPicBullet>
  <w:numPicBullet w:numPicBulletId="2">
    <w:pict>
      <v:shape id="_x0000_i1136" type="#_x0000_t75" style="width:21pt;height:24pt;visibility:visible;mso-wrap-style:square" o:bullet="t">
        <v:imagedata r:id="rId3" o:title=""/>
      </v:shape>
    </w:pict>
  </w:numPicBullet>
  <w:numPicBullet w:numPicBulletId="3">
    <w:pict>
      <v:shape id="_x0000_i1137" type="#_x0000_t75" style="width:21pt;height:24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2C340EFD"/>
    <w:multiLevelType w:val="hybridMultilevel"/>
    <w:tmpl w:val="6270C3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4EA608A7"/>
    <w:multiLevelType w:val="hybridMultilevel"/>
    <w:tmpl w:val="B1D83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6BA8"/>
    <w:rsid w:val="0000709F"/>
    <w:rsid w:val="000108B8"/>
    <w:rsid w:val="000152F5"/>
    <w:rsid w:val="00020371"/>
    <w:rsid w:val="000210DC"/>
    <w:rsid w:val="00021D13"/>
    <w:rsid w:val="0002232F"/>
    <w:rsid w:val="000229F0"/>
    <w:rsid w:val="00026F6B"/>
    <w:rsid w:val="00030CD7"/>
    <w:rsid w:val="000374B6"/>
    <w:rsid w:val="00040FBE"/>
    <w:rsid w:val="00042E06"/>
    <w:rsid w:val="00044F63"/>
    <w:rsid w:val="0004582E"/>
    <w:rsid w:val="000470AA"/>
    <w:rsid w:val="0004720D"/>
    <w:rsid w:val="000509D0"/>
    <w:rsid w:val="0005790C"/>
    <w:rsid w:val="00057CA1"/>
    <w:rsid w:val="0006428D"/>
    <w:rsid w:val="000647A9"/>
    <w:rsid w:val="000662E2"/>
    <w:rsid w:val="00066883"/>
    <w:rsid w:val="000677FF"/>
    <w:rsid w:val="00071B39"/>
    <w:rsid w:val="00074784"/>
    <w:rsid w:val="00074DD8"/>
    <w:rsid w:val="00075759"/>
    <w:rsid w:val="00075BD4"/>
    <w:rsid w:val="00076F20"/>
    <w:rsid w:val="000806F7"/>
    <w:rsid w:val="00081AB3"/>
    <w:rsid w:val="0008561E"/>
    <w:rsid w:val="00085E08"/>
    <w:rsid w:val="00097840"/>
    <w:rsid w:val="000A1A12"/>
    <w:rsid w:val="000A33F2"/>
    <w:rsid w:val="000A353B"/>
    <w:rsid w:val="000B0727"/>
    <w:rsid w:val="000B1C8B"/>
    <w:rsid w:val="000C135D"/>
    <w:rsid w:val="000C48AB"/>
    <w:rsid w:val="000D1D43"/>
    <w:rsid w:val="000D225C"/>
    <w:rsid w:val="000D2A5C"/>
    <w:rsid w:val="000D39F0"/>
    <w:rsid w:val="000E0918"/>
    <w:rsid w:val="000E626D"/>
    <w:rsid w:val="000E79A9"/>
    <w:rsid w:val="000F2548"/>
    <w:rsid w:val="000F5634"/>
    <w:rsid w:val="000F746F"/>
    <w:rsid w:val="000F7C95"/>
    <w:rsid w:val="001011C3"/>
    <w:rsid w:val="00106DA3"/>
    <w:rsid w:val="00110214"/>
    <w:rsid w:val="00110D87"/>
    <w:rsid w:val="00111CF4"/>
    <w:rsid w:val="00112399"/>
    <w:rsid w:val="00114DB9"/>
    <w:rsid w:val="00116087"/>
    <w:rsid w:val="00116CC7"/>
    <w:rsid w:val="00117711"/>
    <w:rsid w:val="00117D3D"/>
    <w:rsid w:val="001262AD"/>
    <w:rsid w:val="00126769"/>
    <w:rsid w:val="00130296"/>
    <w:rsid w:val="001335AD"/>
    <w:rsid w:val="00133E7B"/>
    <w:rsid w:val="0013402E"/>
    <w:rsid w:val="00134145"/>
    <w:rsid w:val="00134892"/>
    <w:rsid w:val="00136736"/>
    <w:rsid w:val="00136740"/>
    <w:rsid w:val="00136D67"/>
    <w:rsid w:val="001423B6"/>
    <w:rsid w:val="00142BC7"/>
    <w:rsid w:val="00143E18"/>
    <w:rsid w:val="001448A7"/>
    <w:rsid w:val="00146621"/>
    <w:rsid w:val="00153C6B"/>
    <w:rsid w:val="0015638E"/>
    <w:rsid w:val="00156BDF"/>
    <w:rsid w:val="00157802"/>
    <w:rsid w:val="001617E3"/>
    <w:rsid w:val="00162325"/>
    <w:rsid w:val="00162753"/>
    <w:rsid w:val="00167EF9"/>
    <w:rsid w:val="00170202"/>
    <w:rsid w:val="001737BA"/>
    <w:rsid w:val="00174FDD"/>
    <w:rsid w:val="00182CF2"/>
    <w:rsid w:val="00184117"/>
    <w:rsid w:val="00186BA8"/>
    <w:rsid w:val="001951DA"/>
    <w:rsid w:val="001953A2"/>
    <w:rsid w:val="001A3BBE"/>
    <w:rsid w:val="001A4421"/>
    <w:rsid w:val="001B053D"/>
    <w:rsid w:val="001B1471"/>
    <w:rsid w:val="001B2294"/>
    <w:rsid w:val="001B4B79"/>
    <w:rsid w:val="001B76A5"/>
    <w:rsid w:val="001C262E"/>
    <w:rsid w:val="001C3269"/>
    <w:rsid w:val="001C33BA"/>
    <w:rsid w:val="001C578D"/>
    <w:rsid w:val="001C5897"/>
    <w:rsid w:val="001D19B6"/>
    <w:rsid w:val="001D1DB4"/>
    <w:rsid w:val="001D23F1"/>
    <w:rsid w:val="001D25F9"/>
    <w:rsid w:val="001D61ED"/>
    <w:rsid w:val="001E2D13"/>
    <w:rsid w:val="001E5B2D"/>
    <w:rsid w:val="001F0712"/>
    <w:rsid w:val="001F286A"/>
    <w:rsid w:val="001F2B26"/>
    <w:rsid w:val="001F6E11"/>
    <w:rsid w:val="0020156C"/>
    <w:rsid w:val="00205BCC"/>
    <w:rsid w:val="00211BC7"/>
    <w:rsid w:val="00216634"/>
    <w:rsid w:val="00216D0D"/>
    <w:rsid w:val="00222FCF"/>
    <w:rsid w:val="00226FEE"/>
    <w:rsid w:val="00236A8F"/>
    <w:rsid w:val="00237D56"/>
    <w:rsid w:val="00240A1D"/>
    <w:rsid w:val="00242D31"/>
    <w:rsid w:val="00247193"/>
    <w:rsid w:val="00252F6D"/>
    <w:rsid w:val="00253AB6"/>
    <w:rsid w:val="0025481E"/>
    <w:rsid w:val="002574F9"/>
    <w:rsid w:val="00260DD4"/>
    <w:rsid w:val="00260FE7"/>
    <w:rsid w:val="00261C72"/>
    <w:rsid w:val="00262B61"/>
    <w:rsid w:val="00262CC6"/>
    <w:rsid w:val="00263E08"/>
    <w:rsid w:val="00264F36"/>
    <w:rsid w:val="002657C1"/>
    <w:rsid w:val="00265CE8"/>
    <w:rsid w:val="002665DE"/>
    <w:rsid w:val="002735FD"/>
    <w:rsid w:val="00273A2B"/>
    <w:rsid w:val="0027418F"/>
    <w:rsid w:val="002762FD"/>
    <w:rsid w:val="00276811"/>
    <w:rsid w:val="0027681D"/>
    <w:rsid w:val="00277FB4"/>
    <w:rsid w:val="00282699"/>
    <w:rsid w:val="0028376A"/>
    <w:rsid w:val="002926DF"/>
    <w:rsid w:val="00294E68"/>
    <w:rsid w:val="00296697"/>
    <w:rsid w:val="00297FA3"/>
    <w:rsid w:val="002A7AA9"/>
    <w:rsid w:val="002B0472"/>
    <w:rsid w:val="002B113B"/>
    <w:rsid w:val="002B1183"/>
    <w:rsid w:val="002B1DAA"/>
    <w:rsid w:val="002B47C3"/>
    <w:rsid w:val="002B53D1"/>
    <w:rsid w:val="002B5A14"/>
    <w:rsid w:val="002B6B12"/>
    <w:rsid w:val="002C21F0"/>
    <w:rsid w:val="002C355A"/>
    <w:rsid w:val="002C39B0"/>
    <w:rsid w:val="002C51CC"/>
    <w:rsid w:val="002D01DF"/>
    <w:rsid w:val="002D2581"/>
    <w:rsid w:val="002E0EF1"/>
    <w:rsid w:val="002E1D87"/>
    <w:rsid w:val="002E3EB3"/>
    <w:rsid w:val="002E6140"/>
    <w:rsid w:val="002E6985"/>
    <w:rsid w:val="002E71B6"/>
    <w:rsid w:val="002F05C9"/>
    <w:rsid w:val="002F35F6"/>
    <w:rsid w:val="002F6152"/>
    <w:rsid w:val="002F77C8"/>
    <w:rsid w:val="002F7CBF"/>
    <w:rsid w:val="00302355"/>
    <w:rsid w:val="00304F22"/>
    <w:rsid w:val="00305FC4"/>
    <w:rsid w:val="00306C7C"/>
    <w:rsid w:val="003116EE"/>
    <w:rsid w:val="00312217"/>
    <w:rsid w:val="0031337F"/>
    <w:rsid w:val="00313F5C"/>
    <w:rsid w:val="00314F86"/>
    <w:rsid w:val="003151CA"/>
    <w:rsid w:val="00317F4D"/>
    <w:rsid w:val="003227DF"/>
    <w:rsid w:val="00322EDD"/>
    <w:rsid w:val="00324352"/>
    <w:rsid w:val="00327025"/>
    <w:rsid w:val="0032765C"/>
    <w:rsid w:val="003309FA"/>
    <w:rsid w:val="00331135"/>
    <w:rsid w:val="00332320"/>
    <w:rsid w:val="00335265"/>
    <w:rsid w:val="00337146"/>
    <w:rsid w:val="00340F5D"/>
    <w:rsid w:val="00344783"/>
    <w:rsid w:val="00347D72"/>
    <w:rsid w:val="00351380"/>
    <w:rsid w:val="00351BA7"/>
    <w:rsid w:val="00353F45"/>
    <w:rsid w:val="0035719E"/>
    <w:rsid w:val="00357611"/>
    <w:rsid w:val="003635E0"/>
    <w:rsid w:val="0036432A"/>
    <w:rsid w:val="00364694"/>
    <w:rsid w:val="00364AF9"/>
    <w:rsid w:val="00367237"/>
    <w:rsid w:val="0037077F"/>
    <w:rsid w:val="00372411"/>
    <w:rsid w:val="00373882"/>
    <w:rsid w:val="00380C4A"/>
    <w:rsid w:val="003843DB"/>
    <w:rsid w:val="00392ED2"/>
    <w:rsid w:val="00393761"/>
    <w:rsid w:val="003937A5"/>
    <w:rsid w:val="00394D85"/>
    <w:rsid w:val="00394E26"/>
    <w:rsid w:val="00395168"/>
    <w:rsid w:val="00396691"/>
    <w:rsid w:val="00397D18"/>
    <w:rsid w:val="00397E39"/>
    <w:rsid w:val="003A1B36"/>
    <w:rsid w:val="003A416B"/>
    <w:rsid w:val="003A6C8B"/>
    <w:rsid w:val="003B1454"/>
    <w:rsid w:val="003B18B6"/>
    <w:rsid w:val="003B1AAC"/>
    <w:rsid w:val="003B1CCE"/>
    <w:rsid w:val="003B1D82"/>
    <w:rsid w:val="003B322F"/>
    <w:rsid w:val="003B3A31"/>
    <w:rsid w:val="003B4F1B"/>
    <w:rsid w:val="003B4FA1"/>
    <w:rsid w:val="003B689E"/>
    <w:rsid w:val="003C161B"/>
    <w:rsid w:val="003C55C6"/>
    <w:rsid w:val="003C59E0"/>
    <w:rsid w:val="003C6C8D"/>
    <w:rsid w:val="003D2656"/>
    <w:rsid w:val="003D4F95"/>
    <w:rsid w:val="003D5F42"/>
    <w:rsid w:val="003D60A9"/>
    <w:rsid w:val="003E05BE"/>
    <w:rsid w:val="003E391E"/>
    <w:rsid w:val="003E4367"/>
    <w:rsid w:val="003E7E1A"/>
    <w:rsid w:val="003F0BD9"/>
    <w:rsid w:val="003F4AE7"/>
    <w:rsid w:val="003F4C97"/>
    <w:rsid w:val="003F666D"/>
    <w:rsid w:val="003F668C"/>
    <w:rsid w:val="003F6EBB"/>
    <w:rsid w:val="003F7FE6"/>
    <w:rsid w:val="00400193"/>
    <w:rsid w:val="0040328D"/>
    <w:rsid w:val="004039A6"/>
    <w:rsid w:val="004147AA"/>
    <w:rsid w:val="00415A1E"/>
    <w:rsid w:val="00416EAF"/>
    <w:rsid w:val="004212E7"/>
    <w:rsid w:val="00422476"/>
    <w:rsid w:val="004228F4"/>
    <w:rsid w:val="00423C88"/>
    <w:rsid w:val="0042446D"/>
    <w:rsid w:val="00426E29"/>
    <w:rsid w:val="00427BF8"/>
    <w:rsid w:val="00431C02"/>
    <w:rsid w:val="00432467"/>
    <w:rsid w:val="00437395"/>
    <w:rsid w:val="00441C4F"/>
    <w:rsid w:val="00444CCF"/>
    <w:rsid w:val="00445047"/>
    <w:rsid w:val="0044545F"/>
    <w:rsid w:val="00446749"/>
    <w:rsid w:val="004513B6"/>
    <w:rsid w:val="00453EB7"/>
    <w:rsid w:val="00463E39"/>
    <w:rsid w:val="004657FC"/>
    <w:rsid w:val="00472822"/>
    <w:rsid w:val="004733F6"/>
    <w:rsid w:val="00474E69"/>
    <w:rsid w:val="004774BE"/>
    <w:rsid w:val="00480E20"/>
    <w:rsid w:val="00483E9F"/>
    <w:rsid w:val="00484090"/>
    <w:rsid w:val="00485A2C"/>
    <w:rsid w:val="00486151"/>
    <w:rsid w:val="00494637"/>
    <w:rsid w:val="0049621B"/>
    <w:rsid w:val="00496BFB"/>
    <w:rsid w:val="004A1D19"/>
    <w:rsid w:val="004B0A63"/>
    <w:rsid w:val="004B315F"/>
    <w:rsid w:val="004B4292"/>
    <w:rsid w:val="004B57A8"/>
    <w:rsid w:val="004B6DB1"/>
    <w:rsid w:val="004C1895"/>
    <w:rsid w:val="004C3C9E"/>
    <w:rsid w:val="004C6D40"/>
    <w:rsid w:val="004C6D94"/>
    <w:rsid w:val="004C796C"/>
    <w:rsid w:val="004D1EB8"/>
    <w:rsid w:val="004D3E40"/>
    <w:rsid w:val="004E1B9F"/>
    <w:rsid w:val="004E6AA8"/>
    <w:rsid w:val="004F0C3C"/>
    <w:rsid w:val="004F14A3"/>
    <w:rsid w:val="004F1703"/>
    <w:rsid w:val="004F2280"/>
    <w:rsid w:val="004F23BB"/>
    <w:rsid w:val="004F42F2"/>
    <w:rsid w:val="004F63FC"/>
    <w:rsid w:val="00500F80"/>
    <w:rsid w:val="00501217"/>
    <w:rsid w:val="00501F95"/>
    <w:rsid w:val="00505A92"/>
    <w:rsid w:val="00507A68"/>
    <w:rsid w:val="00512016"/>
    <w:rsid w:val="00516624"/>
    <w:rsid w:val="00517F12"/>
    <w:rsid w:val="005203F1"/>
    <w:rsid w:val="00521BC3"/>
    <w:rsid w:val="00531873"/>
    <w:rsid w:val="00532365"/>
    <w:rsid w:val="00533632"/>
    <w:rsid w:val="00534013"/>
    <w:rsid w:val="0053644A"/>
    <w:rsid w:val="00540C5C"/>
    <w:rsid w:val="00541E6E"/>
    <w:rsid w:val="0054251F"/>
    <w:rsid w:val="00543437"/>
    <w:rsid w:val="00543882"/>
    <w:rsid w:val="00546ED3"/>
    <w:rsid w:val="00550A68"/>
    <w:rsid w:val="005520D8"/>
    <w:rsid w:val="00553507"/>
    <w:rsid w:val="005546CB"/>
    <w:rsid w:val="00555CFB"/>
    <w:rsid w:val="00556ADB"/>
    <w:rsid w:val="00556CF1"/>
    <w:rsid w:val="00564790"/>
    <w:rsid w:val="00564E5A"/>
    <w:rsid w:val="00572BD4"/>
    <w:rsid w:val="00575981"/>
    <w:rsid w:val="005762A7"/>
    <w:rsid w:val="0057773C"/>
    <w:rsid w:val="00581603"/>
    <w:rsid w:val="00587CEE"/>
    <w:rsid w:val="005916D7"/>
    <w:rsid w:val="0059427F"/>
    <w:rsid w:val="00594D36"/>
    <w:rsid w:val="005A1615"/>
    <w:rsid w:val="005A2D25"/>
    <w:rsid w:val="005A3165"/>
    <w:rsid w:val="005A698C"/>
    <w:rsid w:val="005A7C26"/>
    <w:rsid w:val="005B2656"/>
    <w:rsid w:val="005B7407"/>
    <w:rsid w:val="005C0CAC"/>
    <w:rsid w:val="005C1582"/>
    <w:rsid w:val="005D062E"/>
    <w:rsid w:val="005D0CDE"/>
    <w:rsid w:val="005D2630"/>
    <w:rsid w:val="005D2F6B"/>
    <w:rsid w:val="005D334E"/>
    <w:rsid w:val="005D42C4"/>
    <w:rsid w:val="005D53F2"/>
    <w:rsid w:val="005D75F7"/>
    <w:rsid w:val="005E0799"/>
    <w:rsid w:val="005E10F9"/>
    <w:rsid w:val="005E1200"/>
    <w:rsid w:val="005E7E71"/>
    <w:rsid w:val="005F08EF"/>
    <w:rsid w:val="005F45EE"/>
    <w:rsid w:val="005F523A"/>
    <w:rsid w:val="005F52DE"/>
    <w:rsid w:val="005F570F"/>
    <w:rsid w:val="005F5A80"/>
    <w:rsid w:val="005F7611"/>
    <w:rsid w:val="0060357C"/>
    <w:rsid w:val="006044FA"/>
    <w:rsid w:val="006044FF"/>
    <w:rsid w:val="00604F91"/>
    <w:rsid w:val="006059C5"/>
    <w:rsid w:val="00605BEC"/>
    <w:rsid w:val="00606C1C"/>
    <w:rsid w:val="00607CC5"/>
    <w:rsid w:val="0061140D"/>
    <w:rsid w:val="0061179B"/>
    <w:rsid w:val="006125F9"/>
    <w:rsid w:val="00613A18"/>
    <w:rsid w:val="00614DB3"/>
    <w:rsid w:val="006203DC"/>
    <w:rsid w:val="006204BD"/>
    <w:rsid w:val="00622257"/>
    <w:rsid w:val="006236C2"/>
    <w:rsid w:val="006252D7"/>
    <w:rsid w:val="0062556F"/>
    <w:rsid w:val="0063062A"/>
    <w:rsid w:val="00630D79"/>
    <w:rsid w:val="0063220E"/>
    <w:rsid w:val="00633014"/>
    <w:rsid w:val="0063437B"/>
    <w:rsid w:val="006348C6"/>
    <w:rsid w:val="00635D85"/>
    <w:rsid w:val="0063660D"/>
    <w:rsid w:val="0064017E"/>
    <w:rsid w:val="0064267F"/>
    <w:rsid w:val="00650E7A"/>
    <w:rsid w:val="00654BB6"/>
    <w:rsid w:val="006562B6"/>
    <w:rsid w:val="00657E5D"/>
    <w:rsid w:val="006620F9"/>
    <w:rsid w:val="006673CA"/>
    <w:rsid w:val="00673C26"/>
    <w:rsid w:val="00674DE5"/>
    <w:rsid w:val="00674E29"/>
    <w:rsid w:val="00677ACA"/>
    <w:rsid w:val="006812AF"/>
    <w:rsid w:val="0068327D"/>
    <w:rsid w:val="00685473"/>
    <w:rsid w:val="00691534"/>
    <w:rsid w:val="00693880"/>
    <w:rsid w:val="00694AF0"/>
    <w:rsid w:val="006A4686"/>
    <w:rsid w:val="006B0510"/>
    <w:rsid w:val="006B0E9E"/>
    <w:rsid w:val="006B11EF"/>
    <w:rsid w:val="006B3835"/>
    <w:rsid w:val="006B486D"/>
    <w:rsid w:val="006B5AE4"/>
    <w:rsid w:val="006B6CF6"/>
    <w:rsid w:val="006C5030"/>
    <w:rsid w:val="006D1507"/>
    <w:rsid w:val="006D1608"/>
    <w:rsid w:val="006D2EEB"/>
    <w:rsid w:val="006D4054"/>
    <w:rsid w:val="006D7360"/>
    <w:rsid w:val="006D7409"/>
    <w:rsid w:val="006E02EC"/>
    <w:rsid w:val="006E2621"/>
    <w:rsid w:val="006E3C46"/>
    <w:rsid w:val="006E3C4F"/>
    <w:rsid w:val="006E57E6"/>
    <w:rsid w:val="006E6F41"/>
    <w:rsid w:val="006E73E6"/>
    <w:rsid w:val="006F63EA"/>
    <w:rsid w:val="006F67D7"/>
    <w:rsid w:val="006F6C46"/>
    <w:rsid w:val="00700BE9"/>
    <w:rsid w:val="007030F2"/>
    <w:rsid w:val="007043E6"/>
    <w:rsid w:val="00705FBD"/>
    <w:rsid w:val="007074D5"/>
    <w:rsid w:val="00710A32"/>
    <w:rsid w:val="00710E54"/>
    <w:rsid w:val="00713A30"/>
    <w:rsid w:val="00720B3A"/>
    <w:rsid w:val="007211B1"/>
    <w:rsid w:val="007245A1"/>
    <w:rsid w:val="007269D3"/>
    <w:rsid w:val="007277DA"/>
    <w:rsid w:val="00731D27"/>
    <w:rsid w:val="007357EB"/>
    <w:rsid w:val="007375FE"/>
    <w:rsid w:val="00746187"/>
    <w:rsid w:val="0075348D"/>
    <w:rsid w:val="0076254F"/>
    <w:rsid w:val="007651ED"/>
    <w:rsid w:val="007678E1"/>
    <w:rsid w:val="00767B96"/>
    <w:rsid w:val="00771BBE"/>
    <w:rsid w:val="007762C1"/>
    <w:rsid w:val="00777940"/>
    <w:rsid w:val="007801F5"/>
    <w:rsid w:val="00782E72"/>
    <w:rsid w:val="00783CA4"/>
    <w:rsid w:val="007842FB"/>
    <w:rsid w:val="00786124"/>
    <w:rsid w:val="007865FD"/>
    <w:rsid w:val="00786697"/>
    <w:rsid w:val="00787F50"/>
    <w:rsid w:val="0079122F"/>
    <w:rsid w:val="0079514B"/>
    <w:rsid w:val="00795252"/>
    <w:rsid w:val="00795B05"/>
    <w:rsid w:val="007974AF"/>
    <w:rsid w:val="007A1E69"/>
    <w:rsid w:val="007A2DC1"/>
    <w:rsid w:val="007A538B"/>
    <w:rsid w:val="007A7ED4"/>
    <w:rsid w:val="007B1D30"/>
    <w:rsid w:val="007B25DA"/>
    <w:rsid w:val="007C4359"/>
    <w:rsid w:val="007C5915"/>
    <w:rsid w:val="007D0869"/>
    <w:rsid w:val="007D14C4"/>
    <w:rsid w:val="007D1E0E"/>
    <w:rsid w:val="007D3319"/>
    <w:rsid w:val="007D335D"/>
    <w:rsid w:val="007D605C"/>
    <w:rsid w:val="007E3314"/>
    <w:rsid w:val="007E3514"/>
    <w:rsid w:val="007E4B03"/>
    <w:rsid w:val="007F324B"/>
    <w:rsid w:val="007F7039"/>
    <w:rsid w:val="00801297"/>
    <w:rsid w:val="0080553C"/>
    <w:rsid w:val="00805B46"/>
    <w:rsid w:val="00805DB4"/>
    <w:rsid w:val="008061C3"/>
    <w:rsid w:val="008104A0"/>
    <w:rsid w:val="00814A60"/>
    <w:rsid w:val="008204A6"/>
    <w:rsid w:val="00823593"/>
    <w:rsid w:val="008245B8"/>
    <w:rsid w:val="00825DC2"/>
    <w:rsid w:val="00834317"/>
    <w:rsid w:val="00834AD3"/>
    <w:rsid w:val="00834D79"/>
    <w:rsid w:val="00836D28"/>
    <w:rsid w:val="00843795"/>
    <w:rsid w:val="00845061"/>
    <w:rsid w:val="00845104"/>
    <w:rsid w:val="00845DFF"/>
    <w:rsid w:val="00846537"/>
    <w:rsid w:val="00847F0F"/>
    <w:rsid w:val="00850CB2"/>
    <w:rsid w:val="00852448"/>
    <w:rsid w:val="008564DE"/>
    <w:rsid w:val="00865003"/>
    <w:rsid w:val="0086572B"/>
    <w:rsid w:val="00877F6C"/>
    <w:rsid w:val="0088258A"/>
    <w:rsid w:val="00883296"/>
    <w:rsid w:val="00886332"/>
    <w:rsid w:val="00887356"/>
    <w:rsid w:val="008925F0"/>
    <w:rsid w:val="00893729"/>
    <w:rsid w:val="008938CA"/>
    <w:rsid w:val="00894135"/>
    <w:rsid w:val="0089448A"/>
    <w:rsid w:val="00897877"/>
    <w:rsid w:val="008A26D9"/>
    <w:rsid w:val="008A5A20"/>
    <w:rsid w:val="008A6175"/>
    <w:rsid w:val="008A7B5B"/>
    <w:rsid w:val="008B0BA4"/>
    <w:rsid w:val="008B12D2"/>
    <w:rsid w:val="008B7E6F"/>
    <w:rsid w:val="008C0629"/>
    <w:rsid w:val="008C0C29"/>
    <w:rsid w:val="008C3A64"/>
    <w:rsid w:val="008C5644"/>
    <w:rsid w:val="008C75FA"/>
    <w:rsid w:val="008D02DA"/>
    <w:rsid w:val="008D0723"/>
    <w:rsid w:val="008D3156"/>
    <w:rsid w:val="008D36A7"/>
    <w:rsid w:val="008D76BC"/>
    <w:rsid w:val="008E1940"/>
    <w:rsid w:val="008E237E"/>
    <w:rsid w:val="008E252E"/>
    <w:rsid w:val="008E2978"/>
    <w:rsid w:val="008E59FD"/>
    <w:rsid w:val="008E7DBA"/>
    <w:rsid w:val="008F04F6"/>
    <w:rsid w:val="008F0829"/>
    <w:rsid w:val="008F1142"/>
    <w:rsid w:val="008F3638"/>
    <w:rsid w:val="008F3700"/>
    <w:rsid w:val="008F4441"/>
    <w:rsid w:val="008F4612"/>
    <w:rsid w:val="008F47F7"/>
    <w:rsid w:val="008F6B20"/>
    <w:rsid w:val="008F6F31"/>
    <w:rsid w:val="008F74DF"/>
    <w:rsid w:val="00902274"/>
    <w:rsid w:val="00904C15"/>
    <w:rsid w:val="00907E57"/>
    <w:rsid w:val="009108F7"/>
    <w:rsid w:val="00910E08"/>
    <w:rsid w:val="009127BA"/>
    <w:rsid w:val="00917959"/>
    <w:rsid w:val="009206F5"/>
    <w:rsid w:val="00920A19"/>
    <w:rsid w:val="00920AAE"/>
    <w:rsid w:val="0092232F"/>
    <w:rsid w:val="009227A6"/>
    <w:rsid w:val="00925F58"/>
    <w:rsid w:val="009276FC"/>
    <w:rsid w:val="00933EC1"/>
    <w:rsid w:val="0093465F"/>
    <w:rsid w:val="0094244B"/>
    <w:rsid w:val="009446AD"/>
    <w:rsid w:val="00945C44"/>
    <w:rsid w:val="00947659"/>
    <w:rsid w:val="00950859"/>
    <w:rsid w:val="009530DB"/>
    <w:rsid w:val="00953676"/>
    <w:rsid w:val="009546BB"/>
    <w:rsid w:val="00955557"/>
    <w:rsid w:val="00956F30"/>
    <w:rsid w:val="0096527D"/>
    <w:rsid w:val="009664F7"/>
    <w:rsid w:val="00966C9A"/>
    <w:rsid w:val="00967075"/>
    <w:rsid w:val="00967527"/>
    <w:rsid w:val="009702A5"/>
    <w:rsid w:val="009705EE"/>
    <w:rsid w:val="00973905"/>
    <w:rsid w:val="00973FF5"/>
    <w:rsid w:val="00977001"/>
    <w:rsid w:val="00977927"/>
    <w:rsid w:val="0098135C"/>
    <w:rsid w:val="0098156A"/>
    <w:rsid w:val="00983DE2"/>
    <w:rsid w:val="009857AE"/>
    <w:rsid w:val="00990890"/>
    <w:rsid w:val="00991BAC"/>
    <w:rsid w:val="009A017C"/>
    <w:rsid w:val="009A1E80"/>
    <w:rsid w:val="009A494C"/>
    <w:rsid w:val="009A6EA0"/>
    <w:rsid w:val="009B0FF2"/>
    <w:rsid w:val="009B2858"/>
    <w:rsid w:val="009B2A4A"/>
    <w:rsid w:val="009B3845"/>
    <w:rsid w:val="009B3DC2"/>
    <w:rsid w:val="009B7F1A"/>
    <w:rsid w:val="009C112D"/>
    <w:rsid w:val="009C1335"/>
    <w:rsid w:val="009C1AB2"/>
    <w:rsid w:val="009C60AC"/>
    <w:rsid w:val="009C7251"/>
    <w:rsid w:val="009C759A"/>
    <w:rsid w:val="009D0892"/>
    <w:rsid w:val="009D1844"/>
    <w:rsid w:val="009D2549"/>
    <w:rsid w:val="009D7EA2"/>
    <w:rsid w:val="009E2E91"/>
    <w:rsid w:val="009E3106"/>
    <w:rsid w:val="009E36AC"/>
    <w:rsid w:val="009E3F5B"/>
    <w:rsid w:val="009E3FDF"/>
    <w:rsid w:val="009E41F9"/>
    <w:rsid w:val="009E54BA"/>
    <w:rsid w:val="009F1D8F"/>
    <w:rsid w:val="009F2846"/>
    <w:rsid w:val="009F2C9D"/>
    <w:rsid w:val="009F2E11"/>
    <w:rsid w:val="009F3A0D"/>
    <w:rsid w:val="009F59CD"/>
    <w:rsid w:val="00A0100B"/>
    <w:rsid w:val="00A018CF"/>
    <w:rsid w:val="00A01B40"/>
    <w:rsid w:val="00A039D2"/>
    <w:rsid w:val="00A10470"/>
    <w:rsid w:val="00A106E7"/>
    <w:rsid w:val="00A10F8B"/>
    <w:rsid w:val="00A11DD2"/>
    <w:rsid w:val="00A122CF"/>
    <w:rsid w:val="00A139F5"/>
    <w:rsid w:val="00A13A39"/>
    <w:rsid w:val="00A140D1"/>
    <w:rsid w:val="00A24288"/>
    <w:rsid w:val="00A25DBF"/>
    <w:rsid w:val="00A2768C"/>
    <w:rsid w:val="00A2785D"/>
    <w:rsid w:val="00A27DE7"/>
    <w:rsid w:val="00A31BAE"/>
    <w:rsid w:val="00A3214A"/>
    <w:rsid w:val="00A32690"/>
    <w:rsid w:val="00A32E16"/>
    <w:rsid w:val="00A365F4"/>
    <w:rsid w:val="00A370C6"/>
    <w:rsid w:val="00A400B8"/>
    <w:rsid w:val="00A45EA3"/>
    <w:rsid w:val="00A460CD"/>
    <w:rsid w:val="00A46CAD"/>
    <w:rsid w:val="00A47D80"/>
    <w:rsid w:val="00A53132"/>
    <w:rsid w:val="00A5629B"/>
    <w:rsid w:val="00A563F2"/>
    <w:rsid w:val="00A566E8"/>
    <w:rsid w:val="00A5681D"/>
    <w:rsid w:val="00A56A1B"/>
    <w:rsid w:val="00A60705"/>
    <w:rsid w:val="00A61BBA"/>
    <w:rsid w:val="00A65AA0"/>
    <w:rsid w:val="00A66347"/>
    <w:rsid w:val="00A67739"/>
    <w:rsid w:val="00A7574C"/>
    <w:rsid w:val="00A76F95"/>
    <w:rsid w:val="00A810F9"/>
    <w:rsid w:val="00A82D31"/>
    <w:rsid w:val="00A85E7E"/>
    <w:rsid w:val="00A86ECC"/>
    <w:rsid w:val="00A86FCC"/>
    <w:rsid w:val="00A8740B"/>
    <w:rsid w:val="00A90A6D"/>
    <w:rsid w:val="00A91B2F"/>
    <w:rsid w:val="00A929DC"/>
    <w:rsid w:val="00A92B87"/>
    <w:rsid w:val="00A92DBF"/>
    <w:rsid w:val="00A95AD2"/>
    <w:rsid w:val="00A96934"/>
    <w:rsid w:val="00A971E5"/>
    <w:rsid w:val="00AA6C77"/>
    <w:rsid w:val="00AA710D"/>
    <w:rsid w:val="00AB1F20"/>
    <w:rsid w:val="00AB64F3"/>
    <w:rsid w:val="00AB6D25"/>
    <w:rsid w:val="00AC3204"/>
    <w:rsid w:val="00AD0E56"/>
    <w:rsid w:val="00AD4755"/>
    <w:rsid w:val="00AE027A"/>
    <w:rsid w:val="00AE19AE"/>
    <w:rsid w:val="00AE229B"/>
    <w:rsid w:val="00AE2974"/>
    <w:rsid w:val="00AE2D4B"/>
    <w:rsid w:val="00AE4D5B"/>
    <w:rsid w:val="00AE4F99"/>
    <w:rsid w:val="00AE5C90"/>
    <w:rsid w:val="00AE65EB"/>
    <w:rsid w:val="00AF0433"/>
    <w:rsid w:val="00AF384B"/>
    <w:rsid w:val="00AF5533"/>
    <w:rsid w:val="00B0223E"/>
    <w:rsid w:val="00B02D01"/>
    <w:rsid w:val="00B11B69"/>
    <w:rsid w:val="00B14497"/>
    <w:rsid w:val="00B14952"/>
    <w:rsid w:val="00B16871"/>
    <w:rsid w:val="00B20315"/>
    <w:rsid w:val="00B221E3"/>
    <w:rsid w:val="00B25B45"/>
    <w:rsid w:val="00B3034F"/>
    <w:rsid w:val="00B30CC5"/>
    <w:rsid w:val="00B31E5A"/>
    <w:rsid w:val="00B332F6"/>
    <w:rsid w:val="00B334B6"/>
    <w:rsid w:val="00B33676"/>
    <w:rsid w:val="00B33F02"/>
    <w:rsid w:val="00B37ADA"/>
    <w:rsid w:val="00B47359"/>
    <w:rsid w:val="00B52CBF"/>
    <w:rsid w:val="00B534BB"/>
    <w:rsid w:val="00B63A45"/>
    <w:rsid w:val="00B653AB"/>
    <w:rsid w:val="00B65F9E"/>
    <w:rsid w:val="00B6661E"/>
    <w:rsid w:val="00B66B19"/>
    <w:rsid w:val="00B71871"/>
    <w:rsid w:val="00B72DCF"/>
    <w:rsid w:val="00B7386E"/>
    <w:rsid w:val="00B73A77"/>
    <w:rsid w:val="00B8039C"/>
    <w:rsid w:val="00B816DF"/>
    <w:rsid w:val="00B84C43"/>
    <w:rsid w:val="00B87533"/>
    <w:rsid w:val="00B914E9"/>
    <w:rsid w:val="00B9494A"/>
    <w:rsid w:val="00B94983"/>
    <w:rsid w:val="00B94EEC"/>
    <w:rsid w:val="00B956EE"/>
    <w:rsid w:val="00BA19D3"/>
    <w:rsid w:val="00BA2BA1"/>
    <w:rsid w:val="00BA2DDD"/>
    <w:rsid w:val="00BA3447"/>
    <w:rsid w:val="00BA3562"/>
    <w:rsid w:val="00BA3E2B"/>
    <w:rsid w:val="00BA48A4"/>
    <w:rsid w:val="00BA4F9C"/>
    <w:rsid w:val="00BA64FC"/>
    <w:rsid w:val="00BA7E10"/>
    <w:rsid w:val="00BB4F09"/>
    <w:rsid w:val="00BB54B5"/>
    <w:rsid w:val="00BC1AA0"/>
    <w:rsid w:val="00BD3A01"/>
    <w:rsid w:val="00BD4E33"/>
    <w:rsid w:val="00BD7A1A"/>
    <w:rsid w:val="00BE0D8F"/>
    <w:rsid w:val="00BE263C"/>
    <w:rsid w:val="00BE2FB5"/>
    <w:rsid w:val="00BE5022"/>
    <w:rsid w:val="00C030DE"/>
    <w:rsid w:val="00C051A8"/>
    <w:rsid w:val="00C052AE"/>
    <w:rsid w:val="00C05EB6"/>
    <w:rsid w:val="00C106CE"/>
    <w:rsid w:val="00C120AE"/>
    <w:rsid w:val="00C12C4B"/>
    <w:rsid w:val="00C166DD"/>
    <w:rsid w:val="00C22105"/>
    <w:rsid w:val="00C244B6"/>
    <w:rsid w:val="00C27BF1"/>
    <w:rsid w:val="00C30F1D"/>
    <w:rsid w:val="00C310E6"/>
    <w:rsid w:val="00C35C23"/>
    <w:rsid w:val="00C3702F"/>
    <w:rsid w:val="00C37F82"/>
    <w:rsid w:val="00C44A61"/>
    <w:rsid w:val="00C4500A"/>
    <w:rsid w:val="00C46566"/>
    <w:rsid w:val="00C55B17"/>
    <w:rsid w:val="00C62238"/>
    <w:rsid w:val="00C64A37"/>
    <w:rsid w:val="00C7158E"/>
    <w:rsid w:val="00C71B1C"/>
    <w:rsid w:val="00C7250B"/>
    <w:rsid w:val="00C7346B"/>
    <w:rsid w:val="00C77C0E"/>
    <w:rsid w:val="00C8441C"/>
    <w:rsid w:val="00C913AA"/>
    <w:rsid w:val="00C91687"/>
    <w:rsid w:val="00C91E3D"/>
    <w:rsid w:val="00C924A8"/>
    <w:rsid w:val="00C9254D"/>
    <w:rsid w:val="00C93CA9"/>
    <w:rsid w:val="00C945FE"/>
    <w:rsid w:val="00C94DA4"/>
    <w:rsid w:val="00C96FAA"/>
    <w:rsid w:val="00C972B0"/>
    <w:rsid w:val="00C97A04"/>
    <w:rsid w:val="00CA107B"/>
    <w:rsid w:val="00CA18D6"/>
    <w:rsid w:val="00CA2619"/>
    <w:rsid w:val="00CA2A1B"/>
    <w:rsid w:val="00CA484D"/>
    <w:rsid w:val="00CA4FB6"/>
    <w:rsid w:val="00CA7B1F"/>
    <w:rsid w:val="00CB0BC5"/>
    <w:rsid w:val="00CB1822"/>
    <w:rsid w:val="00CB22ED"/>
    <w:rsid w:val="00CB2A0E"/>
    <w:rsid w:val="00CB2F90"/>
    <w:rsid w:val="00CB62D2"/>
    <w:rsid w:val="00CB6AD4"/>
    <w:rsid w:val="00CC13DA"/>
    <w:rsid w:val="00CC4FAF"/>
    <w:rsid w:val="00CC739E"/>
    <w:rsid w:val="00CD1448"/>
    <w:rsid w:val="00CD1EBB"/>
    <w:rsid w:val="00CD28CF"/>
    <w:rsid w:val="00CD3C0D"/>
    <w:rsid w:val="00CD58B7"/>
    <w:rsid w:val="00CD5E14"/>
    <w:rsid w:val="00CD7967"/>
    <w:rsid w:val="00CE1447"/>
    <w:rsid w:val="00CE1CD7"/>
    <w:rsid w:val="00CE2506"/>
    <w:rsid w:val="00CE498B"/>
    <w:rsid w:val="00CE5C7C"/>
    <w:rsid w:val="00CE618D"/>
    <w:rsid w:val="00CE6A09"/>
    <w:rsid w:val="00CF18EE"/>
    <w:rsid w:val="00CF220E"/>
    <w:rsid w:val="00CF30BD"/>
    <w:rsid w:val="00CF4099"/>
    <w:rsid w:val="00D00796"/>
    <w:rsid w:val="00D01DB2"/>
    <w:rsid w:val="00D10AD6"/>
    <w:rsid w:val="00D12266"/>
    <w:rsid w:val="00D1227D"/>
    <w:rsid w:val="00D1626E"/>
    <w:rsid w:val="00D2187E"/>
    <w:rsid w:val="00D22A74"/>
    <w:rsid w:val="00D261A2"/>
    <w:rsid w:val="00D34290"/>
    <w:rsid w:val="00D372ED"/>
    <w:rsid w:val="00D41C5A"/>
    <w:rsid w:val="00D42633"/>
    <w:rsid w:val="00D4418B"/>
    <w:rsid w:val="00D44236"/>
    <w:rsid w:val="00D451F4"/>
    <w:rsid w:val="00D51569"/>
    <w:rsid w:val="00D53359"/>
    <w:rsid w:val="00D616D2"/>
    <w:rsid w:val="00D6242D"/>
    <w:rsid w:val="00D63B5F"/>
    <w:rsid w:val="00D70EF7"/>
    <w:rsid w:val="00D710CC"/>
    <w:rsid w:val="00D828E3"/>
    <w:rsid w:val="00D83902"/>
    <w:rsid w:val="00D8397C"/>
    <w:rsid w:val="00D94EED"/>
    <w:rsid w:val="00D96026"/>
    <w:rsid w:val="00D97233"/>
    <w:rsid w:val="00D972F6"/>
    <w:rsid w:val="00DA02D8"/>
    <w:rsid w:val="00DA05BC"/>
    <w:rsid w:val="00DA1AEE"/>
    <w:rsid w:val="00DA1D60"/>
    <w:rsid w:val="00DA25ED"/>
    <w:rsid w:val="00DA331D"/>
    <w:rsid w:val="00DA7181"/>
    <w:rsid w:val="00DA7C1C"/>
    <w:rsid w:val="00DB147A"/>
    <w:rsid w:val="00DB1B7A"/>
    <w:rsid w:val="00DB49DD"/>
    <w:rsid w:val="00DB706E"/>
    <w:rsid w:val="00DC6708"/>
    <w:rsid w:val="00DD011A"/>
    <w:rsid w:val="00DD7054"/>
    <w:rsid w:val="00DE2400"/>
    <w:rsid w:val="00DE2ACD"/>
    <w:rsid w:val="00DE58F1"/>
    <w:rsid w:val="00DE5A47"/>
    <w:rsid w:val="00DE6411"/>
    <w:rsid w:val="00DE6B58"/>
    <w:rsid w:val="00DE6C6B"/>
    <w:rsid w:val="00DF5E32"/>
    <w:rsid w:val="00DF69AD"/>
    <w:rsid w:val="00E01436"/>
    <w:rsid w:val="00E03E79"/>
    <w:rsid w:val="00E045BD"/>
    <w:rsid w:val="00E04D6C"/>
    <w:rsid w:val="00E06C55"/>
    <w:rsid w:val="00E1362C"/>
    <w:rsid w:val="00E13F80"/>
    <w:rsid w:val="00E16220"/>
    <w:rsid w:val="00E17B77"/>
    <w:rsid w:val="00E200A4"/>
    <w:rsid w:val="00E231AB"/>
    <w:rsid w:val="00E23337"/>
    <w:rsid w:val="00E259EA"/>
    <w:rsid w:val="00E25D33"/>
    <w:rsid w:val="00E2752C"/>
    <w:rsid w:val="00E312E9"/>
    <w:rsid w:val="00E32061"/>
    <w:rsid w:val="00E33F48"/>
    <w:rsid w:val="00E36281"/>
    <w:rsid w:val="00E36325"/>
    <w:rsid w:val="00E42FF9"/>
    <w:rsid w:val="00E44790"/>
    <w:rsid w:val="00E46016"/>
    <w:rsid w:val="00E4714C"/>
    <w:rsid w:val="00E5178D"/>
    <w:rsid w:val="00E51AEB"/>
    <w:rsid w:val="00E522A7"/>
    <w:rsid w:val="00E5349E"/>
    <w:rsid w:val="00E54452"/>
    <w:rsid w:val="00E5611F"/>
    <w:rsid w:val="00E5657E"/>
    <w:rsid w:val="00E60EF0"/>
    <w:rsid w:val="00E6134D"/>
    <w:rsid w:val="00E63B0C"/>
    <w:rsid w:val="00E6508A"/>
    <w:rsid w:val="00E664C5"/>
    <w:rsid w:val="00E671A2"/>
    <w:rsid w:val="00E76D26"/>
    <w:rsid w:val="00E76EE5"/>
    <w:rsid w:val="00E777D5"/>
    <w:rsid w:val="00E77D2D"/>
    <w:rsid w:val="00E809FF"/>
    <w:rsid w:val="00E84814"/>
    <w:rsid w:val="00E878A4"/>
    <w:rsid w:val="00E95036"/>
    <w:rsid w:val="00E95B8E"/>
    <w:rsid w:val="00EA0E09"/>
    <w:rsid w:val="00EB1390"/>
    <w:rsid w:val="00EB2C71"/>
    <w:rsid w:val="00EB3333"/>
    <w:rsid w:val="00EB4340"/>
    <w:rsid w:val="00EB556D"/>
    <w:rsid w:val="00EB5A7D"/>
    <w:rsid w:val="00EB7925"/>
    <w:rsid w:val="00EC131F"/>
    <w:rsid w:val="00ED4952"/>
    <w:rsid w:val="00ED55C0"/>
    <w:rsid w:val="00ED682B"/>
    <w:rsid w:val="00EE045E"/>
    <w:rsid w:val="00EE0AAF"/>
    <w:rsid w:val="00EE41D5"/>
    <w:rsid w:val="00EF1177"/>
    <w:rsid w:val="00EF7A65"/>
    <w:rsid w:val="00F0166F"/>
    <w:rsid w:val="00F037A4"/>
    <w:rsid w:val="00F03D62"/>
    <w:rsid w:val="00F049AB"/>
    <w:rsid w:val="00F06500"/>
    <w:rsid w:val="00F13750"/>
    <w:rsid w:val="00F13CCF"/>
    <w:rsid w:val="00F142DB"/>
    <w:rsid w:val="00F15B38"/>
    <w:rsid w:val="00F22718"/>
    <w:rsid w:val="00F27C8F"/>
    <w:rsid w:val="00F27E22"/>
    <w:rsid w:val="00F318C3"/>
    <w:rsid w:val="00F320B0"/>
    <w:rsid w:val="00F32749"/>
    <w:rsid w:val="00F340C6"/>
    <w:rsid w:val="00F37172"/>
    <w:rsid w:val="00F37727"/>
    <w:rsid w:val="00F422E2"/>
    <w:rsid w:val="00F4251E"/>
    <w:rsid w:val="00F4477E"/>
    <w:rsid w:val="00F46269"/>
    <w:rsid w:val="00F52EF8"/>
    <w:rsid w:val="00F53E22"/>
    <w:rsid w:val="00F60BA8"/>
    <w:rsid w:val="00F61CA0"/>
    <w:rsid w:val="00F62259"/>
    <w:rsid w:val="00F62A64"/>
    <w:rsid w:val="00F62D28"/>
    <w:rsid w:val="00F65A5A"/>
    <w:rsid w:val="00F66D7F"/>
    <w:rsid w:val="00F67D8F"/>
    <w:rsid w:val="00F70F6D"/>
    <w:rsid w:val="00F713BF"/>
    <w:rsid w:val="00F717AD"/>
    <w:rsid w:val="00F71D84"/>
    <w:rsid w:val="00F72BD2"/>
    <w:rsid w:val="00F773B5"/>
    <w:rsid w:val="00F802BE"/>
    <w:rsid w:val="00F80E93"/>
    <w:rsid w:val="00F84620"/>
    <w:rsid w:val="00F84632"/>
    <w:rsid w:val="00F86024"/>
    <w:rsid w:val="00F8611A"/>
    <w:rsid w:val="00F91291"/>
    <w:rsid w:val="00F95C84"/>
    <w:rsid w:val="00FA3739"/>
    <w:rsid w:val="00FA3E6A"/>
    <w:rsid w:val="00FA5128"/>
    <w:rsid w:val="00FB0819"/>
    <w:rsid w:val="00FB0BFB"/>
    <w:rsid w:val="00FB42D4"/>
    <w:rsid w:val="00FB5906"/>
    <w:rsid w:val="00FB63C7"/>
    <w:rsid w:val="00FB7150"/>
    <w:rsid w:val="00FB762F"/>
    <w:rsid w:val="00FC0EAD"/>
    <w:rsid w:val="00FC22EC"/>
    <w:rsid w:val="00FC2AED"/>
    <w:rsid w:val="00FC7C06"/>
    <w:rsid w:val="00FD08AE"/>
    <w:rsid w:val="00FD186F"/>
    <w:rsid w:val="00FD1E9D"/>
    <w:rsid w:val="00FD3F65"/>
    <w:rsid w:val="00FD5EA7"/>
    <w:rsid w:val="00FE36CF"/>
    <w:rsid w:val="00FE6C1B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A59EC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1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17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25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85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hyperlink" Target="https://stat.gov.pl/en/metainformation/glossary/terms-used-in-official-statistics/4620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value_chains_of_national_enterprises_in_2021.docx.docx</NazwaPliku>
    <Osoba xmlns="AD3641B4-23D9-4536-AF9E-7D0EADDEB824">STAT\PERYTS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EE74-47A2-4CF7-917E-8FA314C62A50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998CA609-A86F-4713-A1C0-1F7756360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1899</Words>
  <Characters>11398</Characters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Łańcuchy wartości krajowych przedsiębiorstw w 2020 roku</vt:lpstr>
    </vt:vector>
  </TitlesOfParts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2019-02-21T09:45:00Z</cp:lastPrinted>
  <dcterms:created xsi:type="dcterms:W3CDTF">2023-06-26T14:32:00Z</dcterms:created>
  <dcterms:modified xsi:type="dcterms:W3CDTF">2023-06-26T14:39:00Z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