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B0" w:rsidP="009E0BB0" w:rsidRDefault="009E0BB0" w14:paraId="4390A00C" w14:textId="77777777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 xml:space="preserve">Real estate sales in </w:t>
      </w:r>
      <w:r>
        <w:rPr>
          <w:shd w:val="clear" w:color="auto" w:fill="FFFFFF"/>
          <w:lang w:val="en-US"/>
        </w:rPr>
        <w:t>20</w:t>
      </w:r>
      <w:r w:rsidR="002360E5">
        <w:rPr>
          <w:shd w:val="clear" w:color="auto" w:fill="FFFFFF"/>
          <w:lang w:val="en-US"/>
        </w:rPr>
        <w:t>2</w:t>
      </w:r>
      <w:r w:rsidR="00E047FC">
        <w:rPr>
          <w:shd w:val="clear" w:color="auto" w:fill="FFFFFF"/>
          <w:lang w:val="en-US"/>
        </w:rPr>
        <w:t>2</w:t>
      </w:r>
    </w:p>
    <w:p w:rsidRPr="00371AA7" w:rsidR="009E0BB0" w:rsidP="009E0BB0" w:rsidRDefault="009E0BB0" w14:paraId="1E58D796" w14:textId="77777777">
      <w:pPr>
        <w:pStyle w:val="tytuinformacji"/>
        <w:rPr>
          <w:sz w:val="32"/>
          <w:lang w:val="en-US"/>
        </w:rPr>
      </w:pPr>
    </w:p>
    <w:p w:rsidR="009E0BB0" w:rsidP="008E2609" w:rsidRDefault="00C1142A" w14:paraId="51534632" w14:textId="1DF34B49">
      <w:pPr>
        <w:pStyle w:val="LID"/>
        <w:spacing w:after="0"/>
        <w:ind w:right="129"/>
        <w:rPr>
          <w:lang w:val="en-US"/>
        </w:rPr>
      </w:pPr>
      <w:r w:rsidRPr="00C1142A"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editId="24E29938" wp14:anchorId="6B5E8A0A">
                <wp:simplePos x="0" y="0"/>
                <wp:positionH relativeFrom="margin">
                  <wp:posOffset>114300</wp:posOffset>
                </wp:positionH>
                <wp:positionV relativeFrom="paragraph">
                  <wp:posOffset>42545</wp:posOffset>
                </wp:positionV>
                <wp:extent cx="2057400" cy="1476375"/>
                <wp:effectExtent l="0" t="0" r="0" b="9525"/>
                <wp:wrapSquare wrapText="bothSides"/>
                <wp:docPr id="8" name="Pole tekstowe 2" descr="Index value: 24.3%&#10;decrease in the number of notarial deeds related to real estate sales in comparison with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763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C1196" w:rsidR="00E14693" w:rsidP="00E14693" w:rsidRDefault="009623B5" w14:paraId="3AD065CD" w14:textId="28EAF72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Style w:val="WartowskanikaZnak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Pr="00002B3A" w:rsidR="00C1142A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24.3</w:t>
                            </w:r>
                            <w:r w:rsidRPr="00002B3A" w:rsidR="00E14693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Pr="003A407C" w:rsidR="00E14693" w:rsidP="00002B3A" w:rsidRDefault="00A91E68" w14:paraId="67DE3D2A" w14:textId="7777777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</w:t>
                            </w:r>
                            <w:r w:rsidR="00907899">
                              <w:rPr>
                                <w:lang w:val="en-US"/>
                              </w:rPr>
                              <w:t>de</w:t>
                            </w:r>
                            <w:r w:rsidRPr="00C1142A" w:rsidR="00C1142A">
                              <w:rPr>
                                <w:lang w:val="en-US"/>
                              </w:rPr>
                              <w:t>crease in the number of notarial deeds related to real estate sales</w:t>
                            </w:r>
                            <w:r w:rsidR="00C1142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1142A" w:rsidR="00C1142A">
                              <w:rPr>
                                <w:lang w:val="en-US"/>
                              </w:rPr>
                              <w:t>in comparison with 20</w:t>
                            </w:r>
                            <w:r w:rsidR="00C1142A">
                              <w:rPr>
                                <w:lang w:val="en-US"/>
                              </w:rPr>
                              <w:t>2</w:t>
                            </w:r>
                            <w:r w:rsidR="00070F8C">
                              <w:rPr>
                                <w:lang w:val="en-US"/>
                              </w:rPr>
                              <w:t>1</w:t>
                            </w:r>
                          </w:p>
                          <w:p w:rsidRPr="00070F8C" w:rsidR="00870053" w:rsidRDefault="00870053" w14:paraId="53DD7057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Pole tekstowe 2" style="position:absolute;margin-left:9pt;margin-top:3.35pt;width:162pt;height:116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value: 24.3%&#10;decrease in the number of notarial deeds related to real estate sales in comparison with 2021" o:spid="_x0000_s1026" fillcolor="#001d77" stroked="f" arcsize="10923f" w14:anchorId="6B5E8A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">
                <v:stroke joinstyle="miter"/>
                <v:textbox>
                  <w:txbxContent>
                    <w:p w:rsidRPr="003C1196" w:rsidR="00E14693" w:rsidP="00E14693" w:rsidRDefault="009623B5" w14:paraId="3AD065CD" w14:textId="28EAF72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Style w:val="WartowskanikaZnak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Pr="00002B3A" w:rsidR="00C1142A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24.3</w:t>
                      </w:r>
                      <w:r w:rsidRPr="00002B3A" w:rsidR="00E14693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Pr="003A407C" w:rsidR="00E14693" w:rsidP="00002B3A" w:rsidRDefault="00A91E68" w14:paraId="67DE3D2A" w14:textId="7777777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</w:t>
                      </w:r>
                      <w:r w:rsidR="00907899">
                        <w:rPr>
                          <w:lang w:val="en-US"/>
                        </w:rPr>
                        <w:t>de</w:t>
                      </w:r>
                      <w:r w:rsidRPr="00C1142A" w:rsidR="00C1142A">
                        <w:rPr>
                          <w:lang w:val="en-US"/>
                        </w:rPr>
                        <w:t>crease in the number of notarial deeds related to real estate sales</w:t>
                      </w:r>
                      <w:r w:rsidR="00C1142A">
                        <w:rPr>
                          <w:lang w:val="en-US"/>
                        </w:rPr>
                        <w:t xml:space="preserve"> </w:t>
                      </w:r>
                      <w:r w:rsidRPr="00C1142A" w:rsidR="00C1142A">
                        <w:rPr>
                          <w:lang w:val="en-US"/>
                        </w:rPr>
                        <w:t>in comparison with 20</w:t>
                      </w:r>
                      <w:r w:rsidR="00C1142A">
                        <w:rPr>
                          <w:lang w:val="en-US"/>
                        </w:rPr>
                        <w:t>2</w:t>
                      </w:r>
                      <w:r w:rsidR="00070F8C">
                        <w:rPr>
                          <w:lang w:val="en-US"/>
                        </w:rPr>
                        <w:t>1</w:t>
                      </w:r>
                    </w:p>
                    <w:p w:rsidRPr="00070F8C" w:rsidR="00870053" w:rsidRDefault="00870053" w14:paraId="53DD7057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11CF0">
        <w:rPr>
          <w:lang w:val="en-US"/>
        </w:rPr>
        <w:t>531,2</w:t>
      </w:r>
      <w:r w:rsidRPr="00C1142A" w:rsidR="00100522">
        <w:rPr>
          <w:lang w:val="en-US"/>
        </w:rPr>
        <w:t xml:space="preserve"> </w:t>
      </w:r>
      <w:r w:rsidRPr="00CE65E4" w:rsidR="009E0BB0">
        <w:rPr>
          <w:lang w:val="en-US"/>
        </w:rPr>
        <w:t>thous</w:t>
      </w:r>
      <w:r w:rsidR="00E93327">
        <w:rPr>
          <w:lang w:val="en-US"/>
        </w:rPr>
        <w:t>and</w:t>
      </w:r>
      <w:r w:rsidRPr="00CE65E4" w:rsidR="009E0BB0">
        <w:rPr>
          <w:lang w:val="en-US"/>
        </w:rPr>
        <w:t xml:space="preserve"> </w:t>
      </w:r>
      <w:r w:rsidR="009E0BB0">
        <w:rPr>
          <w:lang w:val="en-US"/>
        </w:rPr>
        <w:t>notarial deeds relating</w:t>
      </w:r>
      <w:r w:rsidRPr="00CE65E4" w:rsidR="009E0BB0">
        <w:rPr>
          <w:lang w:val="en-US"/>
        </w:rPr>
        <w:t xml:space="preserve"> to </w:t>
      </w:r>
      <w:r w:rsidR="009E0BB0">
        <w:rPr>
          <w:lang w:val="en-US"/>
        </w:rPr>
        <w:t xml:space="preserve">real estate sales were concluded in </w:t>
      </w:r>
      <w:r w:rsidR="002360E5">
        <w:rPr>
          <w:lang w:val="en-US"/>
        </w:rPr>
        <w:t>202</w:t>
      </w:r>
      <w:r w:rsidR="00582D90">
        <w:rPr>
          <w:lang w:val="en-US"/>
        </w:rPr>
        <w:t>2</w:t>
      </w:r>
      <w:r w:rsidR="00A91E68">
        <w:rPr>
          <w:lang w:val="en-US"/>
        </w:rPr>
        <w:t xml:space="preserve">, </w:t>
      </w:r>
      <w:r w:rsidR="009E0BB0">
        <w:rPr>
          <w:lang w:val="en-US"/>
        </w:rPr>
        <w:t xml:space="preserve">by </w:t>
      </w:r>
      <w:r>
        <w:rPr>
          <w:lang w:val="en-US"/>
        </w:rPr>
        <w:t>24.3</w:t>
      </w:r>
      <w:r w:rsidRPr="00CE65E4" w:rsidR="009E0BB0">
        <w:rPr>
          <w:lang w:val="en-US"/>
        </w:rPr>
        <w:t xml:space="preserve">% </w:t>
      </w:r>
      <w:r w:rsidR="00A11CF0">
        <w:rPr>
          <w:lang w:val="en-US"/>
        </w:rPr>
        <w:t>less</w:t>
      </w:r>
      <w:r w:rsidR="009E0BB0">
        <w:rPr>
          <w:lang w:val="en-US"/>
        </w:rPr>
        <w:t xml:space="preserve"> than in the previous year</w:t>
      </w:r>
      <w:r w:rsidRPr="00CE65E4" w:rsidR="009E0BB0">
        <w:rPr>
          <w:lang w:val="en-US"/>
        </w:rPr>
        <w:t>.</w:t>
      </w:r>
      <w:r w:rsidR="009E0BB0">
        <w:rPr>
          <w:lang w:val="en-US"/>
        </w:rPr>
        <w:t xml:space="preserve"> Compared to </w:t>
      </w:r>
      <w:r w:rsidR="00A11CF0">
        <w:rPr>
          <w:lang w:val="en-US"/>
        </w:rPr>
        <w:t xml:space="preserve">2021 </w:t>
      </w:r>
      <w:r w:rsidR="00A75BD2">
        <w:rPr>
          <w:lang w:val="en-US"/>
        </w:rPr>
        <w:t>an</w:t>
      </w:r>
      <w:r w:rsidR="00A11CF0">
        <w:rPr>
          <w:lang w:val="en-US"/>
        </w:rPr>
        <w:t xml:space="preserve"> </w:t>
      </w:r>
      <w:r w:rsidRPr="00662314" w:rsidR="00662314">
        <w:rPr>
          <w:lang w:val="en-US"/>
        </w:rPr>
        <w:t xml:space="preserve">increase in the number of notarial deeds occurred only in the case of </w:t>
      </w:r>
      <w:r w:rsidRPr="0054548F" w:rsidR="00582D90">
        <w:rPr>
          <w:lang w:val="en-US"/>
        </w:rPr>
        <w:t>sales of properties to the State Treasury or local self-government bodies</w:t>
      </w:r>
      <w:r w:rsidR="00582D90">
        <w:rPr>
          <w:shd w:val="clear" w:color="auto" w:fill="FFFFFF"/>
          <w:lang w:val="en-US"/>
        </w:rPr>
        <w:t xml:space="preserve"> (</w:t>
      </w:r>
      <w:r w:rsidR="00A91E68">
        <w:rPr>
          <w:shd w:val="clear" w:color="auto" w:fill="FFFFFF"/>
          <w:lang w:val="en-US"/>
        </w:rPr>
        <w:t xml:space="preserve">of </w:t>
      </w:r>
      <w:r w:rsidR="00582D90">
        <w:rPr>
          <w:shd w:val="clear" w:color="auto" w:fill="FFFFFF"/>
          <w:lang w:val="en-US"/>
        </w:rPr>
        <w:t xml:space="preserve">9.9%). The biggest decrease was noted </w:t>
      </w:r>
      <w:r w:rsidR="00662314">
        <w:rPr>
          <w:shd w:val="clear" w:color="auto" w:fill="FFFFFF"/>
          <w:lang w:val="en-US"/>
        </w:rPr>
        <w:t xml:space="preserve">in the case of </w:t>
      </w:r>
      <w:r w:rsidR="009E0BB0">
        <w:rPr>
          <w:shd w:val="clear" w:color="auto" w:fill="FFFFFF"/>
          <w:lang w:val="en-US"/>
        </w:rPr>
        <w:t>sales of land properties (</w:t>
      </w:r>
      <w:r w:rsidR="00A91E68">
        <w:rPr>
          <w:shd w:val="clear" w:color="auto" w:fill="FFFFFF"/>
          <w:lang w:val="en-US"/>
        </w:rPr>
        <w:t xml:space="preserve">of </w:t>
      </w:r>
      <w:r w:rsidR="00A11CF0">
        <w:rPr>
          <w:shd w:val="clear" w:color="auto" w:fill="FFFFFF"/>
          <w:lang w:val="en-US"/>
        </w:rPr>
        <w:t>35.2</w:t>
      </w:r>
      <w:r w:rsidRPr="00CE65E4" w:rsidR="009E0BB0">
        <w:rPr>
          <w:shd w:val="clear" w:color="auto" w:fill="FFFFFF"/>
          <w:lang w:val="en-US"/>
        </w:rPr>
        <w:t>%)</w:t>
      </w:r>
      <w:r w:rsidR="00662314">
        <w:rPr>
          <w:shd w:val="clear" w:color="auto" w:fill="FFFFFF"/>
          <w:lang w:val="en-US"/>
        </w:rPr>
        <w:t>.</w:t>
      </w:r>
    </w:p>
    <w:p w:rsidR="009E0BB0" w:rsidP="009E0BB0" w:rsidRDefault="009E0BB0" w14:paraId="02B8C88E" w14:textId="6F865DCB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Pr="00C1142A" w:rsidR="009E0BB0" w:rsidP="009E0BB0" w:rsidRDefault="00D7141A" w14:paraId="05F2A1A4" w14:textId="10C9382C">
      <w:pPr>
        <w:pStyle w:val="Nagwek1"/>
        <w:rPr>
          <w:rFonts w:ascii="Fira Sans" w:hAnsi="Fira Sans"/>
          <w:b/>
          <w:color w:val="auto"/>
          <w:szCs w:val="19"/>
          <w:lang w:val="en-US"/>
        </w:rPr>
      </w:pPr>
      <w:r w:rsidRPr="00C1142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editId="0528EC5C" wp14:anchorId="241CCF4A">
                <wp:simplePos x="0" y="0"/>
                <wp:positionH relativeFrom="column">
                  <wp:posOffset>5295900</wp:posOffset>
                </wp:positionH>
                <wp:positionV relativeFrom="paragraph">
                  <wp:posOffset>314717</wp:posOffset>
                </wp:positionV>
                <wp:extent cx="1725930" cy="1629410"/>
                <wp:effectExtent l="0" t="0" r="0" b="0"/>
                <wp:wrapTight wrapText="bothSides">
                  <wp:wrapPolygon edited="0">
                    <wp:start x="715" y="0"/>
                    <wp:lineTo x="715" y="21213"/>
                    <wp:lineTo x="20742" y="21213"/>
                    <wp:lineTo x="20742" y="0"/>
                    <wp:lineTo x="715" y="0"/>
                  </wp:wrapPolygon>
                </wp:wrapTight>
                <wp:docPr id="25" name="Pole tekstowe 25" descr="In 2022 compared to the previous year, the increase was noted only in the number of notarial deeds concerned the sales of properties to the  State Treasury or local self-government bodies  (by 9.9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2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3E18" w:rsidR="009E0BB0" w:rsidP="009E0BB0" w:rsidRDefault="00C047B4" w14:paraId="2E995B8A" w14:textId="6FA8F4B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202</w:t>
                            </w:r>
                            <w:r w:rsidR="00E047FC">
                              <w:rPr>
                                <w:lang w:val="en-US"/>
                              </w:rPr>
                              <w:t>2</w:t>
                            </w:r>
                            <w:r w:rsidR="00070F8C">
                              <w:rPr>
                                <w:lang w:val="en-US"/>
                              </w:rPr>
                              <w:t xml:space="preserve"> compared to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070F8C" w:rsidR="00070F8C">
                              <w:rPr>
                                <w:lang w:val="en-US"/>
                              </w:rPr>
                              <w:t xml:space="preserve">the increase was noted only </w:t>
                            </w:r>
                            <w:r w:rsidRPr="00124567" w:rsidR="009E0BB0">
                              <w:rPr>
                                <w:lang w:val="en-US"/>
                              </w:rPr>
                              <w:t>in the n</w:t>
                            </w:r>
                            <w:r w:rsidR="009E0BB0">
                              <w:rPr>
                                <w:lang w:val="en-US"/>
                              </w:rPr>
                              <w:t xml:space="preserve">umber of notarial deeds </w:t>
                            </w:r>
                            <w:r w:rsidR="006C6F56">
                              <w:rPr>
                                <w:lang w:val="en-US"/>
                              </w:rPr>
                              <w:br/>
                            </w:r>
                            <w:r w:rsidR="009E0BB0">
                              <w:rPr>
                                <w:lang w:val="en-US"/>
                              </w:rPr>
                              <w:t>concerned the s</w:t>
                            </w:r>
                            <w:r w:rsidRPr="009E0BB0" w:rsidR="009E0BB0">
                              <w:rPr>
                                <w:lang w:val="en-US"/>
                              </w:rPr>
                              <w:t xml:space="preserve">ales </w:t>
                            </w:r>
                            <w:r w:rsidRPr="00070F8C" w:rsidR="00070F8C">
                              <w:rPr>
                                <w:lang w:val="en-US"/>
                              </w:rPr>
                              <w:t>of properties to</w:t>
                            </w:r>
                            <w:r w:rsidR="00070F8C">
                              <w:rPr>
                                <w:lang w:val="en-US"/>
                              </w:rPr>
                              <w:t> </w:t>
                            </w:r>
                            <w:r w:rsidRPr="00070F8C" w:rsidR="00070F8C">
                              <w:rPr>
                                <w:lang w:val="en-US"/>
                              </w:rPr>
                              <w:t>the</w:t>
                            </w:r>
                            <w:r w:rsidR="00070F8C">
                              <w:rPr>
                                <w:lang w:val="en-US"/>
                              </w:rPr>
                              <w:t> </w:t>
                            </w:r>
                            <w:r w:rsidRPr="00070F8C" w:rsidR="00070F8C">
                              <w:rPr>
                                <w:lang w:val="en-US"/>
                              </w:rPr>
                              <w:t xml:space="preserve"> State Treasury or local self-government bodies</w:t>
                            </w:r>
                            <w:r w:rsidR="00070F8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E0BB0">
                              <w:rPr>
                                <w:lang w:val="en-US"/>
                              </w:rPr>
                              <w:t xml:space="preserve">(by </w:t>
                            </w:r>
                            <w:r w:rsidR="00070F8C">
                              <w:rPr>
                                <w:lang w:val="en-US"/>
                              </w:rPr>
                              <w:t>9.9</w:t>
                            </w:r>
                            <w:r w:rsidR="009E0BB0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1CCF4A">
                <v:stroke joinstyle="miter"/>
                <v:path gradientshapeok="t" o:connecttype="rect"/>
              </v:shapetype>
              <v:shape id="Pole tekstowe 25" style="position:absolute;margin-left:417pt;margin-top:24.8pt;width:135.9pt;height:128.3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In 2022 compared to the previous year, the increase was noted only in the number of notarial deeds concerned the sales of properties to the  State Treasury or local self-government bodies  (by 9.9%)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">
                <v:textbox>
                  <w:txbxContent>
                    <w:p w:rsidRPr="00F53E18" w:rsidR="009E0BB0" w:rsidP="009E0BB0" w:rsidRDefault="00C047B4" w14:paraId="2E995B8A" w14:textId="6FA8F4B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202</w:t>
                      </w:r>
                      <w:r w:rsidR="00E047FC">
                        <w:rPr>
                          <w:lang w:val="en-US"/>
                        </w:rPr>
                        <w:t>2</w:t>
                      </w:r>
                      <w:r w:rsidR="00070F8C">
                        <w:rPr>
                          <w:lang w:val="en-US"/>
                        </w:rPr>
                        <w:t xml:space="preserve"> compared to the previous year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 w:rsidRPr="00070F8C" w:rsidR="00070F8C">
                        <w:rPr>
                          <w:lang w:val="en-US"/>
                        </w:rPr>
                        <w:t xml:space="preserve">the increase was noted only </w:t>
                      </w:r>
                      <w:r w:rsidRPr="00124567" w:rsidR="009E0BB0">
                        <w:rPr>
                          <w:lang w:val="en-US"/>
                        </w:rPr>
                        <w:t>in the n</w:t>
                      </w:r>
                      <w:r w:rsidR="009E0BB0">
                        <w:rPr>
                          <w:lang w:val="en-US"/>
                        </w:rPr>
                        <w:t xml:space="preserve">umber of notarial deeds </w:t>
                      </w:r>
                      <w:r w:rsidR="006C6F56">
                        <w:rPr>
                          <w:lang w:val="en-US"/>
                        </w:rPr>
                        <w:br/>
                      </w:r>
                      <w:r w:rsidR="009E0BB0">
                        <w:rPr>
                          <w:lang w:val="en-US"/>
                        </w:rPr>
                        <w:t>concerned the s</w:t>
                      </w:r>
                      <w:r w:rsidRPr="009E0BB0" w:rsidR="009E0BB0">
                        <w:rPr>
                          <w:lang w:val="en-US"/>
                        </w:rPr>
                        <w:t xml:space="preserve">ales </w:t>
                      </w:r>
                      <w:r w:rsidRPr="00070F8C" w:rsidR="00070F8C">
                        <w:rPr>
                          <w:lang w:val="en-US"/>
                        </w:rPr>
                        <w:t>of properties to</w:t>
                      </w:r>
                      <w:r w:rsidR="00070F8C">
                        <w:rPr>
                          <w:lang w:val="en-US"/>
                        </w:rPr>
                        <w:t> </w:t>
                      </w:r>
                      <w:r w:rsidRPr="00070F8C" w:rsidR="00070F8C">
                        <w:rPr>
                          <w:lang w:val="en-US"/>
                        </w:rPr>
                        <w:t>the</w:t>
                      </w:r>
                      <w:r w:rsidR="00070F8C">
                        <w:rPr>
                          <w:lang w:val="en-US"/>
                        </w:rPr>
                        <w:t> </w:t>
                      </w:r>
                      <w:r w:rsidRPr="00070F8C" w:rsidR="00070F8C">
                        <w:rPr>
                          <w:lang w:val="en-US"/>
                        </w:rPr>
                        <w:t xml:space="preserve"> State Treasury or local self-government bodies</w:t>
                      </w:r>
                      <w:r w:rsidR="00070F8C">
                        <w:rPr>
                          <w:lang w:val="en-US"/>
                        </w:rPr>
                        <w:t xml:space="preserve"> </w:t>
                      </w:r>
                      <w:r w:rsidR="009E0BB0">
                        <w:rPr>
                          <w:lang w:val="en-US"/>
                        </w:rPr>
                        <w:t xml:space="preserve">(by </w:t>
                      </w:r>
                      <w:r w:rsidR="00070F8C">
                        <w:rPr>
                          <w:lang w:val="en-US"/>
                        </w:rPr>
                        <w:t>9.9</w:t>
                      </w:r>
                      <w:r w:rsidR="009E0BB0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142A" w:rsidR="009E0BB0">
        <w:rPr>
          <w:rFonts w:ascii="Fira Sans" w:hAnsi="Fira Sans"/>
          <w:b/>
          <w:color w:val="auto"/>
          <w:szCs w:val="19"/>
          <w:lang w:val="en-US"/>
        </w:rPr>
        <w:t xml:space="preserve">Table 1. Notarial deeds related to real estate sales concluded in </w:t>
      </w:r>
      <w:r w:rsidRPr="00C1142A" w:rsidR="00E14693">
        <w:rPr>
          <w:rFonts w:ascii="Fira Sans" w:hAnsi="Fira Sans"/>
          <w:b/>
          <w:color w:val="auto"/>
          <w:szCs w:val="19"/>
          <w:lang w:val="en-US"/>
        </w:rPr>
        <w:t>202</w:t>
      </w:r>
      <w:r w:rsidR="00070F8C">
        <w:rPr>
          <w:rFonts w:ascii="Fira Sans" w:hAnsi="Fira Sans"/>
          <w:b/>
          <w:color w:val="auto"/>
          <w:szCs w:val="19"/>
          <w:lang w:val="en-US"/>
        </w:rPr>
        <w:t>2</w:t>
      </w:r>
      <w:bookmarkStart w:name="_GoBack" w:id="0"/>
      <w:bookmarkEnd w:id="0"/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single" w:color="001D81" w:sz="4" w:space="0"/>
          <w:left w:val="none" w:color="auto" w:sz="0" w:space="0"/>
          <w:bottom w:val="single" w:color="001D81" w:sz="4" w:space="0"/>
          <w:right w:val="none" w:color="auto" w:sz="0" w:space="0"/>
          <w:insideH w:val="single" w:color="001D81" w:sz="4" w:space="0"/>
          <w:insideV w:val="single" w:color="001D81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1. includes notarial deeds related to real estate sales concluded in 2022"/>
      </w:tblPr>
      <w:tblGrid>
        <w:gridCol w:w="5105"/>
        <w:gridCol w:w="1481"/>
        <w:gridCol w:w="1481"/>
      </w:tblGrid>
      <w:tr w:rsidRPr="00907E1E" w:rsidR="00C1142A" w:rsidTr="00B8258E" w14:paraId="37BDFDFF" w14:textId="77777777">
        <w:trPr>
          <w:trHeight w:val="510"/>
        </w:trPr>
        <w:tc>
          <w:tcPr>
            <w:tcW w:w="3164" w:type="pct"/>
            <w:vAlign w:val="center"/>
          </w:tcPr>
          <w:p w:rsidRPr="009B3C03" w:rsidR="00C1142A" w:rsidP="00C1142A" w:rsidRDefault="00C1142A" w14:paraId="482FD0F2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  <w:lang w:val="en-GB"/>
              </w:rPr>
            </w:pPr>
            <w:r w:rsidRPr="009B3C03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918" w:type="pct"/>
            <w:vAlign w:val="center"/>
          </w:tcPr>
          <w:p w:rsidRPr="00763D1B" w:rsidR="00C1142A" w:rsidP="00070F8C" w:rsidRDefault="00C1142A" w14:paraId="6D6F9F81" w14:textId="77777777">
            <w:pPr>
              <w:spacing w:before="0" w:after="0"/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202</w:t>
            </w:r>
            <w:r w:rsidR="00070F8C">
              <w:rPr>
                <w:szCs w:val="19"/>
              </w:rPr>
              <w:t>2</w:t>
            </w:r>
          </w:p>
        </w:tc>
        <w:tc>
          <w:tcPr>
            <w:tcW w:w="918" w:type="pct"/>
            <w:vAlign w:val="center"/>
          </w:tcPr>
          <w:p w:rsidRPr="00763D1B" w:rsidR="00C1142A" w:rsidP="00070F8C" w:rsidRDefault="00C1142A" w14:paraId="6E471358" w14:textId="77777777">
            <w:pPr>
              <w:spacing w:before="0" w:after="0"/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202</w:t>
            </w:r>
            <w:r w:rsidR="00070F8C">
              <w:rPr>
                <w:szCs w:val="19"/>
              </w:rPr>
              <w:t>1</w:t>
            </w:r>
            <w:r w:rsidRPr="00763D1B">
              <w:rPr>
                <w:szCs w:val="19"/>
              </w:rPr>
              <w:t>=100</w:t>
            </w:r>
          </w:p>
        </w:tc>
      </w:tr>
      <w:tr w:rsidRPr="00907E1E" w:rsidR="00B8258E" w:rsidTr="00B8258E" w14:paraId="098991D8" w14:textId="77777777">
        <w:trPr>
          <w:trHeight w:val="510"/>
        </w:trPr>
        <w:tc>
          <w:tcPr>
            <w:tcW w:w="3164" w:type="pct"/>
            <w:vAlign w:val="center"/>
          </w:tcPr>
          <w:p w:rsidRPr="00E14693" w:rsidR="00B8258E" w:rsidP="00B8258E" w:rsidRDefault="00B8258E" w14:paraId="0EC5F030" w14:textId="7777777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E14693">
              <w:rPr>
                <w:rFonts w:ascii="Fira Sans" w:hAnsi="Fira Sans"/>
                <w:color w:val="000000" w:themeColor="text1"/>
                <w:sz w:val="19"/>
                <w:szCs w:val="19"/>
              </w:rPr>
              <w:t>Total</w:t>
            </w:r>
          </w:p>
        </w:tc>
        <w:tc>
          <w:tcPr>
            <w:tcW w:w="918" w:type="pct"/>
          </w:tcPr>
          <w:p w:rsidRPr="00763D1B" w:rsidR="00B8258E" w:rsidP="00B8258E" w:rsidRDefault="00B8258E" w14:paraId="5A9C1F07" w14:textId="22125945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531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168</w:t>
            </w:r>
          </w:p>
        </w:tc>
        <w:tc>
          <w:tcPr>
            <w:tcW w:w="918" w:type="pct"/>
          </w:tcPr>
          <w:p w:rsidRPr="00763D1B" w:rsidR="00B8258E" w:rsidP="00B8258E" w:rsidRDefault="00B8258E" w14:paraId="325F3539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75.7</w:t>
            </w:r>
          </w:p>
        </w:tc>
      </w:tr>
      <w:tr w:rsidRPr="00907E1E" w:rsidR="00B8258E" w:rsidTr="00B8258E" w14:paraId="139847B1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7DACBF8A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premises</w:t>
            </w:r>
          </w:p>
        </w:tc>
        <w:tc>
          <w:tcPr>
            <w:tcW w:w="918" w:type="pct"/>
          </w:tcPr>
          <w:p w:rsidRPr="00763D1B" w:rsidR="00B8258E" w:rsidP="00B8258E" w:rsidRDefault="00B8258E" w14:paraId="673D1A8D" w14:textId="34F7613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208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089</w:t>
            </w:r>
          </w:p>
        </w:tc>
        <w:tc>
          <w:tcPr>
            <w:tcW w:w="918" w:type="pct"/>
          </w:tcPr>
          <w:p w:rsidRPr="00763D1B" w:rsidR="00B8258E" w:rsidP="00B8258E" w:rsidRDefault="00B8258E" w14:paraId="2E307229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80.9</w:t>
            </w:r>
          </w:p>
        </w:tc>
      </w:tr>
      <w:tr w:rsidRPr="00907E1E" w:rsidR="00B8258E" w:rsidTr="00B8258E" w14:paraId="1C527275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54031F00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land properties</w:t>
            </w:r>
          </w:p>
        </w:tc>
        <w:tc>
          <w:tcPr>
            <w:tcW w:w="918" w:type="pct"/>
          </w:tcPr>
          <w:p w:rsidRPr="00763D1B" w:rsidR="00B8258E" w:rsidP="00B8258E" w:rsidRDefault="00B8258E" w14:paraId="16C92AB4" w14:textId="11586653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121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949</w:t>
            </w:r>
          </w:p>
        </w:tc>
        <w:tc>
          <w:tcPr>
            <w:tcW w:w="918" w:type="pct"/>
          </w:tcPr>
          <w:p w:rsidRPr="00763D1B" w:rsidR="00B8258E" w:rsidP="00B8258E" w:rsidRDefault="00B8258E" w14:paraId="3E77FDDA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64.8</w:t>
            </w:r>
          </w:p>
        </w:tc>
      </w:tr>
      <w:tr w:rsidRPr="00907E1E" w:rsidR="00B8258E" w:rsidTr="00B8258E" w14:paraId="0E9765D2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21FDB950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agricultural land</w:t>
            </w:r>
          </w:p>
        </w:tc>
        <w:tc>
          <w:tcPr>
            <w:tcW w:w="918" w:type="pct"/>
          </w:tcPr>
          <w:p w:rsidRPr="00763D1B" w:rsidR="00B8258E" w:rsidP="00B8258E" w:rsidRDefault="00B8258E" w14:paraId="1DBAFE7E" w14:textId="075A499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63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318</w:t>
            </w:r>
          </w:p>
        </w:tc>
        <w:tc>
          <w:tcPr>
            <w:tcW w:w="918" w:type="pct"/>
          </w:tcPr>
          <w:p w:rsidRPr="00763D1B" w:rsidR="00B8258E" w:rsidP="00B8258E" w:rsidRDefault="00B8258E" w14:paraId="29C1E5BE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82.6</w:t>
            </w:r>
          </w:p>
        </w:tc>
      </w:tr>
      <w:tr w:rsidRPr="00907E1E" w:rsidR="00B8258E" w:rsidTr="00B8258E" w14:paraId="40438628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6129DAD1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properties built-up with residential buildings</w:t>
            </w:r>
          </w:p>
        </w:tc>
        <w:tc>
          <w:tcPr>
            <w:tcW w:w="918" w:type="pct"/>
          </w:tcPr>
          <w:p w:rsidRPr="00763D1B" w:rsidR="00B8258E" w:rsidP="00B8258E" w:rsidRDefault="00B8258E" w14:paraId="1DBC603D" w14:textId="2DC695C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53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584</w:t>
            </w:r>
          </w:p>
        </w:tc>
        <w:tc>
          <w:tcPr>
            <w:tcW w:w="918" w:type="pct"/>
          </w:tcPr>
          <w:p w:rsidRPr="00763D1B" w:rsidR="00B8258E" w:rsidP="00B8258E" w:rsidRDefault="00B8258E" w14:paraId="5EC4D59B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73.3</w:t>
            </w:r>
          </w:p>
        </w:tc>
      </w:tr>
      <w:tr w:rsidRPr="00907E1E" w:rsidR="00B8258E" w:rsidTr="00B8258E" w14:paraId="63E8357B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797E871E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cooperative ownership right to premises</w:t>
            </w:r>
          </w:p>
        </w:tc>
        <w:tc>
          <w:tcPr>
            <w:tcW w:w="918" w:type="pct"/>
          </w:tcPr>
          <w:p w:rsidRPr="00763D1B" w:rsidR="00B8258E" w:rsidP="00B8258E" w:rsidRDefault="00B8258E" w14:paraId="06127AE5" w14:textId="366CBE4C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39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896</w:t>
            </w:r>
          </w:p>
        </w:tc>
        <w:tc>
          <w:tcPr>
            <w:tcW w:w="918" w:type="pct"/>
          </w:tcPr>
          <w:p w:rsidRPr="00763D1B" w:rsidR="00B8258E" w:rsidP="00B8258E" w:rsidRDefault="00B8258E" w14:paraId="0E015360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77.5</w:t>
            </w:r>
          </w:p>
        </w:tc>
      </w:tr>
      <w:tr w:rsidRPr="00907E1E" w:rsidR="00B8258E" w:rsidTr="00B8258E" w14:paraId="31E5456E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5E58A4F2" w14:textId="77777777">
            <w:pPr>
              <w:rPr>
                <w:szCs w:val="19"/>
                <w:lang w:val="en-GB"/>
              </w:rPr>
            </w:pPr>
            <w:r w:rsidRPr="00E14693">
              <w:rPr>
                <w:szCs w:val="19"/>
                <w:lang w:val="en-GB"/>
              </w:rPr>
              <w:t>Sales of other properties</w:t>
            </w:r>
          </w:p>
        </w:tc>
        <w:tc>
          <w:tcPr>
            <w:tcW w:w="918" w:type="pct"/>
          </w:tcPr>
          <w:p w:rsidRPr="00763D1B" w:rsidR="00B8258E" w:rsidP="00B8258E" w:rsidRDefault="00B8258E" w14:paraId="09BCBC06" w14:textId="04CD3CA2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20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438</w:t>
            </w:r>
          </w:p>
        </w:tc>
        <w:tc>
          <w:tcPr>
            <w:tcW w:w="918" w:type="pct"/>
          </w:tcPr>
          <w:p w:rsidRPr="00763D1B" w:rsidR="00B8258E" w:rsidP="00B8258E" w:rsidRDefault="00B8258E" w14:paraId="2885D912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77.3</w:t>
            </w:r>
          </w:p>
        </w:tc>
      </w:tr>
      <w:tr w:rsidRPr="00907E1E" w:rsidR="00B8258E" w:rsidTr="00B8258E" w14:paraId="730D0940" w14:textId="77777777">
        <w:trPr>
          <w:trHeight w:val="510"/>
        </w:trPr>
        <w:tc>
          <w:tcPr>
            <w:tcW w:w="3164" w:type="pct"/>
          </w:tcPr>
          <w:p w:rsidRPr="00E14693" w:rsidR="00B8258E" w:rsidP="00B8258E" w:rsidRDefault="00B8258E" w14:paraId="43A56826" w14:textId="77777777">
            <w:pPr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other built-up properties</w:t>
            </w:r>
          </w:p>
        </w:tc>
        <w:tc>
          <w:tcPr>
            <w:tcW w:w="918" w:type="pct"/>
          </w:tcPr>
          <w:p w:rsidRPr="00763D1B" w:rsidR="00B8258E" w:rsidP="00B8258E" w:rsidRDefault="00B8258E" w14:paraId="3B9955D1" w14:textId="509BD038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15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356</w:t>
            </w:r>
          </w:p>
        </w:tc>
        <w:tc>
          <w:tcPr>
            <w:tcW w:w="918" w:type="pct"/>
          </w:tcPr>
          <w:p w:rsidRPr="00763D1B" w:rsidR="00B8258E" w:rsidP="00B8258E" w:rsidRDefault="00B8258E" w14:paraId="047E0EDE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81.0</w:t>
            </w:r>
          </w:p>
        </w:tc>
      </w:tr>
      <w:tr w:rsidRPr="00907E1E" w:rsidR="00B8258E" w:rsidTr="00B8258E" w14:paraId="621B71BA" w14:textId="77777777">
        <w:trPr>
          <w:trHeight w:val="510"/>
        </w:trPr>
        <w:tc>
          <w:tcPr>
            <w:tcW w:w="3164" w:type="pct"/>
            <w:tcBorders>
              <w:bottom w:val="single" w:color="001D81" w:sz="4" w:space="0"/>
            </w:tcBorders>
          </w:tcPr>
          <w:p w:rsidRPr="00E14693" w:rsidR="00B8258E" w:rsidP="00B8258E" w:rsidRDefault="00B8258E" w14:paraId="5628DBB4" w14:textId="77777777">
            <w:pPr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perpetual usufruct right</w:t>
            </w:r>
          </w:p>
        </w:tc>
        <w:tc>
          <w:tcPr>
            <w:tcW w:w="918" w:type="pct"/>
          </w:tcPr>
          <w:p w:rsidRPr="00763D1B" w:rsidR="00B8258E" w:rsidP="00B8258E" w:rsidRDefault="00B8258E" w14:paraId="7881612D" w14:textId="048FC51F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144</w:t>
            </w:r>
          </w:p>
        </w:tc>
        <w:tc>
          <w:tcPr>
            <w:tcW w:w="918" w:type="pct"/>
          </w:tcPr>
          <w:p w:rsidRPr="00763D1B" w:rsidR="00B8258E" w:rsidP="00B8258E" w:rsidRDefault="00B8258E" w14:paraId="167A04EB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84.3</w:t>
            </w:r>
          </w:p>
        </w:tc>
      </w:tr>
      <w:tr w:rsidRPr="00907E1E" w:rsidR="00B8258E" w:rsidTr="00B8258E" w14:paraId="61CA0DD8" w14:textId="77777777">
        <w:trPr>
          <w:trHeight w:val="510"/>
        </w:trPr>
        <w:tc>
          <w:tcPr>
            <w:tcW w:w="3164" w:type="pct"/>
            <w:tcBorders>
              <w:bottom w:val="single" w:color="001D81" w:sz="4" w:space="0"/>
            </w:tcBorders>
          </w:tcPr>
          <w:p w:rsidRPr="00E14693" w:rsidR="00B8258E" w:rsidP="00B8258E" w:rsidRDefault="00B8258E" w14:paraId="51E6DBEA" w14:textId="77777777">
            <w:pPr>
              <w:ind w:left="176" w:hanging="176"/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Sales of properties to the State Treasury or local self-government bodies</w:t>
            </w:r>
          </w:p>
        </w:tc>
        <w:tc>
          <w:tcPr>
            <w:tcW w:w="918" w:type="pct"/>
            <w:tcBorders>
              <w:bottom w:val="single" w:color="000A81" w:sz="4" w:space="0"/>
            </w:tcBorders>
          </w:tcPr>
          <w:p w:rsidRPr="00763D1B" w:rsidR="00B8258E" w:rsidP="00B8258E" w:rsidRDefault="00B8258E" w14:paraId="208F76B4" w14:textId="1A89E266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</w:t>
            </w:r>
            <w:r w:rsidR="00A91E68">
              <w:rPr>
                <w:szCs w:val="19"/>
              </w:rPr>
              <w:t> </w:t>
            </w:r>
            <w:r>
              <w:rPr>
                <w:szCs w:val="19"/>
              </w:rPr>
              <w:t>245</w:t>
            </w:r>
          </w:p>
        </w:tc>
        <w:tc>
          <w:tcPr>
            <w:tcW w:w="918" w:type="pct"/>
            <w:tcBorders>
              <w:bottom w:val="single" w:color="000A81" w:sz="4" w:space="0"/>
            </w:tcBorders>
          </w:tcPr>
          <w:p w:rsidRPr="00763D1B" w:rsidR="00B8258E" w:rsidP="00B8258E" w:rsidRDefault="00B8258E" w14:paraId="3AC990F0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109.9</w:t>
            </w:r>
          </w:p>
        </w:tc>
      </w:tr>
      <w:tr w:rsidRPr="00907E1E" w:rsidR="00B8258E" w:rsidTr="00B8258E" w14:paraId="752BB7F2" w14:textId="77777777">
        <w:trPr>
          <w:trHeight w:val="510"/>
        </w:trPr>
        <w:tc>
          <w:tcPr>
            <w:tcW w:w="3164" w:type="pct"/>
            <w:tcBorders>
              <w:top w:val="single" w:color="001D81" w:sz="4" w:space="0"/>
              <w:bottom w:val="nil"/>
            </w:tcBorders>
          </w:tcPr>
          <w:p w:rsidRPr="00E14693" w:rsidR="00B8258E" w:rsidP="00B8258E" w:rsidRDefault="00B8258E" w14:paraId="1F81FC53" w14:textId="77777777">
            <w:pPr>
              <w:ind w:left="176" w:hanging="176"/>
              <w:rPr>
                <w:szCs w:val="19"/>
                <w:lang w:val="en-US"/>
              </w:rPr>
            </w:pPr>
            <w:r w:rsidRPr="00E14693">
              <w:rPr>
                <w:szCs w:val="19"/>
                <w:lang w:val="en-US"/>
              </w:rPr>
              <w:t>Transfer of properties by the State Treasury or local  self-government bodies for perpetual usufruct with the sale of building</w:t>
            </w:r>
          </w:p>
        </w:tc>
        <w:tc>
          <w:tcPr>
            <w:tcW w:w="918" w:type="pct"/>
            <w:tcBorders>
              <w:bottom w:val="nil"/>
            </w:tcBorders>
          </w:tcPr>
          <w:p w:rsidRPr="00763D1B" w:rsidR="00B8258E" w:rsidP="00B8258E" w:rsidRDefault="00B8258E" w14:paraId="58B9C25C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149</w:t>
            </w:r>
          </w:p>
        </w:tc>
        <w:tc>
          <w:tcPr>
            <w:tcW w:w="918" w:type="pct"/>
            <w:tcBorders>
              <w:bottom w:val="nil"/>
            </w:tcBorders>
          </w:tcPr>
          <w:p w:rsidRPr="00763D1B" w:rsidR="00B8258E" w:rsidP="00B8258E" w:rsidRDefault="00B8258E" w14:paraId="696224D4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71.3</w:t>
            </w:r>
          </w:p>
        </w:tc>
      </w:tr>
    </w:tbl>
    <w:p w:rsidRPr="006976FD" w:rsidR="009E0BB0" w:rsidP="009E0BB0" w:rsidRDefault="009E0BB0" w14:paraId="293CC470" w14:textId="77777777">
      <w:pPr>
        <w:pStyle w:val="Akapitzlist"/>
        <w:spacing w:line="260" w:lineRule="exact"/>
        <w:ind w:left="0"/>
        <w:rPr>
          <w:sz w:val="16"/>
          <w:shd w:val="clear" w:color="auto" w:fill="FFFFFF"/>
          <w:lang w:val="en-US"/>
        </w:rPr>
      </w:pPr>
      <w:r w:rsidRPr="006976FD">
        <w:rPr>
          <w:sz w:val="16"/>
          <w:shd w:val="clear" w:color="auto" w:fill="FFFFFF"/>
          <w:lang w:val="en-US"/>
        </w:rPr>
        <w:t xml:space="preserve">Source: </w:t>
      </w:r>
      <w:r w:rsidR="002360E5">
        <w:rPr>
          <w:sz w:val="16"/>
          <w:shd w:val="clear" w:color="auto" w:fill="FFFFFF"/>
          <w:lang w:val="en-US"/>
        </w:rPr>
        <w:t xml:space="preserve">data of </w:t>
      </w:r>
      <w:r w:rsidRPr="006976FD">
        <w:rPr>
          <w:sz w:val="16"/>
          <w:shd w:val="clear" w:color="auto" w:fill="FFFFFF"/>
          <w:lang w:val="en-US"/>
        </w:rPr>
        <w:t>Ministry of Justice</w:t>
      </w:r>
    </w:p>
    <w:p w:rsidR="002360E5" w:rsidRDefault="002360E5" w14:paraId="1B48CA8A" w14:textId="77777777">
      <w:pPr>
        <w:spacing w:before="0" w:after="160" w:line="259" w:lineRule="auto"/>
        <w:rPr>
          <w:noProof/>
          <w:szCs w:val="19"/>
          <w:lang w:val="en-US" w:eastAsia="pl-PL"/>
        </w:rPr>
      </w:pPr>
      <w:r>
        <w:rPr>
          <w:b/>
          <w:lang w:val="en-US"/>
        </w:rPr>
        <w:br w:type="page"/>
      </w:r>
    </w:p>
    <w:p w:rsidR="009E0BB0" w:rsidP="001D549D" w:rsidRDefault="009E0BB0" w14:paraId="528EDF68" w14:textId="58958981">
      <w:pPr>
        <w:pStyle w:val="LID"/>
        <w:ind w:right="-13"/>
        <w:rPr>
          <w:b w:val="0"/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 xml:space="preserve">Real </w:t>
      </w:r>
      <w:r w:rsidR="002360E5">
        <w:rPr>
          <w:b w:val="0"/>
          <w:lang w:val="en-US"/>
        </w:rPr>
        <w:t>e</w:t>
      </w:r>
      <w:r w:rsidRPr="00BC582C">
        <w:rPr>
          <w:b w:val="0"/>
          <w:lang w:val="en-US"/>
        </w:rPr>
        <w:t>state Price</w:t>
      </w:r>
      <w:r w:rsidR="002360E5">
        <w:rPr>
          <w:b w:val="0"/>
          <w:lang w:val="en-US"/>
        </w:rPr>
        <w:t xml:space="preserve"> </w:t>
      </w:r>
      <w:r w:rsidRPr="00BC582C" w:rsidR="002360E5">
        <w:rPr>
          <w:b w:val="0"/>
          <w:lang w:val="en-US"/>
        </w:rPr>
        <w:t xml:space="preserve">Register </w:t>
      </w:r>
      <w:r w:rsidRPr="00BC582C">
        <w:rPr>
          <w:b w:val="0"/>
          <w:lang w:val="en-US"/>
        </w:rPr>
        <w:t>(RCN</w:t>
      </w:r>
      <w:r w:rsidRPr="00F302CA">
        <w:rPr>
          <w:b w:val="0"/>
          <w:lang w:val="en-US"/>
        </w:rPr>
        <w:t>)</w:t>
      </w:r>
      <w:r w:rsidR="00A91E68">
        <w:rPr>
          <w:b w:val="0"/>
          <w:lang w:val="en-US"/>
        </w:rPr>
        <w:t xml:space="preserve">, in 2022, </w:t>
      </w:r>
      <w:r w:rsidR="004E204A">
        <w:rPr>
          <w:b w:val="0"/>
          <w:lang w:val="en-US"/>
        </w:rPr>
        <w:t>490</w:t>
      </w:r>
      <w:r w:rsidR="00986367">
        <w:rPr>
          <w:b w:val="0"/>
          <w:lang w:val="en-US"/>
        </w:rPr>
        <w:t> </w:t>
      </w:r>
      <w:r w:rsidR="004E204A">
        <w:rPr>
          <w:b w:val="0"/>
          <w:lang w:val="en-US"/>
        </w:rPr>
        <w:t xml:space="preserve">thousand </w:t>
      </w:r>
      <w:r w:rsidRPr="00F302CA">
        <w:rPr>
          <w:b w:val="0"/>
          <w:lang w:val="en-US"/>
        </w:rPr>
        <w:t>transactions were concluded</w:t>
      </w:r>
      <w:r w:rsidR="00A91E68">
        <w:rPr>
          <w:b w:val="0"/>
          <w:lang w:val="en-US"/>
        </w:rPr>
        <w:t xml:space="preserve"> for total value of over PLN 1</w:t>
      </w:r>
      <w:r w:rsidR="00A1133F">
        <w:rPr>
          <w:b w:val="0"/>
          <w:lang w:val="en-US"/>
        </w:rPr>
        <w:t>75</w:t>
      </w:r>
      <w:r w:rsidR="00A91E68">
        <w:rPr>
          <w:b w:val="0"/>
          <w:lang w:val="en-US"/>
        </w:rPr>
        <w:t xml:space="preserve"> billion</w:t>
      </w:r>
      <w:r w:rsidR="00100522">
        <w:rPr>
          <w:b w:val="0"/>
          <w:lang w:val="en-US"/>
        </w:rPr>
        <w:t>.</w:t>
      </w:r>
    </w:p>
    <w:p w:rsidRPr="00594809" w:rsidR="009E0BB0" w:rsidP="00547CE7" w:rsidRDefault="00DE2ABE" w14:paraId="4E1D795D" w14:textId="320632B7">
      <w:pPr>
        <w:pStyle w:val="LID"/>
        <w:spacing w:before="360" w:after="0"/>
        <w:rPr>
          <w:lang w:val="en-US"/>
        </w:rPr>
      </w:pPr>
      <w:r w:rsidRPr="00547CE7">
        <w:rPr>
          <w:b w:val="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editId="513DB1C7" wp14:anchorId="0D238D77">
                <wp:simplePos x="0" y="0"/>
                <wp:positionH relativeFrom="column">
                  <wp:posOffset>5314950</wp:posOffset>
                </wp:positionH>
                <wp:positionV relativeFrom="paragraph">
                  <wp:posOffset>155575</wp:posOffset>
                </wp:positionV>
                <wp:extent cx="1676400" cy="1466850"/>
                <wp:effectExtent l="0" t="0" r="0" b="0"/>
                <wp:wrapTight wrapText="bothSides">
                  <wp:wrapPolygon edited="0">
                    <wp:start x="736" y="0"/>
                    <wp:lineTo x="736" y="21319"/>
                    <wp:lineTo x="20618" y="21319"/>
                    <wp:lineTo x="20618" y="0"/>
                    <wp:lineTo x="736" y="0"/>
                  </wp:wrapPolygon>
                </wp:wrapTight>
                <wp:docPr id="19" name="Pole tekstowe 19" descr="In 2022, the largest share in the number and in value of real estate purchase and sale transactions concerned the sale of premises (47.4% and 50.2%, respectively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4936" w:rsidR="009E0BB0" w:rsidP="009E0BB0" w:rsidRDefault="00072054" w14:paraId="1F33577C" w14:textId="61EA591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072054">
                              <w:rPr>
                                <w:lang w:val="en-US"/>
                              </w:rPr>
                              <w:t>In 202</w:t>
                            </w:r>
                            <w:r w:rsidR="00735FCB">
                              <w:rPr>
                                <w:lang w:val="en-US"/>
                              </w:rPr>
                              <w:t>2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, the largest share in the number and </w:t>
                            </w: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072054">
                              <w:rPr>
                                <w:lang w:val="en-US"/>
                              </w:rPr>
                              <w:t>value of real estate purchas</w:t>
                            </w:r>
                            <w:r w:rsidR="001D549D">
                              <w:rPr>
                                <w:lang w:val="en-US"/>
                              </w:rPr>
                              <w:t>e</w:t>
                            </w:r>
                            <w:r w:rsidR="00A91E68">
                              <w:rPr>
                                <w:lang w:val="en-US"/>
                              </w:rPr>
                              <w:t xml:space="preserve"> and 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sale transactions concerned </w:t>
                            </w:r>
                            <w:r w:rsidR="00594809">
                              <w:rPr>
                                <w:lang w:val="en-US"/>
                              </w:rPr>
                              <w:t>the</w:t>
                            </w:r>
                            <w:r w:rsidR="00DE2ABE">
                              <w:rPr>
                                <w:lang w:val="en-US"/>
                              </w:rPr>
                              <w:t> </w:t>
                            </w:r>
                            <w:r w:rsidR="00594809">
                              <w:rPr>
                                <w:lang w:val="en-US"/>
                              </w:rPr>
                              <w:t>sale of</w:t>
                            </w:r>
                            <w:r w:rsidR="00DE2ABE">
                              <w:rPr>
                                <w:lang w:val="en-US"/>
                              </w:rPr>
                              <w:t xml:space="preserve"> premises</w:t>
                            </w:r>
                            <w:r w:rsidR="00594809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4E204A">
                              <w:rPr>
                                <w:lang w:val="en-US"/>
                              </w:rPr>
                              <w:t>47.</w:t>
                            </w:r>
                            <w:r w:rsidR="003A695A">
                              <w:rPr>
                                <w:lang w:val="en-US"/>
                              </w:rPr>
                              <w:t>4</w:t>
                            </w:r>
                            <w:r w:rsidR="004E204A">
                              <w:rPr>
                                <w:lang w:val="en-US"/>
                              </w:rPr>
                              <w:t xml:space="preserve">% </w:t>
                            </w:r>
                            <w:r w:rsidRPr="00072054"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4E204A">
                              <w:rPr>
                                <w:lang w:val="en-US"/>
                              </w:rPr>
                              <w:t>50.2%</w:t>
                            </w:r>
                            <w:r w:rsidR="00A91E68">
                              <w:rPr>
                                <w:lang w:val="en-US"/>
                              </w:rPr>
                              <w:t>,</w:t>
                            </w:r>
                            <w:r w:rsidR="004E20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72054">
                              <w:rPr>
                                <w:lang w:val="en-US"/>
                              </w:rPr>
                              <w:t>respectively)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238D77">
                <v:stroke joinstyle="miter"/>
                <v:path gradientshapeok="t" o:connecttype="rect"/>
              </v:shapetype>
              <v:shape id="Pole tekstowe 19" style="position:absolute;margin-left:418.5pt;margin-top:12.25pt;width:132pt;height:115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In 2022, the largest share in the number and in value of real estate purchase and sale transactions concerned the sale of premises (47.4% and 50.2%, respectively)&#10;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">
                <v:textbox>
                  <w:txbxContent>
                    <w:p w:rsidRPr="00C04936" w:rsidR="009E0BB0" w:rsidP="009E0BB0" w:rsidRDefault="00072054" w14:paraId="1F33577C" w14:textId="61EA5913">
                      <w:pPr>
                        <w:pStyle w:val="tekstzboku"/>
                        <w:rPr>
                          <w:lang w:val="en-US"/>
                        </w:rPr>
                      </w:pPr>
                      <w:r w:rsidRPr="00072054">
                        <w:rPr>
                          <w:lang w:val="en-US"/>
                        </w:rPr>
                        <w:t>In 202</w:t>
                      </w:r>
                      <w:r w:rsidR="00735FCB">
                        <w:rPr>
                          <w:lang w:val="en-US"/>
                        </w:rPr>
                        <w:t>2</w:t>
                      </w:r>
                      <w:r w:rsidRPr="00072054">
                        <w:rPr>
                          <w:lang w:val="en-US"/>
                        </w:rPr>
                        <w:t xml:space="preserve">, the largest share in the number and </w:t>
                      </w:r>
                      <w:r>
                        <w:rPr>
                          <w:lang w:val="en-US"/>
                        </w:rPr>
                        <w:t xml:space="preserve">in </w:t>
                      </w:r>
                      <w:r w:rsidRPr="00072054">
                        <w:rPr>
                          <w:lang w:val="en-US"/>
                        </w:rPr>
                        <w:t>value of real estate purchas</w:t>
                      </w:r>
                      <w:r w:rsidR="001D549D">
                        <w:rPr>
                          <w:lang w:val="en-US"/>
                        </w:rPr>
                        <w:t>e</w:t>
                      </w:r>
                      <w:r w:rsidR="00A91E68">
                        <w:rPr>
                          <w:lang w:val="en-US"/>
                        </w:rPr>
                        <w:t xml:space="preserve"> and </w:t>
                      </w:r>
                      <w:r w:rsidRPr="00072054">
                        <w:rPr>
                          <w:lang w:val="en-US"/>
                        </w:rPr>
                        <w:t xml:space="preserve">sale transactions concerned </w:t>
                      </w:r>
                      <w:r w:rsidR="00594809">
                        <w:rPr>
                          <w:lang w:val="en-US"/>
                        </w:rPr>
                        <w:t>the</w:t>
                      </w:r>
                      <w:r w:rsidR="00DE2ABE">
                        <w:rPr>
                          <w:lang w:val="en-US"/>
                        </w:rPr>
                        <w:t> </w:t>
                      </w:r>
                      <w:r w:rsidR="00594809">
                        <w:rPr>
                          <w:lang w:val="en-US"/>
                        </w:rPr>
                        <w:t>sale of</w:t>
                      </w:r>
                      <w:r w:rsidR="00DE2ABE">
                        <w:rPr>
                          <w:lang w:val="en-US"/>
                        </w:rPr>
                        <w:t xml:space="preserve"> premises</w:t>
                      </w:r>
                      <w:r w:rsidR="00594809">
                        <w:rPr>
                          <w:lang w:val="en-US"/>
                        </w:rPr>
                        <w:t xml:space="preserve"> (</w:t>
                      </w:r>
                      <w:r w:rsidR="004E204A">
                        <w:rPr>
                          <w:lang w:val="en-US"/>
                        </w:rPr>
                        <w:t>47.</w:t>
                      </w:r>
                      <w:r w:rsidR="003A695A">
                        <w:rPr>
                          <w:lang w:val="en-US"/>
                        </w:rPr>
                        <w:t>4</w:t>
                      </w:r>
                      <w:r w:rsidR="004E204A">
                        <w:rPr>
                          <w:lang w:val="en-US"/>
                        </w:rPr>
                        <w:t xml:space="preserve">% </w:t>
                      </w:r>
                      <w:r w:rsidRPr="00072054">
                        <w:rPr>
                          <w:lang w:val="en-US"/>
                        </w:rPr>
                        <w:t xml:space="preserve">and </w:t>
                      </w:r>
                      <w:r w:rsidR="004E204A">
                        <w:rPr>
                          <w:lang w:val="en-US"/>
                        </w:rPr>
                        <w:t>50.2%</w:t>
                      </w:r>
                      <w:r w:rsidR="00A91E68">
                        <w:rPr>
                          <w:lang w:val="en-US"/>
                        </w:rPr>
                        <w:t>,</w:t>
                      </w:r>
                      <w:r w:rsidR="004E204A">
                        <w:rPr>
                          <w:lang w:val="en-US"/>
                        </w:rPr>
                        <w:t xml:space="preserve"> </w:t>
                      </w:r>
                      <w:r w:rsidRPr="00072054">
                        <w:rPr>
                          <w:lang w:val="en-US"/>
                        </w:rPr>
                        <w:t>respectively)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94809" w:rsidR="009E0BB0">
        <w:rPr>
          <w:lang w:val="en-US"/>
        </w:rPr>
        <w:t xml:space="preserve">Table 2. Real estate sales (according to the RCN, as of </w:t>
      </w:r>
      <w:r w:rsidR="00295520">
        <w:rPr>
          <w:lang w:val="en-US"/>
        </w:rPr>
        <w:t>19</w:t>
      </w:r>
      <w:r w:rsidRPr="00594809" w:rsidR="00C1142A">
        <w:rPr>
          <w:lang w:val="en-US"/>
        </w:rPr>
        <w:t>th</w:t>
      </w:r>
      <w:r w:rsidRPr="00594809" w:rsidR="00FF38B3">
        <w:rPr>
          <w:lang w:val="en-US"/>
        </w:rPr>
        <w:t xml:space="preserve"> </w:t>
      </w:r>
      <w:r w:rsidR="00295520">
        <w:rPr>
          <w:lang w:val="en-US"/>
        </w:rPr>
        <w:t>May</w:t>
      </w:r>
      <w:r w:rsidRPr="00594809" w:rsidR="009E0BB0">
        <w:rPr>
          <w:lang w:val="en-US"/>
        </w:rPr>
        <w:t xml:space="preserve"> </w:t>
      </w:r>
      <w:r w:rsidRPr="00594809" w:rsidR="002360E5">
        <w:rPr>
          <w:lang w:val="en-US"/>
        </w:rPr>
        <w:t>202</w:t>
      </w:r>
      <w:r w:rsidR="004E204A">
        <w:rPr>
          <w:lang w:val="en-US"/>
        </w:rPr>
        <w:t>3</w:t>
      </w:r>
      <w:r w:rsidRPr="00594809" w:rsidR="009E0BB0">
        <w:rPr>
          <w:lang w:val="en-US"/>
        </w:rPr>
        <w:t>)</w:t>
      </w:r>
    </w:p>
    <w:p w:rsidRPr="00070F8C" w:rsidR="009E0BB0" w:rsidP="00002B3A" w:rsidRDefault="009E0BB0" w14:paraId="5BC5C3CB" w14:textId="77777777">
      <w:pPr>
        <w:pStyle w:val="LID"/>
        <w:spacing w:before="0" w:after="0"/>
        <w:rPr>
          <w:b w:val="0"/>
          <w:sz w:val="16"/>
          <w:szCs w:val="16"/>
          <w:lang w:val="en-US"/>
        </w:rPr>
      </w:pP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single" w:color="001D81" w:sz="4" w:space="0"/>
          <w:left w:val="none" w:color="auto" w:sz="0" w:space="0"/>
          <w:bottom w:val="single" w:color="001D81" w:sz="4" w:space="0"/>
          <w:right w:val="none" w:color="auto" w:sz="0" w:space="0"/>
          <w:insideH w:val="single" w:color="001D81" w:sz="4" w:space="0"/>
          <w:insideV w:val="single" w:color="212492" w:sz="4" w:space="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2. includes number and value of transactions in the real estate sales (according to the RCN, state as of 19th May 2023)."/>
      </w:tblPr>
      <w:tblGrid>
        <w:gridCol w:w="2410"/>
        <w:gridCol w:w="992"/>
        <w:gridCol w:w="993"/>
        <w:gridCol w:w="992"/>
        <w:gridCol w:w="850"/>
        <w:gridCol w:w="851"/>
        <w:gridCol w:w="1002"/>
      </w:tblGrid>
      <w:tr w:rsidRPr="00263373" w:rsidR="009E0BB0" w:rsidTr="00594809" w14:paraId="09D15BDD" w14:textId="77777777">
        <w:trPr>
          <w:trHeight w:val="57"/>
        </w:trPr>
        <w:tc>
          <w:tcPr>
            <w:tcW w:w="2410" w:type="dxa"/>
            <w:vMerge w:val="restart"/>
            <w:vAlign w:val="center"/>
          </w:tcPr>
          <w:p w:rsidRPr="00C1142A" w:rsidR="009E0BB0" w:rsidP="00002B3A" w:rsidRDefault="00C1142A" w14:paraId="4CF528DF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bCs/>
                <w:szCs w:val="19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2977" w:type="dxa"/>
            <w:gridSpan w:val="3"/>
            <w:vAlign w:val="center"/>
          </w:tcPr>
          <w:p w:rsidRPr="00C1142A" w:rsidR="009E0BB0" w:rsidP="00002B3A" w:rsidRDefault="009E0BB0" w14:paraId="742DE2F4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Number of transactions</w:t>
            </w:r>
          </w:p>
        </w:tc>
        <w:tc>
          <w:tcPr>
            <w:tcW w:w="2703" w:type="dxa"/>
            <w:gridSpan w:val="3"/>
            <w:vAlign w:val="center"/>
          </w:tcPr>
          <w:p w:rsidRPr="00C1142A" w:rsidR="009E0BB0" w:rsidP="00002B3A" w:rsidRDefault="009E0BB0" w14:paraId="1F6892B8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Value of transactions</w:t>
            </w:r>
          </w:p>
        </w:tc>
      </w:tr>
      <w:tr w:rsidRPr="00263373" w:rsidR="00A42B70" w:rsidTr="00F44416" w14:paraId="2C28EBD3" w14:textId="77777777">
        <w:trPr>
          <w:trHeight w:val="57"/>
        </w:trPr>
        <w:tc>
          <w:tcPr>
            <w:tcW w:w="2410" w:type="dxa"/>
            <w:vMerge/>
            <w:vAlign w:val="center"/>
          </w:tcPr>
          <w:p w:rsidRPr="00C1142A" w:rsidR="00A42B70" w:rsidP="00002B3A" w:rsidRDefault="00A42B70" w14:paraId="3FBDD78C" w14:textId="77777777">
            <w:pPr>
              <w:jc w:val="both"/>
              <w:rPr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Pr="00C1142A" w:rsidR="00A42B70" w:rsidP="004E204A" w:rsidRDefault="00A42B70" w14:paraId="7102DA6B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4E204A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Pr="00C1142A" w:rsidR="00A42B70" w:rsidP="004E204A" w:rsidRDefault="00A42B70" w14:paraId="15821C6E" w14:textId="77777777">
            <w:pPr>
              <w:ind w:left="-1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4E204A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850" w:type="dxa"/>
            <w:vAlign w:val="center"/>
          </w:tcPr>
          <w:p w:rsidRPr="00C1142A" w:rsidR="00A42B70" w:rsidP="004E204A" w:rsidRDefault="00A42B70" w14:paraId="3B896E9E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4E204A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 w:rsidRPr="00C1142A" w:rsidR="00A42B70" w:rsidP="004E204A" w:rsidRDefault="00A42B70" w14:paraId="22658841" w14:textId="77777777">
            <w:pPr>
              <w:ind w:left="-10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</w:t>
            </w:r>
            <w:r w:rsidR="004E204A">
              <w:rPr>
                <w:szCs w:val="19"/>
                <w:shd w:val="clear" w:color="auto" w:fill="FFFFFF"/>
              </w:rPr>
              <w:t>2</w:t>
            </w:r>
          </w:p>
        </w:tc>
      </w:tr>
      <w:tr w:rsidRPr="00263373" w:rsidR="009E0BB0" w:rsidTr="00594809" w14:paraId="7B69921A" w14:textId="77777777">
        <w:trPr>
          <w:trHeight w:val="57"/>
        </w:trPr>
        <w:tc>
          <w:tcPr>
            <w:tcW w:w="2410" w:type="dxa"/>
            <w:vMerge/>
            <w:vAlign w:val="center"/>
          </w:tcPr>
          <w:p w:rsidRPr="00C1142A" w:rsidR="009E0BB0" w:rsidP="00002B3A" w:rsidRDefault="009E0BB0" w14:paraId="38EBB8B2" w14:textId="77777777">
            <w:pPr>
              <w:jc w:val="both"/>
              <w:rPr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985" w:type="dxa"/>
            <w:gridSpan w:val="2"/>
            <w:vAlign w:val="center"/>
          </w:tcPr>
          <w:p w:rsidRPr="00C1142A" w:rsidR="009E0BB0" w:rsidP="00002B3A" w:rsidRDefault="003340FD" w14:paraId="46196399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units</w:t>
            </w:r>
          </w:p>
        </w:tc>
        <w:tc>
          <w:tcPr>
            <w:tcW w:w="992" w:type="dxa"/>
            <w:vAlign w:val="center"/>
          </w:tcPr>
          <w:p w:rsidRPr="00C1142A" w:rsidR="009E0BB0" w:rsidP="004E204A" w:rsidRDefault="00A42B70" w14:paraId="570EC3BD" w14:textId="77777777">
            <w:pPr>
              <w:ind w:left="-108" w:righ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4E204A">
              <w:rPr>
                <w:szCs w:val="19"/>
                <w:shd w:val="clear" w:color="auto" w:fill="FFFFFF"/>
                <w:lang w:val="en-GB"/>
              </w:rPr>
              <w:t>1</w:t>
            </w:r>
            <w:r w:rsidRPr="00C1142A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701" w:type="dxa"/>
            <w:gridSpan w:val="2"/>
            <w:vAlign w:val="center"/>
          </w:tcPr>
          <w:p w:rsidRPr="00C1142A" w:rsidR="009E0BB0" w:rsidP="00454366" w:rsidRDefault="00454366" w14:paraId="6C781DB9" w14:textId="19A3D9F3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PLN </w:t>
            </w:r>
            <w:r w:rsidRPr="00C1142A" w:rsidR="00E93327">
              <w:rPr>
                <w:szCs w:val="19"/>
                <w:shd w:val="clear" w:color="auto" w:fill="FFFFFF"/>
                <w:lang w:val="en-GB"/>
              </w:rPr>
              <w:t>million</w:t>
            </w:r>
            <w:r w:rsidRPr="00C1142A" w:rsidR="003340FD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:rsidRPr="00C1142A" w:rsidR="009E0BB0" w:rsidP="004E204A" w:rsidRDefault="00A42B70" w14:paraId="571929E8" w14:textId="77777777">
            <w:pPr>
              <w:ind w:left="-108" w:right="-9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</w:t>
            </w:r>
            <w:r w:rsidR="004E204A">
              <w:rPr>
                <w:szCs w:val="19"/>
                <w:shd w:val="clear" w:color="auto" w:fill="FFFFFF"/>
              </w:rPr>
              <w:t>1</w:t>
            </w:r>
            <w:r w:rsidRPr="00C1142A">
              <w:rPr>
                <w:szCs w:val="19"/>
                <w:shd w:val="clear" w:color="auto" w:fill="FFFFFF"/>
              </w:rPr>
              <w:t>=100</w:t>
            </w:r>
          </w:p>
        </w:tc>
      </w:tr>
      <w:tr w:rsidRPr="00263373" w:rsidR="004E204A" w:rsidTr="000045DF" w14:paraId="678C6AF1" w14:textId="77777777">
        <w:trPr>
          <w:trHeight w:val="57"/>
        </w:trPr>
        <w:tc>
          <w:tcPr>
            <w:tcW w:w="2410" w:type="dxa"/>
            <w:vAlign w:val="center"/>
          </w:tcPr>
          <w:p w:rsidRPr="00C1142A" w:rsidR="004E204A" w:rsidP="004E204A" w:rsidRDefault="004E204A" w14:paraId="1C16F412" w14:textId="3DECF381">
            <w:pPr>
              <w:jc w:val="both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Total</w:t>
            </w:r>
            <w:r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1 </w:t>
            </w:r>
          </w:p>
        </w:tc>
        <w:tc>
          <w:tcPr>
            <w:tcW w:w="992" w:type="dxa"/>
          </w:tcPr>
          <w:p w:rsidRPr="009E71CF" w:rsidR="004E204A" w:rsidP="004E204A" w:rsidRDefault="004E204A" w14:paraId="379E1D7F" w14:textId="4646667E">
            <w:pPr>
              <w:ind w:left="-51" w:right="-7"/>
              <w:jc w:val="right"/>
            </w:pPr>
            <w:r>
              <w:t>614</w:t>
            </w:r>
            <w:r w:rsidR="00A91E68">
              <w:t> </w:t>
            </w:r>
            <w:r>
              <w:t>178</w:t>
            </w:r>
          </w:p>
        </w:tc>
        <w:tc>
          <w:tcPr>
            <w:tcW w:w="993" w:type="dxa"/>
          </w:tcPr>
          <w:p w:rsidRPr="00EE238C" w:rsidR="004E204A" w:rsidP="004E204A" w:rsidRDefault="004E204A" w14:paraId="47DE6B80" w14:textId="15D6C652">
            <w:pPr>
              <w:ind w:right="-20"/>
              <w:jc w:val="right"/>
            </w:pPr>
            <w:r w:rsidRPr="00EE238C">
              <w:t>489</w:t>
            </w:r>
            <w:r w:rsidR="00A91E68">
              <w:t> </w:t>
            </w:r>
            <w:r w:rsidRPr="00EE238C">
              <w:t>971</w:t>
            </w:r>
          </w:p>
        </w:tc>
        <w:tc>
          <w:tcPr>
            <w:tcW w:w="992" w:type="dxa"/>
          </w:tcPr>
          <w:p w:rsidRPr="00EE238C" w:rsidR="004E204A" w:rsidP="004E204A" w:rsidRDefault="004E204A" w14:paraId="3ACEE996" w14:textId="77777777">
            <w:pPr>
              <w:jc w:val="right"/>
            </w:pPr>
            <w:r w:rsidRPr="00EE238C">
              <w:t>79</w:t>
            </w:r>
            <w:r w:rsidR="00875837">
              <w:t>.</w:t>
            </w:r>
            <w:r w:rsidRPr="00EE238C">
              <w:t>8</w:t>
            </w:r>
          </w:p>
        </w:tc>
        <w:tc>
          <w:tcPr>
            <w:tcW w:w="850" w:type="dxa"/>
          </w:tcPr>
          <w:p w:rsidRPr="00EE238C" w:rsidR="004E204A" w:rsidP="004E204A" w:rsidRDefault="004E204A" w14:paraId="2EE40266" w14:textId="6B82E365">
            <w:pPr>
              <w:jc w:val="right"/>
            </w:pPr>
            <w:r w:rsidRPr="00EE238C">
              <w:t>198</w:t>
            </w:r>
            <w:r w:rsidR="00A91E68">
              <w:t> </w:t>
            </w:r>
            <w:r w:rsidRPr="00EE238C">
              <w:t>052</w:t>
            </w:r>
          </w:p>
        </w:tc>
        <w:tc>
          <w:tcPr>
            <w:tcW w:w="851" w:type="dxa"/>
          </w:tcPr>
          <w:p w:rsidRPr="00EE238C" w:rsidR="004E204A" w:rsidP="004E204A" w:rsidRDefault="004E204A" w14:paraId="7C3CD3E6" w14:textId="175A8EF5">
            <w:pPr>
              <w:jc w:val="right"/>
            </w:pPr>
            <w:r w:rsidRPr="00EE238C">
              <w:t>175</w:t>
            </w:r>
            <w:r w:rsidR="00A91E68">
              <w:t> </w:t>
            </w:r>
            <w:r w:rsidRPr="00EE238C">
              <w:t>163</w:t>
            </w:r>
          </w:p>
        </w:tc>
        <w:tc>
          <w:tcPr>
            <w:tcW w:w="1002" w:type="dxa"/>
          </w:tcPr>
          <w:p w:rsidRPr="00EE238C" w:rsidR="004E204A" w:rsidP="004E204A" w:rsidRDefault="004E204A" w14:paraId="449A1E62" w14:textId="77777777">
            <w:pPr>
              <w:jc w:val="right"/>
            </w:pPr>
            <w:r w:rsidRPr="00EE238C">
              <w:t>88</w:t>
            </w:r>
            <w:r w:rsidR="00875837">
              <w:t>.</w:t>
            </w:r>
            <w:r w:rsidRPr="00EE238C">
              <w:t>4</w:t>
            </w:r>
          </w:p>
        </w:tc>
      </w:tr>
      <w:tr w:rsidRPr="00263373" w:rsidR="004E204A" w:rsidTr="00594809" w14:paraId="4633A6E6" w14:textId="77777777">
        <w:trPr>
          <w:trHeight w:val="57"/>
        </w:trPr>
        <w:tc>
          <w:tcPr>
            <w:tcW w:w="2410" w:type="dxa"/>
            <w:vAlign w:val="center"/>
          </w:tcPr>
          <w:p w:rsidRPr="00594809" w:rsidR="004E204A" w:rsidP="004E204A" w:rsidRDefault="004E204A" w14:paraId="10EF9B7C" w14:textId="77777777">
            <w:pPr>
              <w:rPr>
                <w:szCs w:val="19"/>
                <w:shd w:val="clear" w:color="auto" w:fill="FFFFFF"/>
                <w:vertAlign w:val="superscript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 xml:space="preserve">Premises </w:t>
            </w:r>
          </w:p>
        </w:tc>
        <w:tc>
          <w:tcPr>
            <w:tcW w:w="992" w:type="dxa"/>
          </w:tcPr>
          <w:p w:rsidRPr="009E71CF" w:rsidR="004E204A" w:rsidP="004E204A" w:rsidRDefault="004E204A" w14:paraId="532CA828" w14:textId="082B0AD3">
            <w:pPr>
              <w:ind w:left="-51" w:right="-7"/>
              <w:jc w:val="right"/>
            </w:pPr>
            <w:r>
              <w:t>269</w:t>
            </w:r>
            <w:r w:rsidR="00A91E68">
              <w:t> </w:t>
            </w:r>
            <w:r>
              <w:t>892</w:t>
            </w:r>
          </w:p>
        </w:tc>
        <w:tc>
          <w:tcPr>
            <w:tcW w:w="993" w:type="dxa"/>
          </w:tcPr>
          <w:p w:rsidRPr="00EE238C" w:rsidR="004E204A" w:rsidP="004E204A" w:rsidRDefault="004E204A" w14:paraId="733BE4A3" w14:textId="764AEE81">
            <w:pPr>
              <w:ind w:right="-20"/>
              <w:jc w:val="right"/>
            </w:pPr>
            <w:r w:rsidRPr="00EE238C">
              <w:t>232</w:t>
            </w:r>
            <w:r w:rsidR="00A91E68">
              <w:t> </w:t>
            </w:r>
            <w:r w:rsidRPr="00EE238C">
              <w:t>086</w:t>
            </w:r>
          </w:p>
        </w:tc>
        <w:tc>
          <w:tcPr>
            <w:tcW w:w="992" w:type="dxa"/>
          </w:tcPr>
          <w:p w:rsidRPr="00EE238C" w:rsidR="004E204A" w:rsidP="004E204A" w:rsidRDefault="004E204A" w14:paraId="5BBF46D0" w14:textId="77777777">
            <w:pPr>
              <w:jc w:val="right"/>
            </w:pPr>
            <w:r w:rsidRPr="00EE238C">
              <w:t>86</w:t>
            </w:r>
            <w:r w:rsidR="00875837">
              <w:t>.</w:t>
            </w:r>
            <w:r w:rsidRPr="00EE238C">
              <w:t>0</w:t>
            </w:r>
          </w:p>
        </w:tc>
        <w:tc>
          <w:tcPr>
            <w:tcW w:w="850" w:type="dxa"/>
          </w:tcPr>
          <w:p w:rsidRPr="00EE238C" w:rsidR="004E204A" w:rsidP="004E204A" w:rsidRDefault="004E204A" w14:paraId="540C6E4E" w14:textId="33ACD15C">
            <w:pPr>
              <w:jc w:val="right"/>
            </w:pPr>
            <w:r w:rsidRPr="00EE238C">
              <w:t>93</w:t>
            </w:r>
            <w:r w:rsidR="00A91E68">
              <w:t> </w:t>
            </w:r>
            <w:r w:rsidRPr="00EE238C">
              <w:t>329</w:t>
            </w:r>
          </w:p>
        </w:tc>
        <w:tc>
          <w:tcPr>
            <w:tcW w:w="851" w:type="dxa"/>
          </w:tcPr>
          <w:p w:rsidRPr="00EE238C" w:rsidR="004E204A" w:rsidP="004E204A" w:rsidRDefault="004E204A" w14:paraId="7BF090E1" w14:textId="07E89210">
            <w:pPr>
              <w:jc w:val="right"/>
            </w:pPr>
            <w:r w:rsidRPr="00EE238C">
              <w:t>87</w:t>
            </w:r>
            <w:r w:rsidR="00A91E68">
              <w:t> </w:t>
            </w:r>
            <w:r w:rsidRPr="00EE238C">
              <w:t>993</w:t>
            </w:r>
          </w:p>
        </w:tc>
        <w:tc>
          <w:tcPr>
            <w:tcW w:w="1002" w:type="dxa"/>
          </w:tcPr>
          <w:p w:rsidRPr="00EE238C" w:rsidR="004E204A" w:rsidP="004E204A" w:rsidRDefault="004E204A" w14:paraId="56F3132E" w14:textId="77777777">
            <w:pPr>
              <w:jc w:val="right"/>
            </w:pPr>
            <w:r w:rsidRPr="00EE238C">
              <w:t>94</w:t>
            </w:r>
            <w:r w:rsidR="00875837">
              <w:t>.</w:t>
            </w:r>
            <w:r w:rsidRPr="00EE238C">
              <w:t>3</w:t>
            </w:r>
          </w:p>
        </w:tc>
      </w:tr>
      <w:tr w:rsidRPr="00263373" w:rsidR="004E204A" w:rsidTr="00594809" w14:paraId="7FC20276" w14:textId="77777777">
        <w:trPr>
          <w:trHeight w:val="57"/>
        </w:trPr>
        <w:tc>
          <w:tcPr>
            <w:tcW w:w="2410" w:type="dxa"/>
            <w:tcBorders>
              <w:bottom w:val="single" w:color="001D81" w:sz="4" w:space="0"/>
            </w:tcBorders>
            <w:vAlign w:val="center"/>
          </w:tcPr>
          <w:p w:rsidRPr="00C1142A" w:rsidR="004E204A" w:rsidP="004E204A" w:rsidRDefault="004E204A" w14:paraId="4696A191" w14:textId="003828E9">
            <w:pPr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Built-up properties</w:t>
            </w:r>
            <w:r w:rsidRPr="00C1142A">
              <w:rPr>
                <w:szCs w:val="19"/>
                <w:shd w:val="clear" w:color="auto" w:fill="FFFFFF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color="001D81" w:sz="4" w:space="0"/>
            </w:tcBorders>
          </w:tcPr>
          <w:p w:rsidRPr="009E71CF" w:rsidR="004E204A" w:rsidP="004E204A" w:rsidRDefault="004E204A" w14:paraId="1BC1139E" w14:textId="058635DC">
            <w:pPr>
              <w:ind w:left="-51" w:right="-7"/>
              <w:jc w:val="right"/>
            </w:pPr>
            <w:r>
              <w:t>95</w:t>
            </w:r>
            <w:r w:rsidR="00A91E68">
              <w:t> </w:t>
            </w:r>
            <w:r>
              <w:t>124</w:t>
            </w:r>
          </w:p>
        </w:tc>
        <w:tc>
          <w:tcPr>
            <w:tcW w:w="993" w:type="dxa"/>
            <w:tcBorders>
              <w:bottom w:val="single" w:color="001D81" w:sz="4" w:space="0"/>
            </w:tcBorders>
          </w:tcPr>
          <w:p w:rsidRPr="00EE238C" w:rsidR="004E204A" w:rsidP="004E204A" w:rsidRDefault="004E204A" w14:paraId="591A4301" w14:textId="08CCE9C8">
            <w:pPr>
              <w:ind w:right="-20"/>
              <w:jc w:val="right"/>
            </w:pPr>
            <w:r w:rsidRPr="00EE238C">
              <w:t>80</w:t>
            </w:r>
            <w:r w:rsidR="00A91E68">
              <w:t> </w:t>
            </w:r>
            <w:r w:rsidRPr="00EE238C">
              <w:t>088</w:t>
            </w:r>
          </w:p>
        </w:tc>
        <w:tc>
          <w:tcPr>
            <w:tcW w:w="992" w:type="dxa"/>
            <w:tcBorders>
              <w:bottom w:val="single" w:color="001D81" w:sz="4" w:space="0"/>
            </w:tcBorders>
          </w:tcPr>
          <w:p w:rsidRPr="00EE238C" w:rsidR="004E204A" w:rsidP="004E204A" w:rsidRDefault="004E204A" w14:paraId="5F895674" w14:textId="77777777">
            <w:pPr>
              <w:jc w:val="right"/>
            </w:pPr>
            <w:r w:rsidRPr="00EE238C">
              <w:t>84</w:t>
            </w:r>
            <w:r w:rsidR="00875837">
              <w:t>.</w:t>
            </w:r>
            <w:r w:rsidRPr="00EE238C">
              <w:t>2</w:t>
            </w:r>
          </w:p>
        </w:tc>
        <w:tc>
          <w:tcPr>
            <w:tcW w:w="850" w:type="dxa"/>
            <w:tcBorders>
              <w:bottom w:val="single" w:color="001D81" w:sz="4" w:space="0"/>
            </w:tcBorders>
          </w:tcPr>
          <w:p w:rsidRPr="00EE238C" w:rsidR="004E204A" w:rsidP="004E204A" w:rsidRDefault="004E204A" w14:paraId="32C678DB" w14:textId="383149A0">
            <w:pPr>
              <w:jc w:val="right"/>
            </w:pPr>
            <w:r w:rsidRPr="00EE238C">
              <w:t>50</w:t>
            </w:r>
            <w:r w:rsidR="00A91E68">
              <w:t> </w:t>
            </w:r>
            <w:r w:rsidRPr="00EE238C">
              <w:t>604</w:t>
            </w:r>
          </w:p>
        </w:tc>
        <w:tc>
          <w:tcPr>
            <w:tcW w:w="851" w:type="dxa"/>
            <w:tcBorders>
              <w:bottom w:val="single" w:color="001D81" w:sz="4" w:space="0"/>
            </w:tcBorders>
          </w:tcPr>
          <w:p w:rsidRPr="00EE238C" w:rsidR="004E204A" w:rsidP="004E204A" w:rsidRDefault="004E204A" w14:paraId="031745CD" w14:textId="55E259F9">
            <w:pPr>
              <w:jc w:val="right"/>
            </w:pPr>
            <w:r w:rsidRPr="00EE238C">
              <w:t>43</w:t>
            </w:r>
            <w:r w:rsidR="00A91E68">
              <w:t> </w:t>
            </w:r>
            <w:r w:rsidRPr="00EE238C">
              <w:t>082</w:t>
            </w:r>
          </w:p>
        </w:tc>
        <w:tc>
          <w:tcPr>
            <w:tcW w:w="1002" w:type="dxa"/>
            <w:tcBorders>
              <w:bottom w:val="single" w:color="001D81" w:sz="4" w:space="0"/>
            </w:tcBorders>
          </w:tcPr>
          <w:p w:rsidRPr="00EE238C" w:rsidR="004E204A" w:rsidP="004E204A" w:rsidRDefault="004E204A" w14:paraId="2EDD6D97" w14:textId="77777777">
            <w:pPr>
              <w:jc w:val="right"/>
            </w:pPr>
            <w:r w:rsidRPr="00EE238C">
              <w:t>85</w:t>
            </w:r>
            <w:r w:rsidR="00875837">
              <w:t>.</w:t>
            </w:r>
            <w:r w:rsidRPr="00EE238C">
              <w:t>1</w:t>
            </w:r>
          </w:p>
        </w:tc>
      </w:tr>
      <w:tr w:rsidRPr="00263373" w:rsidR="004E204A" w:rsidTr="00594809" w14:paraId="0A04016B" w14:textId="77777777">
        <w:trPr>
          <w:trHeight w:val="57"/>
        </w:trPr>
        <w:tc>
          <w:tcPr>
            <w:tcW w:w="2410" w:type="dxa"/>
            <w:tcBorders>
              <w:bottom w:val="nil"/>
            </w:tcBorders>
            <w:vAlign w:val="center"/>
          </w:tcPr>
          <w:p w:rsidRPr="00C1142A" w:rsidR="004E204A" w:rsidP="004E204A" w:rsidRDefault="004E204A" w14:paraId="50E55A15" w14:textId="77777777">
            <w:pPr>
              <w:spacing w:after="0" w:line="240" w:lineRule="auto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Land properties</w:t>
            </w:r>
          </w:p>
        </w:tc>
        <w:tc>
          <w:tcPr>
            <w:tcW w:w="992" w:type="dxa"/>
            <w:tcBorders>
              <w:bottom w:val="nil"/>
            </w:tcBorders>
          </w:tcPr>
          <w:p w:rsidRPr="009E71CF" w:rsidR="004E204A" w:rsidP="004E204A" w:rsidRDefault="004E204A" w14:paraId="09BDC328" w14:textId="67A29BB1">
            <w:pPr>
              <w:ind w:left="-51" w:right="-7"/>
              <w:jc w:val="right"/>
            </w:pPr>
            <w:r>
              <w:t>249</w:t>
            </w:r>
            <w:r w:rsidR="00A91E68">
              <w:t> </w:t>
            </w:r>
            <w:r>
              <w:t>162</w:t>
            </w:r>
          </w:p>
        </w:tc>
        <w:tc>
          <w:tcPr>
            <w:tcW w:w="993" w:type="dxa"/>
            <w:tcBorders>
              <w:bottom w:val="nil"/>
            </w:tcBorders>
          </w:tcPr>
          <w:p w:rsidRPr="00EE238C" w:rsidR="004E204A" w:rsidP="004E204A" w:rsidRDefault="004E204A" w14:paraId="4FF47BBE" w14:textId="643BC744">
            <w:pPr>
              <w:ind w:right="-20"/>
              <w:jc w:val="right"/>
            </w:pPr>
            <w:r w:rsidRPr="00EE238C">
              <w:t>177</w:t>
            </w:r>
            <w:r w:rsidR="00A91E68">
              <w:t> </w:t>
            </w:r>
            <w:r w:rsidRPr="00EE238C">
              <w:t>797</w:t>
            </w:r>
          </w:p>
        </w:tc>
        <w:tc>
          <w:tcPr>
            <w:tcW w:w="992" w:type="dxa"/>
            <w:tcBorders>
              <w:bottom w:val="nil"/>
            </w:tcBorders>
          </w:tcPr>
          <w:p w:rsidRPr="00EE238C" w:rsidR="004E204A" w:rsidP="004E204A" w:rsidRDefault="004E204A" w14:paraId="713C1A49" w14:textId="77777777">
            <w:pPr>
              <w:jc w:val="right"/>
            </w:pPr>
            <w:r w:rsidRPr="00EE238C">
              <w:t>71</w:t>
            </w:r>
            <w:r w:rsidR="00875837">
              <w:t>.</w:t>
            </w:r>
            <w:r w:rsidRPr="00EE238C"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Pr="00EE238C" w:rsidR="004E204A" w:rsidP="004E204A" w:rsidRDefault="004E204A" w14:paraId="29C962CC" w14:textId="6458601B">
            <w:pPr>
              <w:jc w:val="right"/>
            </w:pPr>
            <w:r w:rsidRPr="00EE238C">
              <w:t>54</w:t>
            </w:r>
            <w:r w:rsidR="00A91E68">
              <w:t> </w:t>
            </w:r>
            <w:r w:rsidRPr="00EE238C">
              <w:t>119</w:t>
            </w:r>
          </w:p>
        </w:tc>
        <w:tc>
          <w:tcPr>
            <w:tcW w:w="851" w:type="dxa"/>
            <w:tcBorders>
              <w:bottom w:val="nil"/>
            </w:tcBorders>
          </w:tcPr>
          <w:p w:rsidRPr="00EE238C" w:rsidR="004E204A" w:rsidP="004E204A" w:rsidRDefault="004E204A" w14:paraId="2DE004C0" w14:textId="2D6BD4EF">
            <w:pPr>
              <w:jc w:val="right"/>
            </w:pPr>
            <w:r w:rsidRPr="00EE238C">
              <w:t>44</w:t>
            </w:r>
            <w:r w:rsidR="00A91E68">
              <w:t> </w:t>
            </w:r>
            <w:r w:rsidRPr="00EE238C">
              <w:t>088</w:t>
            </w:r>
          </w:p>
        </w:tc>
        <w:tc>
          <w:tcPr>
            <w:tcW w:w="1002" w:type="dxa"/>
            <w:tcBorders>
              <w:bottom w:val="nil"/>
            </w:tcBorders>
          </w:tcPr>
          <w:p w:rsidR="004E204A" w:rsidP="004E204A" w:rsidRDefault="004E204A" w14:paraId="06230F06" w14:textId="77777777">
            <w:pPr>
              <w:jc w:val="right"/>
            </w:pPr>
            <w:r w:rsidRPr="00EE238C">
              <w:t>81</w:t>
            </w:r>
            <w:r w:rsidR="00875837">
              <w:t>.</w:t>
            </w:r>
            <w:r w:rsidRPr="00EE238C">
              <w:t>5</w:t>
            </w:r>
          </w:p>
        </w:tc>
      </w:tr>
    </w:tbl>
    <w:p w:rsidRPr="003C054B" w:rsidR="001C20DC" w:rsidP="00547CE7" w:rsidRDefault="001C20DC" w14:paraId="56B72E1A" w14:textId="1CD4A899">
      <w:pPr>
        <w:pStyle w:val="Tekstprzypisudolnego"/>
        <w:spacing w:before="0"/>
        <w:rPr>
          <w:lang w:val="en-US"/>
        </w:rPr>
      </w:pPr>
      <w:r w:rsidRPr="00F302CA">
        <w:rPr>
          <w:sz w:val="16"/>
          <w:szCs w:val="18"/>
          <w:vertAlign w:val="superscript"/>
          <w:lang w:val="en-GB"/>
        </w:rPr>
        <w:t>1</w:t>
      </w:r>
      <w:r>
        <w:rPr>
          <w:sz w:val="16"/>
          <w:szCs w:val="18"/>
          <w:lang w:val="en-US"/>
        </w:rPr>
        <w:t xml:space="preserve"> </w:t>
      </w:r>
      <w:r w:rsidR="00F70936">
        <w:rPr>
          <w:sz w:val="16"/>
          <w:szCs w:val="18"/>
          <w:lang w:val="en-US"/>
        </w:rPr>
        <w:t>P</w:t>
      </w:r>
      <w:r w:rsidRPr="00F70936" w:rsidR="00F70936">
        <w:rPr>
          <w:sz w:val="16"/>
          <w:szCs w:val="18"/>
          <w:lang w:val="en-US"/>
        </w:rPr>
        <w:t>reliminary data</w:t>
      </w:r>
      <w:r w:rsidR="00F70936">
        <w:rPr>
          <w:sz w:val="16"/>
          <w:szCs w:val="18"/>
          <w:lang w:val="en-US"/>
        </w:rPr>
        <w:t xml:space="preserve"> </w:t>
      </w:r>
      <w:r w:rsidR="004E204A">
        <w:rPr>
          <w:sz w:val="16"/>
          <w:szCs w:val="18"/>
          <w:lang w:val="en-US"/>
        </w:rPr>
        <w:t xml:space="preserve">for </w:t>
      </w:r>
      <w:r w:rsidR="00454366">
        <w:rPr>
          <w:sz w:val="16"/>
          <w:szCs w:val="18"/>
          <w:lang w:val="en-US"/>
        </w:rPr>
        <w:t xml:space="preserve">27 </w:t>
      </w:r>
      <w:r w:rsidR="004E204A">
        <w:rPr>
          <w:sz w:val="16"/>
          <w:szCs w:val="18"/>
          <w:lang w:val="en-US"/>
        </w:rPr>
        <w:t>powiats.</w:t>
      </w:r>
    </w:p>
    <w:p w:rsidRPr="003C054B" w:rsidR="009E0BB0" w:rsidP="009E0BB0" w:rsidRDefault="001C20DC" w14:paraId="4C70792E" w14:textId="77777777">
      <w:pPr>
        <w:pStyle w:val="Tekstprzypisudolnego"/>
        <w:rPr>
          <w:lang w:val="en-US"/>
        </w:rPr>
      </w:pPr>
      <w:r>
        <w:rPr>
          <w:sz w:val="16"/>
          <w:szCs w:val="18"/>
          <w:vertAlign w:val="superscript"/>
          <w:lang w:val="en-GB"/>
        </w:rPr>
        <w:t>2</w:t>
      </w:r>
      <w:r w:rsidR="009E0BB0">
        <w:rPr>
          <w:sz w:val="16"/>
          <w:szCs w:val="18"/>
          <w:lang w:val="en-US"/>
        </w:rPr>
        <w:t xml:space="preserve"> P</w:t>
      </w:r>
      <w:r w:rsidRPr="003C054B" w:rsidR="009E0BB0">
        <w:rPr>
          <w:sz w:val="16"/>
          <w:szCs w:val="18"/>
          <w:lang w:val="en-US"/>
        </w:rPr>
        <w:t>roperties built-up with residential buildings, bu</w:t>
      </w:r>
      <w:r w:rsidR="009E0BB0">
        <w:rPr>
          <w:sz w:val="16"/>
          <w:szCs w:val="18"/>
          <w:lang w:val="en-US"/>
        </w:rPr>
        <w:t>ilt</w:t>
      </w:r>
      <w:r w:rsidRPr="003C054B" w:rsidR="009E0BB0">
        <w:rPr>
          <w:sz w:val="16"/>
          <w:szCs w:val="18"/>
          <w:lang w:val="en-US"/>
        </w:rPr>
        <w:t>-up agricultural land, ot</w:t>
      </w:r>
      <w:r w:rsidR="009E0BB0">
        <w:rPr>
          <w:sz w:val="16"/>
          <w:szCs w:val="18"/>
          <w:lang w:val="en-US"/>
        </w:rPr>
        <w:t>her built-up properties and buildings are included.</w:t>
      </w:r>
    </w:p>
    <w:p w:rsidR="009E0BB0" w:rsidP="009E0BB0" w:rsidRDefault="009E0BB0" w14:paraId="11E5BC78" w14:textId="77777777">
      <w:pPr>
        <w:rPr>
          <w:szCs w:val="19"/>
          <w:lang w:val="en-US"/>
        </w:rPr>
      </w:pPr>
    </w:p>
    <w:p w:rsidRPr="002A03FC" w:rsidR="009E0BB0" w:rsidP="009E0BB0" w:rsidRDefault="009E0BB0" w14:paraId="357C0A81" w14:textId="11176BFF">
      <w:pPr>
        <w:rPr>
          <w:lang w:val="en-US" w:eastAsia="pl-PL"/>
        </w:rPr>
      </w:pPr>
      <w:r w:rsidRPr="00495088">
        <w:rPr>
          <w:szCs w:val="19"/>
          <w:lang w:val="en-US"/>
        </w:rPr>
        <w:t>The largest share in the total number of real estate transactions w</w:t>
      </w:r>
      <w:r w:rsidR="00B2508E">
        <w:rPr>
          <w:szCs w:val="19"/>
          <w:lang w:val="en-US"/>
        </w:rPr>
        <w:t xml:space="preserve">ere </w:t>
      </w:r>
      <w:r w:rsidR="00100522">
        <w:rPr>
          <w:szCs w:val="19"/>
          <w:lang w:val="en-US"/>
        </w:rPr>
        <w:t>the p</w:t>
      </w:r>
      <w:r w:rsidRPr="00495088" w:rsidR="00100522">
        <w:rPr>
          <w:szCs w:val="19"/>
          <w:lang w:val="en-US"/>
        </w:rPr>
        <w:t>remises</w:t>
      </w:r>
      <w:r w:rsidRPr="00495088">
        <w:rPr>
          <w:szCs w:val="19"/>
          <w:lang w:val="en-US"/>
        </w:rPr>
        <w:t xml:space="preserve"> </w:t>
      </w:r>
      <w:r w:rsidR="00100522">
        <w:rPr>
          <w:szCs w:val="19"/>
          <w:lang w:val="en-US"/>
        </w:rPr>
        <w:t>(</w:t>
      </w:r>
      <w:r w:rsidRPr="00495088">
        <w:rPr>
          <w:szCs w:val="19"/>
          <w:lang w:val="en-US"/>
        </w:rPr>
        <w:t>in</w:t>
      </w:r>
      <w:r w:rsidR="00A91E68">
        <w:rPr>
          <w:szCs w:val="19"/>
          <w:lang w:val="en-US"/>
        </w:rPr>
        <w:t xml:space="preserve"> </w:t>
      </w:r>
      <w:r w:rsidRPr="00495088" w:rsidR="00B65509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A91E68">
        <w:rPr>
          <w:szCs w:val="19"/>
          <w:lang w:val="en-US"/>
        </w:rPr>
        <w:t>D</w:t>
      </w:r>
      <w:r w:rsidRPr="00CA23AC" w:rsidR="00A91E68">
        <w:rPr>
          <w:szCs w:val="19"/>
          <w:lang w:val="en-US"/>
        </w:rPr>
        <w:t>o</w:t>
      </w:r>
      <w:r w:rsidR="00A91E68">
        <w:rPr>
          <w:szCs w:val="19"/>
          <w:lang w:val="en-US"/>
        </w:rPr>
        <w:t>lnośląskie</w:t>
      </w:r>
      <w:proofErr w:type="spellEnd"/>
      <w:r w:rsidR="00A75BD2">
        <w:rPr>
          <w:szCs w:val="19"/>
          <w:lang w:val="en-US"/>
        </w:rPr>
        <w:t>,</w:t>
      </w:r>
      <w:r w:rsidR="00A91E68">
        <w:rPr>
          <w:szCs w:val="19"/>
          <w:lang w:val="en-US"/>
        </w:rPr>
        <w:t xml:space="preserve"> </w:t>
      </w:r>
      <w:proofErr w:type="spellStart"/>
      <w:r w:rsidR="00594809">
        <w:rPr>
          <w:szCs w:val="19"/>
          <w:lang w:val="en-US"/>
        </w:rPr>
        <w:t>Pomorskie</w:t>
      </w:r>
      <w:proofErr w:type="spellEnd"/>
      <w:r w:rsidR="00594809">
        <w:rPr>
          <w:szCs w:val="19"/>
          <w:lang w:val="en-US"/>
        </w:rPr>
        <w:t xml:space="preserve">, </w:t>
      </w:r>
      <w:proofErr w:type="spellStart"/>
      <w:r w:rsidR="004E204A">
        <w:rPr>
          <w:szCs w:val="19"/>
          <w:lang w:val="en-US"/>
        </w:rPr>
        <w:t>Wielkopolskie</w:t>
      </w:r>
      <w:proofErr w:type="spellEnd"/>
      <w:r w:rsidR="00A75BD2">
        <w:rPr>
          <w:szCs w:val="19"/>
          <w:lang w:val="en-US"/>
        </w:rPr>
        <w:t>,</w:t>
      </w:r>
      <w:r w:rsidR="004E204A">
        <w:rPr>
          <w:szCs w:val="19"/>
          <w:lang w:val="en-US"/>
        </w:rPr>
        <w:t xml:space="preserve"> </w:t>
      </w:r>
      <w:r w:rsidR="00594809">
        <w:rPr>
          <w:szCs w:val="19"/>
          <w:lang w:val="en-US"/>
        </w:rPr>
        <w:t xml:space="preserve">and </w:t>
      </w:r>
      <w:proofErr w:type="spellStart"/>
      <w:r w:rsidR="00B65509">
        <w:rPr>
          <w:szCs w:val="19"/>
          <w:lang w:val="en-US"/>
        </w:rPr>
        <w:t>M</w:t>
      </w:r>
      <w:r w:rsidRPr="00CA23AC">
        <w:rPr>
          <w:szCs w:val="19"/>
          <w:lang w:val="en-US"/>
        </w:rPr>
        <w:t>azowieckie</w:t>
      </w:r>
      <w:proofErr w:type="spellEnd"/>
      <w:r w:rsidR="00100522">
        <w:rPr>
          <w:szCs w:val="19"/>
          <w:lang w:val="en-US"/>
        </w:rPr>
        <w:t xml:space="preserve">) as well as </w:t>
      </w:r>
      <w:r w:rsidRPr="00495088">
        <w:rPr>
          <w:szCs w:val="19"/>
          <w:lang w:val="en-US"/>
        </w:rPr>
        <w:t xml:space="preserve">land properties </w:t>
      </w:r>
      <w:r w:rsidR="00100522">
        <w:rPr>
          <w:szCs w:val="19"/>
          <w:lang w:val="en-US"/>
        </w:rPr>
        <w:t>(i</w:t>
      </w:r>
      <w:r w:rsidRPr="00495088">
        <w:rPr>
          <w:szCs w:val="19"/>
          <w:lang w:val="en-US"/>
        </w:rPr>
        <w:t xml:space="preserve">n </w:t>
      </w:r>
      <w:r w:rsidRPr="00495088" w:rsidR="00B65509">
        <w:rPr>
          <w:szCs w:val="19"/>
          <w:lang w:val="en-US"/>
        </w:rPr>
        <w:t>voivodships</w:t>
      </w:r>
      <w:r w:rsidR="00B65509">
        <w:rPr>
          <w:szCs w:val="19"/>
          <w:lang w:val="en-US"/>
        </w:rPr>
        <w:t xml:space="preserve">: </w:t>
      </w:r>
      <w:proofErr w:type="spellStart"/>
      <w:r w:rsidR="00B65509">
        <w:rPr>
          <w:szCs w:val="19"/>
          <w:lang w:val="en-US"/>
        </w:rPr>
        <w:t>P</w:t>
      </w:r>
      <w:r w:rsidRPr="00CA23AC">
        <w:rPr>
          <w:szCs w:val="19"/>
          <w:lang w:val="en-US"/>
        </w:rPr>
        <w:t>odkarpackie</w:t>
      </w:r>
      <w:proofErr w:type="spellEnd"/>
      <w:r w:rsidRPr="00CA23AC">
        <w:rPr>
          <w:szCs w:val="19"/>
          <w:lang w:val="en-US"/>
        </w:rPr>
        <w:t xml:space="preserve"> </w:t>
      </w:r>
      <w:r w:rsidR="00E93327">
        <w:rPr>
          <w:szCs w:val="19"/>
          <w:lang w:val="en-US"/>
        </w:rPr>
        <w:t xml:space="preserve">and </w:t>
      </w:r>
      <w:proofErr w:type="spellStart"/>
      <w:r w:rsidR="00A91E68">
        <w:rPr>
          <w:szCs w:val="19"/>
          <w:lang w:val="en-US"/>
        </w:rPr>
        <w:t>Ś</w:t>
      </w:r>
      <w:r w:rsidRPr="00CA23AC" w:rsidR="00A91E68">
        <w:rPr>
          <w:szCs w:val="19"/>
          <w:lang w:val="en-US"/>
        </w:rPr>
        <w:t>wi</w:t>
      </w:r>
      <w:r w:rsidR="00A91E68">
        <w:rPr>
          <w:szCs w:val="19"/>
          <w:lang w:val="en-US"/>
        </w:rPr>
        <w:t>ę</w:t>
      </w:r>
      <w:r w:rsidRPr="00CA23AC" w:rsidR="00A91E68">
        <w:rPr>
          <w:szCs w:val="19"/>
          <w:lang w:val="en-US"/>
        </w:rPr>
        <w:t>tokrzyskie</w:t>
      </w:r>
      <w:proofErr w:type="spellEnd"/>
      <w:r w:rsidR="00100522">
        <w:rPr>
          <w:szCs w:val="19"/>
          <w:lang w:val="en-US"/>
        </w:rPr>
        <w:t>)</w:t>
      </w:r>
      <w:r w:rsidRPr="00495088">
        <w:rPr>
          <w:szCs w:val="19"/>
          <w:lang w:val="en-US"/>
        </w:rPr>
        <w:t>.</w:t>
      </w:r>
    </w:p>
    <w:p w:rsidRPr="00594809" w:rsidR="009E0BB0" w:rsidP="009E0BB0" w:rsidRDefault="009E0BB0" w14:paraId="72ABD891" w14:textId="53F35A6E">
      <w:pPr>
        <w:spacing w:before="240"/>
        <w:rPr>
          <w:b/>
          <w:szCs w:val="19"/>
          <w:shd w:val="clear" w:color="auto" w:fill="FFFFFF"/>
          <w:lang w:val="en-US"/>
        </w:rPr>
      </w:pPr>
      <w:r w:rsidRPr="00594809">
        <w:rPr>
          <w:b/>
          <w:szCs w:val="19"/>
          <w:lang w:val="en-US"/>
        </w:rPr>
        <w:t>Chart 1.</w:t>
      </w:r>
      <w:r w:rsidRPr="00594809">
        <w:rPr>
          <w:b/>
          <w:szCs w:val="19"/>
          <w:shd w:val="clear" w:color="auto" w:fill="FFFFFF"/>
          <w:lang w:val="en-US"/>
        </w:rPr>
        <w:t xml:space="preserve"> </w:t>
      </w:r>
      <w:r w:rsidRPr="00594809" w:rsidR="00B65509">
        <w:rPr>
          <w:b/>
          <w:szCs w:val="19"/>
          <w:shd w:val="clear" w:color="auto" w:fill="FFFFFF"/>
          <w:lang w:val="en-US"/>
        </w:rPr>
        <w:t>Shares</w:t>
      </w:r>
      <w:r w:rsidRPr="00594809">
        <w:rPr>
          <w:b/>
          <w:szCs w:val="19"/>
          <w:shd w:val="clear" w:color="auto" w:fill="FFFFFF"/>
          <w:lang w:val="en-US"/>
        </w:rPr>
        <w:t xml:space="preserve"> </w:t>
      </w:r>
      <w:r w:rsidRPr="00594809" w:rsidR="00B65509">
        <w:rPr>
          <w:b/>
          <w:szCs w:val="19"/>
          <w:shd w:val="clear" w:color="auto" w:fill="FFFFFF"/>
          <w:lang w:val="en-US"/>
        </w:rPr>
        <w:t>in</w:t>
      </w:r>
      <w:r w:rsidRPr="00594809">
        <w:rPr>
          <w:b/>
          <w:szCs w:val="19"/>
          <w:shd w:val="clear" w:color="auto" w:fill="FFFFFF"/>
          <w:lang w:val="en-US"/>
        </w:rPr>
        <w:t xml:space="preserve"> real estate transactions by type in </w:t>
      </w:r>
      <w:r w:rsidR="00735FCB">
        <w:rPr>
          <w:b/>
          <w:szCs w:val="19"/>
          <w:shd w:val="clear" w:color="auto" w:fill="FFFFFF"/>
          <w:lang w:val="en-US"/>
        </w:rPr>
        <w:t>2022</w:t>
      </w:r>
    </w:p>
    <w:p w:rsidR="009E0BB0" w:rsidP="009E0BB0" w:rsidRDefault="00454366" w14:paraId="45A02D7C" w14:textId="6CEE853D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35469742" wp14:editId="55D87ADE">
            <wp:extent cx="5122545" cy="3568700"/>
            <wp:effectExtent l="0" t="0" r="190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Pr="0073778F" w:rsidR="009E0BB0" w:rsidP="009E0BB0" w:rsidRDefault="009E0BB0" w14:paraId="2CFDBCCC" w14:textId="77777777">
      <w:pPr>
        <w:spacing w:before="0" w:after="160" w:line="259" w:lineRule="auto"/>
        <w:rPr>
          <w:b/>
          <w:spacing w:val="-2"/>
          <w:szCs w:val="19"/>
          <w:shd w:val="clear" w:color="auto" w:fill="FFFFFF"/>
          <w:lang w:val="en-US"/>
        </w:rPr>
      </w:pPr>
      <w:r w:rsidRPr="0073778F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editId="1F46F4C4" wp14:anchorId="7074C998">
                <wp:simplePos x="0" y="0"/>
                <wp:positionH relativeFrom="column">
                  <wp:posOffset>5247640</wp:posOffset>
                </wp:positionH>
                <wp:positionV relativeFrom="paragraph">
                  <wp:posOffset>1905</wp:posOffset>
                </wp:positionV>
                <wp:extent cx="1762125" cy="1454785"/>
                <wp:effectExtent l="0" t="0" r="0" b="0"/>
                <wp:wrapTight wrapText="bothSides">
                  <wp:wrapPolygon edited="0">
                    <wp:start x="701" y="0"/>
                    <wp:lineTo x="701" y="21213"/>
                    <wp:lineTo x="20783" y="21213"/>
                    <wp:lineTo x="20783" y="0"/>
                    <wp:lineTo x="701" y="0"/>
                  </wp:wrapPolygon>
                </wp:wrapTight>
                <wp:docPr id="18" name="Pole tekstowe 18" descr="Prices of residential premises in 2022 increased by 11.8% in the comparison with the previous year (of which both on the primary market and  on the secondary market 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80A" w:rsidR="009E0BB0" w:rsidP="009E0BB0" w:rsidRDefault="009E0BB0" w14:paraId="69849FAD" w14:textId="0028CDB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8580A">
                              <w:rPr>
                                <w:lang w:val="en-US"/>
                              </w:rPr>
                              <w:t xml:space="preserve">Prices of residential premises in </w:t>
                            </w:r>
                            <w:r w:rsidRPr="0018580A" w:rsidR="002360E5">
                              <w:rPr>
                                <w:lang w:val="en-US"/>
                              </w:rPr>
                              <w:t>202</w:t>
                            </w:r>
                            <w:r w:rsidR="00986367">
                              <w:rPr>
                                <w:lang w:val="en-US"/>
                              </w:rPr>
                              <w:t>2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 increased by </w:t>
                            </w:r>
                            <w:r w:rsidR="00986367">
                              <w:rPr>
                                <w:lang w:val="en-US"/>
                              </w:rPr>
                              <w:t>11.8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% </w:t>
                            </w:r>
                            <w:r w:rsidRPr="0018580A" w:rsidR="0018580A">
                              <w:rPr>
                                <w:lang w:val="en-US"/>
                              </w:rPr>
                              <w:t xml:space="preserve">in the comparison with the previous year </w:t>
                            </w:r>
                            <w:r w:rsidRPr="0018580A">
                              <w:rPr>
                                <w:lang w:val="en-US"/>
                              </w:rPr>
                              <w:t>(</w:t>
                            </w:r>
                            <w:r w:rsidR="0018580A">
                              <w:rPr>
                                <w:lang w:val="en-US"/>
                              </w:rPr>
                              <w:t xml:space="preserve">of which </w:t>
                            </w:r>
                            <w:r w:rsidR="00986367">
                              <w:rPr>
                                <w:lang w:val="en-US"/>
                              </w:rPr>
                              <w:t>both</w:t>
                            </w:r>
                            <w:r w:rsidR="00C17C56">
                              <w:rPr>
                                <w:lang w:val="en-US"/>
                              </w:rPr>
                              <w:t>,</w:t>
                            </w:r>
                            <w:r w:rsidR="00986367">
                              <w:rPr>
                                <w:lang w:val="en-US"/>
                              </w:rPr>
                              <w:t xml:space="preserve"> on</w:t>
                            </w:r>
                            <w:r w:rsidRPr="0018580A" w:rsidR="00560D32">
                              <w:rPr>
                                <w:lang w:val="en-US"/>
                              </w:rPr>
                              <w:t> </w:t>
                            </w:r>
                            <w:r w:rsidRPr="0018580A" w:rsidR="00D8141B">
                              <w:rPr>
                                <w:lang w:val="en-US"/>
                              </w:rPr>
                              <w:t>the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 primary market </w:t>
                            </w:r>
                            <w:r w:rsidR="00986367">
                              <w:rPr>
                                <w:lang w:val="en-US"/>
                              </w:rPr>
                              <w:t xml:space="preserve">and </w:t>
                            </w:r>
                            <w:r w:rsidRPr="0018580A">
                              <w:rPr>
                                <w:lang w:val="en-US"/>
                              </w:rPr>
                              <w:t xml:space="preserve">on </w:t>
                            </w:r>
                            <w:r w:rsidRPr="0018580A" w:rsidR="00D8141B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986367">
                              <w:rPr>
                                <w:lang w:val="en-US"/>
                              </w:rPr>
                              <w:t>secondary market</w:t>
                            </w:r>
                            <w:r w:rsidRPr="0018580A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Pr="0018580A" w:rsidR="0018580A" w:rsidRDefault="0018580A" w14:paraId="1FEEAD0E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 w14:anchorId="7074C998">
                <v:stroke joinstyle="miter"/>
                <v:path gradientshapeok="t" o:connecttype="rect"/>
              </v:shapetype>
              <v:shape id="Pole tekstowe 18" style="position:absolute;margin-left:413.2pt;margin-top:.15pt;width:138.75pt;height:114.5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Prices of residential premises in 2022 increased by 11.8% in the comparison with the previous year (of which both on the primary market and  on the secondary market )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">
                <v:textbox>
                  <w:txbxContent>
                    <w:p w:rsidRPr="0018580A" w:rsidR="009E0BB0" w:rsidP="009E0BB0" w:rsidRDefault="009E0BB0" w14:paraId="69849FAD" w14:textId="0028CDB0">
                      <w:pPr>
                        <w:pStyle w:val="tekstzboku"/>
                        <w:rPr>
                          <w:lang w:val="en-US"/>
                        </w:rPr>
                      </w:pPr>
                      <w:r w:rsidRPr="0018580A">
                        <w:rPr>
                          <w:lang w:val="en-US"/>
                        </w:rPr>
                        <w:t xml:space="preserve">Prices of residential premises in </w:t>
                      </w:r>
                      <w:r w:rsidRPr="0018580A" w:rsidR="002360E5">
                        <w:rPr>
                          <w:lang w:val="en-US"/>
                        </w:rPr>
                        <w:t>202</w:t>
                      </w:r>
                      <w:r w:rsidR="00986367">
                        <w:rPr>
                          <w:lang w:val="en-US"/>
                        </w:rPr>
                        <w:t>2</w:t>
                      </w:r>
                      <w:r w:rsidRPr="0018580A">
                        <w:rPr>
                          <w:lang w:val="en-US"/>
                        </w:rPr>
                        <w:t xml:space="preserve"> increased by </w:t>
                      </w:r>
                      <w:r w:rsidR="00986367">
                        <w:rPr>
                          <w:lang w:val="en-US"/>
                        </w:rPr>
                        <w:t>11.8</w:t>
                      </w:r>
                      <w:r w:rsidRPr="0018580A">
                        <w:rPr>
                          <w:lang w:val="en-US"/>
                        </w:rPr>
                        <w:t xml:space="preserve">% </w:t>
                      </w:r>
                      <w:r w:rsidRPr="0018580A" w:rsidR="0018580A">
                        <w:rPr>
                          <w:lang w:val="en-US"/>
                        </w:rPr>
                        <w:t xml:space="preserve">in the comparison with the previous year </w:t>
                      </w:r>
                      <w:r w:rsidRPr="0018580A">
                        <w:rPr>
                          <w:lang w:val="en-US"/>
                        </w:rPr>
                        <w:t>(</w:t>
                      </w:r>
                      <w:r w:rsidR="0018580A">
                        <w:rPr>
                          <w:lang w:val="en-US"/>
                        </w:rPr>
                        <w:t xml:space="preserve">of which </w:t>
                      </w:r>
                      <w:r w:rsidR="00986367">
                        <w:rPr>
                          <w:lang w:val="en-US"/>
                        </w:rPr>
                        <w:t>both</w:t>
                      </w:r>
                      <w:r w:rsidR="00C17C56">
                        <w:rPr>
                          <w:lang w:val="en-US"/>
                        </w:rPr>
                        <w:t>,</w:t>
                      </w:r>
                      <w:r w:rsidR="00986367">
                        <w:rPr>
                          <w:lang w:val="en-US"/>
                        </w:rPr>
                        <w:t xml:space="preserve"> on</w:t>
                      </w:r>
                      <w:r w:rsidRPr="0018580A" w:rsidR="00560D32">
                        <w:rPr>
                          <w:lang w:val="en-US"/>
                        </w:rPr>
                        <w:t> </w:t>
                      </w:r>
                      <w:r w:rsidRPr="0018580A" w:rsidR="00D8141B">
                        <w:rPr>
                          <w:lang w:val="en-US"/>
                        </w:rPr>
                        <w:t>the</w:t>
                      </w:r>
                      <w:r w:rsidRPr="0018580A">
                        <w:rPr>
                          <w:lang w:val="en-US"/>
                        </w:rPr>
                        <w:t xml:space="preserve"> primary market </w:t>
                      </w:r>
                      <w:r w:rsidR="00986367">
                        <w:rPr>
                          <w:lang w:val="en-US"/>
                        </w:rPr>
                        <w:t xml:space="preserve">and </w:t>
                      </w:r>
                      <w:r w:rsidRPr="0018580A">
                        <w:rPr>
                          <w:lang w:val="en-US"/>
                        </w:rPr>
                        <w:t xml:space="preserve">on </w:t>
                      </w:r>
                      <w:r w:rsidRPr="0018580A" w:rsidR="00D8141B">
                        <w:rPr>
                          <w:lang w:val="en-US"/>
                        </w:rPr>
                        <w:t xml:space="preserve">the </w:t>
                      </w:r>
                      <w:r w:rsidR="00986367">
                        <w:rPr>
                          <w:lang w:val="en-US"/>
                        </w:rPr>
                        <w:t>secondary market</w:t>
                      </w:r>
                      <w:bookmarkStart w:name="_GoBack" w:id="1"/>
                      <w:bookmarkEnd w:id="1"/>
                      <w:r w:rsidRPr="0018580A">
                        <w:rPr>
                          <w:lang w:val="en-US"/>
                        </w:rPr>
                        <w:t>)</w:t>
                      </w:r>
                    </w:p>
                    <w:p w:rsidRPr="0018580A" w:rsidR="0018580A" w:rsidRDefault="0018580A" w14:paraId="1FEEAD0E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3778F">
        <w:rPr>
          <w:b/>
          <w:spacing w:val="-2"/>
          <w:szCs w:val="19"/>
          <w:shd w:val="clear" w:color="auto" w:fill="FFFFFF"/>
          <w:lang w:val="en-US"/>
        </w:rPr>
        <w:t xml:space="preserve">Table 3. Price indices of residential premises in </w:t>
      </w:r>
      <w:r w:rsidRPr="0073778F" w:rsidR="00E14693">
        <w:rPr>
          <w:b/>
          <w:spacing w:val="-2"/>
          <w:szCs w:val="19"/>
          <w:shd w:val="clear" w:color="auto" w:fill="FFFFFF"/>
          <w:lang w:val="en-US"/>
        </w:rPr>
        <w:t>202</w:t>
      </w:r>
      <w:r w:rsidR="004E204A">
        <w:rPr>
          <w:b/>
          <w:spacing w:val="-2"/>
          <w:szCs w:val="19"/>
          <w:shd w:val="clear" w:color="auto" w:fill="FFFFFF"/>
          <w:lang w:val="en-US"/>
        </w:rPr>
        <w:t>2</w:t>
      </w:r>
    </w:p>
    <w:tbl>
      <w:tblPr>
        <w:tblStyle w:val="Siatkatabelijasna11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e 3. includes price indices of residential premises in 2022 compared to 2021 and 2015."/>
      </w:tblPr>
      <w:tblGrid>
        <w:gridCol w:w="3507"/>
        <w:gridCol w:w="2305"/>
        <w:gridCol w:w="2268"/>
      </w:tblGrid>
      <w:tr w:rsidRPr="00437A70" w:rsidR="009E4B25" w:rsidTr="007B3298" w14:paraId="77461D05" w14:textId="77777777">
        <w:trPr>
          <w:trHeight w:val="57"/>
        </w:trPr>
        <w:tc>
          <w:tcPr>
            <w:tcW w:w="3507" w:type="dxa"/>
            <w:vMerge w:val="restart"/>
            <w:tcBorders>
              <w:top w:val="single" w:color="001D81" w:sz="4" w:space="0"/>
              <w:bottom w:val="single" w:color="001D81" w:sz="4" w:space="0"/>
              <w:right w:val="single" w:color="001D81" w:sz="4" w:space="0"/>
            </w:tcBorders>
            <w:vAlign w:val="center"/>
          </w:tcPr>
          <w:p w:rsidRPr="009B3C03" w:rsidR="009E4B25" w:rsidP="009E4B25" w:rsidRDefault="009E4B25" w14:paraId="1D40B448" w14:textId="7777777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val="en-GB" w:eastAsia="pl-PL"/>
              </w:rPr>
            </w:pPr>
            <w:r w:rsidRPr="009B3C03">
              <w:rPr>
                <w:rFonts w:eastAsia="Times New Roman" w:cs="Arial"/>
                <w:bCs/>
                <w:color w:val="000000" w:themeColor="text1"/>
                <w:szCs w:val="19"/>
                <w:lang w:val="en-GB" w:eastAsia="pl-PL"/>
              </w:rPr>
              <w:t>Specification</w:t>
            </w:r>
          </w:p>
        </w:tc>
        <w:tc>
          <w:tcPr>
            <w:tcW w:w="4573" w:type="dxa"/>
            <w:gridSpan w:val="2"/>
            <w:tcBorders>
              <w:top w:val="single" w:color="001D81" w:sz="4" w:space="0"/>
              <w:left w:val="single" w:color="001D81" w:sz="4" w:space="0"/>
              <w:bottom w:val="single" w:color="001D81" w:sz="4" w:space="0"/>
            </w:tcBorders>
            <w:vAlign w:val="center"/>
          </w:tcPr>
          <w:p w:rsidRPr="0004372E" w:rsidR="009E4B25" w:rsidP="004E204A" w:rsidRDefault="009E4B25" w14:paraId="5650DD49" w14:textId="77777777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202</w:t>
            </w:r>
            <w:r w:rsidR="004E204A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Pr="00437A70" w:rsidR="009E4B25" w:rsidTr="007B3298" w14:paraId="3127114D" w14:textId="77777777">
        <w:trPr>
          <w:trHeight w:val="57"/>
        </w:trPr>
        <w:tc>
          <w:tcPr>
            <w:tcW w:w="3507" w:type="dxa"/>
            <w:vMerge/>
            <w:tcBorders>
              <w:top w:val="single" w:color="001D81" w:sz="4" w:space="0"/>
              <w:bottom w:val="single" w:color="001D81" w:sz="4" w:space="0"/>
              <w:right w:val="single" w:color="001D81" w:sz="4" w:space="0"/>
            </w:tcBorders>
            <w:vAlign w:val="center"/>
          </w:tcPr>
          <w:p w:rsidRPr="009E4B25" w:rsidR="009E4B25" w:rsidP="009E4B25" w:rsidRDefault="009E4B25" w14:paraId="57D45169" w14:textId="7777777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305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  <w:right w:val="single" w:color="001D81" w:sz="4" w:space="0"/>
            </w:tcBorders>
            <w:vAlign w:val="center"/>
          </w:tcPr>
          <w:p w:rsidRPr="0004372E" w:rsidR="009E4B25" w:rsidP="004E204A" w:rsidRDefault="003C1196" w14:paraId="07440815" w14:textId="77777777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4E204A">
              <w:rPr>
                <w:color w:val="000000" w:themeColor="text1"/>
                <w:szCs w:val="19"/>
              </w:rPr>
              <w:t>1</w:t>
            </w:r>
            <w:r w:rsidRPr="0004372E" w:rsidR="009E4B25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68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</w:tcBorders>
            <w:vAlign w:val="center"/>
          </w:tcPr>
          <w:p w:rsidRPr="0004372E" w:rsidR="009E4B25" w:rsidP="003C1196" w:rsidRDefault="009E4B25" w14:paraId="57F6C66C" w14:textId="77777777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</w:t>
            </w:r>
            <w:r w:rsidR="003C1196">
              <w:rPr>
                <w:color w:val="000000" w:themeColor="text1"/>
                <w:szCs w:val="19"/>
              </w:rPr>
              <w:t>15</w:t>
            </w:r>
            <w:r w:rsidRPr="0004372E">
              <w:rPr>
                <w:color w:val="000000" w:themeColor="text1"/>
                <w:szCs w:val="19"/>
              </w:rPr>
              <w:t>=100</w:t>
            </w:r>
          </w:p>
        </w:tc>
      </w:tr>
      <w:tr w:rsidRPr="00437A70" w:rsidR="00986367" w:rsidTr="007B3298" w14:paraId="32531D5C" w14:textId="77777777">
        <w:trPr>
          <w:trHeight w:val="57"/>
        </w:trPr>
        <w:tc>
          <w:tcPr>
            <w:tcW w:w="3507" w:type="dxa"/>
            <w:tcBorders>
              <w:top w:val="single" w:color="001D81" w:sz="4" w:space="0"/>
              <w:bottom w:val="single" w:color="001D81" w:sz="4" w:space="0"/>
              <w:right w:val="single" w:color="001D81" w:sz="4" w:space="0"/>
            </w:tcBorders>
            <w:vAlign w:val="center"/>
          </w:tcPr>
          <w:p w:rsidRPr="009E4B25" w:rsidR="00986367" w:rsidP="00986367" w:rsidRDefault="00986367" w14:paraId="42CF784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E4B25">
              <w:rPr>
                <w:rFonts w:eastAsiaTheme="majorEastAsia" w:cstheme="majorBidi"/>
                <w:color w:val="000000" w:themeColor="text1"/>
                <w:szCs w:val="19"/>
              </w:rPr>
              <w:t>Total</w:t>
            </w:r>
          </w:p>
        </w:tc>
        <w:tc>
          <w:tcPr>
            <w:tcW w:w="2305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  <w:right w:val="single" w:color="001D81" w:sz="4" w:space="0"/>
            </w:tcBorders>
            <w:shd w:val="clear" w:color="auto" w:fill="auto"/>
          </w:tcPr>
          <w:p w:rsidRPr="008D54D8" w:rsidR="00986367" w:rsidP="00986367" w:rsidRDefault="00986367" w14:paraId="2C475787" w14:textId="77777777">
            <w:pPr>
              <w:jc w:val="right"/>
            </w:pPr>
            <w:r>
              <w:t>111</w:t>
            </w:r>
            <w:r w:rsidR="001522AD">
              <w:t>.</w:t>
            </w:r>
            <w:r>
              <w:t>8</w:t>
            </w:r>
          </w:p>
        </w:tc>
        <w:tc>
          <w:tcPr>
            <w:tcW w:w="2268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  <w:right w:val="nil"/>
            </w:tcBorders>
            <w:shd w:val="clear" w:color="auto" w:fill="auto"/>
          </w:tcPr>
          <w:p w:rsidRPr="008D54D8" w:rsidR="00986367" w:rsidP="00986367" w:rsidRDefault="00986367" w14:paraId="47F58DF0" w14:textId="77777777">
            <w:pPr>
              <w:jc w:val="right"/>
            </w:pPr>
            <w:r>
              <w:t>165</w:t>
            </w:r>
            <w:r w:rsidR="001522AD">
              <w:t>.</w:t>
            </w:r>
            <w:r>
              <w:t>2</w:t>
            </w:r>
          </w:p>
        </w:tc>
      </w:tr>
      <w:tr w:rsidRPr="00437A70" w:rsidR="00986367" w:rsidTr="007B3298" w14:paraId="39A15C9D" w14:textId="77777777">
        <w:trPr>
          <w:trHeight w:val="57"/>
        </w:trPr>
        <w:tc>
          <w:tcPr>
            <w:tcW w:w="3507" w:type="dxa"/>
            <w:tcBorders>
              <w:top w:val="single" w:color="001D81" w:sz="4" w:space="0"/>
              <w:bottom w:val="single" w:color="001D81" w:sz="4" w:space="0"/>
              <w:right w:val="single" w:color="001D81" w:sz="4" w:space="0"/>
            </w:tcBorders>
            <w:vAlign w:val="center"/>
          </w:tcPr>
          <w:p w:rsidRPr="009E4B25" w:rsidR="00986367" w:rsidP="00986367" w:rsidRDefault="00986367" w14:paraId="399A1ED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9E4B25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Primary market</w:t>
            </w:r>
          </w:p>
        </w:tc>
        <w:tc>
          <w:tcPr>
            <w:tcW w:w="2305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  <w:right w:val="single" w:color="001D81" w:sz="4" w:space="0"/>
            </w:tcBorders>
            <w:shd w:val="clear" w:color="auto" w:fill="auto"/>
          </w:tcPr>
          <w:p w:rsidRPr="008D54D8" w:rsidR="00986367" w:rsidP="00986367" w:rsidRDefault="00986367" w14:paraId="689E4F29" w14:textId="77777777">
            <w:pPr>
              <w:jc w:val="right"/>
            </w:pPr>
            <w:r>
              <w:t>111</w:t>
            </w:r>
            <w:r w:rsidR="001522AD">
              <w:t>.</w:t>
            </w:r>
            <w:r>
              <w:t>8</w:t>
            </w:r>
          </w:p>
        </w:tc>
        <w:tc>
          <w:tcPr>
            <w:tcW w:w="2268" w:type="dxa"/>
            <w:tcBorders>
              <w:top w:val="single" w:color="001D81" w:sz="4" w:space="0"/>
              <w:left w:val="single" w:color="001D81" w:sz="4" w:space="0"/>
              <w:bottom w:val="single" w:color="001D81" w:sz="4" w:space="0"/>
              <w:right w:val="nil"/>
            </w:tcBorders>
            <w:shd w:val="clear" w:color="auto" w:fill="auto"/>
          </w:tcPr>
          <w:p w:rsidRPr="008D54D8" w:rsidR="00986367" w:rsidP="00986367" w:rsidRDefault="00986367" w14:paraId="1C4FBA0E" w14:textId="77777777">
            <w:pPr>
              <w:jc w:val="right"/>
            </w:pPr>
            <w:r>
              <w:t>152</w:t>
            </w:r>
            <w:r w:rsidR="001522AD">
              <w:t>.</w:t>
            </w:r>
            <w:r>
              <w:t>1</w:t>
            </w:r>
          </w:p>
        </w:tc>
      </w:tr>
      <w:tr w:rsidRPr="00437A70" w:rsidR="00986367" w:rsidTr="007B3298" w14:paraId="07CB728A" w14:textId="77777777">
        <w:trPr>
          <w:trHeight w:val="57"/>
        </w:trPr>
        <w:tc>
          <w:tcPr>
            <w:tcW w:w="3507" w:type="dxa"/>
            <w:tcBorders>
              <w:top w:val="single" w:color="001D81" w:sz="4" w:space="0"/>
            </w:tcBorders>
            <w:vAlign w:val="center"/>
          </w:tcPr>
          <w:p w:rsidRPr="009E4B25" w:rsidR="00986367" w:rsidP="00986367" w:rsidRDefault="00986367" w14:paraId="7E6ACF58" w14:textId="7777777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  <w:lang w:val="en-GB"/>
              </w:rPr>
            </w:pPr>
            <w:r w:rsidRPr="009E4B25">
              <w:rPr>
                <w:color w:val="000000" w:themeColor="text1"/>
                <w:szCs w:val="19"/>
                <w:lang w:val="en-GB"/>
              </w:rPr>
              <w:t>Secondary market</w:t>
            </w:r>
          </w:p>
        </w:tc>
        <w:tc>
          <w:tcPr>
            <w:tcW w:w="2305" w:type="dxa"/>
            <w:tcBorders>
              <w:top w:val="single" w:color="001D81" w:sz="4" w:space="0"/>
              <w:left w:val="nil"/>
              <w:bottom w:val="nil"/>
              <w:right w:val="single" w:color="212492" w:sz="8" w:space="0"/>
            </w:tcBorders>
            <w:shd w:val="clear" w:color="auto" w:fill="auto"/>
          </w:tcPr>
          <w:p w:rsidRPr="008D54D8" w:rsidR="00986367" w:rsidP="00986367" w:rsidRDefault="00986367" w14:paraId="62A15AC7" w14:textId="77777777">
            <w:pPr>
              <w:jc w:val="right"/>
            </w:pPr>
            <w:r>
              <w:t>111</w:t>
            </w:r>
            <w:r w:rsidR="001522AD">
              <w:t>.</w:t>
            </w:r>
            <w:r>
              <w:t>8</w:t>
            </w:r>
          </w:p>
        </w:tc>
        <w:tc>
          <w:tcPr>
            <w:tcW w:w="2268" w:type="dxa"/>
            <w:tcBorders>
              <w:top w:val="single" w:color="001D81" w:sz="4" w:space="0"/>
              <w:left w:val="nil"/>
              <w:bottom w:val="nil"/>
              <w:right w:val="nil"/>
            </w:tcBorders>
            <w:shd w:val="clear" w:color="auto" w:fill="auto"/>
          </w:tcPr>
          <w:p w:rsidRPr="008D54D8" w:rsidR="00986367" w:rsidP="00986367" w:rsidRDefault="00986367" w14:paraId="63246F37" w14:textId="77777777">
            <w:pPr>
              <w:jc w:val="right"/>
            </w:pPr>
            <w:r>
              <w:t>176</w:t>
            </w:r>
            <w:r w:rsidR="001522AD">
              <w:t>.</w:t>
            </w:r>
            <w:r>
              <w:t>7</w:t>
            </w:r>
          </w:p>
        </w:tc>
      </w:tr>
    </w:tbl>
    <w:p w:rsidRPr="0073778F" w:rsidR="009E0BB0" w:rsidP="009E0BB0" w:rsidRDefault="009E0BB0" w14:paraId="22F5DEA4" w14:textId="77777777">
      <w:pPr>
        <w:spacing w:before="0" w:after="160" w:line="259" w:lineRule="auto"/>
        <w:rPr>
          <w:b/>
          <w:spacing w:val="-2"/>
          <w:sz w:val="8"/>
          <w:szCs w:val="8"/>
          <w:shd w:val="clear" w:color="auto" w:fill="FFFFFF"/>
          <w:lang w:val="en-US"/>
        </w:rPr>
      </w:pPr>
    </w:p>
    <w:p w:rsidR="009E0BB0" w:rsidP="009E0BB0" w:rsidRDefault="009E0BB0" w14:paraId="4D6B107F" w14:textId="77777777">
      <w:pPr>
        <w:spacing w:before="0" w:after="160" w:line="259" w:lineRule="auto"/>
        <w:rPr>
          <w:b/>
          <w:szCs w:val="19"/>
          <w:lang w:val="en-US"/>
        </w:rPr>
      </w:pPr>
      <w:r w:rsidRPr="0073778F">
        <w:rPr>
          <w:b/>
          <w:szCs w:val="19"/>
          <w:lang w:val="en-US"/>
        </w:rPr>
        <w:t xml:space="preserve">Chart 2. </w:t>
      </w:r>
      <w:r w:rsidRPr="0073778F" w:rsidR="00560D32">
        <w:rPr>
          <w:b/>
          <w:szCs w:val="19"/>
          <w:lang w:val="en-US"/>
        </w:rPr>
        <w:t>Changes in p</w:t>
      </w:r>
      <w:r w:rsidRPr="0073778F">
        <w:rPr>
          <w:b/>
          <w:szCs w:val="19"/>
          <w:lang w:val="en-US"/>
        </w:rPr>
        <w:t xml:space="preserve">rices of residential premises compared </w:t>
      </w:r>
      <w:r w:rsidRPr="0073778F" w:rsidR="00560D32">
        <w:rPr>
          <w:b/>
          <w:szCs w:val="19"/>
          <w:lang w:val="en-US"/>
        </w:rPr>
        <w:t>to</w:t>
      </w:r>
      <w:r w:rsidRPr="0073778F">
        <w:rPr>
          <w:b/>
          <w:szCs w:val="19"/>
          <w:lang w:val="en-US"/>
        </w:rPr>
        <w:t xml:space="preserve"> the previous year</w:t>
      </w:r>
    </w:p>
    <w:p w:rsidRPr="002D72B8" w:rsidR="009E0BB0" w:rsidP="009E0BB0" w:rsidRDefault="00986367" w14:paraId="1F64A697" w14:textId="77777777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3F2DBA78" wp14:editId="58575A78">
            <wp:extent cx="5206365" cy="2952750"/>
            <wp:effectExtent l="0" t="0" r="0" b="0"/>
            <wp:docPr id="10" name="Wykres 10" descr="Chart 2. includes changes in prices of residential premises compared to the previous year from 2011 to 2022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Pr="0073778F" w:rsidR="009E0BB0" w:rsidP="009E0BB0" w:rsidRDefault="009E0BB0" w14:paraId="7357A926" w14:textId="77777777">
      <w:pPr>
        <w:rPr>
          <w:b/>
          <w:szCs w:val="19"/>
          <w:lang w:val="en-US"/>
        </w:rPr>
      </w:pPr>
      <w:r w:rsidRPr="0073778F">
        <w:rPr>
          <w:b/>
          <w:szCs w:val="19"/>
          <w:lang w:val="en-US"/>
        </w:rPr>
        <w:t xml:space="preserve">Chart 3. </w:t>
      </w:r>
      <w:r w:rsidRPr="0073778F" w:rsidR="00560D32">
        <w:rPr>
          <w:b/>
          <w:szCs w:val="19"/>
          <w:lang w:val="en-US"/>
        </w:rPr>
        <w:t>Changes in p</w:t>
      </w:r>
      <w:r w:rsidRPr="0073778F">
        <w:rPr>
          <w:b/>
          <w:szCs w:val="19"/>
          <w:lang w:val="en-US"/>
        </w:rPr>
        <w:t xml:space="preserve">rices of residential premises </w:t>
      </w:r>
      <w:r w:rsidRPr="0073778F" w:rsidR="00560D32">
        <w:rPr>
          <w:b/>
          <w:szCs w:val="19"/>
          <w:lang w:val="en-US"/>
        </w:rPr>
        <w:t>c</w:t>
      </w:r>
      <w:r w:rsidRPr="0073778F">
        <w:rPr>
          <w:b/>
          <w:szCs w:val="19"/>
          <w:lang w:val="en-US"/>
        </w:rPr>
        <w:t xml:space="preserve">ompared </w:t>
      </w:r>
      <w:r w:rsidRPr="0073778F" w:rsidR="00560D32">
        <w:rPr>
          <w:b/>
          <w:szCs w:val="19"/>
          <w:lang w:val="en-US"/>
        </w:rPr>
        <w:t>to</w:t>
      </w:r>
      <w:r w:rsidRPr="0073778F">
        <w:rPr>
          <w:b/>
          <w:szCs w:val="19"/>
          <w:lang w:val="en-US"/>
        </w:rPr>
        <w:t xml:space="preserve"> 2015</w:t>
      </w:r>
    </w:p>
    <w:p w:rsidRPr="00730963" w:rsidR="009E0BB0" w:rsidP="009E0BB0" w:rsidRDefault="00986367" w14:paraId="0500FCC9" w14:textId="77777777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A36955F" wp14:editId="0B0D26F2">
            <wp:extent cx="5122545" cy="2959100"/>
            <wp:effectExtent l="0" t="0" r="1905" b="0"/>
            <wp:docPr id="11" name="Wykres 11" descr="Chart 3. includes changes in prices of residential premises compared to 2015 from 2010 to 2022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Pr="009E0BB0" w:rsidR="0059548E" w:rsidP="00E76D26" w:rsidRDefault="003D7815" w14:paraId="11EE66BE" w14:textId="77777777">
      <w:pPr>
        <w:rPr>
          <w:sz w:val="18"/>
          <w:lang w:val="en-US"/>
        </w:rPr>
        <w:sectPr w:rsidRPr="009E0BB0" w:rsidR="0059548E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Pr="0073406E" w:rsidR="0073778F" w:rsidP="0073778F" w:rsidRDefault="0073778F" w14:paraId="01E83196" w14:textId="77777777">
      <w:pPr>
        <w:rPr>
          <w:sz w:val="18"/>
          <w:lang w:val="en-US"/>
        </w:rPr>
      </w:pPr>
    </w:p>
    <w:tbl>
      <w:tblPr>
        <w:tblStyle w:val="Tabela-Siatka"/>
        <w:tblW w:w="6557" w:type="pct"/>
        <w:tblInd w:w="-5" w:type="dxa"/>
        <w:tblLook w:val="04A0" w:firstRow="1" w:lastRow="0" w:firstColumn="1" w:lastColumn="0" w:noHBand="0" w:noVBand="1"/>
      </w:tblPr>
      <w:tblGrid>
        <w:gridCol w:w="4490"/>
        <w:gridCol w:w="6089"/>
      </w:tblGrid>
      <w:tr w:rsidR="0073778F" w:rsidTr="00D526F9" w14:paraId="58161F63" w14:textId="77777777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Pr="008843E2" w:rsidR="0073778F" w:rsidP="00D526F9" w:rsidRDefault="0073778F" w14:paraId="43C30190" w14:textId="77777777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:rsidRPr="008843E2" w:rsidR="0073778F" w:rsidP="00D526F9" w:rsidRDefault="0073778F" w14:paraId="2B1FC26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Pr="00DE2400" w:rsidR="0073778F" w:rsidP="00D526F9" w:rsidRDefault="0073778F" w14:paraId="7C712EF8" w14:textId="77777777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Pr="00A16C0D">
              <w:rPr>
                <w:b/>
                <w:lang w:val="fi-FI"/>
              </w:rPr>
              <w:t>Ewa Adach - Stankiewicz</w:t>
            </w:r>
          </w:p>
          <w:p w:rsidRPr="00AB24E4" w:rsidR="0073778F" w:rsidP="00D526F9" w:rsidRDefault="0073778F" w14:paraId="1D23EC96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Pr="008843E2" w:rsidR="0073778F" w:rsidP="00D526F9" w:rsidRDefault="0073778F" w14:paraId="06380027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:rsidRPr="004A1D19" w:rsidR="0073778F" w:rsidP="00D526F9" w:rsidRDefault="0073778F" w14:paraId="2D6A7A7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3778F" w:rsidP="00D526F9" w:rsidRDefault="0073778F" w14:paraId="68E9C83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73778F" w:rsidP="00D526F9" w:rsidRDefault="0073778F" w14:paraId="6BB34976" w14:textId="77777777">
            <w:pPr>
              <w:rPr>
                <w:sz w:val="18"/>
              </w:rPr>
            </w:pPr>
          </w:p>
        </w:tc>
      </w:tr>
      <w:tr w:rsidRPr="00A1133F" w:rsidR="0073778F" w:rsidTr="00D526F9" w14:paraId="26C416DD" w14:textId="77777777">
        <w:tc>
          <w:tcPr>
            <w:tcW w:w="21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8843E2" w:rsidR="0073778F" w:rsidP="00D526F9" w:rsidRDefault="0073778F" w14:paraId="63BF0BFA" w14:textId="77777777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:rsidRPr="008843E2" w:rsidR="0073778F" w:rsidP="00D526F9" w:rsidRDefault="0073778F" w14:paraId="333B6F0E" w14:textId="77777777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:rsidRPr="00F05FC7" w:rsidR="0073778F" w:rsidP="00D526F9" w:rsidRDefault="0073778F" w14:paraId="0A2041E2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7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843E2" w:rsidR="0073778F" w:rsidP="00D526F9" w:rsidRDefault="0073778F" w14:paraId="128C2DC2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editId="7CFBDE7B" wp14:anchorId="129BC5B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73778F" w:rsidTr="00D526F9" w14:paraId="5F1AA077" w14:textId="77777777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3778F" w:rsidP="00D526F9" w:rsidRDefault="0073778F" w14:paraId="4BADD647" w14:textId="77777777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62AC7" w:rsidR="0073778F" w:rsidP="00D526F9" w:rsidRDefault="0073778F" w14:paraId="67025242" w14:textId="77777777">
            <w:pPr>
              <w:ind w:left="652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editId="540B7770" wp14:anchorId="659303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9" name="Obraz 29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3778F" w:rsidTr="00D526F9" w14:paraId="66233D64" w14:textId="77777777">
        <w:tc>
          <w:tcPr>
            <w:tcW w:w="21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3778F" w:rsidP="00D526F9" w:rsidRDefault="0073778F" w14:paraId="1B8AE40D" w14:textId="77777777">
            <w:pPr>
              <w:rPr>
                <w:sz w:val="18"/>
                <w:lang w:val="en-US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Pr="00B62AC7" w:rsidR="0073778F" w:rsidP="00D526F9" w:rsidRDefault="0073778F" w14:paraId="3A5B9300" w14:textId="77777777">
            <w:pPr>
              <w:ind w:left="652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editId="1A5E981A" wp14:anchorId="56F1EEA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3778F" w:rsidTr="00D526F9" w14:paraId="4D040E8C" w14:textId="77777777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Pr="00C91687" w:rsidR="0073778F" w:rsidP="00D526F9" w:rsidRDefault="0073778F" w14:paraId="70F70FB9" w14:textId="77777777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Pr="003D5F42" w:rsidR="0073778F" w:rsidP="00D526F9" w:rsidRDefault="0073778F" w14:paraId="512329B6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editId="5B80C5AB" wp14:anchorId="39FDDF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3778F" w:rsidTr="00D526F9" w14:paraId="3337D657" w14:textId="77777777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Pr="00C91687" w:rsidR="0073778F" w:rsidP="00D526F9" w:rsidRDefault="0073778F" w14:paraId="2FAEEC20" w14:textId="77777777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Pr="003D5F42" w:rsidR="0073778F" w:rsidP="00D526F9" w:rsidRDefault="0073778F" w14:paraId="64A5443D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editId="16310890" wp14:anchorId="762C22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0" name="Obraz 30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3778F" w:rsidTr="00D526F9" w14:paraId="4EE7A7F1" w14:textId="77777777"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</w:tcPr>
          <w:p w:rsidRPr="00C91687" w:rsidR="0073778F" w:rsidP="00D526F9" w:rsidRDefault="0073778F" w14:paraId="00269CF4" w14:textId="77777777">
            <w:pPr>
              <w:rPr>
                <w:b/>
                <w:sz w:val="20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</w:tcPr>
          <w:p w:rsidRPr="003D5F42" w:rsidR="0073778F" w:rsidP="00D526F9" w:rsidRDefault="0073778F" w14:paraId="645FEBD8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26AC91BE" wp14:anchorId="72223D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778F" w:rsidTr="00D526F9" w14:paraId="568867CC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78F" w:rsidP="00D526F9" w:rsidRDefault="0073778F" w14:paraId="2822B50C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editId="0DBCA069" wp14:anchorId="455FF812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359410</wp:posOffset>
                      </wp:positionV>
                      <wp:extent cx="6559550" cy="4443095"/>
                      <wp:effectExtent l="0" t="0" r="12700" b="14605"/>
                      <wp:wrapSquare wrapText="bothSides"/>
                      <wp:docPr id="27" name="Pole tekstowe 2" descr="Link to the publication: Price indices of residential premises by voivodshi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4443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78F" w:rsidP="0073778F" w:rsidRDefault="0073778F" w14:paraId="7FE8D473" w14:textId="7777777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Pr="00C2775E" w:rsidR="0073778F" w:rsidP="0073778F" w:rsidRDefault="0073778F" w14:paraId="222B4BBF" w14:textId="77777777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C2775E">
                                    <w:rPr>
                                      <w:b/>
                                      <w:lang w:val="en-US"/>
                                    </w:rPr>
                                    <w:t>Related information</w:t>
                                  </w:r>
                                </w:p>
                                <w:p w:rsidRPr="00BF2C03" w:rsidR="0073778F" w:rsidP="0073778F" w:rsidRDefault="0073778F" w14:paraId="72059D8C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986367" w:rsidR="00986367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"https://stat.gov.pl/en/latest-statistical-news/communications-and-announcements/8,2023,category.html" \o "Link to release: Price indices of residential premises by voivodships"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indices of residential premises by voivodship</w:t>
                                  </w:r>
                                  <w:r w:rsidRPr="00BF2C03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</w:p>
                                <w:p w:rsidRPr="00BF2C03" w:rsidR="0073778F" w:rsidP="0073778F" w:rsidRDefault="0073778F" w14:paraId="5C7A08C8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986367" w:rsidR="00986367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>HYPERLINK "https://stat.gov.pl/en/latest-statistical-news/communications-and-announcements/list-of-communiques-and-announcements/price-of-one-square-meter-of-usable-floor-space-of-a-residential-building-in-the-first-quarter-of-2023,270,40.html" \o "Link to release: Price of one square meter of usable floor space of a residential building"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Price of one square meter of usable floor space of a residential building</w:t>
                                  </w:r>
                                </w:p>
                                <w:p w:rsidRPr="00562D12" w:rsidR="0073778F" w:rsidP="0073778F" w:rsidRDefault="0073778F" w14:paraId="50AFC37C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 w:rsidR="00986367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"https://stat.gov.pl/en/topics/municipal-infrastructure/municipal-infrastructure/real-estate-sales-in-2021,2,14.html" \o "Link to the publication: Real estate sales in 2021"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sales in 202</w:t>
                                  </w:r>
                                  <w:r w:rsidR="00986367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  <w:p w:rsidRPr="00EF53D1" w:rsidR="0073778F" w:rsidP="0073778F" w:rsidRDefault="0073778F" w14:paraId="01EB5C4B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Pr="004802D4" w:rsidR="0073778F" w:rsidP="0073778F" w:rsidRDefault="0073778F" w14:paraId="3D406078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Data available in databases</w:t>
                                  </w:r>
                                </w:p>
                                <w:p w:rsidRPr="00562D12" w:rsidR="0073778F" w:rsidP="0073778F" w:rsidRDefault="0073778F" w14:paraId="69C1B06A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begin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  <w:instrText xml:space="preserve"> HYPERLINK "http://swaid.stat.gov.pl/EN/SitePagesDBW/Ceny.aspx" \o "Link to the Knowledge Databases (DBW) Prices" 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Knowledge Databases (DBW) Prices</w:t>
                                  </w:r>
                                </w:p>
                                <w:p w:rsidRPr="00562D12" w:rsidR="0073778F" w:rsidP="0073778F" w:rsidRDefault="0073778F" w14:paraId="4699B4AA" w14:textId="27452E45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</w:rPr>
                                    <w:fldChar w:fldCharType="end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A1133F" w:rsidR="00CB33F6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"https://bdl.stat.gov.pl/bdl/dane/podgrup/temat" \o "Link to the Local Data Bank – Real Estate Market"</w:instrText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Local Data Bank – Real Estate Market</w:t>
                                  </w:r>
                                </w:p>
                                <w:p w:rsidRPr="0026348E" w:rsidR="0073778F" w:rsidP="0073778F" w:rsidRDefault="0073778F" w14:paraId="11B4B5A7" w14:textId="77777777">
                                  <w:pPr>
                                    <w:rPr>
                                      <w:color w:val="001D77"/>
                                      <w:szCs w:val="24"/>
                                      <w:lang w:val="en-US"/>
                                    </w:rPr>
                                  </w:pPr>
                                  <w:r w:rsidRPr="00562D12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  <w:p w:rsidRPr="004802D4" w:rsidR="0073778F" w:rsidP="0073778F" w:rsidRDefault="0073778F" w14:paraId="5CA97D9D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</w:pPr>
                                  <w:r w:rsidRPr="004802D4"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  <w:lang w:val="en-US"/>
                                    </w:rPr>
                                    <w:t>rms used in official statistics</w:t>
                                  </w:r>
                                </w:p>
                                <w:p w:rsidRPr="00601C2F" w:rsidR="0073778F" w:rsidP="0073778F" w:rsidRDefault="0073778F" w14:paraId="6D44E7D8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 w:rsidR="00021026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"https://stat.gov.pl/en/metainformation/glossary/terms-used-in-official-statistics/966,term.html" \o "Link to the term: Real estate turnover"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turnover</w:t>
                                  </w:r>
                                </w:p>
                                <w:p w:rsidRPr="00601C2F" w:rsidR="0073778F" w:rsidP="0073778F" w:rsidRDefault="0073778F" w14:paraId="077F3452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>HYPERLINK "https://stat.gov.pl/en/metainformation/glossary/terms-used-in-official-statistics/4491,term.html" \o "Link to the term: Real estate Price Register"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Real estate Price Register</w:t>
                                  </w:r>
                                </w:p>
                                <w:p w:rsidRPr="00601C2F" w:rsidR="0073778F" w:rsidP="0073778F" w:rsidRDefault="0073778F" w14:paraId="3606E22A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instrText xml:space="preserve"> HYPERLINK "https://stat.gov.pl/en/metainformation/glossary/terms-used-in-official-statistics/1984,term.html" \o "Link to the term: Premises" </w:instrText>
                                  </w: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separate"/>
                                  </w:r>
                                  <w:r w:rsidRPr="00601C2F"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t>Premises</w:t>
                                  </w:r>
                                </w:p>
                                <w:p w:rsidR="0073778F" w:rsidP="0073778F" w:rsidRDefault="0073778F" w14:paraId="411F3DD3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  <w:fldChar w:fldCharType="end"/>
                                  </w:r>
                                  <w:hyperlink w:tooltip="Link to the term: Price indices of residential premises" w:history="1" r:id="rId24">
                                    <w:r w:rsidRPr="00601C2F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Price indices of residential premises</w:t>
                                    </w:r>
                                  </w:hyperlink>
                                </w:p>
                                <w:p w:rsidRPr="00562D12" w:rsidR="004D2DE6" w:rsidP="0073778F" w:rsidRDefault="00D7141A" w14:paraId="669395F3" w14:textId="77777777">
                                  <w:pPr>
                                    <w:rPr>
                                      <w:rStyle w:val="Hipercze"/>
                                      <w:rFonts w:cstheme="minorBid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w:tooltip="Link to the term: Real estate transaction" w:history="1" r:id="rId25">
                                    <w:r w:rsidRPr="00B55112" w:rsidR="004D2DE6">
                                      <w:rPr>
                                        <w:rStyle w:val="Hipercze"/>
                                        <w:rFonts w:cstheme="minorBidi"/>
                                        <w:sz w:val="18"/>
                                        <w:szCs w:val="18"/>
                                        <w:lang w:val="en-US"/>
                                      </w:rPr>
                                      <w:t>Real estate transaction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-.25pt;margin-top:28.3pt;width:516.5pt;height:349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Link to the publication: Price indices of residential premises by voivodships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" w14:anchorId="455FF812">
                      <v:textbox>
                        <w:txbxContent>
                          <w:p w:rsidR="0073778F" w:rsidP="0073778F" w:rsidRDefault="0073778F" w14:paraId="7FE8D473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C2775E" w:rsidR="0073778F" w:rsidP="0073778F" w:rsidRDefault="0073778F" w14:paraId="222B4BBF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Pr="00BF2C03" w:rsidR="0073778F" w:rsidP="0073778F" w:rsidRDefault="0073778F" w14:paraId="72059D8C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986367" w:rsidR="00986367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"https://stat.gov.pl/en/latest-statistical-news/communications-and-announcements/8,2023,category.html" \o "Link to release: Price indices of residential premises by voivodships"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Price indices of residential premises by voivodship</w:t>
                            </w:r>
                            <w:r w:rsidRPr="00BF2C03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</w:p>
                          <w:p w:rsidRPr="00BF2C03" w:rsidR="0073778F" w:rsidP="0073778F" w:rsidRDefault="0073778F" w14:paraId="5C7A08C8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986367" w:rsidR="00986367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"https://stat.gov.pl/en/latest-statistical-news/communications-and-announcements/list-of-communiques-and-announcements/price-of-one-square-meter-of-usable-floor-space-of-a-residential-building-in-the-first-quarter-of-2023,270,40.html" \o "Link to release: Price of one square meter of usable floor space of a residential building"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Price of one square meter of usable floor space of a residential building</w:t>
                            </w:r>
                          </w:p>
                          <w:p w:rsidRPr="00562D12" w:rsidR="0073778F" w:rsidP="0073778F" w:rsidRDefault="0073778F" w14:paraId="50AFC37C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986367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"https://stat.gov.pl/en/topics/municipal-infrastructure/municipal-infrastructure/real-estate-sales-in-2021,2,14.html" \o "Link to the publication: Real estate sales in 2021"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sales in 202</w:t>
                            </w:r>
                            <w:r w:rsidR="00986367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  <w:p w:rsidRPr="00EF53D1" w:rsidR="0073778F" w:rsidP="0073778F" w:rsidRDefault="0073778F" w14:paraId="01EB5C4B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4802D4" w:rsidR="0073778F" w:rsidP="0073778F" w:rsidRDefault="0073778F" w14:paraId="3D406078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Pr="00562D12" w:rsidR="0073778F" w:rsidP="0073778F" w:rsidRDefault="0073778F" w14:paraId="69C1B06A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begin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 xml:space="preserve"> HYPERLINK "http://swaid.stat.gov.pl/EN/SitePagesDBW/Ceny.aspx" \o "Link to the Knowledge Databases (DBW) Prices" </w:instrTex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Knowledge Databases (DBW) Prices</w:t>
                            </w:r>
                          </w:p>
                          <w:p w:rsidRPr="00562D12" w:rsidR="0073778F" w:rsidP="0073778F" w:rsidRDefault="0073778F" w14:paraId="4699B4AA" w14:textId="27452E4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</w:rPr>
                              <w:fldChar w:fldCharType="end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B33F6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instrText>HYPERLINK "https://bdl.stat.gov.pl/bdl/dane/podgrup/temat" \o "Link to the Local Data Bank – Real Estate Market"</w:instrText>
                            </w:r>
                            <w:r w:rsidRPr="00562D12" w:rsidR="00CB33F6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Local Data Bank – R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l Estate Market</w:t>
                            </w:r>
                          </w:p>
                          <w:p w:rsidRPr="0026348E" w:rsidR="0073778F" w:rsidP="0073778F" w:rsidRDefault="0073778F" w14:paraId="11B4B5A7" w14:textId="77777777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562D12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Pr="004802D4" w:rsidR="0073778F" w:rsidP="0073778F" w:rsidRDefault="0073778F" w14:paraId="5CA97D9D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  <w:bookmarkStart w:name="_GoBack" w:id="1"/>
                            <w:bookmarkEnd w:id="1"/>
                          </w:p>
                          <w:p w:rsidRPr="00601C2F" w:rsidR="0073778F" w:rsidP="0073778F" w:rsidRDefault="0073778F" w14:paraId="6D44E7D8" w14:textId="7777777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21026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"https://stat.gov.pl/en/metainformation/glossary/terms-used-in-official-statistics/966,term.html" \o "Link to the term: Real estate turnover"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turnover</w:t>
                            </w:r>
                          </w:p>
                          <w:p w:rsidRPr="00601C2F" w:rsidR="0073778F" w:rsidP="0073778F" w:rsidRDefault="0073778F" w14:paraId="077F3452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"https://stat.gov.pl/en/metainformation/glossary/terms-used-in-official-statistics/4491,term.html" \o "Link to the term: Real estate Price Register"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Real estate Price Register</w:t>
                            </w:r>
                          </w:p>
                          <w:p w:rsidRPr="00601C2F" w:rsidR="0073778F" w:rsidP="0073778F" w:rsidRDefault="0073778F" w14:paraId="3606E22A" w14:textId="77777777">
                            <w:pPr>
                              <w:rPr>
                                <w:rStyle w:val="Hipercze"/>
                                <w:rFonts w:cstheme="minorBid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"https://stat.gov.pl/en/metainformation/glossary/terms-used-in-official-statistics/1984,term.html" \o "Link to the term: Premises"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601C2F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t>Premises</w:t>
                            </w:r>
                          </w:p>
                          <w:p w:rsidR="0073778F" w:rsidP="0073778F" w:rsidRDefault="0073778F" w14:paraId="411F3DD3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tooltip="Link to the term: Price indices of residential premises" w:history="1" r:id="rId26">
                              <w:r w:rsidRPr="00601C2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  <w:p w:rsidRPr="00562D12" w:rsidR="004D2DE6" w:rsidP="0073778F" w:rsidRDefault="00CB33F6" w14:paraId="669395F3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tooltip="Link to the term: Real estate transaction" w:history="1" r:id="rId27">
                              <w:r w:rsidRPr="00B55112" w:rsidR="004D2DE6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Real estate transaction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Pr="00B62AC7" w:rsidR="00D261A2" w:rsidP="0073778F" w:rsidRDefault="00D261A2" w14:paraId="4A02E02A" w14:textId="77777777">
      <w:pPr>
        <w:rPr>
          <w:sz w:val="18"/>
          <w:lang w:val="en-US"/>
        </w:rPr>
      </w:pPr>
    </w:p>
    <w:sectPr w:rsidRPr="00B62AC7" w:rsidR="00D261A2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46346" w14:textId="77777777" w:rsidR="00CC2E63" w:rsidRDefault="00CC2E63" w:rsidP="000662E2">
      <w:pPr>
        <w:spacing w:after="0" w:line="240" w:lineRule="auto"/>
      </w:pPr>
      <w:r>
        <w:separator/>
      </w:r>
    </w:p>
  </w:endnote>
  <w:endnote w:type="continuationSeparator" w:id="0">
    <w:p w14:paraId="57835011" w14:textId="77777777" w:rsidR="00CC2E63" w:rsidRDefault="00CC2E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2E82849" w14:textId="77777777"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1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1F82078F" w14:textId="77777777"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1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3EB3079" w14:textId="77777777"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14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47BA" w14:textId="77777777" w:rsidR="00CC2E63" w:rsidRDefault="00CC2E63" w:rsidP="000662E2">
      <w:pPr>
        <w:spacing w:after="0" w:line="240" w:lineRule="auto"/>
      </w:pPr>
      <w:r>
        <w:separator/>
      </w:r>
    </w:p>
  </w:footnote>
  <w:footnote w:type="continuationSeparator" w:id="0">
    <w:p w14:paraId="4CC8F8E9" w14:textId="77777777" w:rsidR="00CC2E63" w:rsidRDefault="00CC2E6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6AFC8" w14:textId="77777777"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25159AA" wp14:editId="05E984C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4E323C95" w14:textId="77777777"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6CCDA" w14:textId="77777777"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A97C512" wp14:editId="5B704142">
          <wp:extent cx="2080803" cy="719653"/>
          <wp:effectExtent l="0" t="0" r="0" b="4445"/>
          <wp:docPr id="2" name="Obraz 2" descr="logo of Statisit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8469F3" wp14:editId="7EE17B78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 descr="Date of publication: 31.07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B93D6" w14:textId="77777777" w:rsidR="009B46C8" w:rsidRPr="00C97596" w:rsidRDefault="00070F8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F327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D3639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: 31.07.2023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" filled="f" stroked="f">
              <v:textbox>
                <w:txbxContent>
                  <w:p w:rsidR="009B46C8" w:rsidRPr="00C97596" w:rsidRDefault="00070F8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F327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D3639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4AB5E3" wp14:editId="6C3092B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Text: 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C67ECD" w14:textId="77777777"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Schemat blokowy: opóźnienie 6" o:spid="_x0000_s1032" alt="Text: 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795ABD" wp14:editId="309AB9A3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891BE" w14:textId="77777777" w:rsidR="009B46C8" w:rsidRDefault="009B46C8">
    <w:pPr>
      <w:pStyle w:val="Nagwek"/>
    </w:pPr>
  </w:p>
  <w:p w14:paraId="5AFBD394" w14:textId="77777777"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27" type="#_x0000_t75" style="width:122.15pt;height:122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B3A"/>
    <w:rsid w:val="00003437"/>
    <w:rsid w:val="00004870"/>
    <w:rsid w:val="0000709F"/>
    <w:rsid w:val="000108B8"/>
    <w:rsid w:val="00015039"/>
    <w:rsid w:val="000152F5"/>
    <w:rsid w:val="00021026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0F8C"/>
    <w:rsid w:val="00072054"/>
    <w:rsid w:val="00074386"/>
    <w:rsid w:val="00074DD8"/>
    <w:rsid w:val="00075C06"/>
    <w:rsid w:val="000806F7"/>
    <w:rsid w:val="000811E4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C6149"/>
    <w:rsid w:val="000D1D43"/>
    <w:rsid w:val="000D225C"/>
    <w:rsid w:val="000D2A5C"/>
    <w:rsid w:val="000D6F7D"/>
    <w:rsid w:val="000E0918"/>
    <w:rsid w:val="000E27C8"/>
    <w:rsid w:val="000E729C"/>
    <w:rsid w:val="000F29BC"/>
    <w:rsid w:val="000F4033"/>
    <w:rsid w:val="000F4F85"/>
    <w:rsid w:val="000F6D5A"/>
    <w:rsid w:val="001003B7"/>
    <w:rsid w:val="00100522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22AD"/>
    <w:rsid w:val="001531F8"/>
    <w:rsid w:val="00162325"/>
    <w:rsid w:val="00171C8A"/>
    <w:rsid w:val="0018580A"/>
    <w:rsid w:val="001951DA"/>
    <w:rsid w:val="00195BF1"/>
    <w:rsid w:val="001A0198"/>
    <w:rsid w:val="001A0BF7"/>
    <w:rsid w:val="001A15C5"/>
    <w:rsid w:val="001A297A"/>
    <w:rsid w:val="001A3839"/>
    <w:rsid w:val="001B12D0"/>
    <w:rsid w:val="001C20DC"/>
    <w:rsid w:val="001C3269"/>
    <w:rsid w:val="001D1DB4"/>
    <w:rsid w:val="001D3639"/>
    <w:rsid w:val="001D549D"/>
    <w:rsid w:val="001E1388"/>
    <w:rsid w:val="001F043B"/>
    <w:rsid w:val="001F327E"/>
    <w:rsid w:val="001F6AC4"/>
    <w:rsid w:val="00200AEC"/>
    <w:rsid w:val="00202CB0"/>
    <w:rsid w:val="00213227"/>
    <w:rsid w:val="00230A72"/>
    <w:rsid w:val="00231100"/>
    <w:rsid w:val="002360E5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5520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018B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340FD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A695A"/>
    <w:rsid w:val="003B1454"/>
    <w:rsid w:val="003B18B6"/>
    <w:rsid w:val="003B46F7"/>
    <w:rsid w:val="003B56C8"/>
    <w:rsid w:val="003C1196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0768D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54366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2DE6"/>
    <w:rsid w:val="004D4E8A"/>
    <w:rsid w:val="004E0A1B"/>
    <w:rsid w:val="004E204A"/>
    <w:rsid w:val="004E6E19"/>
    <w:rsid w:val="004F0C3C"/>
    <w:rsid w:val="004F407F"/>
    <w:rsid w:val="004F5944"/>
    <w:rsid w:val="004F63FC"/>
    <w:rsid w:val="00505A92"/>
    <w:rsid w:val="00505EF2"/>
    <w:rsid w:val="00506FE1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4604F"/>
    <w:rsid w:val="00547CE7"/>
    <w:rsid w:val="00550D92"/>
    <w:rsid w:val="005520D8"/>
    <w:rsid w:val="00553BB8"/>
    <w:rsid w:val="00556CF1"/>
    <w:rsid w:val="00560D32"/>
    <w:rsid w:val="00563A09"/>
    <w:rsid w:val="005707B3"/>
    <w:rsid w:val="0057227D"/>
    <w:rsid w:val="00573E8B"/>
    <w:rsid w:val="005762A7"/>
    <w:rsid w:val="00577B61"/>
    <w:rsid w:val="00577E69"/>
    <w:rsid w:val="00582D90"/>
    <w:rsid w:val="005916D7"/>
    <w:rsid w:val="00594809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9F"/>
    <w:rsid w:val="00652F27"/>
    <w:rsid w:val="00653B61"/>
    <w:rsid w:val="00662314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6F5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35FCB"/>
    <w:rsid w:val="0073778F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1E"/>
    <w:rsid w:val="007B0DC0"/>
    <w:rsid w:val="007B0E88"/>
    <w:rsid w:val="007B1A1E"/>
    <w:rsid w:val="007B3298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6F76"/>
    <w:rsid w:val="00807A9E"/>
    <w:rsid w:val="008115B1"/>
    <w:rsid w:val="0081672B"/>
    <w:rsid w:val="0081720D"/>
    <w:rsid w:val="0082084A"/>
    <w:rsid w:val="0082446C"/>
    <w:rsid w:val="00825DC2"/>
    <w:rsid w:val="00834AD3"/>
    <w:rsid w:val="00836A8E"/>
    <w:rsid w:val="00843795"/>
    <w:rsid w:val="008464A2"/>
    <w:rsid w:val="00847F0F"/>
    <w:rsid w:val="00852448"/>
    <w:rsid w:val="00855753"/>
    <w:rsid w:val="00865B56"/>
    <w:rsid w:val="00866DA3"/>
    <w:rsid w:val="00870053"/>
    <w:rsid w:val="0087115A"/>
    <w:rsid w:val="00871864"/>
    <w:rsid w:val="00874D83"/>
    <w:rsid w:val="00875837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C417F"/>
    <w:rsid w:val="008D0769"/>
    <w:rsid w:val="008D1A46"/>
    <w:rsid w:val="008D6BB0"/>
    <w:rsid w:val="008E2609"/>
    <w:rsid w:val="008E2F67"/>
    <w:rsid w:val="008F3638"/>
    <w:rsid w:val="008F4441"/>
    <w:rsid w:val="008F5E24"/>
    <w:rsid w:val="008F6F31"/>
    <w:rsid w:val="008F74DF"/>
    <w:rsid w:val="0090392A"/>
    <w:rsid w:val="00903C7C"/>
    <w:rsid w:val="00907899"/>
    <w:rsid w:val="00907E1E"/>
    <w:rsid w:val="009127BA"/>
    <w:rsid w:val="0091376D"/>
    <w:rsid w:val="00916910"/>
    <w:rsid w:val="00921153"/>
    <w:rsid w:val="009227A6"/>
    <w:rsid w:val="00923C49"/>
    <w:rsid w:val="00933EC1"/>
    <w:rsid w:val="00944210"/>
    <w:rsid w:val="009530DB"/>
    <w:rsid w:val="00953676"/>
    <w:rsid w:val="009623B5"/>
    <w:rsid w:val="0096551C"/>
    <w:rsid w:val="009705EE"/>
    <w:rsid w:val="00977927"/>
    <w:rsid w:val="0098135C"/>
    <w:rsid w:val="0098156A"/>
    <w:rsid w:val="00981C2B"/>
    <w:rsid w:val="009828B9"/>
    <w:rsid w:val="00986367"/>
    <w:rsid w:val="009866EF"/>
    <w:rsid w:val="00990C87"/>
    <w:rsid w:val="00991BAC"/>
    <w:rsid w:val="0099386D"/>
    <w:rsid w:val="00993B2B"/>
    <w:rsid w:val="00996EC5"/>
    <w:rsid w:val="009A6EA0"/>
    <w:rsid w:val="009B0BEC"/>
    <w:rsid w:val="009B3C03"/>
    <w:rsid w:val="009B46C8"/>
    <w:rsid w:val="009C1335"/>
    <w:rsid w:val="009C1AB2"/>
    <w:rsid w:val="009C3C87"/>
    <w:rsid w:val="009C7251"/>
    <w:rsid w:val="009D7487"/>
    <w:rsid w:val="009D7EA7"/>
    <w:rsid w:val="009E09D9"/>
    <w:rsid w:val="009E0BB0"/>
    <w:rsid w:val="009E181A"/>
    <w:rsid w:val="009E2E91"/>
    <w:rsid w:val="009E4B25"/>
    <w:rsid w:val="009F7474"/>
    <w:rsid w:val="00A01C7B"/>
    <w:rsid w:val="00A07E99"/>
    <w:rsid w:val="00A1133F"/>
    <w:rsid w:val="00A119BE"/>
    <w:rsid w:val="00A11CF0"/>
    <w:rsid w:val="00A1305E"/>
    <w:rsid w:val="00A139F5"/>
    <w:rsid w:val="00A26FE1"/>
    <w:rsid w:val="00A32458"/>
    <w:rsid w:val="00A365F4"/>
    <w:rsid w:val="00A36A68"/>
    <w:rsid w:val="00A42229"/>
    <w:rsid w:val="00A4228F"/>
    <w:rsid w:val="00A42B70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75BD2"/>
    <w:rsid w:val="00A810F9"/>
    <w:rsid w:val="00A86ECC"/>
    <w:rsid w:val="00A86FCC"/>
    <w:rsid w:val="00A91E68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2508E"/>
    <w:rsid w:val="00B30C2B"/>
    <w:rsid w:val="00B31E5A"/>
    <w:rsid w:val="00B47416"/>
    <w:rsid w:val="00B54BCC"/>
    <w:rsid w:val="00B55112"/>
    <w:rsid w:val="00B55189"/>
    <w:rsid w:val="00B62AC7"/>
    <w:rsid w:val="00B653AB"/>
    <w:rsid w:val="00B65509"/>
    <w:rsid w:val="00B65F9E"/>
    <w:rsid w:val="00B66B19"/>
    <w:rsid w:val="00B67457"/>
    <w:rsid w:val="00B714E0"/>
    <w:rsid w:val="00B73097"/>
    <w:rsid w:val="00B76A98"/>
    <w:rsid w:val="00B7755D"/>
    <w:rsid w:val="00B8258E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7B4"/>
    <w:rsid w:val="00C04936"/>
    <w:rsid w:val="00C1142A"/>
    <w:rsid w:val="00C1695A"/>
    <w:rsid w:val="00C17C56"/>
    <w:rsid w:val="00C2101F"/>
    <w:rsid w:val="00C22105"/>
    <w:rsid w:val="00C244B6"/>
    <w:rsid w:val="00C25A0A"/>
    <w:rsid w:val="00C2775E"/>
    <w:rsid w:val="00C3032C"/>
    <w:rsid w:val="00C308CF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B33F6"/>
    <w:rsid w:val="00CC20A6"/>
    <w:rsid w:val="00CC2E63"/>
    <w:rsid w:val="00CC5832"/>
    <w:rsid w:val="00CC739E"/>
    <w:rsid w:val="00CC7C9C"/>
    <w:rsid w:val="00CD1D82"/>
    <w:rsid w:val="00CD1DE7"/>
    <w:rsid w:val="00CD5410"/>
    <w:rsid w:val="00CD58B7"/>
    <w:rsid w:val="00CE6424"/>
    <w:rsid w:val="00CF3D9C"/>
    <w:rsid w:val="00CF4099"/>
    <w:rsid w:val="00D00796"/>
    <w:rsid w:val="00D077A3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05E7"/>
    <w:rsid w:val="00D616D2"/>
    <w:rsid w:val="00D63B5F"/>
    <w:rsid w:val="00D70EF7"/>
    <w:rsid w:val="00D7141A"/>
    <w:rsid w:val="00D74B00"/>
    <w:rsid w:val="00D80A54"/>
    <w:rsid w:val="00D8141B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708"/>
    <w:rsid w:val="00DE0F55"/>
    <w:rsid w:val="00DE2ABE"/>
    <w:rsid w:val="00DE5CD1"/>
    <w:rsid w:val="00E01393"/>
    <w:rsid w:val="00E01436"/>
    <w:rsid w:val="00E025F8"/>
    <w:rsid w:val="00E045BD"/>
    <w:rsid w:val="00E047FC"/>
    <w:rsid w:val="00E073B0"/>
    <w:rsid w:val="00E07DBA"/>
    <w:rsid w:val="00E14693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3327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06801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936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EC17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522"/>
    <w:rPr>
      <w:rFonts w:ascii="Fira Sans" w:hAnsi="Fira Sans"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E14693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14693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14693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14693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14693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14693"/>
    <w:rPr>
      <w:rFonts w:ascii="Fira Sans" w:hAnsi="Fira Sans"/>
      <w:color w:val="FFFFFF" w:themeColor="background1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68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stat.gov.pl/en/metainformation/glossary/terms-used-in-official-statistics/410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87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metainformation/glossary/terms-used-in-official-statistics/410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metainformation/glossary/terms-used-in-official-statistics/3878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8_Nieruchomo&#347;ci\9_Informacje_sygnalne\Obr&#243;t_nieruchomo&#347;ciami\2022\&#347;ledzenie%20zmian\Obr&#243;t_nieruchomo&#347;ci_w_2022_roku_informacja_sygnalna_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Obr&#243;t_nieruchomo&#347;ciami\2022\Obr&#243;t_nieruchomo&#347;ci_w_2022_roku_informacja_sygnalna_wykresy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Obr&#243;t_nieruchomo&#347;ciami\2022\Obr&#243;t_nieruchomo&#347;ci_w_2022_roku_informacja_sygnalna_wykresy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chart_1!$B$3</c:f>
              <c:strCache>
                <c:ptCount val="1"/>
                <c:pt idx="0">
                  <c:v>premises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chart_1!$A$4:$A$20</c:f>
              <c:strCache>
                <c:ptCount val="17"/>
                <c:pt idx="0">
                  <c:v>Poland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chart_1!$B$4:$B$20</c:f>
              <c:numCache>
                <c:formatCode>0.0</c:formatCode>
                <c:ptCount val="17"/>
                <c:pt idx="0">
                  <c:v>47.4</c:v>
                </c:pt>
                <c:pt idx="1">
                  <c:v>63.4</c:v>
                </c:pt>
                <c:pt idx="2">
                  <c:v>42.8</c:v>
                </c:pt>
                <c:pt idx="3">
                  <c:v>34.1</c:v>
                </c:pt>
                <c:pt idx="4">
                  <c:v>44.5</c:v>
                </c:pt>
                <c:pt idx="5">
                  <c:v>42.6</c:v>
                </c:pt>
                <c:pt idx="6">
                  <c:v>45.3</c:v>
                </c:pt>
                <c:pt idx="7">
                  <c:v>52.5</c:v>
                </c:pt>
                <c:pt idx="8">
                  <c:v>46.2</c:v>
                </c:pt>
                <c:pt idx="9">
                  <c:v>29</c:v>
                </c:pt>
                <c:pt idx="10">
                  <c:v>40.700000000000003</c:v>
                </c:pt>
                <c:pt idx="11">
                  <c:v>59.5</c:v>
                </c:pt>
                <c:pt idx="12">
                  <c:v>42.6</c:v>
                </c:pt>
                <c:pt idx="13">
                  <c:v>26.6</c:v>
                </c:pt>
                <c:pt idx="14">
                  <c:v>44.6</c:v>
                </c:pt>
                <c:pt idx="15">
                  <c:v>54.6</c:v>
                </c:pt>
                <c:pt idx="16">
                  <c:v>39.9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AC-4FE7-AC7A-23C47B924B99}"/>
            </c:ext>
          </c:extLst>
        </c:ser>
        <c:ser>
          <c:idx val="1"/>
          <c:order val="1"/>
          <c:tx>
            <c:strRef>
              <c:f>chart_1!$C$3</c:f>
              <c:strCache>
                <c:ptCount val="1"/>
                <c:pt idx="0">
                  <c:v>built-up properties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chart_1!$A$4:$A$20</c:f>
              <c:strCache>
                <c:ptCount val="17"/>
                <c:pt idx="0">
                  <c:v>Poland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chart_1!$C$4:$C$20</c:f>
              <c:numCache>
                <c:formatCode>0.0</c:formatCode>
                <c:ptCount val="17"/>
                <c:pt idx="0">
                  <c:v>16.3</c:v>
                </c:pt>
                <c:pt idx="1">
                  <c:v>13.4</c:v>
                </c:pt>
                <c:pt idx="2">
                  <c:v>18.2</c:v>
                </c:pt>
                <c:pt idx="3">
                  <c:v>25.8</c:v>
                </c:pt>
                <c:pt idx="4">
                  <c:v>17.5</c:v>
                </c:pt>
                <c:pt idx="5">
                  <c:v>17</c:v>
                </c:pt>
                <c:pt idx="6">
                  <c:v>13.7</c:v>
                </c:pt>
                <c:pt idx="7">
                  <c:v>18.7</c:v>
                </c:pt>
                <c:pt idx="8">
                  <c:v>18.7</c:v>
                </c:pt>
                <c:pt idx="9">
                  <c:v>16.2</c:v>
                </c:pt>
                <c:pt idx="10">
                  <c:v>15.5</c:v>
                </c:pt>
                <c:pt idx="11">
                  <c:v>10.8</c:v>
                </c:pt>
                <c:pt idx="12">
                  <c:v>21</c:v>
                </c:pt>
                <c:pt idx="13">
                  <c:v>19.100000000000001</c:v>
                </c:pt>
                <c:pt idx="14">
                  <c:v>13.2</c:v>
                </c:pt>
                <c:pt idx="15">
                  <c:v>14</c:v>
                </c:pt>
                <c:pt idx="16">
                  <c:v>16.100000000000001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AC-4FE7-AC7A-23C47B924B99}"/>
            </c:ext>
          </c:extLst>
        </c:ser>
        <c:ser>
          <c:idx val="2"/>
          <c:order val="2"/>
          <c:tx>
            <c:strRef>
              <c:f>chart_1!$D$3</c:f>
              <c:strCache>
                <c:ptCount val="1"/>
                <c:pt idx="0">
                  <c:v>land properties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chart_1!$A$4:$A$20</c:f>
              <c:strCache>
                <c:ptCount val="17"/>
                <c:pt idx="0">
                  <c:v>Poland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chart_1!$D$4:$D$20</c:f>
              <c:numCache>
                <c:formatCode>0.0</c:formatCode>
                <c:ptCount val="17"/>
                <c:pt idx="0">
                  <c:v>36.299999999999997</c:v>
                </c:pt>
                <c:pt idx="1">
                  <c:v>23.2</c:v>
                </c:pt>
                <c:pt idx="2">
                  <c:v>39</c:v>
                </c:pt>
                <c:pt idx="3">
                  <c:v>40.1</c:v>
                </c:pt>
                <c:pt idx="4">
                  <c:v>38</c:v>
                </c:pt>
                <c:pt idx="5">
                  <c:v>40.4</c:v>
                </c:pt>
                <c:pt idx="6">
                  <c:v>41</c:v>
                </c:pt>
                <c:pt idx="7">
                  <c:v>28.8</c:v>
                </c:pt>
                <c:pt idx="8">
                  <c:v>35.1</c:v>
                </c:pt>
                <c:pt idx="9">
                  <c:v>54.8</c:v>
                </c:pt>
                <c:pt idx="10">
                  <c:v>43.8</c:v>
                </c:pt>
                <c:pt idx="11">
                  <c:v>29.7</c:v>
                </c:pt>
                <c:pt idx="12">
                  <c:v>36.4</c:v>
                </c:pt>
                <c:pt idx="13">
                  <c:v>54.3</c:v>
                </c:pt>
                <c:pt idx="14">
                  <c:v>42.2</c:v>
                </c:pt>
                <c:pt idx="15">
                  <c:v>31.4</c:v>
                </c:pt>
                <c:pt idx="16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AC-4FE7-AC7A-23C47B924B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052976"/>
        <c:axId val="-212063312"/>
      </c:barChart>
      <c:catAx>
        <c:axId val="-21205297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2063312"/>
        <c:crosses val="autoZero"/>
        <c:auto val="1"/>
        <c:lblAlgn val="ctr"/>
        <c:lblOffset val="100"/>
        <c:noMultiLvlLbl val="0"/>
      </c:catAx>
      <c:valAx>
        <c:axId val="-21206331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5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pl-PL" sz="9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247944583216888E-3"/>
          <c:y val="7.554313775294216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0"/>
          <c:order val="0"/>
          <c:tx>
            <c:strRef>
              <c:f>chart_2!$A$11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chart_2!$B$10:$M$10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chart_2!$B$11:$M$11</c:f>
              <c:numCache>
                <c:formatCode>General</c:formatCode>
                <c:ptCount val="12"/>
                <c:pt idx="0">
                  <c:v>9.9999999999994302E-2</c:v>
                </c:pt>
                <c:pt idx="1">
                  <c:v>-3.5</c:v>
                </c:pt>
                <c:pt idx="2">
                  <c:v>-4.3</c:v>
                </c:pt>
                <c:pt idx="3">
                  <c:v>1</c:v>
                </c:pt>
                <c:pt idx="4">
                  <c:v>1.5</c:v>
                </c:pt>
                <c:pt idx="5">
                  <c:v>1.8</c:v>
                </c:pt>
                <c:pt idx="6">
                  <c:v>3.8</c:v>
                </c:pt>
                <c:pt idx="7">
                  <c:v>6.5</c:v>
                </c:pt>
                <c:pt idx="8">
                  <c:v>8.6999999999999993</c:v>
                </c:pt>
                <c:pt idx="9" formatCode="0.0">
                  <c:v>10.5</c:v>
                </c:pt>
                <c:pt idx="10" formatCode="0.0">
                  <c:v>9.1999999999999993</c:v>
                </c:pt>
                <c:pt idx="11" formatCode="0.0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DAE-4772-8621-4E2AA1504245}"/>
            </c:ext>
          </c:extLst>
        </c:ser>
        <c:ser>
          <c:idx val="1"/>
          <c:order val="1"/>
          <c:tx>
            <c:strRef>
              <c:f>chart_2!$A$12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chart_2!$B$10:$M$10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chart_2!$B$12:$M$12</c:f>
              <c:numCache>
                <c:formatCode>General</c:formatCode>
                <c:ptCount val="12"/>
                <c:pt idx="0">
                  <c:v>1.0999999999999901</c:v>
                </c:pt>
                <c:pt idx="1">
                  <c:v>-0.5</c:v>
                </c:pt>
                <c:pt idx="2">
                  <c:v>-4.9000000000000101</c:v>
                </c:pt>
                <c:pt idx="3">
                  <c:v>0.5</c:v>
                </c:pt>
                <c:pt idx="4">
                  <c:v>2.5999999999999899</c:v>
                </c:pt>
                <c:pt idx="5">
                  <c:v>1.0999999999999901</c:v>
                </c:pt>
                <c:pt idx="6">
                  <c:v>3.2</c:v>
                </c:pt>
                <c:pt idx="7">
                  <c:v>5.5</c:v>
                </c:pt>
                <c:pt idx="8">
                  <c:v>6.7</c:v>
                </c:pt>
                <c:pt idx="9">
                  <c:v>6.2</c:v>
                </c:pt>
                <c:pt idx="10">
                  <c:v>9.0999999999999908</c:v>
                </c:pt>
                <c:pt idx="1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DAE-4772-8621-4E2AA1504245}"/>
            </c:ext>
          </c:extLst>
        </c:ser>
        <c:ser>
          <c:idx val="2"/>
          <c:order val="2"/>
          <c:tx>
            <c:strRef>
              <c:f>chart_2!$A$13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chart_2!$B$10:$M$10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chart_2!$B$13:$M$13</c:f>
              <c:numCache>
                <c:formatCode>General</c:formatCode>
                <c:ptCount val="12"/>
                <c:pt idx="0">
                  <c:v>-0.40000000000000602</c:v>
                </c:pt>
                <c:pt idx="1">
                  <c:v>-5.0999999999999899</c:v>
                </c:pt>
                <c:pt idx="2">
                  <c:v>-3.7</c:v>
                </c:pt>
                <c:pt idx="3">
                  <c:v>1.3</c:v>
                </c:pt>
                <c:pt idx="4">
                  <c:v>0.70000000000000295</c:v>
                </c:pt>
                <c:pt idx="5">
                  <c:v>2.5999999999999899</c:v>
                </c:pt>
                <c:pt idx="6">
                  <c:v>4.5</c:v>
                </c:pt>
                <c:pt idx="7">
                  <c:v>7.5999999999999899</c:v>
                </c:pt>
                <c:pt idx="8">
                  <c:v>10.4</c:v>
                </c:pt>
                <c:pt idx="9">
                  <c:v>13.8</c:v>
                </c:pt>
                <c:pt idx="10">
                  <c:v>9.3000000000000007</c:v>
                </c:pt>
                <c:pt idx="1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DAE-4772-8621-4E2AA1504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2063856"/>
        <c:axId val="-212054608"/>
      </c:lineChart>
      <c:catAx>
        <c:axId val="-21206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54608"/>
        <c:crosses val="autoZero"/>
        <c:auto val="0"/>
        <c:lblAlgn val="ctr"/>
        <c:lblOffset val="100"/>
        <c:noMultiLvlLbl val="0"/>
      </c:catAx>
      <c:valAx>
        <c:axId val="-212054608"/>
        <c:scaling>
          <c:orientation val="minMax"/>
          <c:max val="14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6385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64677755017176"/>
          <c:y val="0.92390551181102365"/>
          <c:w val="0.66706425692397675"/>
          <c:h val="7.17934129201591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pl-PL" sz="9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2.1508839844257104E-3"/>
          <c:y val="7.039640431212192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8.4370042785747668E-2"/>
          <c:w val="0.95051856815770364"/>
          <c:h val="0.75475899759105469"/>
        </c:manualLayout>
      </c:layout>
      <c:lineChart>
        <c:grouping val="standard"/>
        <c:varyColors val="0"/>
        <c:ser>
          <c:idx val="0"/>
          <c:order val="0"/>
          <c:tx>
            <c:strRef>
              <c:f>chart_3!$A$11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chart_3!$B$10:$N$10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chart_3!$B$11:$N$11</c:f>
              <c:numCache>
                <c:formatCode>0.0</c:formatCode>
                <c:ptCount val="13"/>
                <c:pt idx="0">
                  <c:v>5.6</c:v>
                </c:pt>
                <c:pt idx="1">
                  <c:v>5.7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</c:v>
                </c:pt>
                <c:pt idx="7">
                  <c:v>5.8</c:v>
                </c:pt>
                <c:pt idx="8">
                  <c:v>12.7</c:v>
                </c:pt>
                <c:pt idx="9">
                  <c:v>22.5</c:v>
                </c:pt>
                <c:pt idx="10">
                  <c:v>35.4</c:v>
                </c:pt>
                <c:pt idx="11">
                  <c:v>47.8</c:v>
                </c:pt>
                <c:pt idx="12">
                  <c:v>65.2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404-47F3-AC43-AB6170CF483B}"/>
            </c:ext>
          </c:extLst>
        </c:ser>
        <c:ser>
          <c:idx val="1"/>
          <c:order val="1"/>
          <c:tx>
            <c:strRef>
              <c:f>chart_3!$A$12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chart_3!$B$10:$N$10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chart_3!$B$12:$N$12</c:f>
              <c:numCache>
                <c:formatCode>0.0</c:formatCode>
                <c:ptCount val="13"/>
                <c:pt idx="0">
                  <c:v>1.3</c:v>
                </c:pt>
                <c:pt idx="1">
                  <c:v>2.4</c:v>
                </c:pt>
                <c:pt idx="2">
                  <c:v>1.9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1.1000000000000001</c:v>
                </c:pt>
                <c:pt idx="7">
                  <c:v>4.3</c:v>
                </c:pt>
                <c:pt idx="8">
                  <c:v>10</c:v>
                </c:pt>
                <c:pt idx="9">
                  <c:v>17.399999999999999</c:v>
                </c:pt>
                <c:pt idx="10">
                  <c:v>24.7</c:v>
                </c:pt>
                <c:pt idx="11">
                  <c:v>36</c:v>
                </c:pt>
                <c:pt idx="12">
                  <c:v>52.1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404-47F3-AC43-AB6170CF483B}"/>
            </c:ext>
          </c:extLst>
        </c:ser>
        <c:ser>
          <c:idx val="2"/>
          <c:order val="2"/>
          <c:tx>
            <c:strRef>
              <c:f>chart_3!$A$13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chart_3!$B$10:$N$10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chart_3!$B$13:$N$13</c:f>
              <c:numCache>
                <c:formatCode>0.0</c:formatCode>
                <c:ptCount val="13"/>
                <c:pt idx="0">
                  <c:v>7.7</c:v>
                </c:pt>
                <c:pt idx="1">
                  <c:v>7.3</c:v>
                </c:pt>
                <c:pt idx="2">
                  <c:v>1.9</c:v>
                </c:pt>
                <c:pt idx="3">
                  <c:v>-1.9</c:v>
                </c:pt>
                <c:pt idx="4">
                  <c:v>-0.7</c:v>
                </c:pt>
                <c:pt idx="5">
                  <c:v>0</c:v>
                </c:pt>
                <c:pt idx="6">
                  <c:v>2.5</c:v>
                </c:pt>
                <c:pt idx="7">
                  <c:v>7.1</c:v>
                </c:pt>
                <c:pt idx="8">
                  <c:v>15.2</c:v>
                </c:pt>
                <c:pt idx="9">
                  <c:v>27.2</c:v>
                </c:pt>
                <c:pt idx="10">
                  <c:v>44.7</c:v>
                </c:pt>
                <c:pt idx="11">
                  <c:v>58.1</c:v>
                </c:pt>
                <c:pt idx="12">
                  <c:v>76.7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404-47F3-AC43-AB6170CF4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2057872"/>
        <c:axId val="-212062224"/>
      </c:lineChart>
      <c:catAx>
        <c:axId val="-21205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62224"/>
        <c:crosses val="autoZero"/>
        <c:auto val="0"/>
        <c:lblAlgn val="ctr"/>
        <c:lblOffset val="100"/>
        <c:noMultiLvlLbl val="0"/>
      </c:catAx>
      <c:valAx>
        <c:axId val="-212062224"/>
        <c:scaling>
          <c:orientation val="minMax"/>
          <c:max val="80"/>
          <c:min val="-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05787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01020098408114"/>
          <c:y val="0.91977695921057079"/>
          <c:w val="0.67797940281637348"/>
          <c:h val="7.16393498023047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Real_estate sales_in_2022_news_release_v2.docx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0ED6-3D70-429F-B0F7-38CD84E9B60C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C541B241-4AB2-4DF2-92FF-44322A254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Kaczor Małgorzata</cp:lastModifiedBy>
  <cp:revision>3</cp:revision>
  <cp:lastPrinted>2023-07-31T11:25:00Z</cp:lastPrinted>
  <dcterms:created xsi:type="dcterms:W3CDTF">2023-07-31T11:25:00Z</dcterms:created>
  <dcterms:modified xsi:type="dcterms:W3CDTF">2023-07-31T11:26:00Z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GUS-HU05.6362.3.2023.2</vt:lpwstr>
  </property>
  <property fmtid="{D5CDD505-2E9C-101B-9397-08002B2CF9AE}" pid="4" name="UNPPisma">
    <vt:lpwstr>2023-169567</vt:lpwstr>
  </property>
  <property fmtid="{D5CDD505-2E9C-101B-9397-08002B2CF9AE}" pid="5" name="ZnakSprawy">
    <vt:lpwstr>GUS-HU05.6362.3.2023</vt:lpwstr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"Obrót nieruchomościami w 2022 r." - Rewizja danych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2023-07-31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