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olors2.xml" ContentType="application/vnd.ms-office.chartcolorstyle+xml"/>
  <Override PartName="/word/charts/style2.xml" ContentType="application/vnd.ms-office.chartstyle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0433BCB0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0A7195">
        <w:rPr>
          <w:lang w:val="en-GB"/>
        </w:rPr>
        <w:t>2</w:t>
      </w:r>
    </w:p>
    <w:p w14:paraId="27F3C078" w14:textId="5ED154D6" w:rsidR="005916D7" w:rsidRPr="00BD34DE" w:rsidRDefault="007D728A" w:rsidP="005A5483">
      <w:pPr>
        <w:pStyle w:val="Lead"/>
        <w:ind w:left="3686" w:hanging="146"/>
        <w:rPr>
          <w:color w:val="001D77"/>
          <w:lang w:val="en-GB"/>
        </w:rPr>
      </w:pPr>
      <w:r w:rsidRPr="00BD34DE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2AB1265A">
                <wp:simplePos x="0" y="0"/>
                <wp:positionH relativeFrom="margin">
                  <wp:posOffset>25400</wp:posOffset>
                </wp:positionH>
                <wp:positionV relativeFrom="paragraph">
                  <wp:posOffset>29210</wp:posOffset>
                </wp:positionV>
                <wp:extent cx="2329815" cy="1312545"/>
                <wp:effectExtent l="0" t="0" r="0" b="1905"/>
                <wp:wrapSquare wrapText="bothSides"/>
                <wp:docPr id="6" name="Pole tekstowe 2" descr="The balance in foreign trade turnover in 2023 according to final data amounted to PLN minus 93.2 billio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13125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58B04EC8" w:rsidR="00B8714D" w:rsidRPr="007D728A" w:rsidRDefault="00B8714D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93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2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bn</w:t>
                            </w:r>
                          </w:p>
                          <w:p w14:paraId="29BD9083" w14:textId="77777777" w:rsidR="00B8714D" w:rsidRPr="008C09C1" w:rsidRDefault="00B8714D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6D417B72" id="Pole tekstowe 2" o:spid="_x0000_s1026" alt="The balance in foreign trade turnover in 2023 according to final data amounted to PLN minus 93.2 billion. " style="position:absolute;left:0;text-align:left;margin-left:2pt;margin-top:2.3pt;width:183.45pt;height:103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" fillcolor="#001d77" stroked="f">
                <v:stroke joinstyle="miter"/>
                <v:textbox>
                  <w:txbxContent>
                    <w:p w14:paraId="2D8A326F" w14:textId="58B04EC8" w:rsidR="00B8714D" w:rsidRPr="007D728A" w:rsidRDefault="00B8714D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93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2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B8714D" w:rsidRPr="008C09C1" w:rsidRDefault="00B8714D" w:rsidP="007D728A">
                      <w:pPr>
                        <w:pStyle w:val="Opiswskanika"/>
                        <w:ind w:firstLine="708"/>
                      </w:pPr>
                      <w:proofErr w:type="spellStart"/>
                      <w:r w:rsidRPr="008C09C1">
                        <w:t>balance</w:t>
                      </w:r>
                      <w:proofErr w:type="spellEnd"/>
                      <w:r w:rsidRPr="008C09C1">
                        <w:t xml:space="preserve">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BD34DE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B8714D" w:rsidRPr="005C1756" w:rsidRDefault="00B8714D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B8714D" w:rsidRPr="005C1756" w:rsidRDefault="00B8714D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BD34DE">
        <w:rPr>
          <w:lang w:val="en-GB"/>
        </w:rPr>
        <w:t>Foreign trade turnover</w:t>
      </w:r>
      <w:r w:rsidR="00E046FE" w:rsidRPr="00BD34DE">
        <w:rPr>
          <w:color w:val="FFFFFF" w:themeColor="background1"/>
          <w:lang w:val="en-GB"/>
        </w:rPr>
        <w:t xml:space="preserve"> </w:t>
      </w:r>
      <w:r w:rsidR="00670E27" w:rsidRPr="00BD34DE">
        <w:rPr>
          <w:lang w:val="en-GB"/>
        </w:rPr>
        <w:t xml:space="preserve">in </w:t>
      </w:r>
      <w:r w:rsidR="00BD34DE" w:rsidRPr="00BD34DE">
        <w:rPr>
          <w:lang w:val="en-GB"/>
        </w:rPr>
        <w:t>2022</w:t>
      </w:r>
      <w:r w:rsidR="00AD1C11" w:rsidRPr="00BD34DE">
        <w:rPr>
          <w:lang w:val="en-GB"/>
        </w:rPr>
        <w:t xml:space="preserve"> </w:t>
      </w:r>
      <w:r w:rsidR="00DC0A4B" w:rsidRPr="00BD34DE">
        <w:rPr>
          <w:lang w:val="en-GB"/>
        </w:rPr>
        <w:t xml:space="preserve">according to final data </w:t>
      </w:r>
      <w:r w:rsidR="00277011" w:rsidRPr="00BD34DE">
        <w:rPr>
          <w:lang w:val="en-GB"/>
        </w:rPr>
        <w:t xml:space="preserve">in </w:t>
      </w:r>
      <w:r w:rsidR="00E046FE" w:rsidRPr="00BD34DE">
        <w:rPr>
          <w:lang w:val="en-GB"/>
        </w:rPr>
        <w:t>exports at current prices amounted to PLN</w:t>
      </w:r>
      <w:r w:rsidR="009A5C86" w:rsidRPr="00BD34DE">
        <w:rPr>
          <w:lang w:val="en-GB"/>
        </w:rPr>
        <w:t xml:space="preserve"> </w:t>
      </w:r>
      <w:r w:rsidR="00153F0B" w:rsidRPr="00BD34DE">
        <w:rPr>
          <w:lang w:val="en-GB"/>
        </w:rPr>
        <w:t>1 </w:t>
      </w:r>
      <w:r w:rsidR="00004AF4">
        <w:rPr>
          <w:lang w:val="en-GB"/>
        </w:rPr>
        <w:t>618</w:t>
      </w:r>
      <w:r w:rsidR="00153F0B" w:rsidRPr="00BD34DE">
        <w:rPr>
          <w:lang w:val="en-GB"/>
        </w:rPr>
        <w:t>.</w:t>
      </w:r>
      <w:r w:rsidR="00BD34DE" w:rsidRPr="00BD34DE">
        <w:rPr>
          <w:lang w:val="en-GB"/>
        </w:rPr>
        <w:t>6</w:t>
      </w:r>
      <w:r w:rsidR="00F87227" w:rsidRPr="00BD34DE">
        <w:rPr>
          <w:lang w:val="en-GB"/>
        </w:rPr>
        <w:t xml:space="preserve"> </w:t>
      </w:r>
      <w:r w:rsidR="00070820" w:rsidRPr="00BD34DE">
        <w:rPr>
          <w:lang w:val="en-GB"/>
        </w:rPr>
        <w:t>bn</w:t>
      </w:r>
      <w:r w:rsidR="00E046FE" w:rsidRPr="00BD34DE">
        <w:rPr>
          <w:lang w:val="en-GB"/>
        </w:rPr>
        <w:t xml:space="preserve">, while </w:t>
      </w:r>
      <w:r w:rsidR="0012796B" w:rsidRPr="00BD34DE">
        <w:rPr>
          <w:lang w:val="en-GB"/>
        </w:rPr>
        <w:t xml:space="preserve">in </w:t>
      </w:r>
      <w:r w:rsidR="00E046FE" w:rsidRPr="00BD34DE">
        <w:rPr>
          <w:lang w:val="en-GB"/>
        </w:rPr>
        <w:t xml:space="preserve">imports </w:t>
      </w:r>
      <w:r w:rsidR="0012796B" w:rsidRPr="00BD34DE">
        <w:rPr>
          <w:lang w:val="en-GB"/>
        </w:rPr>
        <w:t>-</w:t>
      </w:r>
      <w:r w:rsidR="00E046FE" w:rsidRPr="00BD34DE">
        <w:rPr>
          <w:lang w:val="en-GB"/>
        </w:rPr>
        <w:t xml:space="preserve"> PLN </w:t>
      </w:r>
      <w:r w:rsidR="00725F1F" w:rsidRPr="00BD34DE">
        <w:rPr>
          <w:lang w:val="en-GB"/>
        </w:rPr>
        <w:t xml:space="preserve">1 </w:t>
      </w:r>
      <w:r w:rsidR="00BD34DE" w:rsidRPr="00BD34DE">
        <w:rPr>
          <w:lang w:val="en-GB"/>
        </w:rPr>
        <w:t>711</w:t>
      </w:r>
      <w:r w:rsidR="00725F1F" w:rsidRPr="00BD34DE">
        <w:rPr>
          <w:lang w:val="en-GB"/>
        </w:rPr>
        <w:t>.</w:t>
      </w:r>
      <w:r w:rsidR="00BD34DE" w:rsidRPr="00BD34DE">
        <w:rPr>
          <w:lang w:val="en-GB"/>
        </w:rPr>
        <w:t>8</w:t>
      </w:r>
      <w:r w:rsidR="00AB0960" w:rsidRPr="00BD34DE">
        <w:rPr>
          <w:lang w:val="en-GB"/>
        </w:rPr>
        <w:t xml:space="preserve"> </w:t>
      </w:r>
      <w:r w:rsidR="00070820" w:rsidRPr="00BD34DE">
        <w:rPr>
          <w:lang w:val="en-GB"/>
        </w:rPr>
        <w:t>bn</w:t>
      </w:r>
      <w:r w:rsidR="00690129" w:rsidRPr="00BD34DE">
        <w:rPr>
          <w:lang w:val="en-GB"/>
        </w:rPr>
        <w:t xml:space="preserve">. </w:t>
      </w:r>
      <w:r w:rsidR="00E046FE" w:rsidRPr="00BD34DE">
        <w:rPr>
          <w:lang w:val="en-GB"/>
        </w:rPr>
        <w:t xml:space="preserve">The </w:t>
      </w:r>
      <w:r w:rsidR="00A50A24" w:rsidRPr="00BD34DE">
        <w:rPr>
          <w:lang w:val="en-GB"/>
        </w:rPr>
        <w:t>negative</w:t>
      </w:r>
      <w:r w:rsidR="00E046FE" w:rsidRPr="00BD34DE">
        <w:rPr>
          <w:lang w:val="en-GB"/>
        </w:rPr>
        <w:t xml:space="preserve"> balance reached the level of PLN</w:t>
      </w:r>
      <w:r w:rsidR="00690129" w:rsidRPr="00BD34DE">
        <w:rPr>
          <w:lang w:val="en-GB"/>
        </w:rPr>
        <w:t xml:space="preserve"> </w:t>
      </w:r>
      <w:r w:rsidR="00BD34DE" w:rsidRPr="00BD34DE">
        <w:rPr>
          <w:lang w:val="en-GB"/>
        </w:rPr>
        <w:t>93</w:t>
      </w:r>
      <w:r w:rsidR="00153F0B" w:rsidRPr="00BD34DE">
        <w:rPr>
          <w:lang w:val="en-GB"/>
        </w:rPr>
        <w:t>.</w:t>
      </w:r>
      <w:r w:rsidR="00BD34DE" w:rsidRPr="00BD34DE">
        <w:rPr>
          <w:lang w:val="en-GB"/>
        </w:rPr>
        <w:t>2</w:t>
      </w:r>
      <w:r w:rsidR="00880CA5" w:rsidRPr="00BD34DE">
        <w:rPr>
          <w:lang w:val="en-GB"/>
        </w:rPr>
        <w:t xml:space="preserve"> </w:t>
      </w:r>
      <w:r w:rsidR="00070820" w:rsidRPr="00BD34DE">
        <w:rPr>
          <w:lang w:val="en-GB"/>
        </w:rPr>
        <w:t>bn</w:t>
      </w:r>
      <w:r w:rsidR="00690129" w:rsidRPr="00BD34DE">
        <w:rPr>
          <w:lang w:val="en-GB"/>
        </w:rPr>
        <w:t xml:space="preserve">, </w:t>
      </w:r>
      <w:r w:rsidR="00E046FE" w:rsidRPr="00BD34DE">
        <w:rPr>
          <w:lang w:val="en-GB"/>
        </w:rPr>
        <w:t>while</w:t>
      </w:r>
      <w:r w:rsidR="009345D6" w:rsidRPr="00BD34DE">
        <w:rPr>
          <w:lang w:val="en-GB"/>
        </w:rPr>
        <w:t xml:space="preserve"> in</w:t>
      </w:r>
      <w:r w:rsidR="00E046FE" w:rsidRPr="00BD34DE">
        <w:rPr>
          <w:lang w:val="en-GB"/>
        </w:rPr>
        <w:t xml:space="preserve"> </w:t>
      </w:r>
      <w:r w:rsidR="004649BA" w:rsidRPr="00BD34DE">
        <w:rPr>
          <w:lang w:val="en-GB"/>
        </w:rPr>
        <w:t>the same period</w:t>
      </w:r>
      <w:r w:rsidR="005B53FF" w:rsidRPr="00BD34DE">
        <w:rPr>
          <w:lang w:val="en-GB"/>
        </w:rPr>
        <w:t xml:space="preserve"> of </w:t>
      </w:r>
      <w:r w:rsidR="00BD34DE" w:rsidRPr="00BD34DE">
        <w:rPr>
          <w:lang w:val="en-GB"/>
        </w:rPr>
        <w:t>2021</w:t>
      </w:r>
      <w:r w:rsidR="004649BA" w:rsidRPr="00BD34DE">
        <w:rPr>
          <w:lang w:val="en-GB"/>
        </w:rPr>
        <w:t xml:space="preserve"> year</w:t>
      </w:r>
      <w:r w:rsidR="006E3560" w:rsidRPr="00BD34DE">
        <w:rPr>
          <w:lang w:val="en-GB"/>
        </w:rPr>
        <w:t xml:space="preserve"> was </w:t>
      </w:r>
      <w:r w:rsidR="00BD34DE" w:rsidRPr="00BD34DE">
        <w:rPr>
          <w:lang w:val="en-GB"/>
        </w:rPr>
        <w:t>negative</w:t>
      </w:r>
      <w:r w:rsidR="006E3560" w:rsidRPr="00BD34DE">
        <w:rPr>
          <w:lang w:val="en-GB"/>
        </w:rPr>
        <w:t xml:space="preserve"> and</w:t>
      </w:r>
      <w:r w:rsidR="004649BA" w:rsidRPr="00BD34DE">
        <w:rPr>
          <w:lang w:val="en-GB"/>
        </w:rPr>
        <w:t xml:space="preserve"> amounted to</w:t>
      </w:r>
      <w:r w:rsidR="00AD1CDE" w:rsidRPr="00BD34DE">
        <w:rPr>
          <w:lang w:val="en-GB"/>
        </w:rPr>
        <w:t xml:space="preserve"> </w:t>
      </w:r>
      <w:r w:rsidR="00E046FE" w:rsidRPr="00BD34DE">
        <w:rPr>
          <w:lang w:val="en-GB"/>
        </w:rPr>
        <w:t xml:space="preserve">PLN </w:t>
      </w:r>
      <w:r w:rsidR="00725F1F" w:rsidRPr="00BD34DE">
        <w:rPr>
          <w:lang w:val="en-GB"/>
        </w:rPr>
        <w:t>7</w:t>
      </w:r>
      <w:r w:rsidR="005A5483" w:rsidRPr="00BD34DE">
        <w:rPr>
          <w:lang w:val="en-GB"/>
        </w:rPr>
        <w:t>.</w:t>
      </w:r>
      <w:r w:rsidR="00BD34DE" w:rsidRPr="00BD34DE">
        <w:rPr>
          <w:lang w:val="en-GB"/>
        </w:rPr>
        <w:t>0</w:t>
      </w:r>
      <w:r w:rsidR="00E23015" w:rsidRPr="00BD34DE">
        <w:rPr>
          <w:lang w:val="en-GB"/>
        </w:rPr>
        <w:t xml:space="preserve"> </w:t>
      </w:r>
      <w:r w:rsidR="00070820" w:rsidRPr="00BD34DE">
        <w:rPr>
          <w:lang w:val="en-GB"/>
        </w:rPr>
        <w:t>bn</w:t>
      </w:r>
      <w:r w:rsidR="00C45082" w:rsidRPr="00BD34DE">
        <w:rPr>
          <w:lang w:val="en-GB"/>
        </w:rPr>
        <w:t>.</w:t>
      </w:r>
      <w:r w:rsidR="004B64A7" w:rsidRPr="00BD34DE">
        <w:rPr>
          <w:lang w:val="en-GB"/>
        </w:rPr>
        <w:t xml:space="preserve"> </w:t>
      </w:r>
      <w:r w:rsidR="00F678FE" w:rsidRPr="00BD34DE">
        <w:rPr>
          <w:lang w:val="en-GB"/>
        </w:rPr>
        <w:t>I</w:t>
      </w:r>
      <w:r w:rsidR="00E046FE" w:rsidRPr="00BD34DE">
        <w:rPr>
          <w:lang w:val="en-GB"/>
        </w:rPr>
        <w:t>n comparison to</w:t>
      </w:r>
      <w:r w:rsidR="00DD1BA4" w:rsidRPr="00BD34DE">
        <w:rPr>
          <w:lang w:val="en-GB"/>
        </w:rPr>
        <w:t xml:space="preserve"> the corresponding period of </w:t>
      </w:r>
      <w:r w:rsidR="00BD34DE" w:rsidRPr="00BD34DE">
        <w:rPr>
          <w:lang w:val="en-GB"/>
        </w:rPr>
        <w:t>2021</w:t>
      </w:r>
      <w:r w:rsidR="00DC5C7C" w:rsidRPr="00BD34DE">
        <w:rPr>
          <w:lang w:val="en-GB"/>
        </w:rPr>
        <w:t xml:space="preserve"> </w:t>
      </w:r>
      <w:r w:rsidR="00E046FE" w:rsidRPr="00BD34DE">
        <w:rPr>
          <w:lang w:val="en-GB"/>
        </w:rPr>
        <w:t>exports</w:t>
      </w:r>
      <w:r w:rsidR="005313E7" w:rsidRPr="00BD34DE">
        <w:rPr>
          <w:lang w:val="en-GB"/>
        </w:rPr>
        <w:t xml:space="preserve"> </w:t>
      </w:r>
      <w:r w:rsidR="00542848" w:rsidRPr="00BD34DE">
        <w:rPr>
          <w:lang w:val="en-GB"/>
        </w:rPr>
        <w:t xml:space="preserve">increased by </w:t>
      </w:r>
      <w:r w:rsidR="00506215" w:rsidRPr="00BD34DE">
        <w:rPr>
          <w:lang w:val="en-GB"/>
        </w:rPr>
        <w:t>2</w:t>
      </w:r>
      <w:r w:rsidR="00725F1F" w:rsidRPr="00BD34DE">
        <w:rPr>
          <w:lang w:val="en-GB"/>
        </w:rPr>
        <w:t>3</w:t>
      </w:r>
      <w:r w:rsidR="008E184F" w:rsidRPr="00BD34DE">
        <w:rPr>
          <w:lang w:val="en-GB"/>
        </w:rPr>
        <w:t>.</w:t>
      </w:r>
      <w:r w:rsidR="00BD34DE" w:rsidRPr="00BD34DE">
        <w:rPr>
          <w:lang w:val="en-GB"/>
        </w:rPr>
        <w:t>0</w:t>
      </w:r>
      <w:r w:rsidR="00880CA5" w:rsidRPr="00BD34DE">
        <w:rPr>
          <w:lang w:val="en-GB"/>
        </w:rPr>
        <w:t>%</w:t>
      </w:r>
      <w:r w:rsidR="00FB5AAC" w:rsidRPr="00BD34DE">
        <w:rPr>
          <w:lang w:val="en-GB"/>
        </w:rPr>
        <w:t>,</w:t>
      </w:r>
      <w:r w:rsidR="00871AF8" w:rsidRPr="00BD34DE">
        <w:rPr>
          <w:lang w:val="en-GB"/>
        </w:rPr>
        <w:t xml:space="preserve"> while </w:t>
      </w:r>
      <w:r w:rsidR="005313E7" w:rsidRPr="00BD34DE">
        <w:rPr>
          <w:lang w:val="en-GB"/>
        </w:rPr>
        <w:t>im</w:t>
      </w:r>
      <w:r w:rsidR="004B64A7" w:rsidRPr="00BD34DE">
        <w:rPr>
          <w:lang w:val="en-GB"/>
        </w:rPr>
        <w:t>port</w:t>
      </w:r>
      <w:r w:rsidR="00E046FE" w:rsidRPr="00BD34DE">
        <w:rPr>
          <w:lang w:val="en-GB"/>
        </w:rPr>
        <w:t>s</w:t>
      </w:r>
      <w:r w:rsidR="009D19FF" w:rsidRPr="00BD34DE">
        <w:rPr>
          <w:lang w:val="en-GB"/>
        </w:rPr>
        <w:t xml:space="preserve"> </w:t>
      </w:r>
      <w:r w:rsidR="00E046FE" w:rsidRPr="00BD34DE">
        <w:rPr>
          <w:lang w:val="en-GB"/>
        </w:rPr>
        <w:t>by</w:t>
      </w:r>
      <w:r w:rsidRPr="00BD34DE">
        <w:rPr>
          <w:lang w:val="en-GB"/>
        </w:rPr>
        <w:t xml:space="preserve"> </w:t>
      </w:r>
      <w:r w:rsidR="00BD34DE" w:rsidRPr="00BD34DE">
        <w:rPr>
          <w:lang w:val="en-GB"/>
        </w:rPr>
        <w:t>29</w:t>
      </w:r>
      <w:r w:rsidR="00843261" w:rsidRPr="00BD34DE">
        <w:rPr>
          <w:lang w:val="en-GB"/>
        </w:rPr>
        <w:t>.</w:t>
      </w:r>
      <w:r w:rsidR="00BD34DE" w:rsidRPr="00BD34DE">
        <w:rPr>
          <w:lang w:val="en-GB"/>
        </w:rPr>
        <w:t>4</w:t>
      </w:r>
      <w:r w:rsidR="004B64A7" w:rsidRPr="00BD34DE">
        <w:rPr>
          <w:lang w:val="en-GB"/>
        </w:rPr>
        <w:t>%</w:t>
      </w:r>
      <w:r w:rsidR="005313E7" w:rsidRPr="00BD34DE">
        <w:rPr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B8714D" w:rsidRPr="00070820" w:rsidRDefault="00B8714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B8714D" w:rsidRPr="00070820" w:rsidRDefault="00B8714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1CA40131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725F1F">
        <w:rPr>
          <w:rFonts w:eastAsia="Times New Roman" w:cs="Times New Roman"/>
          <w:szCs w:val="19"/>
          <w:lang w:val="en-GB" w:eastAsia="pl-PL"/>
        </w:rPr>
        <w:t>3</w:t>
      </w:r>
      <w:r w:rsidR="00D66E31">
        <w:rPr>
          <w:rFonts w:eastAsia="Times New Roman" w:cs="Times New Roman"/>
          <w:szCs w:val="19"/>
          <w:lang w:val="en-GB" w:eastAsia="pl-PL"/>
        </w:rPr>
        <w:t>65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725F1F">
        <w:rPr>
          <w:rFonts w:eastAsia="Times New Roman" w:cs="Times New Roman"/>
          <w:szCs w:val="19"/>
          <w:lang w:val="en-GB" w:eastAsia="pl-PL"/>
        </w:rPr>
        <w:t>3</w:t>
      </w:r>
      <w:r w:rsidR="00D66E31">
        <w:rPr>
          <w:rFonts w:eastAsia="Times New Roman" w:cs="Times New Roman"/>
          <w:szCs w:val="19"/>
          <w:lang w:val="en-GB" w:eastAsia="pl-PL"/>
        </w:rPr>
        <w:t>87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D66E3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 w:rsidR="00D66E31">
        <w:rPr>
          <w:rFonts w:eastAsia="Times New Roman" w:cs="Times New Roman"/>
          <w:szCs w:val="19"/>
          <w:lang w:val="en-GB" w:eastAsia="pl-PL"/>
        </w:rPr>
        <w:t>12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D66E31">
        <w:rPr>
          <w:rFonts w:eastAsia="Times New Roman" w:cs="Times New Roman"/>
          <w:szCs w:val="19"/>
          <w:lang w:val="en-GB" w:eastAsia="pl-PL"/>
        </w:rPr>
        <w:t>2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892546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2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 xml:space="preserve">bn, while in the same period of </w:t>
      </w:r>
      <w:r w:rsidR="00BD34DE">
        <w:rPr>
          <w:rFonts w:eastAsia="Times New Roman" w:cs="Times New Roman"/>
          <w:szCs w:val="19"/>
          <w:lang w:val="en-GB" w:eastAsia="pl-PL"/>
        </w:rPr>
        <w:t>2021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amounted to </w:t>
      </w:r>
      <w:r w:rsidR="00D66E31">
        <w:rPr>
          <w:rFonts w:eastAsia="Times New Roman" w:cs="Times New Roman"/>
          <w:szCs w:val="19"/>
          <w:lang w:val="en-GB" w:eastAsia="pl-PL"/>
        </w:rPr>
        <w:t xml:space="preserve">minus </w:t>
      </w:r>
      <w:r w:rsidRPr="00B5363E">
        <w:rPr>
          <w:rFonts w:eastAsia="Times New Roman" w:cs="Times New Roman"/>
          <w:szCs w:val="19"/>
          <w:lang w:val="en-GB" w:eastAsia="pl-PL"/>
        </w:rPr>
        <w:t>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725F1F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21A43993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D66E31">
        <w:rPr>
          <w:rFonts w:eastAsia="Times New Roman" w:cs="Times New Roman"/>
          <w:szCs w:val="19"/>
          <w:lang w:val="en-GB" w:eastAsia="pl-PL"/>
        </w:rPr>
        <w:t>346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2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D66E31">
        <w:rPr>
          <w:rFonts w:eastAsia="Times New Roman" w:cs="Times New Roman"/>
          <w:szCs w:val="19"/>
          <w:lang w:val="en-GB" w:eastAsia="pl-PL"/>
        </w:rPr>
        <w:t>366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2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725F1F">
        <w:rPr>
          <w:rFonts w:eastAsia="Times New Roman" w:cs="Times New Roman"/>
          <w:szCs w:val="19"/>
          <w:lang w:val="en-GB" w:eastAsia="pl-PL"/>
        </w:rPr>
        <w:t>20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2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6234BA">
        <w:rPr>
          <w:rFonts w:eastAsia="Times New Roman" w:cs="Times New Roman"/>
          <w:szCs w:val="19"/>
          <w:lang w:val="en-GB" w:eastAsia="pl-PL"/>
        </w:rPr>
        <w:t>2</w:t>
      </w:r>
      <w:r w:rsidR="00B3632E">
        <w:rPr>
          <w:rFonts w:eastAsia="Times New Roman" w:cs="Times New Roman"/>
          <w:szCs w:val="19"/>
          <w:lang w:val="en-GB" w:eastAsia="pl-PL"/>
        </w:rPr>
        <w:t>6</w:t>
      </w:r>
      <w:r w:rsidR="006234BA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5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D66E31">
        <w:rPr>
          <w:rFonts w:eastAsia="Times New Roman" w:cs="Times New Roman"/>
          <w:szCs w:val="19"/>
          <w:lang w:val="en-GB" w:eastAsia="pl-PL"/>
        </w:rPr>
        <w:t>20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</w:t>
      </w:r>
      <w:r w:rsidR="00D66E31">
        <w:rPr>
          <w:rFonts w:eastAsia="Times New Roman" w:cs="Times New Roman"/>
          <w:szCs w:val="19"/>
          <w:lang w:val="en-GB" w:eastAsia="pl-PL"/>
        </w:rPr>
        <w:t>negative</w:t>
      </w:r>
      <w:r>
        <w:rPr>
          <w:rFonts w:eastAsia="Times New Roman" w:cs="Times New Roman"/>
          <w:szCs w:val="19"/>
          <w:lang w:val="en-GB" w:eastAsia="pl-PL"/>
        </w:rPr>
        <w:t xml:space="preserve">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B3632E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</w:t>
      </w:r>
      <w:r w:rsidR="00BD34DE">
        <w:rPr>
          <w:rFonts w:eastAsia="Times New Roman" w:cs="Times New Roman"/>
          <w:szCs w:val="19"/>
          <w:lang w:val="en-GB" w:eastAsia="pl-PL"/>
        </w:rPr>
        <w:t>2021</w:t>
      </w:r>
      <w:r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B8714D" w:rsidRPr="00F63B71" w:rsidRDefault="00B87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B8714D" w:rsidRPr="00F63B71" w:rsidRDefault="00B8714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B8714D" w:rsidRPr="00F63B71" w:rsidRDefault="00B87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B8714D" w:rsidRPr="00F63B71" w:rsidRDefault="00B8714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</w:t>
      </w:r>
      <w:bookmarkStart w:id="0" w:name="_GoBack"/>
      <w:r w:rsidR="00717D5C" w:rsidRPr="00070820">
        <w:rPr>
          <w:lang w:val="en-US"/>
        </w:rPr>
        <w:t>s</w:t>
      </w:r>
      <w:bookmarkEnd w:id="0"/>
      <w:r w:rsidR="00717D5C" w:rsidRPr="00070820">
        <w:rPr>
          <w:lang w:val="en-US"/>
        </w:rPr>
        <w:t xml:space="preserve"> of</w:t>
      </w:r>
      <w:r w:rsidR="00AF0CDF" w:rsidRPr="00070820">
        <w:rPr>
          <w:lang w:val="en-US"/>
        </w:rPr>
        <w:t xml:space="preserve"> countries</w:t>
      </w:r>
    </w:p>
    <w:p w14:paraId="667D8458" w14:textId="0942BB99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D66E3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B3632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B3632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2%</w:t>
      </w:r>
      <w:r w:rsidRPr="00B5363E">
        <w:rPr>
          <w:rFonts w:eastAsia="Times New Roman" w:cs="Times New Roman"/>
          <w:szCs w:val="19"/>
          <w:lang w:val="en-GB" w:eastAsia="pl-PL"/>
        </w:rPr>
        <w:t xml:space="preserve"> (of which EU 5</w:t>
      </w:r>
      <w:r w:rsidR="00D66E3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B8714D" w:rsidRPr="00B5363E">
        <w:rPr>
          <w:rFonts w:eastAsia="Times New Roman" w:cs="Times New Roman"/>
          <w:szCs w:val="19"/>
          <w:lang w:val="en-GB" w:eastAsia="pl-PL"/>
        </w:rPr>
        <w:t>7</w:t>
      </w:r>
      <w:r w:rsidR="00B8714D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D66E3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D66E3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</w:t>
      </w:r>
      <w:r w:rsidR="00BD34DE">
        <w:rPr>
          <w:rFonts w:eastAsia="Times New Roman" w:cs="Times New Roman"/>
          <w:szCs w:val="19"/>
          <w:lang w:val="en-GB" w:eastAsia="pl-PL"/>
        </w:rPr>
        <w:t>2021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D66E3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D66E3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 w:rsidR="00D66E3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D66E3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in </w:t>
      </w:r>
      <w:r w:rsidR="00BD34DE">
        <w:rPr>
          <w:rFonts w:eastAsia="Times New Roman" w:cs="Times New Roman"/>
          <w:szCs w:val="19"/>
          <w:lang w:val="en-GB" w:eastAsia="pl-PL"/>
        </w:rPr>
        <w:t>2021</w:t>
      </w:r>
      <w:r>
        <w:rPr>
          <w:rFonts w:eastAsia="Times New Roman" w:cs="Times New Roman"/>
          <w:szCs w:val="19"/>
          <w:lang w:val="en-GB" w:eastAsia="pl-PL"/>
        </w:rPr>
        <w:t xml:space="preserve"> period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63F61BD2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D66E31">
        <w:rPr>
          <w:rFonts w:eastAsia="Times New Roman" w:cs="Times New Roman"/>
          <w:szCs w:val="19"/>
          <w:lang w:val="en-GB" w:eastAsia="pl-PL"/>
        </w:rPr>
        <w:t>413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D66E31">
        <w:rPr>
          <w:rFonts w:eastAsia="Times New Roman" w:cs="Times New Roman"/>
          <w:szCs w:val="19"/>
          <w:lang w:val="en-GB" w:eastAsia="pl-PL"/>
        </w:rPr>
        <w:t>92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D66E31">
        <w:rPr>
          <w:rFonts w:eastAsia="Times New Roman" w:cs="Times New Roman"/>
          <w:szCs w:val="19"/>
          <w:lang w:val="en-GB" w:eastAsia="pl-PL"/>
        </w:rPr>
        <w:t>88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3400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and with the countries of Central and Eastern Europe minus PLN </w:t>
      </w:r>
      <w:r w:rsidR="00D66E31">
        <w:rPr>
          <w:rFonts w:eastAsia="Times New Roman" w:cs="Times New Roman"/>
          <w:szCs w:val="19"/>
          <w:lang w:val="en-GB" w:eastAsia="pl-PL"/>
        </w:rPr>
        <w:t>27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(minus USD </w:t>
      </w:r>
      <w:r w:rsidR="00D66E3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B0074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bn). The positive balance was obtained in turnover with the developed countries PLN 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="00D66E31">
        <w:rPr>
          <w:rFonts w:eastAsia="Times New Roman" w:cs="Times New Roman"/>
          <w:szCs w:val="19"/>
          <w:lang w:val="en-GB" w:eastAsia="pl-PL"/>
        </w:rPr>
        <w:t>47</w:t>
      </w:r>
      <w:r w:rsidR="00B00749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D66E31">
        <w:rPr>
          <w:rFonts w:eastAsia="Times New Roman" w:cs="Times New Roman"/>
          <w:szCs w:val="19"/>
          <w:lang w:val="en-GB" w:eastAsia="pl-PL"/>
        </w:rPr>
        <w:t>7</w:t>
      </w:r>
      <w:r w:rsidR="00B00749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E3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B00749">
        <w:rPr>
          <w:rFonts w:eastAsia="Times New Roman" w:cs="Times New Roman"/>
          <w:szCs w:val="19"/>
          <w:lang w:val="en-GB" w:eastAsia="pl-PL"/>
        </w:rPr>
        <w:t>7</w:t>
      </w:r>
      <w:r w:rsidR="00A8718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8718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A87181">
        <w:rPr>
          <w:rFonts w:eastAsia="Times New Roman" w:cs="Times New Roman"/>
          <w:szCs w:val="19"/>
          <w:lang w:val="en-GB" w:eastAsia="pl-PL"/>
        </w:rPr>
        <w:t>346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8718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B00749">
        <w:rPr>
          <w:rFonts w:eastAsia="Times New Roman" w:cs="Times New Roman"/>
          <w:szCs w:val="19"/>
          <w:lang w:val="en-GB" w:eastAsia="pl-PL"/>
        </w:rPr>
        <w:t>7</w:t>
      </w:r>
      <w:r w:rsidR="00A8718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00749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A87181">
        <w:rPr>
          <w:rFonts w:eastAsia="Times New Roman" w:cs="Times New Roman"/>
          <w:szCs w:val="19"/>
          <w:lang w:val="en-GB" w:eastAsia="pl-PL"/>
        </w:rPr>
        <w:t>74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8718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1FB090A0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53A91FC4" w14:textId="1A3493A6" w:rsidR="00886E00" w:rsidRDefault="00886E00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E10FAEE" w14:textId="1C775C12" w:rsidR="00886E00" w:rsidRDefault="00886E00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2A13EFB0" w14:textId="59DF01E9" w:rsidR="00886E00" w:rsidRDefault="00886E00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5B5932B7" w14:textId="2D9F2149" w:rsidR="00886E00" w:rsidRDefault="00886E00" w:rsidP="002D45CF">
      <w:pPr>
        <w:rPr>
          <w:rFonts w:cs="Arial"/>
          <w:b/>
          <w:spacing w:val="-3"/>
          <w:sz w:val="18"/>
          <w:szCs w:val="18"/>
          <w:lang w:val="en-US"/>
        </w:rPr>
      </w:pPr>
      <w:r>
        <w:rPr>
          <w:rFonts w:cs="Arial"/>
          <w:b/>
          <w:noProof/>
          <w:spacing w:val="-3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CCB0E1" wp14:editId="17BFEA16">
                <wp:simplePos x="0" y="0"/>
                <wp:positionH relativeFrom="column">
                  <wp:posOffset>2167</wp:posOffset>
                </wp:positionH>
                <wp:positionV relativeFrom="paragraph">
                  <wp:posOffset>98816</wp:posOffset>
                </wp:positionV>
                <wp:extent cx="174646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F9C9DFD" id="Łącznik prosty 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7.8pt" to="137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20D7D1A9" w14:textId="77777777" w:rsidR="00886E00" w:rsidRPr="00645281" w:rsidRDefault="00886E00" w:rsidP="00886E00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574F8616" w14:textId="77777777" w:rsidR="00886E00" w:rsidRPr="00886E00" w:rsidRDefault="00886E00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59D5DD4" w14:textId="7E6FA124" w:rsidR="004B64A7" w:rsidRPr="000C2149" w:rsidRDefault="00BD34DE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2125502E" w14:textId="154911EB" w:rsidR="004B64A7" w:rsidRPr="000C2149" w:rsidRDefault="00BD34DE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2F81B719" w14:textId="7A973247" w:rsidR="004B64A7" w:rsidRPr="000C2149" w:rsidRDefault="00BD34DE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</w:tr>
      <w:tr w:rsidR="00BB17D2" w:rsidRPr="00E33A76" w14:paraId="76A91648" w14:textId="77777777" w:rsidTr="009B296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00595ACF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FD5CE2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805FA35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85CBAD6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878A00D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A4D70" w14:textId="70D7BF02" w:rsidR="00BB17D2" w:rsidRPr="000C2149" w:rsidRDefault="00BD34DE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  <w:r w:rsidR="00BB17D2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4BD99EAC" w14:textId="759E7646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B17D2" w:rsidRPr="00E33A76" w14:paraId="0872CB3B" w14:textId="77777777" w:rsidTr="009B296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FC8B447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B8E5D4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5CE49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FD778F3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47BF1E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7BCE9E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B272D0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2BEB99AA" w14:textId="5CAD0B7C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7181" w:rsidRPr="00E33A76" w14:paraId="59C5A22F" w14:textId="77777777" w:rsidTr="00A148EC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A87181" w:rsidRPr="00E33A76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5FED65C9" w:rsidR="00A87181" w:rsidRPr="003E52E2" w:rsidRDefault="00A87181" w:rsidP="00A871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1618.6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4D2CF076" w:rsidR="00A87181" w:rsidRPr="003E52E2" w:rsidRDefault="00A87181" w:rsidP="00A871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365.8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52AB6C24" w:rsidR="00A87181" w:rsidRPr="003E52E2" w:rsidRDefault="00A87181" w:rsidP="00A871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346.2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32BFAAE1" w:rsidR="00A87181" w:rsidRPr="004B131D" w:rsidRDefault="00A87181" w:rsidP="00A8718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110B638A" w:rsidR="00A87181" w:rsidRPr="003E52E2" w:rsidRDefault="00A87181" w:rsidP="00A871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129DDFBE" w:rsidR="00A87181" w:rsidRPr="003E52E2" w:rsidRDefault="00A87181" w:rsidP="00A871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120.2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233C8747" w:rsidR="00A87181" w:rsidRPr="00842E53" w:rsidRDefault="00A87181" w:rsidP="00A8718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B70AC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2009651F" w:rsidR="00A87181" w:rsidRPr="00842E53" w:rsidRDefault="00A87181" w:rsidP="00A8718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9663A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="00B8714D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</w:tr>
      <w:tr w:rsidR="00A87181" w:rsidRPr="00E33A76" w14:paraId="3204AD9E" w14:textId="77777777" w:rsidTr="00A148E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BB819" w14:textId="77777777" w:rsidR="00A87181" w:rsidRPr="00E33A76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7482F9F8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1412.4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616621DF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319.4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58BDAD10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302.2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7DB7D8EE" w:rsidR="00A87181" w:rsidRPr="004B131D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4A45C382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11B073C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38B5F955" w:rsidR="00A87181" w:rsidRPr="00A87181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87181">
              <w:rPr>
                <w:rFonts w:cs="Calibri"/>
                <w:sz w:val="16"/>
                <w:szCs w:val="16"/>
              </w:rPr>
              <w:t>86.4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67A3D58C" w:rsidR="00A87181" w:rsidRPr="00A87181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87181">
              <w:rPr>
                <w:rFonts w:cs="Calibri"/>
                <w:sz w:val="16"/>
                <w:szCs w:val="16"/>
              </w:rPr>
              <w:t>87.3</w:t>
            </w:r>
          </w:p>
        </w:tc>
      </w:tr>
      <w:tr w:rsidR="00A87181" w:rsidRPr="00E33A76" w14:paraId="62E5DF04" w14:textId="77777777" w:rsidTr="00A148E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55D03" w14:textId="77777777" w:rsidR="00A87181" w:rsidRPr="00E33A76" w:rsidRDefault="00A87181" w:rsidP="00A8718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3D060C18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1226.3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3405283F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277.3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3CB2DF32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262.4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0DBA90DE" w:rsidR="00A87181" w:rsidRPr="004B131D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423FFB3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10CC140B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5A429D55" w:rsidR="00A87181" w:rsidRPr="00A87181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87181">
              <w:rPr>
                <w:rFonts w:cs="Calibri"/>
                <w:sz w:val="16"/>
                <w:szCs w:val="16"/>
              </w:rPr>
              <w:t>75.1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6EE2B66B" w:rsidR="00A87181" w:rsidRPr="00A87181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87181">
              <w:rPr>
                <w:rFonts w:cs="Calibri"/>
                <w:sz w:val="16"/>
                <w:szCs w:val="16"/>
              </w:rPr>
              <w:t>75.8</w:t>
            </w:r>
          </w:p>
        </w:tc>
      </w:tr>
      <w:tr w:rsidR="00A87181" w:rsidRPr="00A52E81" w14:paraId="5547B3FC" w14:textId="77777777" w:rsidTr="00A148E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7D56" w14:textId="77777777" w:rsidR="00A87181" w:rsidRPr="00E33A76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7A40447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955.0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2E2BD77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03DB50D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204.3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40AD78F5" w:rsidR="00A87181" w:rsidRPr="004B131D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370C72A7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0E208E41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5BFDB106" w:rsidR="00A87181" w:rsidRPr="00A87181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87181">
              <w:rPr>
                <w:rFonts w:cs="Calibri"/>
                <w:sz w:val="16"/>
                <w:szCs w:val="16"/>
              </w:rPr>
              <w:t>59.2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0ECB0618" w:rsidR="00A87181" w:rsidRPr="00A87181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87181">
              <w:rPr>
                <w:rFonts w:cs="Calibri"/>
                <w:sz w:val="16"/>
                <w:szCs w:val="16"/>
              </w:rPr>
              <w:t>59.0</w:t>
            </w:r>
          </w:p>
        </w:tc>
      </w:tr>
      <w:tr w:rsidR="00A87181" w:rsidRPr="00A52E81" w14:paraId="1024F990" w14:textId="77777777" w:rsidTr="00A148E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0AF2E" w14:textId="77777777" w:rsidR="00A87181" w:rsidRPr="00A52E81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580C0B97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78AB9173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08CBC148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42573A2C" w:rsidR="00A87181" w:rsidRPr="004B131D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163CE83B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2DDA754E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27361F00" w:rsidR="00A87181" w:rsidRPr="00A87181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87181">
              <w:rPr>
                <w:rFonts w:cs="Calibri"/>
                <w:sz w:val="16"/>
                <w:szCs w:val="16"/>
              </w:rPr>
              <w:t xml:space="preserve"> 7.9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35866041" w:rsidR="00A87181" w:rsidRPr="00A87181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87181">
              <w:rPr>
                <w:rFonts w:cs="Calibri"/>
                <w:sz w:val="16"/>
                <w:szCs w:val="16"/>
              </w:rPr>
              <w:t xml:space="preserve"> 7.9</w:t>
            </w:r>
          </w:p>
        </w:tc>
      </w:tr>
      <w:tr w:rsidR="00A87181" w:rsidRPr="00E33A76" w14:paraId="244F4AED" w14:textId="77777777" w:rsidTr="00A148EC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6B704" w14:textId="77777777" w:rsidR="00A87181" w:rsidRPr="00890348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26556361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7F7E407E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413F7D8D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5BFA0BF2" w:rsidR="00A87181" w:rsidRPr="004B131D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4C790D05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0E90BE4E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1F3AC706" w:rsidR="00A87181" w:rsidRPr="00A87181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87181">
              <w:rPr>
                <w:rFonts w:cs="Calibri"/>
                <w:sz w:val="16"/>
                <w:szCs w:val="16"/>
              </w:rPr>
              <w:t xml:space="preserve"> 5.7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56A73529" w:rsidR="00A87181" w:rsidRPr="00A87181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87181">
              <w:rPr>
                <w:rFonts w:cs="Calibri"/>
                <w:sz w:val="16"/>
                <w:szCs w:val="16"/>
              </w:rPr>
              <w:t xml:space="preserve"> 4.8</w:t>
            </w:r>
          </w:p>
        </w:tc>
      </w:tr>
      <w:tr w:rsidR="00A87181" w:rsidRPr="00E33A76" w14:paraId="1A13722B" w14:textId="77777777" w:rsidTr="00A148E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A3B12" w14:textId="77777777" w:rsidR="00A87181" w:rsidRPr="00A00ADB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1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4957FF07" w:rsidR="00A87181" w:rsidRDefault="00A87181" w:rsidP="00A871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1711.8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4FD10D50" w:rsidR="00A87181" w:rsidRDefault="00A87181" w:rsidP="00A871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387.0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592DF1A6" w:rsidR="00A87181" w:rsidRDefault="00A87181" w:rsidP="00A871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366.2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4FE68DAC" w:rsidR="00A87181" w:rsidRPr="004B131D" w:rsidRDefault="00A87181" w:rsidP="00A8718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129.4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5C7D0E9A" w:rsidR="00A87181" w:rsidRDefault="00A87181" w:rsidP="00A871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112.7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3341C148" w:rsidR="00A87181" w:rsidRDefault="00A87181" w:rsidP="00A871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126.5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3E9462BF" w:rsidR="00A87181" w:rsidRPr="00A87181" w:rsidRDefault="00A87181" w:rsidP="00A8718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87181">
              <w:rPr>
                <w:rFonts w:cs="Calibri"/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7019912B" w:rsidR="00A87181" w:rsidRPr="00A87181" w:rsidRDefault="00A87181" w:rsidP="00A8718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87181">
              <w:rPr>
                <w:rFonts w:cs="Calibri"/>
                <w:b/>
                <w:bCs/>
                <w:sz w:val="16"/>
                <w:szCs w:val="16"/>
              </w:rPr>
              <w:t>100.0</w:t>
            </w:r>
          </w:p>
        </w:tc>
      </w:tr>
      <w:tr w:rsidR="00A87181" w:rsidRPr="00E33A76" w14:paraId="05358BA4" w14:textId="77777777" w:rsidTr="00A148E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F923E" w14:textId="77777777" w:rsidR="00A87181" w:rsidRPr="00E33A76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64B57255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1065.0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577D6BD0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240.8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2404D5ED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686FB5FA" w:rsidR="00A87181" w:rsidRPr="004B131D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7CC4F6F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4CB8C8B7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541DAE7C" w:rsidR="00A87181" w:rsidRPr="00787480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69AB27DD" w:rsidR="00A87181" w:rsidRPr="00787480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62.2</w:t>
            </w:r>
          </w:p>
        </w:tc>
      </w:tr>
      <w:tr w:rsidR="00A87181" w:rsidRPr="00E33A76" w14:paraId="4395F4EF" w14:textId="77777777" w:rsidTr="00A148E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AB4E4" w14:textId="77777777" w:rsidR="00A87181" w:rsidRPr="00E33A76" w:rsidRDefault="00A87181" w:rsidP="00A8718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3CC0D1C4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880.2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3C4F915D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199.4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35F0C1A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2A2C4980" w:rsidR="00A87181" w:rsidRPr="004B131D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7BBC9E1A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3CE5349A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1EE287A7" w:rsidR="00A87181" w:rsidRPr="00787480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49683CEA" w:rsidR="00A87181" w:rsidRPr="00787480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51.4</w:t>
            </w:r>
          </w:p>
        </w:tc>
      </w:tr>
      <w:tr w:rsidR="00A87181" w:rsidRPr="00E33A76" w14:paraId="18248C1A" w14:textId="77777777" w:rsidTr="00A148E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25AE0" w14:textId="77777777" w:rsidR="00A87181" w:rsidRPr="00E33A76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71BF8829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722.7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735EB717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6B2A4802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154.7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7A574F69" w:rsidR="00A87181" w:rsidRPr="004B131D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2CDCA075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71A202CE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4FCE5A7B" w:rsidR="00A87181" w:rsidRPr="00787480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434E2536" w:rsidR="00A87181" w:rsidRPr="00787480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42.2</w:t>
            </w:r>
          </w:p>
        </w:tc>
      </w:tr>
      <w:tr w:rsidR="00A87181" w:rsidRPr="00E33A76" w14:paraId="73DA072E" w14:textId="77777777" w:rsidTr="00A148E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F7E5D" w14:textId="77777777" w:rsidR="00A87181" w:rsidRPr="00E33A76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32B02E3A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540.7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550DF93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6FA90D04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1DD96E8B" w:rsidR="00A87181" w:rsidRPr="004B131D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7B6E0790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73096139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3EF54FF2" w:rsidR="00A87181" w:rsidRPr="00787480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4117EF77" w:rsidR="00A87181" w:rsidRPr="00787480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31.6</w:t>
            </w:r>
          </w:p>
        </w:tc>
      </w:tr>
      <w:tr w:rsidR="00A87181" w:rsidRPr="00EC3376" w14:paraId="3D963D09" w14:textId="77777777" w:rsidTr="00A148EC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25551" w14:textId="77777777" w:rsidR="00A87181" w:rsidRPr="003B46F9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1DA304BC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29CF8DE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40C9143D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724078BB" w:rsidR="00A87181" w:rsidRPr="004B131D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6427C110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345D638C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694D7872" w:rsidR="00A87181" w:rsidRPr="00787480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51902F9B" w:rsidR="00A87181" w:rsidRPr="00787480" w:rsidRDefault="00A87181" w:rsidP="00A871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6.2</w:t>
            </w:r>
          </w:p>
        </w:tc>
      </w:tr>
      <w:tr w:rsidR="00A87181" w:rsidRPr="00EC3376" w14:paraId="10226BDF" w14:textId="77777777" w:rsidTr="00A148E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04C86" w14:textId="77777777" w:rsidR="00A87181" w:rsidRPr="00EC3376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0B43184D" w:rsidR="00A87181" w:rsidRPr="003E52E2" w:rsidRDefault="00A87181" w:rsidP="00A8718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-93.2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57374DBB" w:rsidR="00A87181" w:rsidRPr="003E52E2" w:rsidRDefault="00A87181" w:rsidP="00A8718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-21.2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4A4B2225" w:rsidR="00A87181" w:rsidRPr="003E52E2" w:rsidRDefault="00A87181" w:rsidP="00A8718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-20.0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3FF2BFA6" w:rsidR="00A87181" w:rsidRPr="00C912FD" w:rsidRDefault="00A87181" w:rsidP="00A8718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00FAAF3A" w:rsidR="00A87181" w:rsidRPr="00C912FD" w:rsidRDefault="00A87181" w:rsidP="00A8718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07A02938" w:rsidR="00A87181" w:rsidRPr="00C912FD" w:rsidRDefault="00A87181" w:rsidP="00A8718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63749AD8" w:rsidR="00A87181" w:rsidRPr="00C912FD" w:rsidRDefault="00A87181" w:rsidP="00A8718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47E4A2EB" w:rsidR="00A87181" w:rsidRPr="00C912FD" w:rsidRDefault="00A87181" w:rsidP="00A8718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A87181" w:rsidRPr="00EC3376" w14:paraId="6DAA6AA5" w14:textId="77777777" w:rsidTr="00A148E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103C9" w14:textId="77777777" w:rsidR="00A87181" w:rsidRPr="00EC3376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5937A3AB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347.5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6DA0029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698DCD1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2C813424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4511579B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436591D2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24D59EA5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0B256BD2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A87181" w:rsidRPr="00E33A76" w14:paraId="43FEDD3A" w14:textId="77777777" w:rsidTr="00A148E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A1E9F" w14:textId="77777777" w:rsidR="00A87181" w:rsidRPr="00EC3376" w:rsidRDefault="00A87181" w:rsidP="00A8718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5CC65A0E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346.1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155A1BE7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70C9CB4F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7EA3E831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010C8602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695449C4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27935C9E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64C21FCE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A87181" w:rsidRPr="00E33A76" w14:paraId="1D3A10F7" w14:textId="77777777" w:rsidTr="00A148E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9E512" w14:textId="77777777" w:rsidR="00A87181" w:rsidRPr="00E33A76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1E3AB3D8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232.3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4C8FD3DA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72CD20AD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74A4F286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481DA405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51825390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39AD665F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5EE7F68A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A87181" w:rsidRPr="00E33A76" w14:paraId="28B61C88" w14:textId="77777777" w:rsidTr="00A148E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92BE" w14:textId="77777777" w:rsidR="00A87181" w:rsidRPr="00E33A76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2F68C794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-413.2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32DB26BD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-92.9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25C7D430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-88.3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38FBEA75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474D94DD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7DBBD288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7BA50BFC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264A080E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A87181" w:rsidRPr="0062578F" w14:paraId="26CCE1E2" w14:textId="77777777" w:rsidTr="00A148EC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6D71539D" w14:textId="77777777" w:rsidR="00A87181" w:rsidRPr="003B46F9" w:rsidRDefault="00A87181" w:rsidP="00A871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18F71" w14:textId="440CBAC6" w:rsidR="00A87181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-27.5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616300FB" w:rsidR="00A87181" w:rsidRPr="003E52E2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0920E356" w:rsidR="00A87181" w:rsidRPr="003E52E2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6E645CAF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305CBA49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2F791FFB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4D82046B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DAC05" w14:textId="14F8B63D" w:rsidR="00A87181" w:rsidRPr="00351E9F" w:rsidRDefault="00A87181" w:rsidP="00A871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B8714D" w:rsidRPr="003F7B61" w:rsidRDefault="00B87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B8714D" w:rsidRPr="003F7B61" w:rsidRDefault="00B8714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B8714D" w:rsidRPr="003F7B61" w:rsidRDefault="00B87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B8714D" w:rsidRPr="003F7B61" w:rsidRDefault="00B8714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1BEA4A59" w:rsidR="00E73C91" w:rsidRPr="001C578A" w:rsidRDefault="00E73C91" w:rsidP="00043069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BD34DE">
        <w:rPr>
          <w:shd w:val="clear" w:color="auto" w:fill="FFFFFF"/>
          <w:lang w:val="en-GB"/>
        </w:rPr>
        <w:t>2022</w:t>
      </w:r>
      <w:r w:rsidRPr="001C578A">
        <w:rPr>
          <w:shd w:val="clear" w:color="auto" w:fill="FFFFFF"/>
          <w:lang w:val="en-GB"/>
        </w:rPr>
        <w:t xml:space="preserve"> among the main trade partners of Poland a decrease </w:t>
      </w:r>
      <w:r w:rsidR="00043069" w:rsidRPr="00043069">
        <w:rPr>
          <w:shd w:val="clear" w:color="auto" w:fill="FFFFFF"/>
          <w:lang w:val="en-GB"/>
        </w:rPr>
        <w:t>both in exports and imports was</w:t>
      </w:r>
      <w:r w:rsidR="00043069">
        <w:rPr>
          <w:shd w:val="clear" w:color="auto" w:fill="FFFFFF"/>
          <w:lang w:val="en-GB"/>
        </w:rPr>
        <w:t xml:space="preserve"> </w:t>
      </w:r>
      <w:r w:rsidR="00043069" w:rsidRPr="00043069">
        <w:rPr>
          <w:shd w:val="clear" w:color="auto" w:fill="FFFFFF"/>
          <w:lang w:val="en-GB"/>
        </w:rPr>
        <w:t>not observed compared to</w:t>
      </w:r>
      <w:r w:rsidR="00043069">
        <w:rPr>
          <w:shd w:val="clear" w:color="auto" w:fill="FFFFFF"/>
          <w:lang w:val="en-GB"/>
        </w:rPr>
        <w:t xml:space="preserve"> 2021 with exception of imports from Russia</w:t>
      </w:r>
      <w:r w:rsidR="006F4660">
        <w:rPr>
          <w:shd w:val="clear" w:color="auto" w:fill="FFFFFF"/>
          <w:lang w:val="en-GB"/>
        </w:rPr>
        <w:t xml:space="preserve"> which decreased </w:t>
      </w:r>
      <w:r w:rsidR="00043069">
        <w:rPr>
          <w:shd w:val="clear" w:color="auto" w:fill="FFFFFF"/>
          <w:lang w:val="en-GB"/>
        </w:rPr>
        <w:t xml:space="preserve"> (by 7,4%)</w:t>
      </w:r>
      <w:r w:rsidRPr="001C578A">
        <w:rPr>
          <w:shd w:val="clear" w:color="auto" w:fill="FFFFFF"/>
          <w:lang w:val="en-GB"/>
        </w:rPr>
        <w:t>.</w:t>
      </w:r>
    </w:p>
    <w:p w14:paraId="194B76DF" w14:textId="7CED99FA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6F4660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% (6</w:t>
      </w:r>
      <w:r w:rsidR="006F4660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932573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 xml:space="preserve">% in </w:t>
      </w:r>
      <w:r w:rsidR="00BD34DE">
        <w:rPr>
          <w:shd w:val="clear" w:color="auto" w:fill="FFFFFF"/>
          <w:lang w:val="en-GB"/>
        </w:rPr>
        <w:t>2021</w:t>
      </w:r>
      <w:r w:rsidRPr="001C578A">
        <w:rPr>
          <w:shd w:val="clear" w:color="auto" w:fill="FFFFFF"/>
          <w:lang w:val="en-GB"/>
        </w:rPr>
        <w:t>), while in total imports – 6</w:t>
      </w:r>
      <w:r w:rsidR="006F4660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6F4660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% (in comparison with 6</w:t>
      </w:r>
      <w:r w:rsidR="006F4660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6F4660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% in </w:t>
      </w:r>
      <w:r w:rsidR="00BD34DE">
        <w:rPr>
          <w:shd w:val="clear" w:color="auto" w:fill="FFFFFF"/>
          <w:lang w:val="en-GB"/>
        </w:rPr>
        <w:t>2021</w:t>
      </w:r>
      <w:r w:rsidRPr="001C578A">
        <w:rPr>
          <w:shd w:val="clear" w:color="auto" w:fill="FFFFFF"/>
          <w:lang w:val="en-GB"/>
        </w:rPr>
        <w:t>).</w:t>
      </w:r>
    </w:p>
    <w:p w14:paraId="0293B44E" w14:textId="04CE4C19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The share of Germany in exports decreased in comparison with the corresponding period of </w:t>
      </w:r>
      <w:r w:rsidR="00BD34DE">
        <w:rPr>
          <w:shd w:val="clear" w:color="auto" w:fill="FFFFFF"/>
          <w:lang w:val="en-GB"/>
        </w:rPr>
        <w:t>2021</w:t>
      </w:r>
      <w:r w:rsidRPr="001C578A">
        <w:rPr>
          <w:shd w:val="clear" w:color="auto" w:fill="FFFFFF"/>
          <w:lang w:val="en-GB"/>
        </w:rPr>
        <w:t xml:space="preserve"> by </w:t>
      </w:r>
      <w:r w:rsidR="00B00749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pp and amounted to 2</w:t>
      </w:r>
      <w:r w:rsidR="009A608D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</w:t>
      </w:r>
      <w:r w:rsidR="009A608D">
        <w:rPr>
          <w:shd w:val="clear" w:color="auto" w:fill="FFFFFF"/>
          <w:lang w:val="en-GB"/>
        </w:rPr>
        <w:t>0</w:t>
      </w:r>
      <w:r w:rsidR="00775FC9" w:rsidRPr="001C578A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9A608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B00749">
        <w:rPr>
          <w:shd w:val="clear" w:color="auto" w:fill="FFFFFF"/>
          <w:lang w:val="en-GB"/>
        </w:rPr>
        <w:t>1</w:t>
      </w:r>
      <w:r w:rsidR="009A608D">
        <w:rPr>
          <w:shd w:val="clear" w:color="auto" w:fill="FFFFFF"/>
          <w:lang w:val="en-GB"/>
        </w:rPr>
        <w:t>05</w:t>
      </w:r>
      <w:r w:rsidRPr="001C578A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 bn (USD </w:t>
      </w:r>
      <w:r w:rsidR="00B00749">
        <w:rPr>
          <w:shd w:val="clear" w:color="auto" w:fill="FFFFFF"/>
          <w:lang w:val="en-GB"/>
        </w:rPr>
        <w:t>2</w:t>
      </w:r>
      <w:r w:rsidR="009A608D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bn, EUR </w:t>
      </w:r>
      <w:r w:rsidR="00B00749">
        <w:rPr>
          <w:shd w:val="clear" w:color="auto" w:fill="FFFFFF"/>
          <w:lang w:val="en-GB"/>
        </w:rPr>
        <w:t>22</w:t>
      </w:r>
      <w:r w:rsidRPr="001C578A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9A608D">
        <w:rPr>
          <w:shd w:val="clear" w:color="auto" w:fill="FFFFFF"/>
          <w:lang w:val="en-GB"/>
        </w:rPr>
        <w:t>101</w:t>
      </w:r>
      <w:r w:rsidRPr="001C578A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bn (USD </w:t>
      </w:r>
      <w:r w:rsidR="009A608D">
        <w:rPr>
          <w:shd w:val="clear" w:color="auto" w:fill="FFFFFF"/>
          <w:lang w:val="en-GB"/>
        </w:rPr>
        <w:t>26</w:t>
      </w:r>
      <w:r w:rsidRPr="001C578A">
        <w:rPr>
          <w:shd w:val="clear" w:color="auto" w:fill="FFFFFF"/>
          <w:lang w:val="en-GB"/>
        </w:rPr>
        <w:t>.</w:t>
      </w:r>
      <w:r w:rsidR="00932573">
        <w:rPr>
          <w:shd w:val="clear" w:color="auto" w:fill="FFFFFF"/>
          <w:lang w:val="en-GB"/>
        </w:rPr>
        <w:t>4</w:t>
      </w:r>
      <w:r w:rsidR="00932573" w:rsidRPr="001C578A">
        <w:rPr>
          <w:shd w:val="clear" w:color="auto" w:fill="FFFFFF"/>
          <w:lang w:val="en-GB"/>
        </w:rPr>
        <w:t xml:space="preserve"> </w:t>
      </w:r>
      <w:r w:rsidRPr="001C578A">
        <w:rPr>
          <w:shd w:val="clear" w:color="auto" w:fill="FFFFFF"/>
          <w:lang w:val="en-GB"/>
        </w:rPr>
        <w:t xml:space="preserve">bn, EUR </w:t>
      </w:r>
      <w:r w:rsidR="009A608D">
        <w:rPr>
          <w:shd w:val="clear" w:color="auto" w:fill="FFFFFF"/>
          <w:lang w:val="en-GB"/>
        </w:rPr>
        <w:t>22</w:t>
      </w:r>
      <w:r w:rsidRPr="001C578A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bn) in </w:t>
      </w:r>
      <w:r w:rsidR="00BD34DE">
        <w:rPr>
          <w:shd w:val="clear" w:color="auto" w:fill="FFFFFF"/>
          <w:lang w:val="en-GB"/>
        </w:rPr>
        <w:t>2021</w:t>
      </w:r>
      <w:r w:rsidRPr="001C578A">
        <w:rPr>
          <w:shd w:val="clear" w:color="auto" w:fill="FFFFFF"/>
          <w:lang w:val="en-GB"/>
        </w:rPr>
        <w:t>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B00749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56F6FA23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2022 amounted to PLN 30.1 bn (USD 6.8 bn and EUR 6.4 bn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03AF094D" w:rsidR="00B8714D" w:rsidRPr="00C2060C" w:rsidRDefault="00B8714D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2022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30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USD 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8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  <w:r>
                              <w:rPr>
                                <w:lang w:val="en-GB"/>
                              </w:rPr>
                              <w:t>)</w:t>
                            </w:r>
                          </w:p>
                          <w:p w14:paraId="7EF06C86" w14:textId="77777777" w:rsidR="00B8714D" w:rsidRPr="00FB3665" w:rsidRDefault="00B8714D" w:rsidP="00A00ADB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6880433E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B8714D" w:rsidRPr="00DB5C76" w:rsidRDefault="00B87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B8714D" w:rsidRPr="00DB5C76" w:rsidRDefault="00B8714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B050BBD" id="Pole tekstowe 14" o:spid="_x0000_s1031" type="#_x0000_t202" alt="Imports from the United Kingdom in 2022 amounted to PLN 30.1 bn (USD 6.8 bn and EUR 6.4 bn)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" filled="f" stroked="f">
                <v:textbox>
                  <w:txbxContent>
                    <w:p w14:paraId="04279E4C" w14:textId="03AF094D" w:rsidR="00B8714D" w:rsidRPr="00C2060C" w:rsidRDefault="00B8714D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2022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30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C2060C">
                        <w:rPr>
                          <w:lang w:val="en-GB"/>
                        </w:rPr>
                        <w:t xml:space="preserve"> bn </w:t>
                      </w:r>
                      <w:r>
                        <w:rPr>
                          <w:lang w:val="en-GB"/>
                        </w:rPr>
                        <w:t>(</w:t>
                      </w:r>
                      <w:r w:rsidRPr="00C2060C">
                        <w:rPr>
                          <w:lang w:val="en-GB"/>
                        </w:rPr>
                        <w:t xml:space="preserve">USD </w:t>
                      </w:r>
                      <w:r>
                        <w:rPr>
                          <w:lang w:val="en-GB"/>
                        </w:rPr>
                        <w:t>6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8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6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  <w:r>
                        <w:rPr>
                          <w:lang w:val="en-GB"/>
                        </w:rPr>
                        <w:t>)</w:t>
                      </w:r>
                    </w:p>
                    <w:p w14:paraId="7EF06C86" w14:textId="77777777" w:rsidR="00B8714D" w:rsidRPr="00FB3665" w:rsidRDefault="00B8714D" w:rsidP="00A00ADB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</w:p>
                    <w:p w14:paraId="6880433E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B8714D" w:rsidRPr="00DB5C76" w:rsidRDefault="00B87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B8714D" w:rsidRPr="00DB5C76" w:rsidRDefault="00B8714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624A0" w:rsidRPr="00366025" w14:paraId="6E5EE366" w14:textId="77777777" w:rsidTr="009059C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1F58FF" w14:textId="77777777" w:rsidR="00B624A0" w:rsidRPr="000C2149" w:rsidRDefault="00B624A0" w:rsidP="00B624A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A61942" w14:textId="0DC84E32" w:rsidR="00B624A0" w:rsidRPr="000C2149" w:rsidRDefault="00BD34DE" w:rsidP="00A148E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23E507" w14:textId="59D54DE3" w:rsidR="00B624A0" w:rsidRPr="000C2149" w:rsidRDefault="00BD34DE" w:rsidP="00A148E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</w:tcBorders>
            <w:vAlign w:val="center"/>
          </w:tcPr>
          <w:p w14:paraId="1215EE2D" w14:textId="56CD4E0D" w:rsidR="00B624A0" w:rsidRPr="000C2149" w:rsidRDefault="00BD34DE" w:rsidP="00A148E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</w:tr>
      <w:tr w:rsidR="00B624A0" w:rsidRPr="00366025" w14:paraId="416D0BD1" w14:textId="77777777" w:rsidTr="009059C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946C2F4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AB1F111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2A3E13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CEAAA1B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6E5B6234" w14:textId="688798EC" w:rsidR="00B624A0" w:rsidRPr="000C2149" w:rsidRDefault="00BD34DE" w:rsidP="00B624A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  <w:r w:rsidR="00B624A0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2060"/>
            </w:tcBorders>
            <w:vAlign w:val="center"/>
          </w:tcPr>
          <w:p w14:paraId="42D35B94" w14:textId="233C7D3E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624A0" w:rsidRPr="00366025" w14:paraId="2A1461E7" w14:textId="77777777" w:rsidTr="009B2961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F6B1C9B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B352B52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CBA76D" w14:textId="77777777" w:rsidR="00B624A0" w:rsidRPr="000C2149" w:rsidRDefault="00B624A0" w:rsidP="00B624A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E2FB1B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AC813FA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8B31724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98B9832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0B5A8105" w14:textId="766EDB02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624A0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B624A0" w:rsidRPr="00366025" w:rsidRDefault="00B624A0" w:rsidP="00B624A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9A608D" w:rsidRPr="00366025" w14:paraId="03DA5BD7" w14:textId="77777777" w:rsidTr="00A148EC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695B53FE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21E7D08E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450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76B165AB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37DD2D59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96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0FE8D68C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119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07142D18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63B13151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116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4F951DE8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45DAF911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</w:tr>
      <w:tr w:rsidR="009A608D" w:rsidRPr="00366025" w14:paraId="1E9918C5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6F8D34A2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>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02CB3749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34FC8724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6A2EDFF2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225A6B4B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137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1312745E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119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15BF7A4F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134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0D7B00AE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1D6528EC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6</w:t>
            </w:r>
          </w:p>
        </w:tc>
      </w:tr>
      <w:tr w:rsidR="009A608D" w:rsidRPr="00366025" w14:paraId="0F91466E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0E87FB60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3D2D0E70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92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1A0B54AE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39612761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66375662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123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51C3BBF2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7E5FA18B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120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6A9A7747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77383B2E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7</w:t>
            </w:r>
          </w:p>
        </w:tc>
      </w:tr>
      <w:tr w:rsidR="009A608D" w:rsidRPr="00366025" w14:paraId="6C743883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2F546085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0A7B1860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78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7BB5CE52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428B73BF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1FC8F688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119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3E04BD95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61705637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116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318341D6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6A64992E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</w:tr>
      <w:tr w:rsidR="009A608D" w:rsidRPr="00366025" w14:paraId="61021D50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07955C6D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56FCBCAA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74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53B3D32E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46D2EB65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450F3398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130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3F3D5BF7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113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3D6ED76F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127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794A1E5D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="00B8714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0A4E3B55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6</w:t>
            </w:r>
          </w:p>
        </w:tc>
      </w:tr>
      <w:tr w:rsidR="009A608D" w:rsidRPr="00366025" w14:paraId="30F7DF69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08078377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Italy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17CB398B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74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31E34D8A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5E41E78F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12521FF3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121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6D7B3D74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677F3A22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118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1635042F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71636261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6</w:t>
            </w:r>
          </w:p>
        </w:tc>
      </w:tr>
      <w:tr w:rsidR="009A608D" w:rsidRPr="00366025" w14:paraId="41F20A50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0BCDA66E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0EA59A13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6846B524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456314F3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58E2B577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137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3A2BD90E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119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16E54689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134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4973D528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="00B8714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25A2C6BC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608D" w:rsidRPr="00366025" w14:paraId="4E626E87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55C10E3D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026B794E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17D87095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41AF1721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159DD4A7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139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3FAF36A0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121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1487A014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135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64361113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0C2C8EFE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</w:tr>
      <w:tr w:rsidR="009A608D" w:rsidRPr="00366025" w14:paraId="5986B491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0C4532F8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Ukraine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6BB9E848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656502E9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4464D2A7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65F11EEF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159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265286BD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136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1236BF1C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154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29B92BD3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1F251ADD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8</w:t>
            </w:r>
          </w:p>
        </w:tc>
      </w:tr>
      <w:tr w:rsidR="009A608D" w:rsidRPr="00366025" w14:paraId="0EA1EAA4" w14:textId="77777777" w:rsidTr="00A148EC"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FCA0C4C" w14:textId="5E3A7F3D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07E30D99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485425A2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01A02421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6AA0EF8F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118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6A83E02F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103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092B91A0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116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733EB072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7E1F29C0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A608D">
              <w:rPr>
                <w:rFonts w:cs="Calibri"/>
                <w:sz w:val="16"/>
                <w:szCs w:val="16"/>
              </w:rPr>
              <w:t>7</w:t>
            </w:r>
          </w:p>
        </w:tc>
      </w:tr>
      <w:tr w:rsidR="00B624A0" w:rsidRPr="00366025" w14:paraId="1DDB2631" w14:textId="77777777" w:rsidTr="000C2149">
        <w:tc>
          <w:tcPr>
            <w:tcW w:w="8023" w:type="dxa"/>
            <w:gridSpan w:val="9"/>
            <w:vAlign w:val="center"/>
          </w:tcPr>
          <w:p w14:paraId="74B34E98" w14:textId="77777777" w:rsidR="00B624A0" w:rsidRPr="00366025" w:rsidRDefault="00B624A0" w:rsidP="00B624A0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9A608D" w:rsidRPr="00366025" w14:paraId="52AB274A" w14:textId="77777777" w:rsidTr="00A148EC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3F6C6577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5E751BCF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345.3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41B17F07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60127EC5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5F812646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1AB6C54F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7B825DFB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1B942CEC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20.9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7D1D4B36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20.2</w:t>
            </w:r>
          </w:p>
        </w:tc>
      </w:tr>
      <w:tr w:rsidR="009A608D" w:rsidRPr="00366025" w14:paraId="001211A1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4C0B4563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612C0FAA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252.3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2BDBCF74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194A3104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19390B72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021A762D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0B913E3B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35E9F0D8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14.8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4A40A10E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14.7</w:t>
            </w:r>
          </w:p>
        </w:tc>
      </w:tr>
      <w:tr w:rsidR="009A608D" w:rsidRPr="00366025" w14:paraId="31E0EFF9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63A2B2C2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494572DB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1EE2236A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07A63CB7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6F57CED8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23F36665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1D73EAC0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6E25AC1B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5.0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160735D2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4.7</w:t>
            </w:r>
          </w:p>
        </w:tc>
      </w:tr>
      <w:tr w:rsidR="009A608D" w:rsidRPr="00366025" w14:paraId="007D7959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02E19B55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309B15CD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416ADD70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7FD08DE9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1D17F9CB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180.1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33209373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155.9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45F4FCFD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175.9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578D2C6B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3.1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09E77965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4.3</w:t>
            </w:r>
          </w:p>
        </w:tc>
      </w:tr>
      <w:tr w:rsidR="009A608D" w:rsidRPr="00366025" w14:paraId="36C7D93B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46B14325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09F56C0D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3569AE51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6F4293B8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2B034BC9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7EB7DC54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21262BA8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64154AA7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5.9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19C6838A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4.2</w:t>
            </w:r>
          </w:p>
        </w:tc>
      </w:tr>
      <w:tr w:rsidR="009A608D" w:rsidRPr="00366025" w14:paraId="79E0D569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5347F580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745DBD69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49450ABD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0D9DDA5F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53BC7F91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4134A298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2A7826BF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03B1D996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4CD2BAFF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3.8</w:t>
            </w:r>
          </w:p>
        </w:tc>
      </w:tr>
      <w:tr w:rsidR="009A608D" w:rsidRPr="00366025" w14:paraId="0CC70FAD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3DCCD8FD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3A64E46B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2D9DEE3C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27A0C6D5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28E65E2E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3185A9DF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7CAEA5B0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3F1AF4A3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3.2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7F37A0D5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3.1</w:t>
            </w:r>
          </w:p>
        </w:tc>
      </w:tr>
      <w:tr w:rsidR="009A608D" w:rsidRPr="00366025" w14:paraId="75707DBC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AA2122F" w:rsidR="009A608D" w:rsidRPr="00366025" w:rsidRDefault="009A608D" w:rsidP="009A608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76B36103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6C8FB570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40C7E5EB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697C8A24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649A1BE8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779D0EF4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24E178EA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3.3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067B63DA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2.9</w:t>
            </w:r>
          </w:p>
        </w:tc>
      </w:tr>
      <w:tr w:rsidR="009A608D" w:rsidRPr="00025467" w14:paraId="05E48D02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5C31487C" w:rsidR="009A608D" w:rsidRPr="00C448F9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4076D136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51E9023F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13FAF8A5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079DA4D2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43C1B93C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6EDEA432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42910400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281474D0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2.4</w:t>
            </w:r>
          </w:p>
        </w:tc>
      </w:tr>
      <w:tr w:rsidR="009A608D" w:rsidRPr="00025467" w14:paraId="0E840032" w14:textId="77777777" w:rsidTr="00A148EC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5C1CE95C" w:rsidR="009A608D" w:rsidRPr="00782B51" w:rsidRDefault="009A608D" w:rsidP="009A608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1D048EB3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71EB22F1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2AE7DCD0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0480ABE5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1306BE10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5A4586C5" w:rsid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72333F8C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7E04F00C" w:rsidR="009A608D" w:rsidRPr="009A608D" w:rsidRDefault="009A608D" w:rsidP="009A608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A608D">
              <w:rPr>
                <w:rFonts w:cs="Calibri"/>
                <w:sz w:val="16"/>
                <w:szCs w:val="16"/>
              </w:rPr>
              <w:t>2.2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6A0B587D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9A608D">
        <w:rPr>
          <w:shd w:val="clear" w:color="auto" w:fill="FFFFFF"/>
          <w:lang w:val="en-GB"/>
        </w:rPr>
        <w:t>1 229</w:t>
      </w:r>
      <w:r w:rsidRPr="001D7DC0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9A608D">
        <w:rPr>
          <w:shd w:val="clear" w:color="auto" w:fill="FFFFFF"/>
          <w:lang w:val="en-GB"/>
        </w:rPr>
        <w:t>1 097</w:t>
      </w:r>
      <w:r w:rsidRPr="001D7DC0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9A608D">
        <w:rPr>
          <w:shd w:val="clear" w:color="auto" w:fill="FFFFFF"/>
          <w:lang w:val="en-GB"/>
        </w:rPr>
        <w:t>949</w:t>
      </w:r>
      <w:r w:rsidRPr="001D7DC0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9A608D">
        <w:rPr>
          <w:shd w:val="clear" w:color="auto" w:fill="FFFFFF"/>
          <w:lang w:val="en-GB"/>
        </w:rPr>
        <w:t>878</w:t>
      </w:r>
      <w:r w:rsidRPr="001D7DC0">
        <w:rPr>
          <w:shd w:val="clear" w:color="auto" w:fill="FFFFFF"/>
          <w:lang w:val="en-GB"/>
        </w:rPr>
        <w:t>.</w:t>
      </w:r>
      <w:r w:rsidR="009A608D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bn in </w:t>
      </w:r>
      <w:r w:rsidR="00BD34DE">
        <w:rPr>
          <w:shd w:val="clear" w:color="auto" w:fill="FFFFFF"/>
          <w:lang w:val="en-GB"/>
        </w:rPr>
        <w:t>2021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D839AB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B624A0" w:rsidRPr="00B501D7" w14:paraId="0024AEC9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1D80F12" w14:textId="77777777" w:rsidR="00B624A0" w:rsidRPr="008848F4" w:rsidRDefault="00B624A0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8C72239" w14:textId="0E815541" w:rsidR="00B624A0" w:rsidRPr="008848F4" w:rsidRDefault="00BD34DE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5A78A1C6" w14:textId="56DC7B1D" w:rsidR="00B624A0" w:rsidRPr="008848F4" w:rsidRDefault="00BD34DE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60E30431" w14:textId="11B4693F" w:rsidR="00B624A0" w:rsidRPr="008848F4" w:rsidRDefault="00BD34DE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</w:tr>
      <w:tr w:rsidR="00B624A0" w:rsidRPr="0051165C" w14:paraId="708147E4" w14:textId="77777777" w:rsidTr="009B296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A52067A" w14:textId="77777777" w:rsidR="00B624A0" w:rsidRPr="008848F4" w:rsidRDefault="00B624A0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7CF254D" w14:textId="77777777" w:rsidR="00B624A0" w:rsidRPr="008848F4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B624A0" w:rsidRPr="000C2149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E3257D4" w14:textId="77777777" w:rsidR="00B624A0" w:rsidRPr="000C2149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C6028EC" w14:textId="77777777" w:rsidR="00B624A0" w:rsidRPr="000C2149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00EB575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F542D88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63A70E" w14:textId="3B955E5A" w:rsidR="00B624A0" w:rsidRPr="000C2149" w:rsidRDefault="00BD34DE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  <w:r w:rsidR="00B624A0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790C8618" w14:textId="095C5564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624A0" w:rsidRPr="0051165C" w14:paraId="45B72503" w14:textId="77777777" w:rsidTr="009B296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AFFBBA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C58D8D3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82F0B8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559830F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605A37A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5D4EAB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39FDDAC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3707EA60" w14:textId="3951920A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0111" w:rsidRPr="0051165C" w14:paraId="684437F1" w14:textId="77777777" w:rsidTr="00A148EC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8B0111" w:rsidRPr="00A00ADB" w:rsidRDefault="008B0111" w:rsidP="008B01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050F" w14:textId="49E8DCB7" w:rsidR="008B0111" w:rsidRPr="008B0111" w:rsidRDefault="008B0111" w:rsidP="008B011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B0111">
              <w:rPr>
                <w:rFonts w:cs="Calibri"/>
                <w:b/>
                <w:bCs/>
                <w:sz w:val="16"/>
                <w:szCs w:val="16"/>
              </w:rPr>
              <w:t>1711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8B0111">
              <w:rPr>
                <w:rFonts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F7A0" w14:textId="095F4577" w:rsidR="008B0111" w:rsidRPr="008B0111" w:rsidRDefault="008B0111" w:rsidP="008B01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B0111">
              <w:rPr>
                <w:rFonts w:cs="Calibri"/>
                <w:b/>
                <w:bCs/>
                <w:sz w:val="16"/>
                <w:szCs w:val="16"/>
              </w:rPr>
              <w:t>387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8B0111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939C" w14:textId="2A1C4734" w:rsidR="008B0111" w:rsidRPr="008B0111" w:rsidRDefault="008B0111" w:rsidP="008B01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B0111">
              <w:rPr>
                <w:rFonts w:cs="Calibri"/>
                <w:b/>
                <w:bCs/>
                <w:sz w:val="16"/>
                <w:szCs w:val="16"/>
              </w:rPr>
              <w:t>366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8B0111">
              <w:rPr>
                <w:rFonts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A363" w14:textId="6982C2EB" w:rsidR="008B0111" w:rsidRPr="008B0111" w:rsidRDefault="008B0111" w:rsidP="008B011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B0111">
              <w:rPr>
                <w:rFonts w:cs="Calibri"/>
                <w:b/>
                <w:bCs/>
                <w:sz w:val="16"/>
                <w:szCs w:val="16"/>
              </w:rPr>
              <w:t xml:space="preserve">  129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8B0111">
              <w:rPr>
                <w:rFonts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CD07" w14:textId="3E039C22" w:rsidR="008B0111" w:rsidRPr="008B0111" w:rsidRDefault="008B0111" w:rsidP="008B011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B0111">
              <w:rPr>
                <w:rFonts w:cs="Calibri"/>
                <w:b/>
                <w:bCs/>
                <w:sz w:val="16"/>
                <w:szCs w:val="16"/>
              </w:rPr>
              <w:t xml:space="preserve">  112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8B0111">
              <w:rPr>
                <w:rFonts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6AFF" w14:textId="58E596B7" w:rsidR="008B0111" w:rsidRPr="008B0111" w:rsidRDefault="008B0111" w:rsidP="008B011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B0111">
              <w:rPr>
                <w:rFonts w:cs="Calibri"/>
                <w:b/>
                <w:bCs/>
                <w:sz w:val="16"/>
                <w:szCs w:val="16"/>
              </w:rPr>
              <w:t xml:space="preserve">  126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8B0111">
              <w:rPr>
                <w:rFonts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03A" w14:textId="29250F34" w:rsidR="008B0111" w:rsidRPr="008B0111" w:rsidRDefault="008B0111" w:rsidP="008B0111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B0111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8B0111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8E7DF" w14:textId="5BDEC19B" w:rsidR="008B0111" w:rsidRPr="008B0111" w:rsidRDefault="008B0111" w:rsidP="008B0111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8B0111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8B0111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</w:tr>
      <w:tr w:rsidR="008B0111" w:rsidRPr="00D9471B" w14:paraId="232345C9" w14:textId="77777777" w:rsidTr="00A148EC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301E7" w14:textId="77777777" w:rsidR="008B0111" w:rsidRPr="0051165C" w:rsidRDefault="008B0111" w:rsidP="008B01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0CBD3C" w14:textId="6A1D72BB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1229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450C2" w14:textId="2803EFFB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277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5AF186" w14:textId="1AD379AB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263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093B8" w14:textId="22224BD7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129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5FE537" w14:textId="39DE9993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112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E953FB" w14:textId="12DFEED1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126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7BEB1" w14:textId="3C738CA8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71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6B658B" w14:textId="5367F42B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71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9</w:t>
            </w:r>
          </w:p>
        </w:tc>
      </w:tr>
      <w:tr w:rsidR="008B0111" w:rsidRPr="00FA00B8" w14:paraId="3263382C" w14:textId="77777777" w:rsidTr="00A148EC">
        <w:trPr>
          <w:trHeight w:val="342"/>
        </w:trPr>
        <w:tc>
          <w:tcPr>
            <w:tcW w:w="223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8B0111" w:rsidRPr="0051165C" w:rsidRDefault="008B0111" w:rsidP="008B011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18C873BA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1097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41232AC9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248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4B82983B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234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471F672B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125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2F658DFD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108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640015DB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122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05B9FC46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66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3852C4FC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64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1</w:t>
            </w:r>
          </w:p>
        </w:tc>
      </w:tr>
      <w:tr w:rsidR="008B0111" w:rsidRPr="00FA00B8" w14:paraId="6ADD21EF" w14:textId="77777777" w:rsidTr="00A148EC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8B0111" w:rsidRPr="00FA00B8" w:rsidRDefault="008B0111" w:rsidP="008B01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0F0F598E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922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10D2C2D5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208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273D9337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197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014247F4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123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325F8C8B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107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7D7485FC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121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47BE158C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56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51FC5670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53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9</w:t>
            </w:r>
          </w:p>
        </w:tc>
      </w:tr>
      <w:tr w:rsidR="008B0111" w:rsidRPr="0051165C" w14:paraId="21016E56" w14:textId="77777777" w:rsidTr="00A148EC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8B0111" w:rsidRPr="00FA00B8" w:rsidRDefault="008B0111" w:rsidP="008B01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315A5806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374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134E36AF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84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6F56C703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80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63145540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140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01EE346D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122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6EBED632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137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7E681011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20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4152EF77" w:rsidR="008B0111" w:rsidRPr="008B0111" w:rsidRDefault="008B0111" w:rsidP="008B011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21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9</w:t>
            </w:r>
          </w:p>
        </w:tc>
      </w:tr>
      <w:tr w:rsidR="008B0111" w:rsidRPr="0051165C" w14:paraId="7005C847" w14:textId="77777777" w:rsidTr="00A148EC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8B0111" w:rsidRPr="00BA58B2" w:rsidRDefault="008B0111" w:rsidP="008B01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5AAE27F7" w:rsidR="008B0111" w:rsidRPr="008B0111" w:rsidRDefault="008B0111" w:rsidP="008B01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107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4486B8D4" w:rsidR="008B0111" w:rsidRPr="008B0111" w:rsidRDefault="008B0111" w:rsidP="008B01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24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248F8B94" w:rsidR="008B0111" w:rsidRPr="008B0111" w:rsidRDefault="008B0111" w:rsidP="008B01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23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0AD95567" w:rsidR="008B0111" w:rsidRPr="008B0111" w:rsidRDefault="008B0111" w:rsidP="008B01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 100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037989A5" w:rsidR="008B0111" w:rsidRPr="008B0111" w:rsidRDefault="008B0111" w:rsidP="008B01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89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31FEFE56" w:rsidR="008B0111" w:rsidRPr="008B0111" w:rsidRDefault="008B0111" w:rsidP="008B01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>98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493BD96C" w:rsidR="008B0111" w:rsidRPr="008B0111" w:rsidRDefault="008B0111" w:rsidP="008B01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5B71C192" w:rsidR="008B0111" w:rsidRPr="008B0111" w:rsidRDefault="008B0111" w:rsidP="008B01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B0111">
              <w:rPr>
                <w:rFonts w:cs="Calibri"/>
                <w:sz w:val="16"/>
                <w:szCs w:val="16"/>
              </w:rPr>
              <w:t xml:space="preserve"> 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8B0111">
              <w:rPr>
                <w:rFonts w:cs="Calibri"/>
                <w:sz w:val="16"/>
                <w:szCs w:val="16"/>
              </w:rPr>
              <w:t>2</w:t>
            </w:r>
          </w:p>
        </w:tc>
      </w:tr>
      <w:tr w:rsidR="008B0111" w:rsidRPr="0051165C" w14:paraId="7C5BD268" w14:textId="77777777" w:rsidTr="00A148EC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8B0111" w:rsidRPr="0051165C" w:rsidRDefault="008B0111" w:rsidP="008B011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14C2B7D2" w:rsidR="008B0111" w:rsidRDefault="008B0111" w:rsidP="008B011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-93.2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21520AD5" w:rsidR="008B0111" w:rsidRDefault="008B0111" w:rsidP="008B011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-21.2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4C942CDB" w:rsidR="008B0111" w:rsidRDefault="008B0111" w:rsidP="008B011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-20.0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2BE4E1D6" w:rsidR="008B0111" w:rsidRPr="00C36D99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71B8955F" w:rsidR="008B0111" w:rsidRPr="00C36D99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3914108A" w:rsidR="008B0111" w:rsidRPr="00957699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006DE378" w:rsidR="008B0111" w:rsidRPr="00957699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58802187" w:rsidR="008B0111" w:rsidRPr="00957699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8B0111" w:rsidRPr="0051165C" w14:paraId="7E1667D2" w14:textId="77777777" w:rsidTr="00A148EC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8B0111" w:rsidRPr="0051165C" w:rsidRDefault="008B0111" w:rsidP="008B01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1D3ACAF5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182.5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666EEA6F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3E0B4045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52FB7469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0D656BF6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10540CF9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3C875B69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09E94316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8B0111" w:rsidRPr="0051165C" w14:paraId="084E8084" w14:textId="77777777" w:rsidTr="00A148EC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8B0111" w:rsidRPr="0051165C" w:rsidRDefault="008B0111" w:rsidP="008B011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29F678C3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2965A4D1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6B4C43FB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30692E88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6072EFB0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311DD9A1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73B34D6B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6F58BBA6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8B0111" w:rsidRPr="0051165C" w14:paraId="3D5F8544" w14:textId="77777777" w:rsidTr="00A148EC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8B0111" w:rsidRPr="0051165C" w:rsidRDefault="008B0111" w:rsidP="008B01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08D98F14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06769E28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3F36F475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14C93D11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E4F4F96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7D10DB4D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208A0357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671F41D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8B0111" w:rsidRPr="0051165C" w14:paraId="45847327" w14:textId="77777777" w:rsidTr="00A148EC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8B0111" w:rsidRPr="0051165C" w:rsidRDefault="008B0111" w:rsidP="008B01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3A23F6AE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-247.3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7DB39273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-55.6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243BE56B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61365EFA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1114B885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4EC2877B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497237E2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71818EE0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8B0111" w:rsidRPr="0051165C" w14:paraId="3277A872" w14:textId="77777777" w:rsidTr="00932265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8B0111" w:rsidRPr="00BA58B2" w:rsidRDefault="008B0111" w:rsidP="008B01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420B18A8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-28.3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0D48259B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18509736" w:rsidR="008B0111" w:rsidRDefault="008B0111" w:rsidP="008B011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1B5EC2BF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4B2E1545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19D35552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61CC1856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608915" w14:textId="28458C13" w:rsidR="008B0111" w:rsidRPr="00351E9F" w:rsidRDefault="008B0111" w:rsidP="008B0111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624A0" w:rsidRPr="00366025" w14:paraId="46AF3917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385F1A2" w14:textId="77777777" w:rsidR="00B624A0" w:rsidRPr="000C2149" w:rsidRDefault="00B624A0" w:rsidP="00B624A0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493B3FC" w14:textId="2ABD658E" w:rsidR="00B624A0" w:rsidRPr="000C2149" w:rsidRDefault="00BD34DE" w:rsidP="00B624A0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6CA61D" w14:textId="0AF89E68" w:rsidR="00B624A0" w:rsidRPr="000C2149" w:rsidRDefault="00BD34DE" w:rsidP="00B624A0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02D58A9" w14:textId="404A83D6" w:rsidR="00B624A0" w:rsidRPr="000C2149" w:rsidRDefault="00BD34DE" w:rsidP="00B624A0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</w:tr>
      <w:tr w:rsidR="00B624A0" w:rsidRPr="00366025" w14:paraId="1CDF10F7" w14:textId="77777777" w:rsidTr="009B2961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2DFE32" w14:textId="77777777" w:rsidR="00B624A0" w:rsidRPr="000C2149" w:rsidRDefault="00B624A0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E7DB202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F4BC978" w14:textId="77777777" w:rsidR="00B624A0" w:rsidRPr="000C2149" w:rsidRDefault="00B624A0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624A0" w:rsidRPr="000C2149" w:rsidRDefault="00B624A0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1D55409" w14:textId="77777777" w:rsidR="00B624A0" w:rsidRPr="000C2149" w:rsidRDefault="00B624A0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624A0" w:rsidRPr="000C2149" w:rsidRDefault="00B624A0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7A1AFA9" w14:textId="31751B04" w:rsidR="00B624A0" w:rsidRPr="000C2149" w:rsidRDefault="00BD34DE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  <w:r w:rsidR="00B624A0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30DCACD4" w14:textId="1E746CC1" w:rsidR="00B624A0" w:rsidRPr="000C2149" w:rsidRDefault="00B624A0" w:rsidP="009B2961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624A0" w:rsidRPr="00366025" w14:paraId="3E9A74BF" w14:textId="77777777" w:rsidTr="009B2961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9AA64D" w14:textId="77777777" w:rsidR="00B624A0" w:rsidRPr="000C2149" w:rsidRDefault="00B624A0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BEAB842" w14:textId="77777777" w:rsidR="00B624A0" w:rsidRPr="000C2149" w:rsidRDefault="00B624A0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6AB7F1C" w14:textId="77777777" w:rsidR="00B624A0" w:rsidRPr="000C2149" w:rsidRDefault="00B624A0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384BC8" w14:textId="77777777" w:rsidR="00B624A0" w:rsidRPr="000C2149" w:rsidRDefault="00B624A0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6C02619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482833E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DF1CC98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2042D2B7" w14:textId="2037F9BC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6514D8" w:rsidRPr="00366025" w14:paraId="11B4C489" w14:textId="77777777" w:rsidTr="00A148EC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0D369FDD" w:rsidR="006514D8" w:rsidRPr="0038490F" w:rsidRDefault="006514D8" w:rsidP="006514D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33FCCD87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436.6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43B3CECC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98.8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02A37568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93.4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2FBD70BE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124.9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7F7F6FD9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108.7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3A402682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122.0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32235404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26.4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0C18B212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25.5</w:t>
            </w:r>
          </w:p>
        </w:tc>
      </w:tr>
      <w:tr w:rsidR="006514D8" w:rsidRPr="00366025" w14:paraId="6D0EE025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5AFDD2E0" w:rsidR="006514D8" w:rsidRPr="0038490F" w:rsidRDefault="006514D8" w:rsidP="006514D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402FEB4A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161.9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1DFD8256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36.5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735B0D66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34.6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25BF4A59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124.9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6725AF33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108.8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61093B45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122.1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6A9B6CAA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9.8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33A65E65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9.5</w:t>
            </w:r>
          </w:p>
        </w:tc>
      </w:tr>
      <w:tr w:rsidR="006514D8" w:rsidRPr="00366025" w14:paraId="363D4F13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2CDDD95B" w:rsidR="006514D8" w:rsidRPr="0038490F" w:rsidRDefault="006514D8" w:rsidP="006514D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1E3832E6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108.1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05560F23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24.4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03D0E9FF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23.1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1CA5E53A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126.1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75CB4E18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109.6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2C4D08FC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123.2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1BE5BE88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6.5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287C6320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6.3</w:t>
            </w:r>
          </w:p>
        </w:tc>
      </w:tr>
      <w:tr w:rsidR="006514D8" w:rsidRPr="00366025" w14:paraId="61BB8B73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08C7B69C" w:rsidR="006514D8" w:rsidRPr="0038490F" w:rsidRDefault="006514D8" w:rsidP="006514D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 Italy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08119213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81.4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7A69C10E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18.5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5B6836DE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17.4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567FC57B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121.3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54AB92F2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105.7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59DA6844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118.6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44760B2E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5.1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7CD68A4E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4.8</w:t>
            </w:r>
          </w:p>
        </w:tc>
      </w:tr>
      <w:tr w:rsidR="006514D8" w:rsidRPr="00366025" w14:paraId="655D5B60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72CA680B" w:rsidR="006514D8" w:rsidRPr="0038490F" w:rsidRDefault="006514D8" w:rsidP="006514D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Russia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780172BE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71.5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7A129242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16.7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54AF4BA0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15.4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4F57D7B3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91.7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6AE0C0AC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82.8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4EB303E5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90.5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2DC40E28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5.9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58858F82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4.2</w:t>
            </w:r>
          </w:p>
        </w:tc>
      </w:tr>
      <w:tr w:rsidR="006514D8" w:rsidRPr="00366025" w14:paraId="3B24B404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2DE19F7F" w:rsidR="006514D8" w:rsidRPr="0038490F" w:rsidRDefault="006514D8" w:rsidP="006514D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 Czechia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0EB72788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64.0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3FF9D94C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14.5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225AC2F6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13.7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13356DAC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129.6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0B8C8B01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112.7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5E905297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126.6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34BC3571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3.7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44191E36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3.7</w:t>
            </w:r>
          </w:p>
        </w:tc>
      </w:tr>
      <w:tr w:rsidR="006514D8" w:rsidRPr="00366025" w14:paraId="3256B01B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1086EEEF" w:rsidR="006514D8" w:rsidRPr="0038490F" w:rsidRDefault="006514D8" w:rsidP="006514D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716D0009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63.4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183187EE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14.4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7526ADF0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13.6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5C8F5F1C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126.7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5EE655D2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110.3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0B1C28B5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123.8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3C9F76D0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5FAB3DC7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3.7</w:t>
            </w:r>
          </w:p>
        </w:tc>
      </w:tr>
      <w:tr w:rsidR="006514D8" w:rsidRPr="00366025" w14:paraId="5922DD04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6B56D53F" w:rsidR="006514D8" w:rsidRPr="0038490F" w:rsidRDefault="006514D8" w:rsidP="006514D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5FB25BB0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58.5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03F59F7B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13.3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27DEE53E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6E216C8D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114.4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3CB86A9B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99.7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3D1E8B5D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111.8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2A1F6D04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3.9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06D38F31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3.4</w:t>
            </w:r>
          </w:p>
        </w:tc>
      </w:tr>
      <w:tr w:rsidR="006514D8" w:rsidRPr="00366025" w14:paraId="5370525D" w14:textId="77777777" w:rsidTr="00A148E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76108F25" w:rsidR="006514D8" w:rsidRPr="0038490F" w:rsidRDefault="006514D8" w:rsidP="006514D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2600BA60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55.3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22EAAA66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12.4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1E215A4D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11.8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7C08C483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238.3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64457841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206.3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5E66872F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232.7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6F35ECA0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2628A971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3.2</w:t>
            </w:r>
          </w:p>
        </w:tc>
      </w:tr>
      <w:tr w:rsidR="006514D8" w:rsidRPr="00366025" w14:paraId="7A056665" w14:textId="77777777" w:rsidTr="00A148EC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71C82DA5" w:rsidR="006514D8" w:rsidRPr="0038490F" w:rsidRDefault="006514D8" w:rsidP="006514D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6EDEB4FB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36.5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3FF439A3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8.3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09365693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7.8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23F105FF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116.8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70764AFB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101.7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528C018C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114.2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65F2A473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7A059EB1" w:rsidR="006514D8" w:rsidRPr="006514D8" w:rsidRDefault="006514D8" w:rsidP="006514D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514D8">
              <w:rPr>
                <w:rFonts w:cs="Calibri"/>
                <w:sz w:val="16"/>
                <w:szCs w:val="16"/>
              </w:rPr>
              <w:t>2.1</w:t>
            </w:r>
          </w:p>
        </w:tc>
      </w:tr>
    </w:tbl>
    <w:p w14:paraId="3C361AF1" w14:textId="77777777" w:rsidR="0038490F" w:rsidRPr="00B5363E" w:rsidRDefault="0038490F" w:rsidP="001D7DC0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</w:t>
      </w:r>
      <w:r w:rsidR="003F16AB" w:rsidRPr="00B5363E">
        <w:rPr>
          <w:rFonts w:ascii="Fira Sans" w:hAnsi="Fira Sans"/>
          <w:b/>
          <w:szCs w:val="19"/>
          <w:lang w:val="en-GB"/>
        </w:rPr>
        <w:t>s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by country of consignment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– countries</w:t>
      </w:r>
    </w:p>
    <w:p w14:paraId="56DE3500" w14:textId="526FE54B" w:rsidR="00E73C91" w:rsidRPr="001D7DC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437808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8B0111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6514D8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6514D8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</w:t>
      </w:r>
      <w:r w:rsidR="006514D8" w:rsidRPr="00437808">
        <w:rPr>
          <w:shd w:val="clear" w:color="auto" w:fill="FFFFFF"/>
          <w:lang w:val="en-GB"/>
        </w:rPr>
        <w:t xml:space="preserve">Czechia </w:t>
      </w:r>
      <w:r w:rsidR="006514D8" w:rsidRPr="001D7DC0">
        <w:rPr>
          <w:shd w:val="clear" w:color="auto" w:fill="FFFFFF"/>
          <w:lang w:val="en-GB"/>
        </w:rPr>
        <w:t>by 0.</w:t>
      </w:r>
      <w:r w:rsidR="006514D8">
        <w:rPr>
          <w:shd w:val="clear" w:color="auto" w:fill="FFFFFF"/>
          <w:lang w:val="en-GB"/>
        </w:rPr>
        <w:t>6</w:t>
      </w:r>
      <w:r w:rsidR="006514D8" w:rsidRPr="001D7DC0">
        <w:rPr>
          <w:shd w:val="clear" w:color="auto" w:fill="FFFFFF"/>
          <w:lang w:val="en-GB"/>
        </w:rPr>
        <w:t xml:space="preserve"> pp</w:t>
      </w:r>
      <w:r w:rsidR="006514D8">
        <w:rPr>
          <w:shd w:val="clear" w:color="auto" w:fill="FFFFFF"/>
          <w:lang w:val="en-GB"/>
        </w:rPr>
        <w:t xml:space="preserve"> and</w:t>
      </w:r>
      <w:r w:rsidR="006514D8" w:rsidRPr="001D7DC0">
        <w:rPr>
          <w:shd w:val="clear" w:color="auto" w:fill="FFFFFF"/>
          <w:lang w:val="en-GB"/>
        </w:rPr>
        <w:t xml:space="preserve"> </w:t>
      </w:r>
      <w:r w:rsidR="00437808" w:rsidRPr="001D7DC0">
        <w:rPr>
          <w:shd w:val="clear" w:color="auto" w:fill="FFFFFF"/>
          <w:lang w:val="en-GB"/>
        </w:rPr>
        <w:t xml:space="preserve">France </w:t>
      </w:r>
      <w:r w:rsidRPr="001D7DC0">
        <w:rPr>
          <w:shd w:val="clear" w:color="auto" w:fill="FFFFFF"/>
          <w:lang w:val="en-GB"/>
        </w:rPr>
        <w:t>by 0.</w:t>
      </w:r>
      <w:r w:rsidR="006514D8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pp. </w:t>
      </w:r>
    </w:p>
    <w:p w14:paraId="5BC38F73" w14:textId="3F0345FD" w:rsidR="00546F85" w:rsidRPr="00B5363E" w:rsidRDefault="000B741F" w:rsidP="001D7DC0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688681E2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2022 according by country of con-signment in comparison with imports by country of origin was lower by 5.2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47FE1FBE" w:rsidR="00B8714D" w:rsidRPr="001D7DC0" w:rsidRDefault="00B8714D" w:rsidP="00C0310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2022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093ACDD4" w14:textId="77777777" w:rsidR="00B8714D" w:rsidRPr="00193D62" w:rsidRDefault="00B87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B8714D" w:rsidRPr="00193D62" w:rsidRDefault="00B87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B8714D" w:rsidRPr="00193D62" w:rsidRDefault="00B87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B8714D" w:rsidRPr="00193D62" w:rsidRDefault="00B87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B8714D" w:rsidRPr="00193D62" w:rsidRDefault="00B87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B8714D" w:rsidRPr="00193D62" w:rsidRDefault="00B87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B8714D" w:rsidRPr="00193D62" w:rsidRDefault="00B87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B8714D" w:rsidRPr="00193D62" w:rsidRDefault="00B87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B8714D" w:rsidRPr="00193D62" w:rsidRDefault="00B87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B8714D" w:rsidRPr="00193D62" w:rsidRDefault="00B87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B8714D" w:rsidRPr="00193D62" w:rsidRDefault="00B87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B8714D" w:rsidRPr="00193D62" w:rsidRDefault="00B8714D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4C55A9" id="Pole tekstowe 32" o:spid="_x0000_s1032" type="#_x0000_t202" alt="Imports from China in 2022 according by country of con-signment in comparison with imports by country of origin was lower by 5.2 pp" style="position:absolute;margin-left:458.35pt;margin-top:10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" filled="f" stroked="f">
                <v:textbox>
                  <w:txbxContent>
                    <w:p w14:paraId="3F49B1E7" w14:textId="47FE1FBE" w:rsidR="00B8714D" w:rsidRPr="001D7DC0" w:rsidRDefault="00B8714D" w:rsidP="00C0310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2022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093ACDD4" w14:textId="77777777" w:rsidR="00B8714D" w:rsidRPr="00193D62" w:rsidRDefault="00B87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B8714D" w:rsidRPr="00193D62" w:rsidRDefault="00B87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B8714D" w:rsidRPr="00193D62" w:rsidRDefault="00B87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B8714D" w:rsidRPr="00193D62" w:rsidRDefault="00B87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B8714D" w:rsidRPr="00193D62" w:rsidRDefault="00B87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B8714D" w:rsidRPr="00193D62" w:rsidRDefault="00B87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B8714D" w:rsidRPr="00193D62" w:rsidRDefault="00B87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B8714D" w:rsidRPr="00193D62" w:rsidRDefault="00B87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B8714D" w:rsidRPr="00193D62" w:rsidRDefault="00B87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B8714D" w:rsidRPr="00193D62" w:rsidRDefault="00B87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B8714D" w:rsidRPr="00193D62" w:rsidRDefault="00B87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B8714D" w:rsidRPr="00193D62" w:rsidRDefault="00B8714D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B5363E">
        <w:rPr>
          <w:lang w:val="en-GB"/>
        </w:rPr>
        <w:t xml:space="preserve">Table 4. Imports by country of consignment – countries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5F800072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 xml:space="preserve">In </w:t>
      </w:r>
      <w:r w:rsidR="00BD34DE">
        <w:rPr>
          <w:shd w:val="clear" w:color="auto" w:fill="FFFFFF"/>
          <w:lang w:val="en-GB"/>
        </w:rPr>
        <w:t>2022</w:t>
      </w:r>
      <w:r w:rsidR="00437808">
        <w:rPr>
          <w:shd w:val="clear" w:color="auto" w:fill="FFFFFF"/>
          <w:lang w:val="en-GB"/>
        </w:rPr>
        <w:t>,</w:t>
      </w:r>
      <w:r>
        <w:rPr>
          <w:shd w:val="clear" w:color="auto" w:fill="FFFFFF"/>
          <w:lang w:val="en-GB"/>
        </w:rPr>
        <w:t xml:space="preserve"> </w:t>
      </w:r>
      <w:r w:rsidRPr="006D21E6">
        <w:rPr>
          <w:shd w:val="clear" w:color="auto" w:fill="FFFFFF"/>
          <w:lang w:val="en-GB"/>
        </w:rPr>
        <w:t xml:space="preserve">trade turnover in goods according to the SITC nomenclature compared to the same period of </w:t>
      </w:r>
      <w:r w:rsidR="00BD34DE">
        <w:rPr>
          <w:shd w:val="clear" w:color="auto" w:fill="FFFFFF"/>
          <w:lang w:val="en-GB"/>
        </w:rPr>
        <w:t>2021</w:t>
      </w:r>
      <w:r>
        <w:rPr>
          <w:shd w:val="clear" w:color="auto" w:fill="FFFFFF"/>
          <w:lang w:val="en-GB"/>
        </w:rPr>
        <w:t xml:space="preserve">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5A948294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C44F6C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C44F6C">
        <w:rPr>
          <w:spacing w:val="-2"/>
          <w:shd w:val="clear" w:color="auto" w:fill="FFFFFF"/>
          <w:lang w:val="en-GB"/>
        </w:rPr>
        <w:t>131</w:t>
      </w:r>
      <w:r w:rsidR="00C44F6C" w:rsidRPr="00FA7066">
        <w:rPr>
          <w:spacing w:val="-2"/>
          <w:shd w:val="clear" w:color="auto" w:fill="FFFFFF"/>
          <w:lang w:val="en-GB"/>
        </w:rPr>
        <w:t>.</w:t>
      </w:r>
      <w:r w:rsidR="006B1684">
        <w:rPr>
          <w:spacing w:val="-2"/>
          <w:shd w:val="clear" w:color="auto" w:fill="FFFFFF"/>
          <w:lang w:val="en-GB"/>
        </w:rPr>
        <w:t>3</w:t>
      </w:r>
      <w:r w:rsidR="00C44F6C" w:rsidRPr="00FA7066">
        <w:rPr>
          <w:spacing w:val="-2"/>
          <w:shd w:val="clear" w:color="auto" w:fill="FFFFFF"/>
          <w:lang w:val="en-GB"/>
        </w:rPr>
        <w:t xml:space="preserve">%), </w:t>
      </w:r>
      <w:r w:rsidR="00437808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C44F6C">
        <w:rPr>
          <w:spacing w:val="-2"/>
          <w:shd w:val="clear" w:color="auto" w:fill="FFFFFF"/>
          <w:lang w:val="en-GB"/>
        </w:rPr>
        <w:t>122</w:t>
      </w:r>
      <w:r w:rsidR="00437808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4</w:t>
      </w:r>
      <w:r w:rsidR="00437808" w:rsidRPr="00FA7066">
        <w:rPr>
          <w:spacing w:val="-2"/>
          <w:shd w:val="clear" w:color="auto" w:fill="FFFFFF"/>
          <w:lang w:val="en-GB"/>
        </w:rPr>
        <w:t xml:space="preserve">%), animal and vegetable oils, fats and waxes (by </w:t>
      </w:r>
      <w:r w:rsidR="00C44F6C">
        <w:rPr>
          <w:spacing w:val="-2"/>
          <w:shd w:val="clear" w:color="auto" w:fill="FFFFFF"/>
          <w:lang w:val="en-GB"/>
        </w:rPr>
        <w:t>98</w:t>
      </w:r>
      <w:r w:rsidR="00437808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9</w:t>
      </w:r>
      <w:r w:rsidR="00437808" w:rsidRPr="00FA7066">
        <w:rPr>
          <w:spacing w:val="-2"/>
          <w:shd w:val="clear" w:color="auto" w:fill="FFFFFF"/>
          <w:lang w:val="en-GB"/>
        </w:rPr>
        <w:t xml:space="preserve">%), </w:t>
      </w:r>
      <w:r w:rsidR="00C44F6C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C44F6C">
        <w:rPr>
          <w:spacing w:val="-2"/>
          <w:shd w:val="clear" w:color="auto" w:fill="FFFFFF"/>
          <w:lang w:val="en-GB"/>
        </w:rPr>
        <w:t>32</w:t>
      </w:r>
      <w:r w:rsidR="00C44F6C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6</w:t>
      </w:r>
      <w:r w:rsidR="00C44F6C" w:rsidRPr="00FA7066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C44F6C">
        <w:rPr>
          <w:spacing w:val="-2"/>
          <w:shd w:val="clear" w:color="auto" w:fill="FFFFFF"/>
          <w:lang w:val="en-GB"/>
        </w:rPr>
        <w:t>24</w:t>
      </w:r>
      <w:r w:rsidR="00C44F6C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2</w:t>
      </w:r>
      <w:r w:rsidR="00C44F6C" w:rsidRPr="00FA7066">
        <w:rPr>
          <w:spacing w:val="-2"/>
          <w:shd w:val="clear" w:color="auto" w:fill="FFFFFF"/>
          <w:lang w:val="en-GB"/>
        </w:rPr>
        <w:t>%), manufactured goods classified chiefly by material (by 2</w:t>
      </w:r>
      <w:r w:rsidR="00C44F6C">
        <w:rPr>
          <w:spacing w:val="-2"/>
          <w:shd w:val="clear" w:color="auto" w:fill="FFFFFF"/>
          <w:lang w:val="en-GB"/>
        </w:rPr>
        <w:t>1</w:t>
      </w:r>
      <w:r w:rsidR="00C44F6C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9</w:t>
      </w:r>
      <w:r w:rsidR="00C44F6C" w:rsidRPr="00FA7066">
        <w:rPr>
          <w:spacing w:val="-2"/>
          <w:shd w:val="clear" w:color="auto" w:fill="FFFFFF"/>
          <w:lang w:val="en-GB"/>
        </w:rPr>
        <w:t>%),</w:t>
      </w:r>
      <w:r w:rsidR="00C44F6C">
        <w:rPr>
          <w:spacing w:val="-2"/>
          <w:shd w:val="clear" w:color="auto" w:fill="FFFFFF"/>
          <w:lang w:val="en-GB"/>
        </w:rPr>
        <w:t xml:space="preserve"> </w:t>
      </w:r>
      <w:r w:rsidR="00C44F6C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C44F6C">
        <w:rPr>
          <w:spacing w:val="-2"/>
          <w:shd w:val="clear" w:color="auto" w:fill="FFFFFF"/>
          <w:lang w:val="en-GB"/>
        </w:rPr>
        <w:t>19</w:t>
      </w:r>
      <w:r w:rsidR="00C44F6C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2</w:t>
      </w:r>
      <w:r w:rsidR="00C44F6C" w:rsidRPr="00FA7066">
        <w:rPr>
          <w:spacing w:val="-2"/>
          <w:shd w:val="clear" w:color="auto" w:fill="FFFFFF"/>
          <w:lang w:val="en-GB"/>
        </w:rPr>
        <w:t>%</w:t>
      </w:r>
      <w:r w:rsidR="00C44F6C">
        <w:rPr>
          <w:spacing w:val="-2"/>
          <w:shd w:val="clear" w:color="auto" w:fill="FFFFFF"/>
          <w:lang w:val="en-GB"/>
        </w:rPr>
        <w:t xml:space="preserve">), </w:t>
      </w:r>
      <w:r w:rsidR="00437808" w:rsidRPr="00437808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C44F6C">
        <w:rPr>
          <w:spacing w:val="-2"/>
          <w:shd w:val="clear" w:color="auto" w:fill="FFFFFF"/>
          <w:lang w:val="en-GB"/>
        </w:rPr>
        <w:t>16</w:t>
      </w:r>
      <w:r w:rsidR="00437808" w:rsidRPr="00437808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3</w:t>
      </w:r>
      <w:r w:rsidR="00437808" w:rsidRPr="00437808">
        <w:rPr>
          <w:spacing w:val="-2"/>
          <w:shd w:val="clear" w:color="auto" w:fill="FFFFFF"/>
          <w:lang w:val="en-GB"/>
        </w:rPr>
        <w:t xml:space="preserve">%), </w:t>
      </w:r>
      <w:r w:rsidR="008B6BC0" w:rsidRPr="00FA7066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C44F6C">
        <w:rPr>
          <w:spacing w:val="-2"/>
          <w:shd w:val="clear" w:color="auto" w:fill="FFFFFF"/>
          <w:lang w:val="en-GB"/>
        </w:rPr>
        <w:t>14</w:t>
      </w:r>
      <w:r w:rsidR="008B6BC0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5</w:t>
      </w:r>
      <w:r w:rsidR="008B6BC0" w:rsidRPr="00FA7066">
        <w:rPr>
          <w:spacing w:val="-2"/>
          <w:shd w:val="clear" w:color="auto" w:fill="FFFFFF"/>
          <w:lang w:val="en-GB"/>
        </w:rPr>
        <w:t xml:space="preserve">%), </w:t>
      </w:r>
      <w:r w:rsidR="008336BC">
        <w:rPr>
          <w:spacing w:val="-2"/>
          <w:shd w:val="clear" w:color="auto" w:fill="FFFFFF"/>
          <w:lang w:val="en-GB"/>
        </w:rPr>
        <w:t xml:space="preserve">and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C44F6C">
        <w:rPr>
          <w:spacing w:val="-2"/>
          <w:shd w:val="clear" w:color="auto" w:fill="FFFFFF"/>
          <w:lang w:val="en-GB"/>
        </w:rPr>
        <w:t>7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4</w:t>
      </w:r>
      <w:r w:rsidR="00D918FF" w:rsidRPr="00FA7066">
        <w:rPr>
          <w:spacing w:val="-2"/>
          <w:shd w:val="clear" w:color="auto" w:fill="FFFFFF"/>
          <w:lang w:val="en-GB"/>
        </w:rPr>
        <w:t>%).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3E54F467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commodities and transaction not classified elsewhere in the SITC (by </w:t>
      </w:r>
      <w:r w:rsidR="00C44F6C">
        <w:rPr>
          <w:spacing w:val="-2"/>
          <w:shd w:val="clear" w:color="auto" w:fill="FFFFFF"/>
          <w:lang w:val="en-GB"/>
        </w:rPr>
        <w:t>144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B6BC0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C44F6C">
        <w:rPr>
          <w:spacing w:val="-2"/>
          <w:shd w:val="clear" w:color="auto" w:fill="FFFFFF"/>
          <w:lang w:val="en-GB"/>
        </w:rPr>
        <w:t>107</w:t>
      </w:r>
      <w:r w:rsidR="008B6BC0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4</w:t>
      </w:r>
      <w:r w:rsidR="008B6BC0" w:rsidRPr="00FA7066">
        <w:rPr>
          <w:spacing w:val="-2"/>
          <w:shd w:val="clear" w:color="auto" w:fill="FFFFFF"/>
          <w:lang w:val="en-GB"/>
        </w:rPr>
        <w:t>%),</w:t>
      </w:r>
      <w:r w:rsidR="008B6BC0">
        <w:rPr>
          <w:spacing w:val="-2"/>
          <w:shd w:val="clear" w:color="auto" w:fill="FFFFFF"/>
          <w:lang w:val="en-GB"/>
        </w:rPr>
        <w:t xml:space="preserve"> </w:t>
      </w:r>
      <w:r w:rsidR="008336BC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C44F6C">
        <w:rPr>
          <w:spacing w:val="-2"/>
          <w:shd w:val="clear" w:color="auto" w:fill="FFFFFF"/>
          <w:lang w:val="en-GB"/>
        </w:rPr>
        <w:t>72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1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="00C44F6C"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C44F6C">
        <w:rPr>
          <w:spacing w:val="-2"/>
          <w:shd w:val="clear" w:color="auto" w:fill="FFFFFF"/>
          <w:lang w:val="en-GB"/>
        </w:rPr>
        <w:t>28</w:t>
      </w:r>
      <w:r w:rsidR="00C44F6C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7</w:t>
      </w:r>
      <w:r w:rsidR="00C44F6C" w:rsidRPr="00FA7066">
        <w:rPr>
          <w:spacing w:val="-2"/>
          <w:shd w:val="clear" w:color="auto" w:fill="FFFFFF"/>
          <w:lang w:val="en-GB"/>
        </w:rPr>
        <w:t xml:space="preserve">%), food and live animals (by </w:t>
      </w:r>
      <w:r w:rsidR="00C44F6C">
        <w:rPr>
          <w:spacing w:val="-2"/>
          <w:shd w:val="clear" w:color="auto" w:fill="FFFFFF"/>
          <w:lang w:val="en-GB"/>
        </w:rPr>
        <w:t>28</w:t>
      </w:r>
      <w:r w:rsidR="00C44F6C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5</w:t>
      </w:r>
      <w:r w:rsidR="00C44F6C" w:rsidRPr="00FA7066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C44F6C">
        <w:rPr>
          <w:spacing w:val="-2"/>
          <w:shd w:val="clear" w:color="auto" w:fill="FFFFFF"/>
          <w:lang w:val="en-GB"/>
        </w:rPr>
        <w:t>25</w:t>
      </w:r>
      <w:r w:rsidR="00C44F6C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9</w:t>
      </w:r>
      <w:r w:rsidR="00C44F6C" w:rsidRPr="00FA7066">
        <w:rPr>
          <w:spacing w:val="-2"/>
          <w:shd w:val="clear" w:color="auto" w:fill="FFFFFF"/>
          <w:lang w:val="en-GB"/>
        </w:rPr>
        <w:t>%), miscellaneous manufactured articles (by 2</w:t>
      </w:r>
      <w:r w:rsidR="00C44F6C">
        <w:rPr>
          <w:spacing w:val="-2"/>
          <w:shd w:val="clear" w:color="auto" w:fill="FFFFFF"/>
          <w:lang w:val="en-GB"/>
        </w:rPr>
        <w:t>4</w:t>
      </w:r>
      <w:r w:rsidR="00C44F6C" w:rsidRPr="00FA7066">
        <w:rPr>
          <w:spacing w:val="-2"/>
          <w:shd w:val="clear" w:color="auto" w:fill="FFFFFF"/>
          <w:lang w:val="en-GB"/>
        </w:rPr>
        <w:t>.</w:t>
      </w:r>
      <w:r w:rsidR="00C44F6C">
        <w:rPr>
          <w:spacing w:val="-2"/>
          <w:shd w:val="clear" w:color="auto" w:fill="FFFFFF"/>
          <w:lang w:val="en-GB"/>
        </w:rPr>
        <w:t>0</w:t>
      </w:r>
      <w:r w:rsidR="00C44F6C" w:rsidRPr="00FA7066">
        <w:rPr>
          <w:spacing w:val="-2"/>
          <w:shd w:val="clear" w:color="auto" w:fill="FFFFFF"/>
          <w:lang w:val="en-GB"/>
        </w:rPr>
        <w:t>%),</w:t>
      </w:r>
      <w:r w:rsidR="006F0369" w:rsidRPr="006F0369">
        <w:rPr>
          <w:spacing w:val="-2"/>
          <w:shd w:val="clear" w:color="auto" w:fill="FFFFFF"/>
          <w:lang w:val="en-GB"/>
        </w:rPr>
        <w:t xml:space="preserve"> </w:t>
      </w:r>
      <w:r w:rsidR="006F0369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6F0369">
        <w:rPr>
          <w:spacing w:val="-2"/>
          <w:shd w:val="clear" w:color="auto" w:fill="FFFFFF"/>
          <w:lang w:val="en-GB"/>
        </w:rPr>
        <w:t>19</w:t>
      </w:r>
      <w:r w:rsidR="006F0369" w:rsidRPr="00FA7066">
        <w:rPr>
          <w:spacing w:val="-2"/>
          <w:shd w:val="clear" w:color="auto" w:fill="FFFFFF"/>
          <w:lang w:val="en-GB"/>
        </w:rPr>
        <w:t>.</w:t>
      </w:r>
      <w:r w:rsidR="006F0369">
        <w:rPr>
          <w:spacing w:val="-2"/>
          <w:shd w:val="clear" w:color="auto" w:fill="FFFFFF"/>
          <w:lang w:val="en-GB"/>
        </w:rPr>
        <w:t>8</w:t>
      </w:r>
      <w:r w:rsidR="006F0369" w:rsidRPr="00FA7066">
        <w:rPr>
          <w:spacing w:val="-2"/>
          <w:shd w:val="clear" w:color="auto" w:fill="FFFFFF"/>
          <w:lang w:val="en-GB"/>
        </w:rPr>
        <w:t>%)</w:t>
      </w:r>
      <w:r w:rsidR="006F0369">
        <w:rPr>
          <w:spacing w:val="-2"/>
          <w:shd w:val="clear" w:color="auto" w:fill="FFFFFF"/>
          <w:lang w:val="en-GB"/>
        </w:rPr>
        <w:t xml:space="preserve">, </w:t>
      </w:r>
      <w:r w:rsidR="008B6BC0"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6F0369">
        <w:rPr>
          <w:spacing w:val="-2"/>
          <w:shd w:val="clear" w:color="auto" w:fill="FFFFFF"/>
          <w:lang w:val="en-GB"/>
        </w:rPr>
        <w:t>1</w:t>
      </w:r>
      <w:r w:rsidR="008B6BC0">
        <w:rPr>
          <w:spacing w:val="-2"/>
          <w:shd w:val="clear" w:color="auto" w:fill="FFFFFF"/>
          <w:lang w:val="en-GB"/>
        </w:rPr>
        <w:t>9</w:t>
      </w:r>
      <w:r w:rsidR="008B6BC0" w:rsidRPr="00FA7066">
        <w:rPr>
          <w:spacing w:val="-2"/>
          <w:shd w:val="clear" w:color="auto" w:fill="FFFFFF"/>
          <w:lang w:val="en-GB"/>
        </w:rPr>
        <w:t>.</w:t>
      </w:r>
      <w:r w:rsidR="006F0369">
        <w:rPr>
          <w:spacing w:val="-2"/>
          <w:shd w:val="clear" w:color="auto" w:fill="FFFFFF"/>
          <w:lang w:val="en-GB"/>
        </w:rPr>
        <w:t>6</w:t>
      </w:r>
      <w:r w:rsidR="008B6BC0" w:rsidRPr="00FA7066">
        <w:rPr>
          <w:spacing w:val="-2"/>
          <w:shd w:val="clear" w:color="auto" w:fill="FFFFFF"/>
          <w:lang w:val="en-GB"/>
        </w:rPr>
        <w:t xml:space="preserve">%), </w:t>
      </w:r>
      <w:r w:rsidR="006F0369">
        <w:rPr>
          <w:spacing w:val="-2"/>
          <w:shd w:val="clear" w:color="auto" w:fill="FFFFFF"/>
          <w:lang w:val="en-GB"/>
        </w:rPr>
        <w:t>and</w:t>
      </w:r>
      <w:r w:rsidR="006F0369" w:rsidRPr="00FA7066">
        <w:rPr>
          <w:spacing w:val="-2"/>
          <w:shd w:val="clear" w:color="auto" w:fill="FFFFFF"/>
          <w:lang w:val="en-GB"/>
        </w:rPr>
        <w:t xml:space="preserve"> </w:t>
      </w:r>
      <w:r w:rsidR="008B6BC0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6F0369">
        <w:rPr>
          <w:spacing w:val="-2"/>
          <w:shd w:val="clear" w:color="auto" w:fill="FFFFFF"/>
          <w:lang w:val="en-GB"/>
        </w:rPr>
        <w:t>16</w:t>
      </w:r>
      <w:r w:rsidR="008B6BC0" w:rsidRPr="00FA7066">
        <w:rPr>
          <w:spacing w:val="-2"/>
          <w:shd w:val="clear" w:color="auto" w:fill="FFFFFF"/>
          <w:lang w:val="en-GB"/>
        </w:rPr>
        <w:t>.</w:t>
      </w:r>
      <w:r w:rsidR="006F0369">
        <w:rPr>
          <w:spacing w:val="-2"/>
          <w:shd w:val="clear" w:color="auto" w:fill="FFFFFF"/>
          <w:lang w:val="en-GB"/>
        </w:rPr>
        <w:t>0</w:t>
      </w:r>
      <w:r w:rsidR="008B6BC0" w:rsidRPr="00FA7066">
        <w:rPr>
          <w:spacing w:val="-2"/>
          <w:shd w:val="clear" w:color="auto" w:fill="FFFFFF"/>
          <w:lang w:val="en-GB"/>
        </w:rPr>
        <w:t>%)</w:t>
      </w:r>
      <w:r w:rsidRPr="00FA7066">
        <w:rPr>
          <w:spacing w:val="-2"/>
          <w:shd w:val="clear" w:color="auto" w:fill="FFFFFF"/>
          <w:lang w:val="en-GB"/>
        </w:rPr>
        <w:t>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64F59F7F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</w:t>
      </w:r>
      <w:r w:rsidR="00BD34DE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943943" w:rsidRPr="00943943">
        <w:rPr>
          <w:noProof/>
          <w:lang w:val="en-GB"/>
        </w:rPr>
        <w:t xml:space="preserve"> </w:t>
      </w:r>
    </w:p>
    <w:p w14:paraId="4C635771" w14:textId="5C13DA07" w:rsidR="00EF10F8" w:rsidRPr="000800DC" w:rsidRDefault="000800DC" w:rsidP="00A16433">
      <w:pPr>
        <w:spacing w:line="288" w:lineRule="auto"/>
        <w:rPr>
          <w:b/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00A03828" wp14:editId="194819A2">
            <wp:extent cx="5105400" cy="2743200"/>
            <wp:effectExtent l="0" t="0" r="0" b="0"/>
            <wp:docPr id="4" name="Wykres 4" descr="Chart 1. Composition of exports by sections according to SITC nomenclature in 2022 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6DF0F669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</w:t>
      </w:r>
      <w:r w:rsidR="00BD34DE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1F76B0" w:rsidRPr="001F76B0">
        <w:rPr>
          <w:noProof/>
          <w:lang w:val="en-GB"/>
        </w:rPr>
        <w:t xml:space="preserve"> </w:t>
      </w:r>
      <w:bookmarkStart w:id="1" w:name="_Hlk97571462"/>
    </w:p>
    <w:p w14:paraId="6F3AF64C" w14:textId="6D828C38" w:rsidR="00D918FF" w:rsidRPr="00E23015" w:rsidRDefault="000800DC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444A28A5" wp14:editId="346AE584">
            <wp:extent cx="5027131" cy="2743200"/>
            <wp:effectExtent l="0" t="0" r="2540" b="0"/>
            <wp:docPr id="1" name="Wykres 1" descr="Chart 2. Composition of imports by sections according to SITC nomenclature in 2022 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1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886E00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04FAD234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55ED40F" w14:textId="5F841835" w:rsidR="00C16478" w:rsidRPr="008843E2" w:rsidRDefault="00351E9F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4" w:tooltip="Link to the publication: Foreign trade. Prices in foreign trade " w:history="1">
              <w:r w:rsidR="00C16478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0C0CACC8" w14:textId="478F7B07" w:rsidR="00A16C0D" w:rsidRPr="00A16C0D" w:rsidRDefault="00351E9F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1" w:history="1">
              <w:r w:rsidR="00A16C0D" w:rsidRPr="00A16C0D">
                <w:rPr>
                  <w:rStyle w:val="Hipercze"/>
                  <w:lang w:val="en-US"/>
                </w:rPr>
                <w:t>Yearbook of Foreign Trade Statistics of Poland 2021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4804C5F9" w:rsid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A2BBA05" w14:textId="56DE6AB9" w:rsidR="0092287E" w:rsidRPr="0092287E" w:rsidRDefault="00351E9F" w:rsidP="0092287E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hyperlink r:id="rId26" w:tooltip="New Databases - international exchange" w:history="1">
              <w:r w:rsidR="0092287E" w:rsidRPr="0092287E">
                <w:rPr>
                  <w:rStyle w:val="Hipercze"/>
                  <w:lang w:val="en"/>
                </w:rPr>
                <w:t>International exchange DBW</w:t>
              </w:r>
            </w:hyperlink>
          </w:p>
          <w:p w14:paraId="06A52EDB" w14:textId="77777777" w:rsidR="004E4345" w:rsidRPr="0092287E" w:rsidRDefault="004E4345" w:rsidP="0092287E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92287E">
              <w:rPr>
                <w:rStyle w:val="Hipercze"/>
                <w:lang w:val="en"/>
              </w:rPr>
              <w:fldChar w:fldCharType="begin"/>
            </w:r>
            <w:r w:rsidRPr="0092287E">
              <w:rPr>
                <w:rStyle w:val="Hipercze"/>
                <w:lang w:val="en"/>
              </w:rPr>
              <w:instrText xml:space="preserve"> HYPERLINK "http://swaid.stat.gov.pl/SitePagesDBW/HandelZagraniczny.aspx" </w:instrText>
            </w:r>
            <w:r w:rsidRPr="0092287E">
              <w:rPr>
                <w:rStyle w:val="Hipercze"/>
                <w:lang w:val="en"/>
              </w:rPr>
              <w:fldChar w:fldCharType="separate"/>
            </w:r>
            <w:hyperlink r:id="rId27" w:tooltip="Link to the database page: Knowledge Databases (DBW). Foreign trade" w:history="1">
              <w:r w:rsidRPr="0092287E">
                <w:rPr>
                  <w:rStyle w:val="Hipercze"/>
                  <w:lang w:val="en"/>
                </w:rPr>
                <w:t>Knowledge Databases (DBW). Foreign trade</w:t>
              </w:r>
            </w:hyperlink>
          </w:p>
          <w:p w14:paraId="0DFBF68B" w14:textId="0A034215" w:rsidR="00A16C0D" w:rsidRPr="008843E2" w:rsidRDefault="004E4345" w:rsidP="0092287E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  <w:lang w:val="en-GB"/>
              </w:rPr>
            </w:pPr>
            <w:r w:rsidRPr="0092287E">
              <w:rPr>
                <w:rStyle w:val="Hipercze"/>
                <w:lang w:val="en"/>
              </w:rPr>
              <w:fldChar w:fldCharType="end"/>
            </w:r>
            <w:hyperlink r:id="rId28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="00A16C0D"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56B501A7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9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42B78" w14:textId="77777777" w:rsidR="00162794" w:rsidRDefault="00162794" w:rsidP="000662E2">
      <w:pPr>
        <w:spacing w:after="0" w:line="240" w:lineRule="auto"/>
      </w:pPr>
      <w:r>
        <w:separator/>
      </w:r>
    </w:p>
  </w:endnote>
  <w:endnote w:type="continuationSeparator" w:id="0">
    <w:p w14:paraId="4DB9EAD2" w14:textId="77777777" w:rsidR="00162794" w:rsidRDefault="001627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B8714D" w:rsidRDefault="00B871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E9F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B8714D" w:rsidRDefault="00B871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B8714D" w:rsidRDefault="00B871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E9F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B8714D" w:rsidRDefault="00B871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93DBA" w14:textId="77777777" w:rsidR="00162794" w:rsidRDefault="00162794" w:rsidP="000662E2">
      <w:pPr>
        <w:spacing w:after="0" w:line="240" w:lineRule="auto"/>
      </w:pPr>
      <w:r>
        <w:separator/>
      </w:r>
    </w:p>
  </w:footnote>
  <w:footnote w:type="continuationSeparator" w:id="0">
    <w:p w14:paraId="33C891EC" w14:textId="77777777" w:rsidR="00162794" w:rsidRDefault="00162794" w:rsidP="000662E2">
      <w:pPr>
        <w:spacing w:after="0" w:line="240" w:lineRule="auto"/>
      </w:pPr>
      <w:r>
        <w:continuationSeparator/>
      </w:r>
    </w:p>
  </w:footnote>
  <w:footnote w:id="1">
    <w:p w14:paraId="0DB23114" w14:textId="77777777" w:rsidR="00B8714D" w:rsidRPr="00AD195B" w:rsidRDefault="00B8714D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2">
    <w:p w14:paraId="081194E0" w14:textId="77777777" w:rsidR="00B8714D" w:rsidRPr="006D21E6" w:rsidRDefault="00B8714D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B8714D" w:rsidRDefault="00B8714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B8714D" w:rsidRDefault="00B871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B8714D" w:rsidRDefault="00B871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40AD27F0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B8714D" w:rsidRPr="003C6C8D" w:rsidRDefault="00B8714D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B8714D" w:rsidRPr="003C6C8D" w:rsidRDefault="00B8714D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B8714D" w:rsidRDefault="00B871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72A40637">
              <wp:simplePos x="0" y="0"/>
              <wp:positionH relativeFrom="column">
                <wp:posOffset>5205891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31st of July 2023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279AFEA9" w:rsidR="00B8714D" w:rsidRPr="00C97596" w:rsidRDefault="00B8714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31.07.2023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31st of July 2023." style="position:absolute;margin-left:409.9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" filled="f" stroked="f">
              <v:textbox>
                <w:txbxContent>
                  <w:p w14:paraId="1422A680" w14:textId="279AFEA9" w:rsidR="00B8714D" w:rsidRPr="00C97596" w:rsidRDefault="00B8714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31.07.2023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B8714D" w:rsidRDefault="00B8714D">
    <w:pPr>
      <w:pStyle w:val="Nagwek"/>
    </w:pPr>
  </w:p>
  <w:p w14:paraId="0A165AB8" w14:textId="77777777" w:rsidR="00B8714D" w:rsidRDefault="00B871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4AF4"/>
    <w:rsid w:val="00005F2D"/>
    <w:rsid w:val="0000709F"/>
    <w:rsid w:val="000108B8"/>
    <w:rsid w:val="00013969"/>
    <w:rsid w:val="00014BD9"/>
    <w:rsid w:val="00014C18"/>
    <w:rsid w:val="000152F5"/>
    <w:rsid w:val="00015A8E"/>
    <w:rsid w:val="00016126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3069"/>
    <w:rsid w:val="0004464C"/>
    <w:rsid w:val="00044B1C"/>
    <w:rsid w:val="00044DD0"/>
    <w:rsid w:val="00045325"/>
    <w:rsid w:val="0004582E"/>
    <w:rsid w:val="00045E8E"/>
    <w:rsid w:val="000470AA"/>
    <w:rsid w:val="00054F28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0DC"/>
    <w:rsid w:val="000806F7"/>
    <w:rsid w:val="000819CC"/>
    <w:rsid w:val="00081BF6"/>
    <w:rsid w:val="000830ED"/>
    <w:rsid w:val="00083C6E"/>
    <w:rsid w:val="00091256"/>
    <w:rsid w:val="0009234B"/>
    <w:rsid w:val="00093169"/>
    <w:rsid w:val="0009475A"/>
    <w:rsid w:val="00095C32"/>
    <w:rsid w:val="0009746C"/>
    <w:rsid w:val="000A0658"/>
    <w:rsid w:val="000A2D7C"/>
    <w:rsid w:val="000A6A65"/>
    <w:rsid w:val="000A6C2C"/>
    <w:rsid w:val="000A7195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3FE3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3F0B"/>
    <w:rsid w:val="001550E5"/>
    <w:rsid w:val="001553B0"/>
    <w:rsid w:val="00155DA2"/>
    <w:rsid w:val="00157052"/>
    <w:rsid w:val="00157D49"/>
    <w:rsid w:val="00162325"/>
    <w:rsid w:val="00162794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51DA"/>
    <w:rsid w:val="001955FB"/>
    <w:rsid w:val="001978FE"/>
    <w:rsid w:val="001A01B7"/>
    <w:rsid w:val="001A11C4"/>
    <w:rsid w:val="001A33F3"/>
    <w:rsid w:val="001A5B01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17486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6BD0"/>
    <w:rsid w:val="00336E93"/>
    <w:rsid w:val="00340F34"/>
    <w:rsid w:val="00341FA3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1E9F"/>
    <w:rsid w:val="00352FDF"/>
    <w:rsid w:val="00353159"/>
    <w:rsid w:val="0035340C"/>
    <w:rsid w:val="003536A0"/>
    <w:rsid w:val="00353BD9"/>
    <w:rsid w:val="003555BC"/>
    <w:rsid w:val="00357611"/>
    <w:rsid w:val="00357BC2"/>
    <w:rsid w:val="003604DE"/>
    <w:rsid w:val="00361189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1774"/>
    <w:rsid w:val="003D23E6"/>
    <w:rsid w:val="003D41FE"/>
    <w:rsid w:val="003D4D62"/>
    <w:rsid w:val="003D4F95"/>
    <w:rsid w:val="003D5F42"/>
    <w:rsid w:val="003D60A9"/>
    <w:rsid w:val="003E52E2"/>
    <w:rsid w:val="003E5DEB"/>
    <w:rsid w:val="003E66FE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808"/>
    <w:rsid w:val="00437C07"/>
    <w:rsid w:val="0044024D"/>
    <w:rsid w:val="00441136"/>
    <w:rsid w:val="004423C0"/>
    <w:rsid w:val="00442496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A1D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A7857"/>
    <w:rsid w:val="004B03EA"/>
    <w:rsid w:val="004B131D"/>
    <w:rsid w:val="004B16A2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E4345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913"/>
    <w:rsid w:val="005102D5"/>
    <w:rsid w:val="00510700"/>
    <w:rsid w:val="0051165C"/>
    <w:rsid w:val="00511CC6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50618"/>
    <w:rsid w:val="005509AA"/>
    <w:rsid w:val="005520D8"/>
    <w:rsid w:val="005540B1"/>
    <w:rsid w:val="00556CF1"/>
    <w:rsid w:val="00557D82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6C"/>
    <w:rsid w:val="00574C70"/>
    <w:rsid w:val="00575D17"/>
    <w:rsid w:val="00575E53"/>
    <w:rsid w:val="00576019"/>
    <w:rsid w:val="005762A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C5693"/>
    <w:rsid w:val="005D08D5"/>
    <w:rsid w:val="005D11CF"/>
    <w:rsid w:val="005D12BD"/>
    <w:rsid w:val="005D41A5"/>
    <w:rsid w:val="005D5863"/>
    <w:rsid w:val="005D5BAC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14D8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25DF"/>
    <w:rsid w:val="006A401F"/>
    <w:rsid w:val="006A7D57"/>
    <w:rsid w:val="006B0E9E"/>
    <w:rsid w:val="006B1684"/>
    <w:rsid w:val="006B1C3F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3946"/>
    <w:rsid w:val="006D4054"/>
    <w:rsid w:val="006D5EAD"/>
    <w:rsid w:val="006D6436"/>
    <w:rsid w:val="006D6AD4"/>
    <w:rsid w:val="006D7EDD"/>
    <w:rsid w:val="006E02EC"/>
    <w:rsid w:val="006E1A22"/>
    <w:rsid w:val="006E3560"/>
    <w:rsid w:val="006F0369"/>
    <w:rsid w:val="006F3150"/>
    <w:rsid w:val="006F3B26"/>
    <w:rsid w:val="006F4660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EC3"/>
    <w:rsid w:val="007128E2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5F1F"/>
    <w:rsid w:val="00726835"/>
    <w:rsid w:val="00726BEE"/>
    <w:rsid w:val="00726FE7"/>
    <w:rsid w:val="007275EE"/>
    <w:rsid w:val="007312B6"/>
    <w:rsid w:val="00731A52"/>
    <w:rsid w:val="0073371B"/>
    <w:rsid w:val="007342C5"/>
    <w:rsid w:val="00735413"/>
    <w:rsid w:val="007405D5"/>
    <w:rsid w:val="00744279"/>
    <w:rsid w:val="00744595"/>
    <w:rsid w:val="00745695"/>
    <w:rsid w:val="00746173"/>
    <w:rsid w:val="00746187"/>
    <w:rsid w:val="007476ED"/>
    <w:rsid w:val="007534D2"/>
    <w:rsid w:val="007551C5"/>
    <w:rsid w:val="00755490"/>
    <w:rsid w:val="00755812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0C3C"/>
    <w:rsid w:val="008336BC"/>
    <w:rsid w:val="00833FE1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86E00"/>
    <w:rsid w:val="00886FD0"/>
    <w:rsid w:val="00890348"/>
    <w:rsid w:val="00890E18"/>
    <w:rsid w:val="00891840"/>
    <w:rsid w:val="00892546"/>
    <w:rsid w:val="008952E1"/>
    <w:rsid w:val="00897F60"/>
    <w:rsid w:val="008A10A2"/>
    <w:rsid w:val="008A26D9"/>
    <w:rsid w:val="008A29FE"/>
    <w:rsid w:val="008A718D"/>
    <w:rsid w:val="008A7ADA"/>
    <w:rsid w:val="008A7C7B"/>
    <w:rsid w:val="008B0111"/>
    <w:rsid w:val="008B0722"/>
    <w:rsid w:val="008B1B0C"/>
    <w:rsid w:val="008B2F2F"/>
    <w:rsid w:val="008B3830"/>
    <w:rsid w:val="008B5D5E"/>
    <w:rsid w:val="008B6256"/>
    <w:rsid w:val="008B6B79"/>
    <w:rsid w:val="008B6BC0"/>
    <w:rsid w:val="008B7FB0"/>
    <w:rsid w:val="008C0C29"/>
    <w:rsid w:val="008C0C51"/>
    <w:rsid w:val="008D06DB"/>
    <w:rsid w:val="008D0B4A"/>
    <w:rsid w:val="008D154F"/>
    <w:rsid w:val="008D1FAF"/>
    <w:rsid w:val="008D416F"/>
    <w:rsid w:val="008D48A4"/>
    <w:rsid w:val="008D786D"/>
    <w:rsid w:val="008E0528"/>
    <w:rsid w:val="008E184F"/>
    <w:rsid w:val="008E33B0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927"/>
    <w:rsid w:val="00903B4C"/>
    <w:rsid w:val="00904789"/>
    <w:rsid w:val="009059C9"/>
    <w:rsid w:val="0091149A"/>
    <w:rsid w:val="009127BA"/>
    <w:rsid w:val="00914321"/>
    <w:rsid w:val="00921F50"/>
    <w:rsid w:val="009227A6"/>
    <w:rsid w:val="0092287E"/>
    <w:rsid w:val="00925194"/>
    <w:rsid w:val="00925599"/>
    <w:rsid w:val="009266E8"/>
    <w:rsid w:val="00926D8F"/>
    <w:rsid w:val="00927476"/>
    <w:rsid w:val="0093037B"/>
    <w:rsid w:val="009316CC"/>
    <w:rsid w:val="009321CC"/>
    <w:rsid w:val="00932265"/>
    <w:rsid w:val="00932408"/>
    <w:rsid w:val="00932573"/>
    <w:rsid w:val="00933D6C"/>
    <w:rsid w:val="00933EC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08D"/>
    <w:rsid w:val="009A6A82"/>
    <w:rsid w:val="009A6EA0"/>
    <w:rsid w:val="009A7DB0"/>
    <w:rsid w:val="009B0130"/>
    <w:rsid w:val="009B2961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4F6"/>
    <w:rsid w:val="00A13626"/>
    <w:rsid w:val="00A139F5"/>
    <w:rsid w:val="00A148EC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181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0749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32E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3F55"/>
    <w:rsid w:val="00B54D04"/>
    <w:rsid w:val="00B5580B"/>
    <w:rsid w:val="00B55A1F"/>
    <w:rsid w:val="00B561C0"/>
    <w:rsid w:val="00B60288"/>
    <w:rsid w:val="00B624A0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3CF0"/>
    <w:rsid w:val="00B86308"/>
    <w:rsid w:val="00B8714D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7D2"/>
    <w:rsid w:val="00BB1872"/>
    <w:rsid w:val="00BB4F09"/>
    <w:rsid w:val="00BC1166"/>
    <w:rsid w:val="00BC51FC"/>
    <w:rsid w:val="00BC7149"/>
    <w:rsid w:val="00BD2BC3"/>
    <w:rsid w:val="00BD2F53"/>
    <w:rsid w:val="00BD34DE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C02127"/>
    <w:rsid w:val="00C030DE"/>
    <w:rsid w:val="00C03108"/>
    <w:rsid w:val="00C03487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4F6C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0E7"/>
    <w:rsid w:val="00D125C7"/>
    <w:rsid w:val="00D1451F"/>
    <w:rsid w:val="00D16674"/>
    <w:rsid w:val="00D203BB"/>
    <w:rsid w:val="00D261A2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D30"/>
    <w:rsid w:val="00D47FF0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6E31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39AB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A4B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9E5"/>
    <w:rsid w:val="00E00F74"/>
    <w:rsid w:val="00E0111F"/>
    <w:rsid w:val="00E01436"/>
    <w:rsid w:val="00E0166B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015"/>
    <w:rsid w:val="00E23337"/>
    <w:rsid w:val="00E23434"/>
    <w:rsid w:val="00E24D3B"/>
    <w:rsid w:val="00E2586A"/>
    <w:rsid w:val="00E259EA"/>
    <w:rsid w:val="00E25FEA"/>
    <w:rsid w:val="00E277AD"/>
    <w:rsid w:val="00E31C5B"/>
    <w:rsid w:val="00E31D41"/>
    <w:rsid w:val="00E32061"/>
    <w:rsid w:val="00E33A76"/>
    <w:rsid w:val="00E34001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4423"/>
    <w:rsid w:val="00E649CA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0D93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74D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7C8F"/>
    <w:rsid w:val="00F31512"/>
    <w:rsid w:val="00F32749"/>
    <w:rsid w:val="00F32A03"/>
    <w:rsid w:val="00F3415A"/>
    <w:rsid w:val="00F34433"/>
    <w:rsid w:val="00F34675"/>
    <w:rsid w:val="00F35071"/>
    <w:rsid w:val="00F35D91"/>
    <w:rsid w:val="00F365FB"/>
    <w:rsid w:val="00F37172"/>
    <w:rsid w:val="00F3724C"/>
    <w:rsid w:val="00F429DA"/>
    <w:rsid w:val="00F4477E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8FE"/>
    <w:rsid w:val="00F67D8F"/>
    <w:rsid w:val="00F70DA2"/>
    <w:rsid w:val="00F7135B"/>
    <w:rsid w:val="00F72B46"/>
    <w:rsid w:val="00F75638"/>
    <w:rsid w:val="00F7639D"/>
    <w:rsid w:val="00F7770E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A00B8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412E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s://dbw.stat.gov.pl/en/dashboard/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1,9,15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2021-prices-in-foreign-trade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30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DBW/HandelZagraniczny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BC-4AA8-BC62-A940861F7DE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BC-4AA8-BC62-A940861F7DE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35.9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DBC-4AA8-BC62-A940861F7DE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DBC-4AA8-BC62-A940861F7DE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9.8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BC-4AA8-BC62-A940861F7DE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BC-4AA8-BC62-A940861F7DE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BC-4AA8-BC62-A940861F7DE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BC-4AA8-BC62-A940861F7DE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DBC-4AA8-BC62-A940861F7DE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11.3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BC-4AA8-BC62-A940861F7DE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0.38</c:v>
                </c:pt>
                <c:pt idx="1">
                  <c:v>16.47</c:v>
                </c:pt>
                <c:pt idx="2">
                  <c:v>35.93</c:v>
                </c:pt>
                <c:pt idx="3">
                  <c:v>18.13</c:v>
                </c:pt>
                <c:pt idx="4">
                  <c:v>9.82</c:v>
                </c:pt>
                <c:pt idx="5">
                  <c:v>0.35</c:v>
                </c:pt>
                <c:pt idx="6">
                  <c:v>3.7</c:v>
                </c:pt>
                <c:pt idx="7">
                  <c:v>2.25</c:v>
                </c:pt>
                <c:pt idx="8">
                  <c:v>1.62</c:v>
                </c:pt>
                <c:pt idx="9">
                  <c:v>11.29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BC-4AA8-BC62-A940861F7D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697558800"/>
        <c:axId val="-697555536"/>
      </c:barChart>
      <c:catAx>
        <c:axId val="-697558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97555536"/>
        <c:crosses val="autoZero"/>
        <c:auto val="1"/>
        <c:lblAlgn val="ctr"/>
        <c:lblOffset val="100"/>
        <c:noMultiLvlLbl val="0"/>
      </c:catAx>
      <c:valAx>
        <c:axId val="-69755553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-69755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8E2A-4C21-BB42-D10924F0EA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13.2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E2A-4C21-BB42-D10924F0EA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E2A-4C21-BB42-D10924F0EA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E2A-4C21-BB42-D10924F0EA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14.3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E2A-4C21-BB42-D10924F0EA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E2A-4C21-BB42-D10924F0EA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9.8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E2A-4C21-BB42-D10924F0EA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E2A-4C21-BB42-D10924F0EA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E2A-4C21-BB42-D10924F0EA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E2A-4C21-BB42-D10924F0EA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4.5999999999999996</c:v>
                </c:pt>
                <c:pt idx="1">
                  <c:v>13.22</c:v>
                </c:pt>
                <c:pt idx="2">
                  <c:v>30.91</c:v>
                </c:pt>
                <c:pt idx="3">
                  <c:v>16.29</c:v>
                </c:pt>
                <c:pt idx="4">
                  <c:v>14.31</c:v>
                </c:pt>
                <c:pt idx="5">
                  <c:v>0.67</c:v>
                </c:pt>
                <c:pt idx="6">
                  <c:v>9.81</c:v>
                </c:pt>
                <c:pt idx="7">
                  <c:v>2.92</c:v>
                </c:pt>
                <c:pt idx="8">
                  <c:v>0.71</c:v>
                </c:pt>
                <c:pt idx="9">
                  <c:v>6.63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2A-4C21-BB42-D10924F0EA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697557168"/>
        <c:axId val="-697556624"/>
      </c:barChart>
      <c:catAx>
        <c:axId val="-6975571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97556624"/>
        <c:crosses val="autoZero"/>
        <c:auto val="1"/>
        <c:lblAlgn val="ctr"/>
        <c:lblOffset val="100"/>
        <c:noMultiLvlLbl val="0"/>
      </c:catAx>
      <c:valAx>
        <c:axId val="-69755662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697557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SYGNALNA HZ 2022 ENG foreign_trade_turnover_of_goods_in_total_and_by_countries_in_2022.docx</NazwaPliku>
    <Osoba xmlns="AD3641B4-23D9-4536-AF9E-7D0EADDEB824">STAT\MatejakA</Osoba>
    <Odbiorcy2 xmlns="AD3641B4-23D9-4536-AF9E-7D0EADDEB824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E821A-049E-4E22-BABB-B229DE8A790C}"/>
</file>

<file path=customXml/itemProps2.xml><?xml version="1.0" encoding="utf-8"?>
<ds:datastoreItem xmlns:ds="http://schemas.openxmlformats.org/officeDocument/2006/customXml" ds:itemID="{79E3DE88-B0D4-4DD6-B6B0-A29D6D9E02E7}"/>
</file>

<file path=customXml/itemProps3.xml><?xml version="1.0" encoding="utf-8"?>
<ds:datastoreItem xmlns:ds="http://schemas.openxmlformats.org/officeDocument/2006/customXml" ds:itemID="{F0CA8B5C-31D1-44D8-BAA2-D57C9058BECB}"/>
</file>

<file path=customXml/itemProps4.xml><?xml version="1.0" encoding="utf-8"?>
<ds:datastoreItem xmlns:ds="http://schemas.openxmlformats.org/officeDocument/2006/customXml" ds:itemID="{79E3DE88-B0D4-4DD6-B6B0-A29D6D9E02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94C621-9063-4028-8165-CDE38167EBAF}"/>
</file>

<file path=customXml/itemProps6.xml><?xml version="1.0" encoding="utf-8"?>
<ds:datastoreItem xmlns:ds="http://schemas.openxmlformats.org/officeDocument/2006/customXml" ds:itemID="{C65D3E75-3FCC-4879-BA83-9FB637F33E17}"/>
</file>

<file path=customXml/itemProps7.xml><?xml version="1.0" encoding="utf-8"?>
<ds:datastoreItem xmlns:ds="http://schemas.openxmlformats.org/officeDocument/2006/customXml" ds:itemID="{59FB4E66-B87A-423C-9E34-FE620CA733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1778</Words>
  <Characters>10669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2023-07-28T07:34:00Z</cp:lastPrinted>
  <dcterms:created xsi:type="dcterms:W3CDTF">2023-07-28T07:17:00Z</dcterms:created>
  <dcterms:modified xsi:type="dcterms:W3CDTF">2023-07-28T09:03:00Z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