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theme/themeOverride2.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3.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theme/themeOverride4.xml" ContentType="application/vnd.openxmlformats-officedocument.themeOverride+xml"/>
  <Override PartName="/word/drawings/drawing5.xml" ContentType="application/vnd.openxmlformats-officedocument.drawingml.chartshapes+xml"/>
  <Override PartName="/word/charts/chart6.xml" ContentType="application/vnd.openxmlformats-officedocument.drawingml.chart+xml"/>
  <Override PartName="/word/theme/themeOverride5.xml" ContentType="application/vnd.openxmlformats-officedocument.themeOverride+xml"/>
  <Override PartName="/word/drawings/drawing6.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558577" w14:textId="7A2D53CB" w:rsidR="00764D9C" w:rsidRPr="00EF6E66" w:rsidRDefault="001469BD" w:rsidP="00764D9C">
      <w:pPr>
        <w:pStyle w:val="tytuinformacji"/>
        <w:rPr>
          <w:rFonts w:ascii="Fira Sans" w:hAnsi="Fira Sans"/>
          <w:b/>
          <w:noProof/>
          <w:color w:val="auto"/>
          <w:spacing w:val="-2"/>
          <w:sz w:val="19"/>
          <w:szCs w:val="19"/>
          <w:shd w:val="clear" w:color="auto" w:fill="FFFFFF"/>
          <w:lang w:val="en-GB" w:eastAsia="pl-PL"/>
        </w:rPr>
      </w:pPr>
      <w:bookmarkStart w:id="0" w:name="_Hlk117247629"/>
      <w:bookmarkStart w:id="1" w:name="_GoBack"/>
      <w:bookmarkEnd w:id="1"/>
      <w:r>
        <w:rPr>
          <w:shd w:val="clear" w:color="auto" w:fill="FFFFFF"/>
          <w:lang w:val="en-GB"/>
        </w:rPr>
        <w:t>Support granted</w:t>
      </w:r>
      <w:r w:rsidR="00BD1F8E" w:rsidRPr="00BD1F8E">
        <w:rPr>
          <w:shd w:val="clear" w:color="auto" w:fill="FFFFFF"/>
          <w:lang w:val="en-GB"/>
        </w:rPr>
        <w:t xml:space="preserve"> by households to the inhabitants </w:t>
      </w:r>
      <w:r w:rsidR="00B11481">
        <w:rPr>
          <w:shd w:val="clear" w:color="auto" w:fill="FFFFFF"/>
          <w:lang w:val="en-GB"/>
        </w:rPr>
        <w:br/>
      </w:r>
      <w:r w:rsidR="00BD1F8E" w:rsidRPr="00BD1F8E">
        <w:rPr>
          <w:shd w:val="clear" w:color="auto" w:fill="FFFFFF"/>
          <w:lang w:val="en-GB"/>
        </w:rPr>
        <w:t xml:space="preserve">of Ukraine in the first half of 2022 </w:t>
      </w:r>
      <w:r w:rsidR="00391DB0" w:rsidRPr="00391DB0">
        <w:rPr>
          <w:shd w:val="clear" w:color="auto" w:fill="FFFFFF"/>
          <w:lang w:val="en-GB"/>
        </w:rPr>
        <w:t xml:space="preserve">on the basis </w:t>
      </w:r>
      <w:r w:rsidR="00B11481">
        <w:rPr>
          <w:shd w:val="clear" w:color="auto" w:fill="FFFFFF"/>
          <w:lang w:val="en-GB"/>
        </w:rPr>
        <w:br/>
      </w:r>
      <w:r w:rsidR="00391DB0" w:rsidRPr="00391DB0">
        <w:rPr>
          <w:shd w:val="clear" w:color="auto" w:fill="FFFFFF"/>
          <w:lang w:val="en-GB"/>
        </w:rPr>
        <w:t>of results of the Household Budget Survey</w:t>
      </w:r>
      <w:bookmarkEnd w:id="0"/>
    </w:p>
    <w:p w14:paraId="3FEE138D" w14:textId="1BB15BEF" w:rsidR="00764D9C" w:rsidRPr="00391DB0" w:rsidRDefault="00764D9C" w:rsidP="00764D9C">
      <w:pPr>
        <w:pStyle w:val="tytuinformacji"/>
        <w:rPr>
          <w:i/>
          <w:shd w:val="clear" w:color="auto" w:fill="FFFFFF"/>
          <w:lang w:val="en-GB"/>
        </w:rPr>
      </w:pPr>
    </w:p>
    <w:p w14:paraId="068C556E" w14:textId="5C79E780" w:rsidR="00A222B4" w:rsidRPr="00391DB0" w:rsidRDefault="001B66B7" w:rsidP="000B478A">
      <w:pPr>
        <w:pStyle w:val="LID"/>
        <w:rPr>
          <w:spacing w:val="-2"/>
          <w:lang w:val="en-GB"/>
        </w:rPr>
      </w:pPr>
      <w:r w:rsidRPr="00391DB0">
        <w:rPr>
          <w:spacing w:val="-2"/>
        </w:rPr>
        <mc:AlternateContent>
          <mc:Choice Requires="wps">
            <w:drawing>
              <wp:anchor distT="45720" distB="45720" distL="114300" distR="114300" simplePos="0" relativeHeight="251837440" behindDoc="0" locked="0" layoutInCell="1" allowOverlap="1" wp14:anchorId="3470FDE8" wp14:editId="2824AEB9">
                <wp:simplePos x="0" y="0"/>
                <wp:positionH relativeFrom="margin">
                  <wp:align>left</wp:align>
                </wp:positionH>
                <wp:positionV relativeFrom="paragraph">
                  <wp:posOffset>84455</wp:posOffset>
                </wp:positionV>
                <wp:extent cx="2204085" cy="1828800"/>
                <wp:effectExtent l="0" t="0" r="5715" b="0"/>
                <wp:wrapSquare wrapText="bothSides"/>
                <wp:docPr id="10" name="Pole tekstowe 2" descr="Opis wskaźnik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828800"/>
                        </a:xfrm>
                        <a:prstGeom prst="roundRect">
                          <a:avLst/>
                        </a:prstGeom>
                        <a:solidFill>
                          <a:srgbClr val="001D77"/>
                        </a:solidFill>
                        <a:ln w="9525">
                          <a:noFill/>
                          <a:miter lim="800000"/>
                          <a:headEnd/>
                          <a:tailEnd/>
                        </a:ln>
                      </wps:spPr>
                      <wps:txbx>
                        <w:txbxContent>
                          <w:p w14:paraId="303134A0" w14:textId="19A3A4E1" w:rsidR="009E17AF" w:rsidRPr="00D321CB" w:rsidRDefault="009E17AF" w:rsidP="001B66B7">
                            <w:pPr>
                              <w:spacing w:after="0" w:line="240" w:lineRule="auto"/>
                              <w:rPr>
                                <w:rFonts w:ascii="Fira Sans SemiBold" w:hAnsi="Fira Sans SemiBold"/>
                                <w:color w:val="FFFFFF"/>
                                <w:sz w:val="72"/>
                                <w:lang w:val="en-GB"/>
                              </w:rPr>
                            </w:pPr>
                            <w:r w:rsidRPr="00D321CB">
                              <w:rPr>
                                <w:i/>
                                <w:noProof/>
                                <w:color w:val="001D77"/>
                                <w:lang w:val="en-GB" w:eastAsia="pl-PL"/>
                              </w:rPr>
                              <w:t xml:space="preserve"> </w:t>
                            </w:r>
                            <w:r w:rsidRPr="00D321CB">
                              <w:rPr>
                                <w:rFonts w:ascii="Fira Sans SemiBold" w:hAnsi="Fira Sans SemiBold"/>
                                <w:color w:val="FFFFFF"/>
                                <w:sz w:val="72"/>
                                <w:lang w:val="en-GB"/>
                              </w:rPr>
                              <w:t>70</w:t>
                            </w:r>
                            <w:r w:rsidR="0088783A" w:rsidRPr="00D321CB">
                              <w:rPr>
                                <w:rFonts w:ascii="Fira Sans SemiBold" w:hAnsi="Fira Sans SemiBold"/>
                                <w:color w:val="FFFFFF"/>
                                <w:sz w:val="72"/>
                                <w:lang w:val="en-GB"/>
                              </w:rPr>
                              <w:t>.</w:t>
                            </w:r>
                            <w:r w:rsidRPr="00D321CB">
                              <w:rPr>
                                <w:rFonts w:ascii="Fira Sans SemiBold" w:hAnsi="Fira Sans SemiBold"/>
                                <w:color w:val="FFFFFF"/>
                                <w:sz w:val="72"/>
                                <w:lang w:val="en-GB"/>
                              </w:rPr>
                              <w:t>2%</w:t>
                            </w:r>
                          </w:p>
                          <w:p w14:paraId="58E447B0" w14:textId="1D321F62" w:rsidR="009E17AF" w:rsidRPr="0088783A" w:rsidRDefault="004F1D5B" w:rsidP="001B66B7">
                            <w:pPr>
                              <w:pStyle w:val="tekstnaniebieskimtle"/>
                              <w:rPr>
                                <w:sz w:val="18"/>
                                <w:szCs w:val="20"/>
                                <w:lang w:val="en-GB"/>
                              </w:rPr>
                            </w:pPr>
                            <w:r>
                              <w:rPr>
                                <w:lang w:val="en-GB"/>
                              </w:rPr>
                              <w:t>o</w:t>
                            </w:r>
                            <w:r w:rsidR="0088783A" w:rsidRPr="0088783A">
                              <w:rPr>
                                <w:lang w:val="en-GB"/>
                              </w:rPr>
                              <w:t>f households in Poland</w:t>
                            </w:r>
                            <w:r w:rsidR="00DA54E1" w:rsidRPr="0088783A">
                              <w:rPr>
                                <w:lang w:val="en-GB"/>
                              </w:rPr>
                              <w:t xml:space="preserve"> </w:t>
                            </w:r>
                            <w:r w:rsidR="0088783A" w:rsidRPr="0088783A">
                              <w:rPr>
                                <w:lang w:val="en-GB"/>
                              </w:rPr>
                              <w:t>granted sup</w:t>
                            </w:r>
                            <w:r w:rsidR="0088783A">
                              <w:rPr>
                                <w:lang w:val="en-GB"/>
                              </w:rPr>
                              <w:t>p</w:t>
                            </w:r>
                            <w:r w:rsidR="0088783A" w:rsidRPr="0088783A">
                              <w:rPr>
                                <w:lang w:val="en-GB"/>
                              </w:rPr>
                              <w:t>ort to the inhabitants of Ukraine</w:t>
                            </w:r>
                            <w:r w:rsidR="009E17AF" w:rsidRPr="0088783A">
                              <w:rPr>
                                <w:lang w:val="en-GB"/>
                              </w:rPr>
                              <w:t xml:space="preserve"> </w:t>
                            </w:r>
                            <w:r w:rsidR="0088783A" w:rsidRPr="0088783A">
                              <w:rPr>
                                <w:lang w:val="en-GB"/>
                              </w:rPr>
                              <w:t xml:space="preserve">in </w:t>
                            </w:r>
                            <w:r w:rsidR="0088783A">
                              <w:rPr>
                                <w:lang w:val="en-GB"/>
                              </w:rPr>
                              <w:t xml:space="preserve">the period from February 24, </w:t>
                            </w:r>
                            <w:r w:rsidR="004E70E3" w:rsidRPr="0088783A">
                              <w:rPr>
                                <w:lang w:val="en-GB"/>
                              </w:rPr>
                              <w:t xml:space="preserve">2022 </w:t>
                            </w:r>
                            <w:r w:rsidR="0088783A">
                              <w:rPr>
                                <w:lang w:val="en-GB"/>
                              </w:rPr>
                              <w:t>to the end of the first half of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a14="http://schemas.microsoft.com/office/drawing/2010/main" xmlns:pic="http://schemas.openxmlformats.org/drawingml/2006/picture" xmlns:c="http://schemas.openxmlformats.org/drawingml/2006/chart" xmlns:a16="http://schemas.microsoft.com/office/drawing/2014/main" xmlns:a="http://schemas.openxmlformats.org/drawingml/2006/main">
            <w:pict>
              <v:roundrect id="Pole tekstowe 2" style="position:absolute;margin-left:0;margin-top:6.65pt;width:173.55pt;height:2in;z-index:2518374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lt="Opis wskaźnika" o:spid="_x0000_s1026" fillcolor="#001d77" stroked="f" arcsize="10923f" w14:anchorId="3470FD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">
                <v:stroke joinstyle="miter"/>
                <v:textbox>
                  <w:txbxContent>
                    <w:p w:rsidRPr="00D321CB" w:rsidR="009E17AF" w:rsidP="001B66B7" w:rsidRDefault="009E17AF" w14:paraId="303134A0" w14:textId="19A3A4E1">
                      <w:pPr>
                        <w:spacing w:after="0" w:line="240" w:lineRule="auto"/>
                        <w:rPr>
                          <w:rFonts w:ascii="Fira Sans SemiBold" w:hAnsi="Fira Sans SemiBold"/>
                          <w:color w:val="FFFFFF"/>
                          <w:sz w:val="72"/>
                          <w:lang w:val="en-GB"/>
                        </w:rPr>
                      </w:pPr>
                      <w:r w:rsidRPr="00D321CB">
                        <w:rPr>
                          <w:i/>
                          <w:noProof/>
                          <w:color w:val="001D77"/>
                          <w:lang w:val="en-GB" w:eastAsia="pl-PL"/>
                        </w:rPr>
                        <w:t xml:space="preserve"> </w:t>
                      </w:r>
                      <w:r w:rsidRPr="00D321CB">
                        <w:rPr>
                          <w:rFonts w:ascii="Fira Sans SemiBold" w:hAnsi="Fira Sans SemiBold"/>
                          <w:color w:val="FFFFFF"/>
                          <w:sz w:val="72"/>
                          <w:lang w:val="en-GB"/>
                        </w:rPr>
                        <w:t>70</w:t>
                      </w:r>
                      <w:r w:rsidRPr="00D321CB" w:rsidR="0088783A">
                        <w:rPr>
                          <w:rFonts w:ascii="Fira Sans SemiBold" w:hAnsi="Fira Sans SemiBold"/>
                          <w:color w:val="FFFFFF"/>
                          <w:sz w:val="72"/>
                          <w:lang w:val="en-GB"/>
                        </w:rPr>
                        <w:t>.</w:t>
                      </w:r>
                      <w:r w:rsidRPr="00D321CB">
                        <w:rPr>
                          <w:rFonts w:ascii="Fira Sans SemiBold" w:hAnsi="Fira Sans SemiBold"/>
                          <w:color w:val="FFFFFF"/>
                          <w:sz w:val="72"/>
                          <w:lang w:val="en-GB"/>
                        </w:rPr>
                        <w:t>2%</w:t>
                      </w:r>
                    </w:p>
                    <w:p w:rsidRPr="0088783A" w:rsidR="009E17AF" w:rsidP="001B66B7" w:rsidRDefault="004F1D5B" w14:paraId="58E447B0" w14:textId="1D321F62">
                      <w:pPr>
                        <w:pStyle w:val="tekstnaniebieskimtle"/>
                        <w:rPr>
                          <w:sz w:val="18"/>
                          <w:szCs w:val="20"/>
                          <w:lang w:val="en-GB"/>
                        </w:rPr>
                      </w:pPr>
                      <w:r>
                        <w:rPr>
                          <w:lang w:val="en-GB"/>
                        </w:rPr>
                        <w:t>o</w:t>
                      </w:r>
                      <w:r w:rsidRPr="0088783A" w:rsidR="0088783A">
                        <w:rPr>
                          <w:lang w:val="en-GB"/>
                        </w:rPr>
                        <w:t>f households in Poland</w:t>
                      </w:r>
                      <w:r w:rsidRPr="0088783A" w:rsidR="00DA54E1">
                        <w:rPr>
                          <w:lang w:val="en-GB"/>
                        </w:rPr>
                        <w:t xml:space="preserve"> </w:t>
                      </w:r>
                      <w:r w:rsidRPr="0088783A" w:rsidR="0088783A">
                        <w:rPr>
                          <w:lang w:val="en-GB"/>
                        </w:rPr>
                        <w:t>granted sup</w:t>
                      </w:r>
                      <w:r w:rsidR="0088783A">
                        <w:rPr>
                          <w:lang w:val="en-GB"/>
                        </w:rPr>
                        <w:t>p</w:t>
                      </w:r>
                      <w:r w:rsidRPr="0088783A" w:rsidR="0088783A">
                        <w:rPr>
                          <w:lang w:val="en-GB"/>
                        </w:rPr>
                        <w:t>ort to the inhabitants of Ukraine</w:t>
                      </w:r>
                      <w:r w:rsidRPr="0088783A" w:rsidR="009E17AF">
                        <w:rPr>
                          <w:lang w:val="en-GB"/>
                        </w:rPr>
                        <w:t xml:space="preserve"> </w:t>
                      </w:r>
                      <w:r w:rsidRPr="0088783A" w:rsidR="0088783A">
                        <w:rPr>
                          <w:lang w:val="en-GB"/>
                        </w:rPr>
                        <w:t xml:space="preserve">in </w:t>
                      </w:r>
                      <w:r w:rsidR="0088783A">
                        <w:rPr>
                          <w:lang w:val="en-GB"/>
                        </w:rPr>
                        <w:t xml:space="preserve">the period from February 24, </w:t>
                      </w:r>
                      <w:r w:rsidRPr="0088783A" w:rsidR="004E70E3">
                        <w:rPr>
                          <w:lang w:val="en-GB"/>
                        </w:rPr>
                        <w:t xml:space="preserve">2022 </w:t>
                      </w:r>
                      <w:r w:rsidR="0088783A">
                        <w:rPr>
                          <w:lang w:val="en-GB"/>
                        </w:rPr>
                        <w:t>to the end of the first half of 2022.</w:t>
                      </w:r>
                    </w:p>
                  </w:txbxContent>
                </v:textbox>
                <w10:wrap type="square" anchorx="margin"/>
              </v:roundrect>
            </w:pict>
          </mc:Fallback>
        </mc:AlternateContent>
      </w:r>
      <w:r w:rsidR="00391DB0" w:rsidRPr="00391DB0">
        <w:rPr>
          <w:spacing w:val="-2"/>
          <w:lang w:val="en-GB"/>
        </w:rPr>
        <w:t xml:space="preserve">In the period from February 24, 2022 to June 30, 2022, 70.2% of households </w:t>
      </w:r>
      <w:r w:rsidR="00D649EA">
        <w:rPr>
          <w:spacing w:val="-2"/>
          <w:lang w:val="en-GB"/>
        </w:rPr>
        <w:t xml:space="preserve">in Poland </w:t>
      </w:r>
      <w:r w:rsidR="00391DB0" w:rsidRPr="00391DB0">
        <w:rPr>
          <w:spacing w:val="-2"/>
          <w:lang w:val="en-GB"/>
        </w:rPr>
        <w:t xml:space="preserve">provided aid to the inhabitants of </w:t>
      </w:r>
      <w:r w:rsidR="00512F6D">
        <w:rPr>
          <w:spacing w:val="-2"/>
          <w:lang w:val="en-GB"/>
        </w:rPr>
        <w:t>covered by the war</w:t>
      </w:r>
      <w:r w:rsidR="00391DB0" w:rsidRPr="00391DB0">
        <w:rPr>
          <w:spacing w:val="-2"/>
          <w:lang w:val="en-GB"/>
        </w:rPr>
        <w:t xml:space="preserve"> Ukraine (following the Russian full-scale invasion)</w:t>
      </w:r>
      <w:r w:rsidR="00512F6D" w:rsidRPr="0080589B">
        <w:rPr>
          <w:rStyle w:val="Odwoanieprzypisudolnego"/>
          <w:spacing w:val="-2"/>
        </w:rPr>
        <w:footnoteReference w:id="1"/>
      </w:r>
      <w:r w:rsidR="00391DB0" w:rsidRPr="00391DB0">
        <w:rPr>
          <w:spacing w:val="-2"/>
          <w:lang w:val="en-GB"/>
        </w:rPr>
        <w:t xml:space="preserve">. In both quarters, among helping households, the most frequently indicated forms of </w:t>
      </w:r>
      <w:r w:rsidR="0088783A">
        <w:rPr>
          <w:spacing w:val="-2"/>
          <w:lang w:val="en-GB"/>
        </w:rPr>
        <w:t>support</w:t>
      </w:r>
      <w:r w:rsidR="00391DB0" w:rsidRPr="00391DB0">
        <w:rPr>
          <w:spacing w:val="-2"/>
          <w:lang w:val="en-GB"/>
        </w:rPr>
        <w:t xml:space="preserve"> were </w:t>
      </w:r>
      <w:r w:rsidR="0088783A" w:rsidRPr="00391DB0">
        <w:rPr>
          <w:spacing w:val="-2"/>
          <w:lang w:val="en-GB"/>
        </w:rPr>
        <w:t>in</w:t>
      </w:r>
      <w:r w:rsidR="0088783A">
        <w:rPr>
          <w:spacing w:val="-2"/>
          <w:lang w:val="en-GB"/>
        </w:rPr>
        <w:t>-</w:t>
      </w:r>
      <w:r w:rsidR="0088783A" w:rsidRPr="00391DB0">
        <w:rPr>
          <w:spacing w:val="-2"/>
          <w:lang w:val="en-GB"/>
        </w:rPr>
        <w:t xml:space="preserve">kind </w:t>
      </w:r>
      <w:r w:rsidR="00391DB0" w:rsidRPr="00391DB0">
        <w:rPr>
          <w:spacing w:val="-2"/>
          <w:lang w:val="en-GB"/>
        </w:rPr>
        <w:t xml:space="preserve">donations </w:t>
      </w:r>
      <w:r w:rsidR="00717A43">
        <w:rPr>
          <w:spacing w:val="-2"/>
          <w:lang w:val="en-GB"/>
        </w:rPr>
        <w:t>–</w:t>
      </w:r>
      <w:r w:rsidR="00391DB0" w:rsidRPr="00391DB0">
        <w:rPr>
          <w:spacing w:val="-2"/>
          <w:lang w:val="en-GB"/>
        </w:rPr>
        <w:t xml:space="preserve"> around 4/5 of households and financial </w:t>
      </w:r>
      <w:r w:rsidR="00B11481">
        <w:rPr>
          <w:spacing w:val="-2"/>
          <w:lang w:val="en-GB"/>
        </w:rPr>
        <w:t>support</w:t>
      </w:r>
      <w:r w:rsidR="00391DB0" w:rsidRPr="00391DB0">
        <w:rPr>
          <w:spacing w:val="-2"/>
          <w:lang w:val="en-GB"/>
        </w:rPr>
        <w:t xml:space="preserve"> (direct or through organizations) </w:t>
      </w:r>
      <w:r w:rsidR="00391DB0">
        <w:rPr>
          <w:spacing w:val="-2"/>
          <w:lang w:val="en-GB"/>
        </w:rPr>
        <w:t>–</w:t>
      </w:r>
      <w:r w:rsidR="00391DB0" w:rsidRPr="00391DB0">
        <w:rPr>
          <w:spacing w:val="-2"/>
          <w:lang w:val="en-GB"/>
        </w:rPr>
        <w:t xml:space="preserve"> around 2/3 of them.</w:t>
      </w:r>
    </w:p>
    <w:p w14:paraId="24B17095" w14:textId="057F208C" w:rsidR="00764D9C" w:rsidRDefault="00764D9C" w:rsidP="000B478A">
      <w:pPr>
        <w:pStyle w:val="LID"/>
        <w:rPr>
          <w:spacing w:val="-2"/>
          <w:lang w:val="en-GB"/>
        </w:rPr>
      </w:pPr>
    </w:p>
    <w:p w14:paraId="79103CB9" w14:textId="76DDA0B0" w:rsidR="001D62C5" w:rsidRDefault="001D62C5" w:rsidP="000B478A">
      <w:pPr>
        <w:pStyle w:val="LID"/>
        <w:rPr>
          <w:spacing w:val="-2"/>
          <w:lang w:val="en-GB"/>
        </w:rPr>
      </w:pPr>
    </w:p>
    <w:p w14:paraId="57C329D6" w14:textId="77777777" w:rsidR="00111CB9" w:rsidRDefault="00111CB9" w:rsidP="000B478A">
      <w:pPr>
        <w:pStyle w:val="LID"/>
        <w:rPr>
          <w:spacing w:val="-2"/>
          <w:lang w:val="en-GB"/>
        </w:rPr>
      </w:pPr>
    </w:p>
    <w:p w14:paraId="71ABA3B3" w14:textId="2615D6E2" w:rsidR="009F3D2B" w:rsidRDefault="009F3D2B" w:rsidP="009F3D2B">
      <w:pPr>
        <w:pStyle w:val="LID"/>
        <w:spacing w:line="240" w:lineRule="auto"/>
        <w:rPr>
          <w:spacing w:val="-2"/>
          <w:lang w:val="en-GB"/>
        </w:rPr>
      </w:pPr>
      <w:r>
        <w:drawing>
          <wp:inline distT="0" distB="0" distL="0" distR="0" wp14:anchorId="2EE1532D" wp14:editId="07A7CCF9">
            <wp:extent cx="5122545" cy="2520000"/>
            <wp:effectExtent l="0" t="0" r="1905" b="0"/>
            <wp:docPr id="4" name="Wykres 4">
              <a:extLst xmlns:a="http://schemas.openxmlformats.org/drawingml/2006/main">
                <a:ext uri="{FF2B5EF4-FFF2-40B4-BE49-F238E27FC236}">
                  <a16:creationI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14="http://schemas.microsoft.com/office/drawing/2010/main" xmlns:pic="http://schemas.openxmlformats.org/drawingml/2006/picture" xmlns:c="http://schemas.openxmlformats.org/drawingml/2006/chart" xmlns="" id="{00000000-0008-0000-32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E15865E" w14:textId="77777777" w:rsidR="009F3D2B" w:rsidRDefault="009F3D2B" w:rsidP="009F3D2B">
      <w:pPr>
        <w:pStyle w:val="LID"/>
        <w:spacing w:line="240" w:lineRule="auto"/>
        <w:rPr>
          <w:spacing w:val="-2"/>
          <w:lang w:val="en-GB"/>
        </w:rPr>
      </w:pPr>
    </w:p>
    <w:p w14:paraId="1902352F" w14:textId="6783EE03" w:rsidR="006E2D34" w:rsidRDefault="009F3D2B" w:rsidP="009F3D2B">
      <w:pPr>
        <w:pStyle w:val="LID"/>
        <w:spacing w:line="240" w:lineRule="auto"/>
        <w:rPr>
          <w:b w:val="0"/>
          <w:lang w:val="en-GB"/>
        </w:rPr>
      </w:pPr>
      <w:r w:rsidRPr="002E3797">
        <w:rPr>
          <w:b w:val="0"/>
          <w:lang w:val="en-GB"/>
        </w:rPr>
        <w:t>In the first quarter of 2022</w:t>
      </w:r>
      <w:r w:rsidR="00B11481">
        <w:rPr>
          <w:b w:val="0"/>
          <w:lang w:val="en-GB"/>
        </w:rPr>
        <w:t>,</w:t>
      </w:r>
      <w:r w:rsidRPr="002E3797">
        <w:rPr>
          <w:b w:val="0"/>
          <w:lang w:val="en-GB"/>
        </w:rPr>
        <w:t xml:space="preserve"> 69.9% of households, and in the second quarter of 2022 </w:t>
      </w:r>
      <w:r w:rsidR="009D74C1" w:rsidRPr="002E3797">
        <w:rPr>
          <w:b w:val="0"/>
          <w:lang w:val="en-GB"/>
        </w:rPr>
        <w:t>–</w:t>
      </w:r>
      <w:r w:rsidR="009D74C1">
        <w:rPr>
          <w:b w:val="0"/>
          <w:lang w:val="en-GB"/>
        </w:rPr>
        <w:t xml:space="preserve"> </w:t>
      </w:r>
      <w:r w:rsidRPr="002E3797">
        <w:rPr>
          <w:b w:val="0"/>
          <w:lang w:val="en-GB"/>
        </w:rPr>
        <w:t xml:space="preserve">53.3% of households granted support to the </w:t>
      </w:r>
      <w:r w:rsidR="00B11481">
        <w:rPr>
          <w:b w:val="0"/>
          <w:lang w:val="en-GB"/>
        </w:rPr>
        <w:t>inhabitants</w:t>
      </w:r>
      <w:r w:rsidRPr="002E3797">
        <w:rPr>
          <w:b w:val="0"/>
          <w:lang w:val="en-GB"/>
        </w:rPr>
        <w:t xml:space="preserve"> of Ukraine</w:t>
      </w:r>
      <w:r w:rsidR="008B5D73">
        <w:rPr>
          <w:b w:val="0"/>
          <w:lang w:val="en-GB"/>
        </w:rPr>
        <w:t xml:space="preserve"> (both granted in Poland as well as directed to persons remaining in Ukraine)</w:t>
      </w:r>
      <w:r w:rsidRPr="002E3797">
        <w:rPr>
          <w:b w:val="0"/>
          <w:lang w:val="en-GB"/>
        </w:rPr>
        <w:t>.</w:t>
      </w:r>
      <w:r w:rsidR="008B5D73">
        <w:rPr>
          <w:b w:val="0"/>
          <w:lang w:val="en-GB"/>
        </w:rPr>
        <w:t xml:space="preserve"> </w:t>
      </w:r>
    </w:p>
    <w:p w14:paraId="7DA8CE9B" w14:textId="04BF094B" w:rsidR="009F3D2B" w:rsidRDefault="009F3D2B" w:rsidP="009F3D2B">
      <w:pPr>
        <w:pStyle w:val="LID"/>
        <w:spacing w:line="240" w:lineRule="auto"/>
        <w:rPr>
          <w:spacing w:val="-2"/>
          <w:lang w:val="en-GB"/>
        </w:rPr>
      </w:pPr>
      <w:r w:rsidRPr="002E3797">
        <w:rPr>
          <w:b w:val="0"/>
          <w:lang w:val="en-GB"/>
        </w:rPr>
        <w:t>Among helping households, the dominant forms of support were: in-kind donations – approximately 4/5 households and financial support (directly o</w:t>
      </w:r>
      <w:r w:rsidR="00B11481">
        <w:rPr>
          <w:b w:val="0"/>
          <w:lang w:val="en-GB"/>
        </w:rPr>
        <w:t>r</w:t>
      </w:r>
      <w:r w:rsidRPr="002E3797">
        <w:rPr>
          <w:b w:val="0"/>
          <w:lang w:val="en-GB"/>
        </w:rPr>
        <w:t xml:space="preserve"> through organizations) – approximately 2/3. It is also worth noting that around 6% of households provided assistance to refugees from Ukraine in Poland in finding a job, taking care of everyday matters or caring for relatives. Approximately 3% of households provided assistance in the area of border crossing points, reception points, accommodation facilities, aid centers or collection points for material donations. Similarly, about 3% of helping households recepted refugees from Ukraine to their house/apartment or provided them with a flat.</w:t>
      </w:r>
      <w:r w:rsidR="006E2D34">
        <w:rPr>
          <w:b w:val="0"/>
          <w:lang w:val="en-GB"/>
        </w:rPr>
        <w:t xml:space="preserve"> In the first quarter (from Fe</w:t>
      </w:r>
      <w:r w:rsidR="008B5D73">
        <w:rPr>
          <w:b w:val="0"/>
          <w:lang w:val="en-GB"/>
        </w:rPr>
        <w:t xml:space="preserve">bruary 24) also around 3% of households granted transport support. </w:t>
      </w:r>
    </w:p>
    <w:p w14:paraId="7DB65B48" w14:textId="1C8B6369" w:rsidR="00A25CC9" w:rsidRDefault="00B80D72" w:rsidP="0087462D">
      <w:pPr>
        <w:pStyle w:val="LID"/>
        <w:spacing w:line="240" w:lineRule="auto"/>
      </w:pPr>
      <w:r>
        <w:lastRenderedPageBreak/>
        <w:drawing>
          <wp:inline distT="0" distB="0" distL="0" distR="0" wp14:anchorId="2A7173CF" wp14:editId="397D3A7C">
            <wp:extent cx="5122545" cy="4762500"/>
            <wp:effectExtent l="0" t="0" r="1905" b="0"/>
            <wp:docPr id="5" name="Wykres 5">
              <a:extLst xmlns:a="http://schemas.openxmlformats.org/drawingml/2006/main">
                <a:ext uri="{FF2B5EF4-FFF2-40B4-BE49-F238E27FC236}">
                  <a16:creationI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14="http://schemas.microsoft.com/office/drawing/2010/main" xmlns:pic="http://schemas.openxmlformats.org/drawingml/2006/picture" xmlns:c="http://schemas.openxmlformats.org/drawingml/2006/chart" xmlns=""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5E36A7E" w14:textId="53D8C54A" w:rsidR="0087462D" w:rsidRPr="00F60D87" w:rsidRDefault="0087462D" w:rsidP="0087462D">
      <w:pPr>
        <w:pStyle w:val="LID"/>
        <w:rPr>
          <w:b w:val="0"/>
          <w:lang w:val="en-GB"/>
        </w:rPr>
      </w:pPr>
    </w:p>
    <w:p w14:paraId="193DEF31" w14:textId="35C34179" w:rsidR="000B478A" w:rsidRPr="002E3797" w:rsidRDefault="00320507" w:rsidP="000B478A">
      <w:pPr>
        <w:rPr>
          <w:shd w:val="clear" w:color="auto" w:fill="FFFFFF"/>
          <w:lang w:val="en-GB"/>
        </w:rPr>
      </w:pPr>
      <w:r w:rsidRPr="002E3797">
        <w:rPr>
          <w:shd w:val="clear" w:color="auto" w:fill="FFFFFF"/>
          <w:lang w:val="en-GB"/>
        </w:rPr>
        <w:t>The</w:t>
      </w:r>
      <w:r w:rsidR="009F3D2B" w:rsidRPr="002E3797">
        <w:rPr>
          <w:rStyle w:val="Odwoanieprzypisudolnego"/>
          <w:color w:val="FFFFFF" w:themeColor="background1"/>
          <w:sz w:val="2"/>
          <w:shd w:val="clear" w:color="auto" w:fill="FFFFFF"/>
          <w:lang w:val="en-GB"/>
        </w:rPr>
        <w:footnoteReference w:id="2"/>
      </w:r>
      <w:r w:rsidR="009F3D2B" w:rsidRPr="002E3797">
        <w:rPr>
          <w:rStyle w:val="Odwoanieprzypisudolnego"/>
          <w:color w:val="FFFFFF" w:themeColor="background1"/>
          <w:sz w:val="2"/>
          <w:shd w:val="clear" w:color="auto" w:fill="FFFFFF"/>
          <w:lang w:val="en-GB"/>
        </w:rPr>
        <w:footnoteReference w:id="3"/>
      </w:r>
      <w:r w:rsidRPr="002E3797">
        <w:rPr>
          <w:shd w:val="clear" w:color="auto" w:fill="FFFFFF"/>
          <w:lang w:val="en-GB"/>
        </w:rPr>
        <w:t>highest share of households grantin</w:t>
      </w:r>
      <w:r w:rsidR="00CA31BC" w:rsidRPr="002E3797">
        <w:rPr>
          <w:shd w:val="clear" w:color="auto" w:fill="FFFFFF"/>
          <w:lang w:val="en-GB"/>
        </w:rPr>
        <w:t>g support to Ukrainian inhabitants</w:t>
      </w:r>
      <w:r w:rsidRPr="002E3797">
        <w:rPr>
          <w:shd w:val="clear" w:color="auto" w:fill="FFFFFF"/>
          <w:lang w:val="en-GB"/>
        </w:rPr>
        <w:t xml:space="preserve"> was among households of </w:t>
      </w:r>
      <w:r w:rsidR="00CA31BC" w:rsidRPr="002E3797">
        <w:rPr>
          <w:shd w:val="clear" w:color="auto" w:fill="FFFFFF"/>
          <w:lang w:val="en-GB"/>
        </w:rPr>
        <w:t>self-employed – 81.2% in the first</w:t>
      </w:r>
      <w:r w:rsidRPr="002E3797">
        <w:rPr>
          <w:shd w:val="clear" w:color="auto" w:fill="FFFFFF"/>
          <w:lang w:val="en-GB"/>
        </w:rPr>
        <w:t xml:space="preserve"> quarter of 2022</w:t>
      </w:r>
      <w:r w:rsidR="000B478A" w:rsidRPr="002E3797">
        <w:rPr>
          <w:shd w:val="clear" w:color="auto" w:fill="FFFFFF"/>
          <w:lang w:val="en-GB"/>
        </w:rPr>
        <w:t xml:space="preserve"> </w:t>
      </w:r>
      <w:r w:rsidRPr="002E3797">
        <w:rPr>
          <w:shd w:val="clear" w:color="auto" w:fill="FFFFFF"/>
          <w:lang w:val="en-GB"/>
        </w:rPr>
        <w:t xml:space="preserve">and </w:t>
      </w:r>
      <w:r w:rsidR="000B478A" w:rsidRPr="002E3797">
        <w:rPr>
          <w:shd w:val="clear" w:color="auto" w:fill="FFFFFF"/>
          <w:lang w:val="en-GB"/>
        </w:rPr>
        <w:t>63</w:t>
      </w:r>
      <w:r w:rsidRPr="002E3797">
        <w:rPr>
          <w:shd w:val="clear" w:color="auto" w:fill="FFFFFF"/>
          <w:lang w:val="en-GB"/>
        </w:rPr>
        <w:t>.</w:t>
      </w:r>
      <w:r w:rsidR="000B478A" w:rsidRPr="002E3797">
        <w:rPr>
          <w:shd w:val="clear" w:color="auto" w:fill="FFFFFF"/>
          <w:lang w:val="en-GB"/>
        </w:rPr>
        <w:t xml:space="preserve">6% </w:t>
      </w:r>
      <w:r w:rsidR="00CA31BC" w:rsidRPr="002E3797">
        <w:rPr>
          <w:shd w:val="clear" w:color="auto" w:fill="FFFFFF"/>
          <w:lang w:val="en-GB"/>
        </w:rPr>
        <w:t>in the second</w:t>
      </w:r>
      <w:r w:rsidRPr="002E3797">
        <w:rPr>
          <w:shd w:val="clear" w:color="auto" w:fill="FFFFFF"/>
          <w:lang w:val="en-GB"/>
        </w:rPr>
        <w:t xml:space="preserve"> quarter of</w:t>
      </w:r>
      <w:r w:rsidR="000B478A" w:rsidRPr="002E3797">
        <w:rPr>
          <w:shd w:val="clear" w:color="auto" w:fill="FFFFFF"/>
          <w:lang w:val="en-GB"/>
        </w:rPr>
        <w:t xml:space="preserve"> 2022</w:t>
      </w:r>
      <w:r w:rsidRPr="002E3797">
        <w:rPr>
          <w:shd w:val="clear" w:color="auto" w:fill="FFFFFF"/>
          <w:lang w:val="en-GB"/>
        </w:rPr>
        <w:t>, as well as in the households of employees</w:t>
      </w:r>
      <w:r w:rsidR="000B478A" w:rsidRPr="002E3797">
        <w:rPr>
          <w:shd w:val="clear" w:color="auto" w:fill="FFFFFF"/>
          <w:lang w:val="en-GB"/>
        </w:rPr>
        <w:t xml:space="preserve"> –74</w:t>
      </w:r>
      <w:r w:rsidRPr="002E3797">
        <w:rPr>
          <w:shd w:val="clear" w:color="auto" w:fill="FFFFFF"/>
          <w:lang w:val="en-GB"/>
        </w:rPr>
        <w:t>.</w:t>
      </w:r>
      <w:r w:rsidR="000B478A" w:rsidRPr="002E3797">
        <w:rPr>
          <w:shd w:val="clear" w:color="auto" w:fill="FFFFFF"/>
          <w:lang w:val="en-GB"/>
        </w:rPr>
        <w:t xml:space="preserve">9% </w:t>
      </w:r>
      <w:r w:rsidRPr="002E3797">
        <w:rPr>
          <w:shd w:val="clear" w:color="auto" w:fill="FFFFFF"/>
          <w:lang w:val="en-GB"/>
        </w:rPr>
        <w:t>and</w:t>
      </w:r>
      <w:r w:rsidR="000B478A" w:rsidRPr="002E3797">
        <w:rPr>
          <w:shd w:val="clear" w:color="auto" w:fill="FFFFFF"/>
          <w:lang w:val="en-GB"/>
        </w:rPr>
        <w:t xml:space="preserve"> 57</w:t>
      </w:r>
      <w:r w:rsidRPr="002E3797">
        <w:rPr>
          <w:shd w:val="clear" w:color="auto" w:fill="FFFFFF"/>
          <w:lang w:val="en-GB"/>
        </w:rPr>
        <w:t>.</w:t>
      </w:r>
      <w:r w:rsidR="000B478A" w:rsidRPr="002E3797">
        <w:rPr>
          <w:shd w:val="clear" w:color="auto" w:fill="FFFFFF"/>
          <w:lang w:val="en-GB"/>
        </w:rPr>
        <w:t>4%</w:t>
      </w:r>
      <w:r w:rsidRPr="002E3797">
        <w:rPr>
          <w:shd w:val="clear" w:color="auto" w:fill="FFFFFF"/>
          <w:lang w:val="en-GB"/>
        </w:rPr>
        <w:t xml:space="preserve"> respectively</w:t>
      </w:r>
      <w:r w:rsidR="000B478A" w:rsidRPr="002E3797">
        <w:rPr>
          <w:shd w:val="clear" w:color="auto" w:fill="FFFFFF"/>
          <w:lang w:val="en-GB"/>
        </w:rPr>
        <w:t>.</w:t>
      </w:r>
    </w:p>
    <w:p w14:paraId="2ABC3E83" w14:textId="77777777" w:rsidR="008B5D73" w:rsidRDefault="008B5D73" w:rsidP="00277D59">
      <w:pPr>
        <w:spacing w:line="240" w:lineRule="auto"/>
        <w:rPr>
          <w:spacing w:val="-2"/>
          <w:shd w:val="clear" w:color="auto" w:fill="FFFFFF"/>
        </w:rPr>
      </w:pPr>
    </w:p>
    <w:p w14:paraId="6D042663" w14:textId="76836B67" w:rsidR="00277D59" w:rsidRDefault="001C49D9" w:rsidP="00277D59">
      <w:pPr>
        <w:spacing w:line="240" w:lineRule="auto"/>
        <w:rPr>
          <w:spacing w:val="-2"/>
          <w:shd w:val="clear" w:color="auto" w:fill="FFFFFF"/>
        </w:rPr>
      </w:pPr>
      <w:r w:rsidRPr="003B49C8">
        <w:rPr>
          <w:b/>
          <w:noProof/>
          <w:spacing w:val="-2"/>
          <w:lang w:eastAsia="pl-PL"/>
        </w:rPr>
        <mc:AlternateContent>
          <mc:Choice Requires="wps">
            <w:drawing>
              <wp:anchor distT="45720" distB="45720" distL="114300" distR="114300" simplePos="0" relativeHeight="251800576" behindDoc="1" locked="0" layoutInCell="1" allowOverlap="1" wp14:anchorId="3366AD7F" wp14:editId="4134BF95">
                <wp:simplePos x="0" y="0"/>
                <wp:positionH relativeFrom="column">
                  <wp:posOffset>5229225</wp:posOffset>
                </wp:positionH>
                <wp:positionV relativeFrom="paragraph">
                  <wp:posOffset>512445</wp:posOffset>
                </wp:positionV>
                <wp:extent cx="1725295" cy="1079500"/>
                <wp:effectExtent l="0" t="0" r="0" b="6350"/>
                <wp:wrapTight wrapText="bothSides">
                  <wp:wrapPolygon edited="0">
                    <wp:start x="715" y="0"/>
                    <wp:lineTo x="715" y="21346"/>
                    <wp:lineTo x="20749" y="21346"/>
                    <wp:lineTo x="20749" y="0"/>
                    <wp:lineTo x="715" y="0"/>
                  </wp:wrapPolygon>
                </wp:wrapTight>
                <wp:docPr id="223" name="Pole tekstowe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079500"/>
                        </a:xfrm>
                        <a:prstGeom prst="rect">
                          <a:avLst/>
                        </a:prstGeom>
                        <a:noFill/>
                        <a:ln w="9525">
                          <a:noFill/>
                          <a:miter lim="800000"/>
                          <a:headEnd/>
                          <a:tailEnd/>
                        </a:ln>
                      </wps:spPr>
                      <wps:txbx>
                        <w:txbxContent>
                          <w:p w14:paraId="377BCEA9" w14:textId="50A48C85" w:rsidR="009E17AF" w:rsidRPr="0025029B" w:rsidRDefault="00F51D54" w:rsidP="00903E49">
                            <w:pPr>
                              <w:pStyle w:val="tekstzboku"/>
                              <w:rPr>
                                <w:bCs w:val="0"/>
                                <w:lang w:val="en-GB"/>
                              </w:rPr>
                            </w:pPr>
                            <w:r w:rsidRPr="002E3797">
                              <w:rPr>
                                <w:lang w:val="en-GB"/>
                              </w:rPr>
                              <w:t>In the first</w:t>
                            </w:r>
                            <w:r w:rsidR="0025029B" w:rsidRPr="002E3797">
                              <w:rPr>
                                <w:lang w:val="en-GB"/>
                              </w:rPr>
                              <w:t xml:space="preserve"> quarter of 2022 over 80% of the households of self-employed declared support to the inhabitants of Ukraine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a14="http://schemas.microsoft.com/office/drawing/2010/main" xmlns:pic="http://schemas.openxmlformats.org/drawingml/2006/picture" xmlns:c="http://schemas.openxmlformats.org/drawingml/2006/chart" xmlns:a16="http://schemas.microsoft.com/office/drawing/2014/main" xmlns:a="http://schemas.openxmlformats.org/drawingml/2006/main">
            <w:pict>
              <v:shapetype id="_x0000_t202" coordsize="21600,21600" o:spt="202" path="m,l,21600r21600,l21600,xe" w14:anchorId="3366AD7F">
                <v:stroke joinstyle="miter"/>
                <v:path gradientshapeok="t" o:connecttype="rect"/>
              </v:shapetype>
              <v:shape id="Pole tekstowe 223" style="position:absolute;margin-left:411.75pt;margin-top:40.35pt;width:135.85pt;height:85pt;z-index:-251515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">
                <v:textbox>
                  <w:txbxContent>
                    <w:p w:rsidRPr="0025029B" w:rsidR="009E17AF" w:rsidP="00903E49" w:rsidRDefault="00F51D54" w14:paraId="377BCEA9" w14:textId="50A48C85">
                      <w:pPr>
                        <w:pStyle w:val="tekstzboku"/>
                        <w:rPr>
                          <w:bCs w:val="0"/>
                          <w:lang w:val="en-GB"/>
                        </w:rPr>
                      </w:pPr>
                      <w:r w:rsidRPr="002E3797">
                        <w:rPr>
                          <w:lang w:val="en-GB"/>
                        </w:rPr>
                        <w:t>In the first</w:t>
                      </w:r>
                      <w:r w:rsidRPr="002E3797" w:rsidR="0025029B">
                        <w:rPr>
                          <w:lang w:val="en-GB"/>
                        </w:rPr>
                        <w:t xml:space="preserve"> quarter of 2022 over 80% of the households of self-employed declared support to the inhabitants of Ukraine</w:t>
                      </w:r>
                    </w:p>
                  </w:txbxContent>
                </v:textbox>
                <w10:wrap type="tight"/>
              </v:shape>
            </w:pict>
          </mc:Fallback>
        </mc:AlternateContent>
      </w:r>
      <w:r w:rsidR="00174FC2">
        <w:rPr>
          <w:noProof/>
          <w:lang w:eastAsia="pl-PL"/>
        </w:rPr>
        <w:drawing>
          <wp:inline distT="0" distB="0" distL="0" distR="0" wp14:anchorId="705259AE" wp14:editId="5B1E9497">
            <wp:extent cx="5122545" cy="2880000"/>
            <wp:effectExtent l="0" t="0" r="1905" b="0"/>
            <wp:docPr id="6" name="Wykres 6">
              <a:extLst xmlns:a="http://schemas.openxmlformats.org/drawingml/2006/main">
                <a:ext uri="{FF2B5EF4-FFF2-40B4-BE49-F238E27FC236}">
                  <a16:creationI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14="http://schemas.microsoft.com/office/drawing/2010/main" xmlns:pic="http://schemas.openxmlformats.org/drawingml/2006/picture" xmlns:c="http://schemas.openxmlformats.org/drawingml/2006/chart" xmlns=""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9B59876" w14:textId="77777777" w:rsidR="008240D5" w:rsidRDefault="008240D5" w:rsidP="000B478A">
      <w:pPr>
        <w:rPr>
          <w:spacing w:val="-2"/>
          <w:shd w:val="clear" w:color="auto" w:fill="FFFFFF"/>
          <w:lang w:val="en-GB"/>
        </w:rPr>
      </w:pPr>
    </w:p>
    <w:p w14:paraId="45342B99" w14:textId="05D3BD58" w:rsidR="000B478A" w:rsidRPr="008240D5" w:rsidRDefault="001503D6" w:rsidP="000B478A">
      <w:pPr>
        <w:rPr>
          <w:shd w:val="clear" w:color="auto" w:fill="FFFFFF"/>
          <w:lang w:val="en-GB"/>
        </w:rPr>
      </w:pPr>
      <w:r w:rsidRPr="002E3797">
        <w:rPr>
          <w:shd w:val="clear" w:color="auto" w:fill="FFFFFF"/>
          <w:lang w:val="en-GB"/>
        </w:rPr>
        <w:lastRenderedPageBreak/>
        <w:t>In the first</w:t>
      </w:r>
      <w:r w:rsidR="00AA069A" w:rsidRPr="002E3797">
        <w:rPr>
          <w:shd w:val="clear" w:color="auto" w:fill="FFFFFF"/>
          <w:lang w:val="en-GB"/>
        </w:rPr>
        <w:t xml:space="preserve"> quarter of</w:t>
      </w:r>
      <w:r w:rsidR="000B478A" w:rsidRPr="002E3797">
        <w:rPr>
          <w:shd w:val="clear" w:color="auto" w:fill="FFFFFF"/>
          <w:lang w:val="en-GB"/>
        </w:rPr>
        <w:t xml:space="preserve"> 2022</w:t>
      </w:r>
      <w:r w:rsidR="00AA069A" w:rsidRPr="002E3797">
        <w:rPr>
          <w:shd w:val="clear" w:color="auto" w:fill="FFFFFF"/>
          <w:lang w:val="en-GB"/>
        </w:rPr>
        <w:t>,</w:t>
      </w:r>
      <w:r w:rsidR="000B478A" w:rsidRPr="002E3797">
        <w:rPr>
          <w:shd w:val="clear" w:color="auto" w:fill="FFFFFF"/>
          <w:lang w:val="en-GB"/>
        </w:rPr>
        <w:t xml:space="preserve"> 77</w:t>
      </w:r>
      <w:r w:rsidR="00AA069A" w:rsidRPr="002E3797">
        <w:rPr>
          <w:shd w:val="clear" w:color="auto" w:fill="FFFFFF"/>
          <w:lang w:val="en-GB"/>
        </w:rPr>
        <w:t>.</w:t>
      </w:r>
      <w:r w:rsidR="000B478A" w:rsidRPr="002E3797">
        <w:rPr>
          <w:shd w:val="clear" w:color="auto" w:fill="FFFFFF"/>
          <w:lang w:val="en-GB"/>
        </w:rPr>
        <w:t xml:space="preserve">5% </w:t>
      </w:r>
      <w:r w:rsidR="00AA069A" w:rsidRPr="002E3797">
        <w:rPr>
          <w:shd w:val="clear" w:color="auto" w:fill="FFFFFF"/>
          <w:lang w:val="en-GB"/>
        </w:rPr>
        <w:t>of households in the fifth quintile group</w:t>
      </w:r>
      <w:r w:rsidR="000B478A" w:rsidRPr="002E3797">
        <w:rPr>
          <w:shd w:val="clear" w:color="auto" w:fill="FFFFFF"/>
          <w:lang w:val="en-GB"/>
        </w:rPr>
        <w:t xml:space="preserve"> </w:t>
      </w:r>
      <w:r w:rsidR="00AA069A" w:rsidRPr="002E3797">
        <w:rPr>
          <w:shd w:val="clear" w:color="auto" w:fill="FFFFFF"/>
          <w:lang w:val="en-GB"/>
        </w:rPr>
        <w:t xml:space="preserve">(i.e. </w:t>
      </w:r>
      <w:r w:rsidR="008B5D73">
        <w:rPr>
          <w:shd w:val="clear" w:color="auto" w:fill="FFFFFF"/>
          <w:lang w:val="en-GB"/>
        </w:rPr>
        <w:t xml:space="preserve">covering </w:t>
      </w:r>
      <w:r w:rsidR="004F1D5B" w:rsidRPr="002E3797">
        <w:rPr>
          <w:shd w:val="clear" w:color="auto" w:fill="FFFFFF"/>
          <w:lang w:val="en-GB"/>
        </w:rPr>
        <w:t xml:space="preserve">20% of </w:t>
      </w:r>
      <w:r w:rsidR="00AA069A" w:rsidRPr="002E3797">
        <w:rPr>
          <w:shd w:val="clear" w:color="auto" w:fill="FFFFFF"/>
          <w:lang w:val="en-GB"/>
        </w:rPr>
        <w:t xml:space="preserve">the wealthiest </w:t>
      </w:r>
      <w:r w:rsidR="004F1D5B" w:rsidRPr="002E3797">
        <w:rPr>
          <w:shd w:val="clear" w:color="auto" w:fill="FFFFFF"/>
          <w:lang w:val="en-GB"/>
        </w:rPr>
        <w:t>persons</w:t>
      </w:r>
      <w:r w:rsidR="00AA069A" w:rsidRPr="002E3797">
        <w:rPr>
          <w:shd w:val="clear" w:color="auto" w:fill="FFFFFF"/>
          <w:lang w:val="en-GB"/>
        </w:rPr>
        <w:t>)</w:t>
      </w:r>
      <w:r w:rsidR="000B478A" w:rsidRPr="002E3797">
        <w:rPr>
          <w:shd w:val="clear" w:color="auto" w:fill="FFFFFF"/>
          <w:lang w:val="en-GB"/>
        </w:rPr>
        <w:t xml:space="preserve"> </w:t>
      </w:r>
      <w:r w:rsidR="00AA069A" w:rsidRPr="002E3797">
        <w:rPr>
          <w:shd w:val="clear" w:color="auto" w:fill="FFFFFF"/>
          <w:lang w:val="en-GB"/>
        </w:rPr>
        <w:t>were engaged in the support to the inhabitants of Ukraine</w:t>
      </w:r>
      <w:r w:rsidR="000B478A" w:rsidRPr="002E3797">
        <w:rPr>
          <w:shd w:val="clear" w:color="auto" w:fill="FFFFFF"/>
          <w:lang w:val="en-GB"/>
        </w:rPr>
        <w:t xml:space="preserve">. </w:t>
      </w:r>
      <w:r w:rsidR="00AA069A" w:rsidRPr="002E3797">
        <w:rPr>
          <w:shd w:val="clear" w:color="auto" w:fill="FFFFFF"/>
          <w:lang w:val="en-GB"/>
        </w:rPr>
        <w:t>In the second quarter it was 60.9%. In this quintile group, the percentage of helping households was the highest.</w:t>
      </w:r>
      <w:r w:rsidR="008B5D73">
        <w:rPr>
          <w:shd w:val="clear" w:color="auto" w:fill="FFFFFF"/>
          <w:lang w:val="en-GB"/>
        </w:rPr>
        <w:t xml:space="preserve"> </w:t>
      </w:r>
      <w:r w:rsidR="008B5D73" w:rsidRPr="008B5D73">
        <w:rPr>
          <w:shd w:val="clear" w:color="auto" w:fill="FFFFFF"/>
          <w:lang w:val="en-GB"/>
        </w:rPr>
        <w:t>It is also worth emphasizing that in each quintile group it was not less than 63.8% in the first quarter (from February 24) and 47.5% in the second quarter.</w:t>
      </w:r>
    </w:p>
    <w:p w14:paraId="3067B620" w14:textId="4DD740EC" w:rsidR="00277D59" w:rsidRPr="00AA069A" w:rsidRDefault="00277D59" w:rsidP="00277D59">
      <w:pPr>
        <w:jc w:val="both"/>
        <w:rPr>
          <w:i/>
          <w:spacing w:val="-2"/>
          <w:szCs w:val="19"/>
          <w:shd w:val="clear" w:color="auto" w:fill="FFFFFF"/>
          <w:lang w:val="en-GB"/>
        </w:rPr>
      </w:pPr>
    </w:p>
    <w:p w14:paraId="15C2A858" w14:textId="78FC96EF" w:rsidR="00277D59" w:rsidRDefault="009B5E0C" w:rsidP="00277D59">
      <w:pPr>
        <w:spacing w:line="240" w:lineRule="auto"/>
        <w:rPr>
          <w:b/>
          <w:i/>
          <w:spacing w:val="-2"/>
          <w:sz w:val="18"/>
          <w:shd w:val="clear" w:color="auto" w:fill="FFFFFF"/>
        </w:rPr>
      </w:pPr>
      <w:r>
        <w:rPr>
          <w:noProof/>
          <w:lang w:eastAsia="pl-PL"/>
        </w:rPr>
        <w:drawing>
          <wp:inline distT="0" distB="0" distL="0" distR="0" wp14:anchorId="0D373FF8" wp14:editId="7847D28A">
            <wp:extent cx="5122545" cy="2880000"/>
            <wp:effectExtent l="0" t="0" r="1905" b="0"/>
            <wp:docPr id="8" name="Wykres 8">
              <a:extLst xmlns:a="http://schemas.openxmlformats.org/drawingml/2006/main">
                <a:ext uri="{FF2B5EF4-FFF2-40B4-BE49-F238E27FC236}">
                  <a16:creationI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14="http://schemas.microsoft.com/office/drawing/2010/main" xmlns:pic="http://schemas.openxmlformats.org/drawingml/2006/picture" xmlns:c="http://schemas.openxmlformats.org/drawingml/2006/chart" xmlns="" id="{00000000-0008-0000-02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7C0ECB7" w14:textId="77777777" w:rsidR="00277D59" w:rsidRPr="00710892" w:rsidRDefault="00277D59" w:rsidP="00277D59">
      <w:pPr>
        <w:spacing w:line="240" w:lineRule="auto"/>
        <w:rPr>
          <w:b/>
          <w:spacing w:val="-2"/>
          <w:sz w:val="18"/>
          <w:shd w:val="clear" w:color="auto" w:fill="FFFFFF"/>
        </w:rPr>
      </w:pPr>
    </w:p>
    <w:p w14:paraId="32CBAC65" w14:textId="09E68102" w:rsidR="000B478A" w:rsidRDefault="00AA069A" w:rsidP="000B478A">
      <w:pPr>
        <w:spacing w:line="240" w:lineRule="auto"/>
        <w:rPr>
          <w:shd w:val="clear" w:color="auto" w:fill="FFFFFF"/>
          <w:lang w:val="en-GB"/>
        </w:rPr>
      </w:pPr>
      <w:r w:rsidRPr="002E3797">
        <w:rPr>
          <w:shd w:val="clear" w:color="auto" w:fill="FFFFFF"/>
          <w:lang w:val="en-GB"/>
        </w:rPr>
        <w:t xml:space="preserve">Households declaring support to the inhabitants of Ukraine were numerous in all the classes of locality. The highest percentage of households that provided assistance was in the cities with 500 thousand or more residents – 75.3% in the </w:t>
      </w:r>
      <w:r w:rsidR="001503D6" w:rsidRPr="002E3797">
        <w:rPr>
          <w:shd w:val="clear" w:color="auto" w:fill="FFFFFF"/>
          <w:lang w:val="en-GB"/>
        </w:rPr>
        <w:t>first quarter and 61.9% in the second</w:t>
      </w:r>
      <w:r w:rsidRPr="002E3797">
        <w:rPr>
          <w:shd w:val="clear" w:color="auto" w:fill="FFFFFF"/>
          <w:lang w:val="en-GB"/>
        </w:rPr>
        <w:t xml:space="preserve"> quarter.</w:t>
      </w:r>
    </w:p>
    <w:p w14:paraId="4087B95F" w14:textId="77777777" w:rsidR="009F3D2B" w:rsidRPr="00111CB9" w:rsidRDefault="009F3D2B" w:rsidP="000B478A">
      <w:pPr>
        <w:spacing w:line="240" w:lineRule="auto"/>
        <w:rPr>
          <w:noProof/>
          <w:lang w:val="en-GB" w:eastAsia="pl-PL"/>
        </w:rPr>
      </w:pPr>
    </w:p>
    <w:p w14:paraId="0A91912C" w14:textId="296A9A58" w:rsidR="00B246C8" w:rsidRPr="003B33FE" w:rsidRDefault="00DF5848" w:rsidP="00B246C8">
      <w:pPr>
        <w:spacing w:line="240" w:lineRule="auto"/>
        <w:jc w:val="both"/>
        <w:rPr>
          <w:b/>
          <w:i/>
          <w:spacing w:val="-2"/>
          <w:sz w:val="18"/>
          <w:shd w:val="clear" w:color="auto" w:fill="FFFFFF"/>
        </w:rPr>
      </w:pPr>
      <w:r>
        <w:rPr>
          <w:i/>
          <w:noProof/>
          <w:lang w:eastAsia="pl-PL"/>
        </w:rPr>
        <mc:AlternateContent>
          <mc:Choice Requires="wps">
            <w:drawing>
              <wp:anchor distT="45720" distB="45720" distL="114300" distR="114300" simplePos="0" relativeHeight="251833344" behindDoc="1" locked="0" layoutInCell="1" allowOverlap="1" wp14:anchorId="41A33827" wp14:editId="542F5DB2">
                <wp:simplePos x="0" y="0"/>
                <wp:positionH relativeFrom="column">
                  <wp:posOffset>5229225</wp:posOffset>
                </wp:positionH>
                <wp:positionV relativeFrom="paragraph">
                  <wp:posOffset>502920</wp:posOffset>
                </wp:positionV>
                <wp:extent cx="1725295" cy="1638300"/>
                <wp:effectExtent l="0" t="0" r="0" b="0"/>
                <wp:wrapTight wrapText="bothSides">
                  <wp:wrapPolygon edited="0">
                    <wp:start x="715" y="0"/>
                    <wp:lineTo x="715" y="21349"/>
                    <wp:lineTo x="20749" y="21349"/>
                    <wp:lineTo x="20749" y="0"/>
                    <wp:lineTo x="715" y="0"/>
                  </wp:wrapPolygon>
                </wp:wrapTight>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638300"/>
                        </a:xfrm>
                        <a:prstGeom prst="rect">
                          <a:avLst/>
                        </a:prstGeom>
                        <a:noFill/>
                        <a:ln w="9525">
                          <a:noFill/>
                          <a:miter lim="800000"/>
                          <a:headEnd/>
                          <a:tailEnd/>
                        </a:ln>
                      </wps:spPr>
                      <wps:txbx>
                        <w:txbxContent>
                          <w:p w14:paraId="775B7A6B" w14:textId="37BD0A4E" w:rsidR="009E17AF" w:rsidRPr="0025029B" w:rsidRDefault="0025029B" w:rsidP="00B246C8">
                            <w:pPr>
                              <w:pStyle w:val="tekstzboku"/>
                              <w:rPr>
                                <w:bCs w:val="0"/>
                                <w:lang w:val="en-GB"/>
                              </w:rPr>
                            </w:pPr>
                            <w:r w:rsidRPr="0025029B">
                              <w:rPr>
                                <w:lang w:val="en-GB"/>
                              </w:rPr>
                              <w:t xml:space="preserve">In the first quarter of 2022 (from February 24), 2/3 to </w:t>
                            </w:r>
                            <w:r>
                              <w:rPr>
                                <w:lang w:val="en-GB"/>
                              </w:rPr>
                              <w:t>3/4</w:t>
                            </w:r>
                            <w:r w:rsidRPr="0025029B">
                              <w:rPr>
                                <w:lang w:val="en-GB"/>
                              </w:rPr>
                              <w:t xml:space="preserve"> of households in particular classes of </w:t>
                            </w:r>
                            <w:r>
                              <w:rPr>
                                <w:lang w:val="en-GB"/>
                              </w:rPr>
                              <w:t xml:space="preserve">locality </w:t>
                            </w:r>
                            <w:r w:rsidRPr="0025029B">
                              <w:rPr>
                                <w:lang w:val="en-GB"/>
                              </w:rPr>
                              <w:t>helped the inhabitants of Ukraine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a14="http://schemas.microsoft.com/office/drawing/2010/main" xmlns:pic="http://schemas.openxmlformats.org/drawingml/2006/picture" xmlns:c="http://schemas.openxmlformats.org/drawingml/2006/chart" xmlns:a16="http://schemas.microsoft.com/office/drawing/2014/main" xmlns:a="http://schemas.openxmlformats.org/drawingml/2006/main">
            <w:pict>
              <v:shape id="Pole tekstowe 3" style="position:absolute;left:0;text-align:left;margin-left:411.75pt;margin-top:39.6pt;width:135.85pt;height:129pt;z-index:-251483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" w14:anchorId="41A33827">
                <v:textbox>
                  <w:txbxContent>
                    <w:p w:rsidRPr="0025029B" w:rsidR="009E17AF" w:rsidP="00B246C8" w:rsidRDefault="0025029B" w14:paraId="775B7A6B" w14:textId="37BD0A4E">
                      <w:pPr>
                        <w:pStyle w:val="tekstzboku"/>
                        <w:rPr>
                          <w:bCs w:val="0"/>
                          <w:lang w:val="en-GB"/>
                        </w:rPr>
                      </w:pPr>
                      <w:r w:rsidRPr="0025029B">
                        <w:rPr>
                          <w:lang w:val="en-GB"/>
                        </w:rPr>
                        <w:t xml:space="preserve">In the first quarter of 2022 (from February 24), 2/3 to </w:t>
                      </w:r>
                      <w:r>
                        <w:rPr>
                          <w:lang w:val="en-GB"/>
                        </w:rPr>
                        <w:t>3/4</w:t>
                      </w:r>
                      <w:r w:rsidRPr="0025029B">
                        <w:rPr>
                          <w:lang w:val="en-GB"/>
                        </w:rPr>
                        <w:t xml:space="preserve"> of households in particular classes of </w:t>
                      </w:r>
                      <w:r>
                        <w:rPr>
                          <w:lang w:val="en-GB"/>
                        </w:rPr>
                        <w:t xml:space="preserve">locality </w:t>
                      </w:r>
                      <w:r w:rsidRPr="0025029B">
                        <w:rPr>
                          <w:lang w:val="en-GB"/>
                        </w:rPr>
                        <w:t>helped the inhabitants of Ukraine</w:t>
                      </w:r>
                    </w:p>
                  </w:txbxContent>
                </v:textbox>
                <w10:wrap type="tight"/>
              </v:shape>
            </w:pict>
          </mc:Fallback>
        </mc:AlternateContent>
      </w:r>
      <w:r w:rsidR="001503D6">
        <w:rPr>
          <w:noProof/>
          <w:lang w:eastAsia="pl-PL"/>
        </w:rPr>
        <w:drawing>
          <wp:inline distT="0" distB="0" distL="0" distR="0" wp14:anchorId="1504C9AD" wp14:editId="3A1562CA">
            <wp:extent cx="5112000" cy="2880000"/>
            <wp:effectExtent l="0" t="0" r="0" b="0"/>
            <wp:docPr id="1" name="Wykres 1">
              <a:extLst xmlns:a="http://schemas.openxmlformats.org/drawingml/2006/main">
                <a:ext uri="{FF2B5EF4-FFF2-40B4-BE49-F238E27FC236}">
                  <a16:creationI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14="http://schemas.microsoft.com/office/drawing/2010/main" xmlns:pic="http://schemas.openxmlformats.org/drawingml/2006/picture" xmlns:c="http://schemas.openxmlformats.org/drawingml/2006/chart" xmlns="" id="{00000000-0008-0000-03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0571208" w14:textId="2EB315CE" w:rsidR="00B246C8" w:rsidRPr="002400F5" w:rsidRDefault="00B246C8" w:rsidP="00764D9C">
      <w:pPr>
        <w:rPr>
          <w:spacing w:val="-2"/>
          <w:shd w:val="clear" w:color="auto" w:fill="FFFFFF"/>
        </w:rPr>
      </w:pPr>
    </w:p>
    <w:p w14:paraId="488FC45F" w14:textId="77777777" w:rsidR="009F3D2B" w:rsidRDefault="009F3D2B" w:rsidP="000B478A">
      <w:pPr>
        <w:rPr>
          <w:spacing w:val="-2"/>
          <w:shd w:val="clear" w:color="auto" w:fill="FFFFFF"/>
          <w:lang w:val="en-GB"/>
        </w:rPr>
      </w:pPr>
      <w:r>
        <w:rPr>
          <w:spacing w:val="-2"/>
          <w:shd w:val="clear" w:color="auto" w:fill="FFFFFF"/>
          <w:lang w:val="en-GB"/>
        </w:rPr>
        <w:br w:type="page"/>
      </w:r>
    </w:p>
    <w:p w14:paraId="01736486" w14:textId="31ADDE8A" w:rsidR="000B478A" w:rsidRPr="002E3797" w:rsidRDefault="004F07D9" w:rsidP="000B478A">
      <w:pPr>
        <w:rPr>
          <w:shd w:val="clear" w:color="auto" w:fill="FFFFFF"/>
          <w:lang w:val="en-GB"/>
        </w:rPr>
      </w:pPr>
      <w:r w:rsidRPr="002E3797">
        <w:rPr>
          <w:shd w:val="clear" w:color="auto" w:fill="FFFFFF"/>
          <w:lang w:val="en-GB"/>
        </w:rPr>
        <w:lastRenderedPageBreak/>
        <w:t xml:space="preserve">Households in individual </w:t>
      </w:r>
      <w:r w:rsidR="009F3D2B" w:rsidRPr="002E3797">
        <w:rPr>
          <w:shd w:val="clear" w:color="auto" w:fill="FFFFFF"/>
          <w:lang w:val="en-GB"/>
        </w:rPr>
        <w:t>voivodships</w:t>
      </w:r>
      <w:r w:rsidRPr="002E3797">
        <w:rPr>
          <w:shd w:val="clear" w:color="auto" w:fill="FFFFFF"/>
          <w:lang w:val="en-GB"/>
        </w:rPr>
        <w:t xml:space="preserve"> engaged in support to the inhabitants of Ukraine with different degrees of intensity. The percentage of helping households in voivodships in </w:t>
      </w:r>
      <w:r w:rsidR="00F51D54" w:rsidRPr="002E3797">
        <w:rPr>
          <w:shd w:val="clear" w:color="auto" w:fill="FFFFFF"/>
          <w:lang w:val="en-GB"/>
        </w:rPr>
        <w:t>the first</w:t>
      </w:r>
      <w:r w:rsidRPr="002E3797">
        <w:rPr>
          <w:shd w:val="clear" w:color="auto" w:fill="FFFFFF"/>
          <w:lang w:val="en-GB"/>
        </w:rPr>
        <w:t xml:space="preserve"> quarter </w:t>
      </w:r>
      <w:r w:rsidR="008B5D73">
        <w:rPr>
          <w:shd w:val="clear" w:color="auto" w:fill="FFFFFF"/>
          <w:lang w:val="en-GB"/>
        </w:rPr>
        <w:t xml:space="preserve">(from February 24) </w:t>
      </w:r>
      <w:r w:rsidRPr="002E3797">
        <w:rPr>
          <w:shd w:val="clear" w:color="auto" w:fill="FFFFFF"/>
          <w:lang w:val="en-GB"/>
        </w:rPr>
        <w:t xml:space="preserve">ranged from 58.5% to 83.6%. The highest share of households declaring assistance </w:t>
      </w:r>
      <w:r w:rsidR="008B5D73">
        <w:rPr>
          <w:shd w:val="clear" w:color="auto" w:fill="FFFFFF"/>
          <w:lang w:val="en-GB"/>
        </w:rPr>
        <w:t xml:space="preserve">to the inhabitants of Ukraine </w:t>
      </w:r>
      <w:r w:rsidR="005A4144">
        <w:rPr>
          <w:shd w:val="clear" w:color="auto" w:fill="FFFFFF"/>
          <w:lang w:val="en-GB"/>
        </w:rPr>
        <w:t xml:space="preserve">in the first quarter </w:t>
      </w:r>
      <w:r w:rsidRPr="002E3797">
        <w:rPr>
          <w:shd w:val="clear" w:color="auto" w:fill="FFFFFF"/>
          <w:lang w:val="en-GB"/>
        </w:rPr>
        <w:t>was recorded in Podkarpackie (83.6%) and Mazowiec</w:t>
      </w:r>
      <w:r w:rsidR="00F51D54" w:rsidRPr="002E3797">
        <w:rPr>
          <w:shd w:val="clear" w:color="auto" w:fill="FFFFFF"/>
          <w:lang w:val="en-GB"/>
        </w:rPr>
        <w:t>kie (78.0%) voivodships. In the second</w:t>
      </w:r>
      <w:r w:rsidRPr="002E3797">
        <w:rPr>
          <w:shd w:val="clear" w:color="auto" w:fill="FFFFFF"/>
          <w:lang w:val="en-GB"/>
        </w:rPr>
        <w:t xml:space="preserve"> quarter, this percentage ranged from 39.6% to 65.2% depending on the voivodship and it was the highest in Mazowieckie voivodship (65.2%).</w:t>
      </w:r>
    </w:p>
    <w:p w14:paraId="32F6D4EB" w14:textId="67C5AB39" w:rsidR="004F1D5B" w:rsidRDefault="004F1D5B" w:rsidP="003B49C8">
      <w:pPr>
        <w:spacing w:line="240" w:lineRule="auto"/>
        <w:rPr>
          <w:noProof/>
          <w:lang w:val="en-GB"/>
        </w:rPr>
      </w:pPr>
    </w:p>
    <w:p w14:paraId="64B75FF1" w14:textId="2546A557" w:rsidR="00187226" w:rsidRPr="0025029B" w:rsidRDefault="00EE53CA" w:rsidP="003B49C8">
      <w:pPr>
        <w:spacing w:line="240" w:lineRule="auto"/>
        <w:rPr>
          <w:i/>
          <w:shd w:val="clear" w:color="auto" w:fill="FFFFFF"/>
          <w:lang w:val="en-GB"/>
        </w:rPr>
      </w:pPr>
      <w:r>
        <w:rPr>
          <w:i/>
          <w:noProof/>
          <w:lang w:eastAsia="pl-PL"/>
        </w:rPr>
        <mc:AlternateContent>
          <mc:Choice Requires="wps">
            <w:drawing>
              <wp:anchor distT="45720" distB="45720" distL="114300" distR="114300" simplePos="0" relativeHeight="251846656" behindDoc="1" locked="0" layoutInCell="1" allowOverlap="1" wp14:anchorId="1412D6A2" wp14:editId="2C9088A3">
                <wp:simplePos x="0" y="0"/>
                <wp:positionH relativeFrom="column">
                  <wp:posOffset>5210175</wp:posOffset>
                </wp:positionH>
                <wp:positionV relativeFrom="paragraph">
                  <wp:posOffset>598170</wp:posOffset>
                </wp:positionV>
                <wp:extent cx="1725295" cy="1447800"/>
                <wp:effectExtent l="0" t="0" r="0" b="0"/>
                <wp:wrapTight wrapText="bothSides">
                  <wp:wrapPolygon edited="0">
                    <wp:start x="715" y="0"/>
                    <wp:lineTo x="715" y="21316"/>
                    <wp:lineTo x="20749" y="21316"/>
                    <wp:lineTo x="20749" y="0"/>
                    <wp:lineTo x="715" y="0"/>
                  </wp:wrapPolygon>
                </wp:wrapTight>
                <wp:docPr id="7" name="Pole tekstow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447800"/>
                        </a:xfrm>
                        <a:prstGeom prst="rect">
                          <a:avLst/>
                        </a:prstGeom>
                        <a:noFill/>
                        <a:ln w="9525">
                          <a:noFill/>
                          <a:miter lim="800000"/>
                          <a:headEnd/>
                          <a:tailEnd/>
                        </a:ln>
                      </wps:spPr>
                      <wps:txbx>
                        <w:txbxContent>
                          <w:p w14:paraId="3B730D34" w14:textId="07BB9C10" w:rsidR="00DF5848" w:rsidRPr="00851D39" w:rsidRDefault="00851D39" w:rsidP="00DF5848">
                            <w:pPr>
                              <w:pStyle w:val="tekstzboku"/>
                              <w:rPr>
                                <w:lang w:val="en-GB"/>
                              </w:rPr>
                            </w:pPr>
                            <w:r w:rsidRPr="002E3797">
                              <w:rPr>
                                <w:lang w:val="en-GB"/>
                              </w:rPr>
                              <w:t xml:space="preserve">In the </w:t>
                            </w:r>
                            <w:r w:rsidR="00F51D54" w:rsidRPr="002E3797">
                              <w:rPr>
                                <w:lang w:val="en-GB"/>
                              </w:rPr>
                              <w:t>first</w:t>
                            </w:r>
                            <w:r w:rsidRPr="002E3797">
                              <w:rPr>
                                <w:lang w:val="en-GB"/>
                              </w:rPr>
                              <w:t xml:space="preserve"> quarter of 2022, almost 84% of households from Podkarpac</w:t>
                            </w:r>
                            <w:r w:rsidR="00AA7ADA" w:rsidRPr="002E3797">
                              <w:rPr>
                                <w:lang w:val="en-GB"/>
                              </w:rPr>
                              <w:t>k</w:t>
                            </w:r>
                            <w:r w:rsidRPr="002E3797">
                              <w:rPr>
                                <w:lang w:val="en-GB"/>
                              </w:rPr>
                              <w:t>ie voivodship provided aid to the inhabitants of Ukraine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a14="http://schemas.microsoft.com/office/drawing/2010/main" xmlns:pic="http://schemas.openxmlformats.org/drawingml/2006/picture" xmlns:c="http://schemas.openxmlformats.org/drawingml/2006/chart" xmlns:a16="http://schemas.microsoft.com/office/drawing/2014/main" xmlns:a="http://schemas.openxmlformats.org/drawingml/2006/main">
            <w:pict>
              <v:shape id="Pole tekstowe 7" style="position:absolute;margin-left:410.25pt;margin-top:47.1pt;width:135.85pt;height:114pt;z-index:-251469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" w14:anchorId="1412D6A2">
                <v:textbox>
                  <w:txbxContent>
                    <w:p w:rsidRPr="00851D39" w:rsidR="00DF5848" w:rsidP="00DF5848" w:rsidRDefault="00851D39" w14:paraId="3B730D34" w14:textId="07BB9C10">
                      <w:pPr>
                        <w:pStyle w:val="tekstzboku"/>
                        <w:rPr>
                          <w:lang w:val="en-GB"/>
                        </w:rPr>
                      </w:pPr>
                      <w:r w:rsidRPr="002E3797">
                        <w:rPr>
                          <w:lang w:val="en-GB"/>
                        </w:rPr>
                        <w:t xml:space="preserve">In the </w:t>
                      </w:r>
                      <w:r w:rsidRPr="002E3797" w:rsidR="00F51D54">
                        <w:rPr>
                          <w:lang w:val="en-GB"/>
                        </w:rPr>
                        <w:t>first</w:t>
                      </w:r>
                      <w:r w:rsidRPr="002E3797">
                        <w:rPr>
                          <w:lang w:val="en-GB"/>
                        </w:rPr>
                        <w:t xml:space="preserve"> quarter of 2022, almost 84% of households from Podkarpac</w:t>
                      </w:r>
                      <w:r w:rsidRPr="002E3797" w:rsidR="00AA7ADA">
                        <w:rPr>
                          <w:lang w:val="en-GB"/>
                        </w:rPr>
                        <w:t>k</w:t>
                      </w:r>
                      <w:r w:rsidRPr="002E3797">
                        <w:rPr>
                          <w:lang w:val="en-GB"/>
                        </w:rPr>
                        <w:t>ie voivodship provided aid to the inhabitants of Ukraine</w:t>
                      </w:r>
                    </w:p>
                  </w:txbxContent>
                </v:textbox>
                <w10:wrap type="tight"/>
              </v:shape>
            </w:pict>
          </mc:Fallback>
        </mc:AlternateContent>
      </w:r>
      <w:r w:rsidR="0025029B">
        <w:rPr>
          <w:noProof/>
          <w:lang w:eastAsia="pl-PL"/>
        </w:rPr>
        <w:drawing>
          <wp:inline distT="0" distB="0" distL="0" distR="0" wp14:anchorId="6378016F" wp14:editId="00304DCD">
            <wp:extent cx="5122545" cy="5184000"/>
            <wp:effectExtent l="0" t="0" r="1905" b="0"/>
            <wp:docPr id="11" name="Wykres 11">
              <a:extLst xmlns:a="http://schemas.openxmlformats.org/drawingml/2006/main">
                <a:ext uri="{FF2B5EF4-FFF2-40B4-BE49-F238E27FC236}">
                  <a16:creationI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xmlns:a14="http://schemas.microsoft.com/office/drawing/2010/main" xmlns:pic="http://schemas.openxmlformats.org/drawingml/2006/picture" xmlns:c="http://schemas.openxmlformats.org/drawingml/2006/chart" xmlns="" id="{00000000-0008-0000-04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9E88ADF" w14:textId="5537A261" w:rsidR="00764D9C" w:rsidRDefault="00764D9C" w:rsidP="00764D9C">
      <w:pPr>
        <w:spacing w:line="240" w:lineRule="auto"/>
        <w:jc w:val="both"/>
        <w:rPr>
          <w:i/>
          <w:spacing w:val="-6"/>
          <w:shd w:val="clear" w:color="auto" w:fill="FFFFFF"/>
          <w:lang w:val="en-GB"/>
        </w:rPr>
      </w:pPr>
    </w:p>
    <w:p w14:paraId="4E6D50DE" w14:textId="77777777" w:rsidR="009F3D2B" w:rsidRPr="0025029B" w:rsidRDefault="009F3D2B" w:rsidP="00764D9C">
      <w:pPr>
        <w:spacing w:line="240" w:lineRule="auto"/>
        <w:jc w:val="both"/>
        <w:rPr>
          <w:i/>
          <w:spacing w:val="-6"/>
          <w:shd w:val="clear" w:color="auto" w:fill="FFFFFF"/>
          <w:lang w:val="en-GB"/>
        </w:rPr>
      </w:pPr>
    </w:p>
    <w:p w14:paraId="76C0653A" w14:textId="0413BF19" w:rsidR="00694AF0" w:rsidRPr="002E3797" w:rsidRDefault="0025029B" w:rsidP="00743D1C">
      <w:pPr>
        <w:rPr>
          <w:szCs w:val="19"/>
          <w:shd w:val="clear" w:color="auto" w:fill="FFFFFF"/>
          <w:lang w:val="en-GB"/>
        </w:rPr>
        <w:sectPr w:rsidR="00694AF0" w:rsidRPr="002E3797" w:rsidSect="00181548">
          <w:headerReference w:type="default" r:id="rId16"/>
          <w:footerReference w:type="default" r:id="rId17"/>
          <w:headerReference w:type="first" r:id="rId18"/>
          <w:footerReference w:type="first" r:id="rId19"/>
          <w:pgSz w:w="11906" w:h="16838"/>
          <w:pgMar w:top="720" w:right="3119" w:bottom="720" w:left="720" w:header="284" w:footer="397" w:gutter="0"/>
          <w:cols w:space="708"/>
          <w:titlePg/>
          <w:docGrid w:linePitch="360"/>
        </w:sectPr>
      </w:pPr>
      <w:r w:rsidRPr="002E3797">
        <w:rPr>
          <w:szCs w:val="19"/>
          <w:shd w:val="clear" w:color="auto" w:fill="FFFFFF"/>
          <w:lang w:val="en-GB"/>
        </w:rPr>
        <w:t>In case of quoting Statistics Poland data, please provide information: “Source of data: Statistics Poland”, and in case of publishing calculations made on data published by Statistics Poland, please include the following disclaimer: “Own study based on figures from Statistics Poland”.</w:t>
      </w:r>
    </w:p>
    <w:tbl>
      <w:tblPr>
        <w:tblpPr w:leftFromText="141" w:rightFromText="141" w:vertAnchor="text" w:horzAnchor="margin" w:tblpY="43"/>
        <w:tblW w:w="10467" w:type="dxa"/>
        <w:tblLook w:val="04A0" w:firstRow="1" w:lastRow="0" w:firstColumn="1" w:lastColumn="0" w:noHBand="0" w:noVBand="1"/>
      </w:tblPr>
      <w:tblGrid>
        <w:gridCol w:w="5233"/>
        <w:gridCol w:w="5234"/>
      </w:tblGrid>
      <w:tr w:rsidR="009F6AA2" w:rsidRPr="00230699" w14:paraId="637A6981" w14:textId="77777777" w:rsidTr="00735B59">
        <w:trPr>
          <w:trHeight w:val="1266"/>
        </w:trPr>
        <w:tc>
          <w:tcPr>
            <w:tcW w:w="5233" w:type="dxa"/>
          </w:tcPr>
          <w:p w14:paraId="14FAD679" w14:textId="0BC3F47F" w:rsidR="009F6AA2" w:rsidRPr="002E7C32" w:rsidRDefault="002E7C32" w:rsidP="00735B59">
            <w:pPr>
              <w:spacing w:before="0" w:after="0" w:line="276" w:lineRule="auto"/>
              <w:rPr>
                <w:rFonts w:cs="Arial"/>
                <w:sz w:val="20"/>
                <w:lang w:val="en-GB"/>
              </w:rPr>
            </w:pPr>
            <w:r w:rsidRPr="002E7C32">
              <w:rPr>
                <w:rFonts w:cs="Arial"/>
                <w:sz w:val="20"/>
                <w:lang w:val="en-GB"/>
              </w:rPr>
              <w:lastRenderedPageBreak/>
              <w:t>Prepared by</w:t>
            </w:r>
            <w:r w:rsidR="009F6AA2" w:rsidRPr="002E7C32">
              <w:rPr>
                <w:rFonts w:cs="Arial"/>
                <w:sz w:val="20"/>
                <w:lang w:val="en-GB"/>
              </w:rPr>
              <w:t>:</w:t>
            </w:r>
          </w:p>
          <w:p w14:paraId="7602ACAE" w14:textId="0AF85218" w:rsidR="009F6AA2" w:rsidRPr="002E7C32" w:rsidRDefault="002E7C32" w:rsidP="00735B59">
            <w:pPr>
              <w:pStyle w:val="Nagwek3"/>
              <w:spacing w:before="0" w:after="120" w:line="276" w:lineRule="auto"/>
              <w:rPr>
                <w:rFonts w:ascii="Fira Sans" w:eastAsiaTheme="minorHAnsi" w:hAnsi="Fira Sans" w:cs="Arial"/>
                <w:b/>
                <w:color w:val="auto"/>
                <w:sz w:val="20"/>
                <w:szCs w:val="22"/>
                <w:lang w:val="en-GB"/>
              </w:rPr>
            </w:pPr>
            <w:r w:rsidRPr="002E7C32">
              <w:rPr>
                <w:rFonts w:ascii="Fira Sans" w:eastAsiaTheme="minorHAnsi" w:hAnsi="Fira Sans" w:cs="Arial"/>
                <w:b/>
                <w:color w:val="auto"/>
                <w:sz w:val="20"/>
                <w:szCs w:val="22"/>
                <w:lang w:val="en-GB"/>
              </w:rPr>
              <w:t>Social Surveys Department</w:t>
            </w:r>
          </w:p>
          <w:p w14:paraId="5FA78F69" w14:textId="64C1DCE8" w:rsidR="009F6AA2" w:rsidRPr="002E7C32" w:rsidRDefault="002E7C32" w:rsidP="00735B59">
            <w:pPr>
              <w:pStyle w:val="Nagwek3"/>
              <w:spacing w:before="0" w:line="276" w:lineRule="auto"/>
              <w:rPr>
                <w:rFonts w:ascii="Fira Sans" w:hAnsi="Fira Sans" w:cs="Arial"/>
                <w:b/>
                <w:color w:val="auto"/>
                <w:sz w:val="20"/>
                <w:szCs w:val="28"/>
                <w:lang w:val="en-GB"/>
              </w:rPr>
            </w:pPr>
            <w:r w:rsidRPr="002E7C32">
              <w:rPr>
                <w:rFonts w:ascii="Fira Sans" w:hAnsi="Fira Sans" w:cs="Arial"/>
                <w:b/>
                <w:color w:val="auto"/>
                <w:sz w:val="20"/>
                <w:szCs w:val="28"/>
                <w:lang w:val="en-GB"/>
              </w:rPr>
              <w:t>Director Piotr Łysoń</w:t>
            </w:r>
            <w:r w:rsidR="00D649EA">
              <w:rPr>
                <w:rFonts w:ascii="Fira Sans" w:hAnsi="Fira Sans" w:cs="Arial"/>
                <w:b/>
                <w:color w:val="auto"/>
                <w:sz w:val="20"/>
                <w:szCs w:val="28"/>
                <w:lang w:val="en-GB"/>
              </w:rPr>
              <w:t xml:space="preserve"> PhD</w:t>
            </w:r>
          </w:p>
          <w:p w14:paraId="3A35A741" w14:textId="0644911D" w:rsidR="008B6991" w:rsidRPr="004579C8" w:rsidRDefault="002E7C32" w:rsidP="00735B59">
            <w:pPr>
              <w:pStyle w:val="Nagwek3"/>
              <w:spacing w:before="0" w:line="276" w:lineRule="auto"/>
              <w:rPr>
                <w:rFonts w:ascii="Fira Sans" w:hAnsi="Fira Sans"/>
                <w:color w:val="auto"/>
                <w:sz w:val="20"/>
                <w:u w:val="single"/>
              </w:rPr>
            </w:pPr>
            <w:r>
              <w:rPr>
                <w:rFonts w:ascii="Fira Sans" w:hAnsi="Fira Sans" w:cs="Arial"/>
                <w:color w:val="000000" w:themeColor="text1"/>
                <w:sz w:val="20"/>
                <w:lang w:val="en-GB"/>
              </w:rPr>
              <w:t>Office: tel. (</w:t>
            </w:r>
            <w:r w:rsidRPr="00E31FA7">
              <w:rPr>
                <w:rFonts w:ascii="Fira Sans" w:hAnsi="Fira Sans" w:cs="Arial"/>
                <w:color w:val="000000" w:themeColor="text1"/>
                <w:sz w:val="20"/>
                <w:lang w:val="en-GB"/>
              </w:rPr>
              <w:t>+ 48 22</w:t>
            </w:r>
            <w:r w:rsidRPr="00AD29B6">
              <w:rPr>
                <w:rFonts w:ascii="Fira Sans" w:hAnsi="Fira Sans" w:cs="Arial"/>
                <w:color w:val="auto"/>
                <w:sz w:val="20"/>
                <w:lang w:val="en-GB"/>
              </w:rPr>
              <w:t>)</w:t>
            </w:r>
            <w:r w:rsidRPr="00AD29B6">
              <w:rPr>
                <w:rFonts w:ascii="Fira Sans" w:hAnsi="Fira Sans"/>
                <w:color w:val="auto"/>
                <w:lang w:val="en-GB"/>
              </w:rPr>
              <w:t xml:space="preserve"> </w:t>
            </w:r>
            <w:r w:rsidRPr="00AD29B6">
              <w:rPr>
                <w:rFonts w:ascii="Fira Sans" w:hAnsi="Fira Sans" w:cs="Arial"/>
                <w:color w:val="auto"/>
                <w:sz w:val="20"/>
              </w:rPr>
              <w:t>449 40</w:t>
            </w:r>
            <w:r>
              <w:rPr>
                <w:rFonts w:ascii="Fira Sans" w:hAnsi="Fira Sans" w:cs="Arial"/>
                <w:color w:val="auto"/>
                <w:sz w:val="20"/>
              </w:rPr>
              <w:t xml:space="preserve"> </w:t>
            </w:r>
            <w:r w:rsidRPr="00AD29B6">
              <w:rPr>
                <w:rFonts w:ascii="Fira Sans" w:hAnsi="Fira Sans" w:cs="Arial"/>
                <w:color w:val="auto"/>
                <w:sz w:val="20"/>
              </w:rPr>
              <w:t>27,</w:t>
            </w:r>
            <w:r w:rsidRPr="00AD29B6">
              <w:rPr>
                <w:rFonts w:ascii="Fira Sans" w:hAnsi="Fira Sans" w:cs="Arial"/>
                <w:color w:val="auto"/>
                <w:sz w:val="20"/>
                <w:lang w:val="en-GB"/>
              </w:rPr>
              <w:t xml:space="preserve"> </w:t>
            </w:r>
            <w:r w:rsidRPr="00AD29B6">
              <w:rPr>
                <w:rFonts w:ascii="Fira Sans" w:hAnsi="Fira Sans" w:cs="Arial"/>
                <w:color w:val="auto"/>
                <w:sz w:val="20"/>
                <w:lang w:val="en-GB"/>
              </w:rPr>
              <w:br/>
            </w:r>
            <w:r w:rsidRPr="00AD29B6">
              <w:rPr>
                <w:rFonts w:ascii="Fira Sans" w:hAnsi="Fira Sans" w:cs="Arial"/>
                <w:color w:val="auto"/>
                <w:sz w:val="20"/>
                <w:lang w:val="en-GB"/>
              </w:rPr>
              <w:tab/>
              <w:t xml:space="preserve">     (+ 48 22)</w:t>
            </w:r>
            <w:r w:rsidRPr="00AD29B6">
              <w:rPr>
                <w:rFonts w:ascii="Fira Sans" w:hAnsi="Fira Sans"/>
                <w:color w:val="auto"/>
                <w:lang w:val="en-GB"/>
              </w:rPr>
              <w:t xml:space="preserve"> </w:t>
            </w:r>
            <w:r w:rsidRPr="00AD29B6">
              <w:rPr>
                <w:rFonts w:ascii="Fira Sans" w:hAnsi="Fira Sans" w:cs="Arial"/>
                <w:color w:val="auto"/>
                <w:sz w:val="20"/>
                <w:lang w:val="en-GB"/>
              </w:rPr>
              <w:t>608 31 22</w:t>
            </w:r>
          </w:p>
        </w:tc>
        <w:tc>
          <w:tcPr>
            <w:tcW w:w="5234" w:type="dxa"/>
          </w:tcPr>
          <w:p w14:paraId="375E48F9" w14:textId="54F68E1E" w:rsidR="009F6AA2" w:rsidRPr="002E7C32" w:rsidRDefault="002E7C32" w:rsidP="002E7C32">
            <w:pPr>
              <w:spacing w:before="0" w:line="276" w:lineRule="auto"/>
              <w:rPr>
                <w:rFonts w:cs="Arial"/>
                <w:b/>
                <w:color w:val="000000" w:themeColor="text1"/>
                <w:sz w:val="20"/>
                <w:lang w:val="en-GB"/>
              </w:rPr>
            </w:pPr>
            <w:r w:rsidRPr="002E7C32">
              <w:rPr>
                <w:rFonts w:cs="Arial"/>
                <w:color w:val="000000" w:themeColor="text1"/>
                <w:sz w:val="20"/>
                <w:lang w:val="en-GB"/>
              </w:rPr>
              <w:t>Issued by:</w:t>
            </w:r>
            <w:r w:rsidR="009F6AA2" w:rsidRPr="002E7C32">
              <w:rPr>
                <w:rFonts w:cs="Arial"/>
                <w:color w:val="000000" w:themeColor="text1"/>
                <w:sz w:val="20"/>
                <w:lang w:val="en-GB"/>
              </w:rPr>
              <w:br/>
            </w:r>
            <w:r w:rsidRPr="002E7C32">
              <w:rPr>
                <w:rFonts w:cs="Arial"/>
                <w:b/>
                <w:color w:val="000000" w:themeColor="text1"/>
                <w:sz w:val="20"/>
                <w:lang w:val="en-GB"/>
              </w:rPr>
              <w:t>The Spokesperson for the President</w:t>
            </w:r>
            <w:r>
              <w:rPr>
                <w:rFonts w:cs="Arial"/>
                <w:b/>
                <w:color w:val="000000" w:themeColor="text1"/>
                <w:sz w:val="20"/>
                <w:lang w:val="en-GB"/>
              </w:rPr>
              <w:br/>
            </w:r>
            <w:r w:rsidRPr="002E7C32">
              <w:rPr>
                <w:rFonts w:cs="Arial"/>
                <w:b/>
                <w:color w:val="000000" w:themeColor="text1"/>
                <w:sz w:val="20"/>
                <w:lang w:val="en-GB"/>
              </w:rPr>
              <w:t>of Statistics Poland</w:t>
            </w:r>
          </w:p>
          <w:p w14:paraId="37224290" w14:textId="77777777" w:rsidR="009F6AA2" w:rsidRPr="00230699" w:rsidRDefault="009F6AA2" w:rsidP="00735B59">
            <w:pPr>
              <w:pStyle w:val="Nagwek3"/>
              <w:spacing w:before="0" w:line="276" w:lineRule="auto"/>
              <w:rPr>
                <w:rFonts w:ascii="Fira Sans" w:hAnsi="Fira Sans" w:cs="Arial"/>
                <w:b/>
                <w:color w:val="000000" w:themeColor="text1"/>
                <w:sz w:val="20"/>
                <w:szCs w:val="28"/>
              </w:rPr>
            </w:pPr>
            <w:r w:rsidRPr="00230699">
              <w:rPr>
                <w:rFonts w:ascii="Fira Sans" w:hAnsi="Fira Sans" w:cs="Arial"/>
                <w:b/>
                <w:color w:val="000000" w:themeColor="text1"/>
                <w:sz w:val="20"/>
                <w:szCs w:val="28"/>
              </w:rPr>
              <w:t xml:space="preserve">Karolina </w:t>
            </w:r>
            <w:r w:rsidR="00EA75E7">
              <w:rPr>
                <w:rFonts w:ascii="Fira Sans" w:hAnsi="Fira Sans" w:cs="Arial"/>
                <w:b/>
                <w:color w:val="000000" w:themeColor="text1"/>
                <w:sz w:val="20"/>
                <w:szCs w:val="28"/>
              </w:rPr>
              <w:t>Banaszek</w:t>
            </w:r>
          </w:p>
          <w:p w14:paraId="4712AED1" w14:textId="7B53346E" w:rsidR="008B6991" w:rsidRDefault="002E7C32" w:rsidP="00735B59">
            <w:pPr>
              <w:pStyle w:val="Nagwek3"/>
              <w:spacing w:before="0" w:line="276" w:lineRule="auto"/>
              <w:rPr>
                <w:rFonts w:ascii="Fira Sans" w:hAnsi="Fira Sans" w:cs="Arial"/>
                <w:color w:val="000000" w:themeColor="text1"/>
                <w:sz w:val="20"/>
                <w:lang w:val="en-US"/>
              </w:rPr>
            </w:pPr>
            <w:r w:rsidRPr="002E7C32">
              <w:rPr>
                <w:rFonts w:ascii="Fira Sans" w:hAnsi="Fira Sans" w:cs="Arial"/>
                <w:color w:val="000000" w:themeColor="text1"/>
                <w:sz w:val="20"/>
                <w:lang w:val="en-US"/>
              </w:rPr>
              <w:t>Phone: (+48) 695 255 011</w:t>
            </w:r>
          </w:p>
          <w:p w14:paraId="38605A71" w14:textId="0036882C" w:rsidR="001B66B7" w:rsidRPr="001B66B7" w:rsidRDefault="001B66B7" w:rsidP="00735B59">
            <w:pPr>
              <w:rPr>
                <w:lang w:val="en-US"/>
              </w:rPr>
            </w:pPr>
          </w:p>
        </w:tc>
      </w:tr>
      <w:tr w:rsidR="00735B59" w:rsidRPr="00230699" w14:paraId="44BC6DAD" w14:textId="77777777" w:rsidTr="00735B59">
        <w:trPr>
          <w:trHeight w:val="510"/>
        </w:trPr>
        <w:tc>
          <w:tcPr>
            <w:tcW w:w="5233" w:type="dxa"/>
            <w:vMerge w:val="restart"/>
          </w:tcPr>
          <w:p w14:paraId="36B3704C" w14:textId="1FB25EEC" w:rsidR="00735B59" w:rsidRPr="00D321CB" w:rsidRDefault="002E7C32" w:rsidP="00735B59">
            <w:pPr>
              <w:rPr>
                <w:b/>
                <w:sz w:val="20"/>
                <w:lang w:val="en-GB"/>
              </w:rPr>
            </w:pPr>
            <w:r w:rsidRPr="00D321CB">
              <w:rPr>
                <w:b/>
                <w:sz w:val="20"/>
                <w:lang w:val="en-GB"/>
              </w:rPr>
              <w:t>Press Office</w:t>
            </w:r>
          </w:p>
          <w:p w14:paraId="1CE7D21A" w14:textId="6BBBDFED" w:rsidR="00735B59" w:rsidRPr="00D321CB" w:rsidRDefault="002E7C32" w:rsidP="00735B59">
            <w:pPr>
              <w:spacing w:before="0"/>
              <w:rPr>
                <w:sz w:val="20"/>
                <w:lang w:val="en-GB"/>
              </w:rPr>
            </w:pPr>
            <w:r w:rsidRPr="00D321CB">
              <w:rPr>
                <w:sz w:val="20"/>
                <w:lang w:val="en-GB"/>
              </w:rPr>
              <w:t>Phone: (+48 22) 608 38 04</w:t>
            </w:r>
          </w:p>
          <w:p w14:paraId="5ED2D797" w14:textId="0473F5A8" w:rsidR="00735B59" w:rsidRPr="001B66B7" w:rsidRDefault="00735B59" w:rsidP="00735B59">
            <w:pPr>
              <w:spacing w:before="0" w:after="0" w:line="276" w:lineRule="auto"/>
              <w:rPr>
                <w:rFonts w:cs="Arial"/>
                <w:sz w:val="20"/>
                <w:lang w:val="en-GB"/>
              </w:rPr>
            </w:pPr>
            <w:r w:rsidRPr="00A82D31">
              <w:rPr>
                <w:b/>
                <w:sz w:val="20"/>
                <w:lang w:val="en-GB"/>
              </w:rPr>
              <w:t>e-mail:</w:t>
            </w:r>
            <w:r w:rsidRPr="00A82D31">
              <w:rPr>
                <w:sz w:val="20"/>
                <w:lang w:val="en-GB"/>
              </w:rPr>
              <w:t xml:space="preserve"> </w:t>
            </w:r>
            <w:hyperlink r:id="rId20" w:history="1">
              <w:r w:rsidRPr="00394E26">
                <w:rPr>
                  <w:rStyle w:val="Hipercze"/>
                  <w:rFonts w:eastAsiaTheme="majorEastAsia" w:cs="Arial"/>
                  <w:b/>
                  <w:sz w:val="20"/>
                  <w:szCs w:val="20"/>
                  <w:lang w:val="en-US"/>
                </w:rPr>
                <w:t>obslugaprasowa@stat.gov.pl</w:t>
              </w:r>
            </w:hyperlink>
          </w:p>
        </w:tc>
        <w:tc>
          <w:tcPr>
            <w:tcW w:w="5234" w:type="dxa"/>
            <w:vAlign w:val="center"/>
          </w:tcPr>
          <w:p w14:paraId="59A5B277" w14:textId="29C4C6B3" w:rsidR="00735B59" w:rsidRPr="00230699" w:rsidRDefault="00735B59" w:rsidP="00735B59">
            <w:pPr>
              <w:spacing w:before="0" w:line="276" w:lineRule="auto"/>
              <w:ind w:firstLine="753"/>
              <w:rPr>
                <w:rFonts w:cs="Arial"/>
                <w:color w:val="000000" w:themeColor="text1"/>
                <w:sz w:val="20"/>
              </w:rPr>
            </w:pPr>
            <w:r>
              <w:rPr>
                <w:noProof/>
                <w:sz w:val="20"/>
                <w:lang w:eastAsia="pl-PL"/>
              </w:rPr>
              <w:drawing>
                <wp:anchor distT="0" distB="0" distL="114300" distR="114300" simplePos="0" relativeHeight="251839488" behindDoc="0" locked="0" layoutInCell="1" allowOverlap="1" wp14:anchorId="7D078535" wp14:editId="248E4DB3">
                  <wp:simplePos x="0" y="0"/>
                  <wp:positionH relativeFrom="column">
                    <wp:posOffset>78740</wp:posOffset>
                  </wp:positionH>
                  <wp:positionV relativeFrom="paragraph">
                    <wp:posOffset>21590</wp:posOffset>
                  </wp:positionV>
                  <wp:extent cx="251460" cy="251460"/>
                  <wp:effectExtent l="0" t="0" r="0" b="0"/>
                  <wp:wrapNone/>
                  <wp:docPr id="50" name="Obraz 50" descr="Ikonka strony 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stat.gov.pl</w:t>
            </w:r>
            <w:r>
              <w:rPr>
                <w:sz w:val="18"/>
              </w:rPr>
              <w:t xml:space="preserve">      </w:t>
            </w:r>
          </w:p>
        </w:tc>
      </w:tr>
      <w:tr w:rsidR="00735B59" w:rsidRPr="00230699" w14:paraId="2F3467E6" w14:textId="77777777" w:rsidTr="00735B59">
        <w:trPr>
          <w:trHeight w:val="510"/>
        </w:trPr>
        <w:tc>
          <w:tcPr>
            <w:tcW w:w="5233" w:type="dxa"/>
            <w:vMerge/>
          </w:tcPr>
          <w:p w14:paraId="7D0DCB43" w14:textId="77777777" w:rsidR="00735B59" w:rsidRPr="00C91687" w:rsidRDefault="00735B59" w:rsidP="00735B59">
            <w:pPr>
              <w:rPr>
                <w:b/>
                <w:sz w:val="20"/>
              </w:rPr>
            </w:pPr>
          </w:p>
        </w:tc>
        <w:tc>
          <w:tcPr>
            <w:tcW w:w="5234" w:type="dxa"/>
            <w:vAlign w:val="center"/>
          </w:tcPr>
          <w:p w14:paraId="153BB8FC" w14:textId="024780DB" w:rsidR="00735B59" w:rsidRPr="00230699" w:rsidRDefault="00735B59" w:rsidP="00735B59">
            <w:pPr>
              <w:spacing w:before="0" w:line="276" w:lineRule="auto"/>
              <w:ind w:firstLine="753"/>
              <w:rPr>
                <w:rFonts w:cs="Arial"/>
                <w:color w:val="000000" w:themeColor="text1"/>
                <w:sz w:val="20"/>
              </w:rPr>
            </w:pPr>
            <w:r>
              <w:rPr>
                <w:noProof/>
                <w:sz w:val="20"/>
                <w:lang w:eastAsia="pl-PL"/>
              </w:rPr>
              <w:drawing>
                <wp:anchor distT="0" distB="0" distL="114300" distR="114300" simplePos="0" relativeHeight="251840512" behindDoc="0" locked="0" layoutInCell="1" allowOverlap="1" wp14:anchorId="0C270736" wp14:editId="504C5831">
                  <wp:simplePos x="0" y="0"/>
                  <wp:positionH relativeFrom="column">
                    <wp:posOffset>78740</wp:posOffset>
                  </wp:positionH>
                  <wp:positionV relativeFrom="paragraph">
                    <wp:posOffset>21590</wp:posOffset>
                  </wp:positionV>
                  <wp:extent cx="251460" cy="251460"/>
                  <wp:effectExtent l="0" t="0" r="0" b="0"/>
                  <wp:wrapNone/>
                  <wp:docPr id="22" name="Obraz 22" descr="Ikonka twitt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@GUS_STAT</w:t>
            </w:r>
            <w:r>
              <w:rPr>
                <w:noProof/>
                <w:sz w:val="20"/>
                <w:lang w:eastAsia="pl-PL"/>
              </w:rPr>
              <w:t xml:space="preserve"> </w:t>
            </w:r>
          </w:p>
        </w:tc>
      </w:tr>
      <w:tr w:rsidR="00735B59" w:rsidRPr="00230699" w14:paraId="50D97A09" w14:textId="77777777" w:rsidTr="00735B59">
        <w:trPr>
          <w:trHeight w:val="510"/>
        </w:trPr>
        <w:tc>
          <w:tcPr>
            <w:tcW w:w="5233" w:type="dxa"/>
            <w:vMerge/>
          </w:tcPr>
          <w:p w14:paraId="0882BFEB" w14:textId="77777777" w:rsidR="00735B59" w:rsidRPr="00C91687" w:rsidRDefault="00735B59" w:rsidP="00735B59">
            <w:pPr>
              <w:rPr>
                <w:b/>
                <w:sz w:val="20"/>
              </w:rPr>
            </w:pPr>
          </w:p>
        </w:tc>
        <w:tc>
          <w:tcPr>
            <w:tcW w:w="5234" w:type="dxa"/>
          </w:tcPr>
          <w:p w14:paraId="1B095A4A" w14:textId="1BE03BC4" w:rsidR="00735B59" w:rsidRPr="00230699" w:rsidRDefault="00735B59" w:rsidP="00735B59">
            <w:pPr>
              <w:spacing w:before="0" w:line="276" w:lineRule="auto"/>
              <w:ind w:firstLine="753"/>
              <w:rPr>
                <w:rFonts w:cs="Arial"/>
                <w:color w:val="000000" w:themeColor="text1"/>
                <w:sz w:val="20"/>
              </w:rPr>
            </w:pPr>
            <w:r>
              <w:rPr>
                <w:noProof/>
                <w:sz w:val="20"/>
                <w:lang w:eastAsia="pl-PL"/>
              </w:rPr>
              <w:drawing>
                <wp:anchor distT="0" distB="0" distL="114300" distR="114300" simplePos="0" relativeHeight="251841536" behindDoc="0" locked="0" layoutInCell="1" allowOverlap="1" wp14:anchorId="04618EF2" wp14:editId="2DB58AFE">
                  <wp:simplePos x="0" y="0"/>
                  <wp:positionH relativeFrom="column">
                    <wp:posOffset>80645</wp:posOffset>
                  </wp:positionH>
                  <wp:positionV relativeFrom="paragraph">
                    <wp:posOffset>13970</wp:posOffset>
                  </wp:positionV>
                  <wp:extent cx="251460" cy="251460"/>
                  <wp:effectExtent l="0" t="0" r="0" b="0"/>
                  <wp:wrapNone/>
                  <wp:docPr id="23" name="Obraz 23" descr="Ikonka faceboo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@GlownyUrzadStatystyczny</w:t>
            </w:r>
            <w:r>
              <w:rPr>
                <w:noProof/>
                <w:sz w:val="20"/>
                <w:lang w:eastAsia="pl-PL"/>
              </w:rPr>
              <w:t xml:space="preserve"> </w:t>
            </w:r>
          </w:p>
        </w:tc>
      </w:tr>
      <w:tr w:rsidR="00735B59" w:rsidRPr="00230699" w14:paraId="333981F1" w14:textId="77777777" w:rsidTr="00735B59">
        <w:trPr>
          <w:trHeight w:val="510"/>
        </w:trPr>
        <w:tc>
          <w:tcPr>
            <w:tcW w:w="5233" w:type="dxa"/>
          </w:tcPr>
          <w:p w14:paraId="204130B7" w14:textId="77777777" w:rsidR="00735B59" w:rsidRPr="004579C8" w:rsidRDefault="00735B59" w:rsidP="00735B59">
            <w:pPr>
              <w:spacing w:before="0" w:after="0" w:line="276" w:lineRule="auto"/>
              <w:rPr>
                <w:rFonts w:cs="Arial"/>
                <w:sz w:val="20"/>
              </w:rPr>
            </w:pPr>
          </w:p>
        </w:tc>
        <w:tc>
          <w:tcPr>
            <w:tcW w:w="5234" w:type="dxa"/>
          </w:tcPr>
          <w:p w14:paraId="7FF69EDD" w14:textId="28A20B24" w:rsidR="00735B59" w:rsidRPr="00230699" w:rsidRDefault="00735B59" w:rsidP="00735B59">
            <w:pPr>
              <w:spacing w:before="0" w:line="276" w:lineRule="auto"/>
              <w:ind w:firstLine="753"/>
              <w:rPr>
                <w:rFonts w:cs="Arial"/>
                <w:color w:val="000000" w:themeColor="text1"/>
                <w:sz w:val="20"/>
              </w:rPr>
            </w:pPr>
            <w:r>
              <w:rPr>
                <w:noProof/>
                <w:sz w:val="20"/>
                <w:lang w:eastAsia="pl-PL"/>
              </w:rPr>
              <w:drawing>
                <wp:anchor distT="0" distB="0" distL="114300" distR="114300" simplePos="0" relativeHeight="251842560" behindDoc="0" locked="0" layoutInCell="1" allowOverlap="1" wp14:anchorId="6B9227E3" wp14:editId="61111810">
                  <wp:simplePos x="0" y="0"/>
                  <wp:positionH relativeFrom="column">
                    <wp:posOffset>82550</wp:posOffset>
                  </wp:positionH>
                  <wp:positionV relativeFrom="paragraph">
                    <wp:posOffset>12700</wp:posOffset>
                  </wp:positionV>
                  <wp:extent cx="251460" cy="251460"/>
                  <wp:effectExtent l="0" t="0" r="0" b="0"/>
                  <wp:wrapNone/>
                  <wp:docPr id="51" name="Obraz 51" descr="Ikonka insta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531873">
              <w:rPr>
                <w:sz w:val="20"/>
              </w:rPr>
              <w:t>gus_stat</w:t>
            </w:r>
          </w:p>
        </w:tc>
      </w:tr>
      <w:tr w:rsidR="00735B59" w:rsidRPr="00230699" w14:paraId="39E95D47" w14:textId="77777777" w:rsidTr="00735B59">
        <w:trPr>
          <w:trHeight w:val="510"/>
        </w:trPr>
        <w:tc>
          <w:tcPr>
            <w:tcW w:w="5233" w:type="dxa"/>
          </w:tcPr>
          <w:p w14:paraId="52F93D0A" w14:textId="77777777" w:rsidR="00735B59" w:rsidRPr="004579C8" w:rsidRDefault="00735B59" w:rsidP="00735B59">
            <w:pPr>
              <w:spacing w:before="0" w:after="0" w:line="276" w:lineRule="auto"/>
              <w:rPr>
                <w:rFonts w:cs="Arial"/>
                <w:sz w:val="20"/>
              </w:rPr>
            </w:pPr>
          </w:p>
        </w:tc>
        <w:tc>
          <w:tcPr>
            <w:tcW w:w="5234" w:type="dxa"/>
          </w:tcPr>
          <w:p w14:paraId="3EA77968" w14:textId="67D50D87" w:rsidR="00735B59" w:rsidRPr="00230699" w:rsidRDefault="00735B59" w:rsidP="00735B59">
            <w:pPr>
              <w:spacing w:before="0" w:line="276" w:lineRule="auto"/>
              <w:ind w:firstLine="753"/>
              <w:rPr>
                <w:rFonts w:cs="Arial"/>
                <w:color w:val="000000" w:themeColor="text1"/>
                <w:sz w:val="20"/>
              </w:rPr>
            </w:pPr>
            <w:r>
              <w:rPr>
                <w:noProof/>
                <w:sz w:val="20"/>
                <w:lang w:eastAsia="pl-PL"/>
              </w:rPr>
              <w:drawing>
                <wp:anchor distT="0" distB="0" distL="114300" distR="114300" simplePos="0" relativeHeight="251843584" behindDoc="0" locked="0" layoutInCell="1" allowOverlap="1" wp14:anchorId="7374ED93" wp14:editId="67CB1211">
                  <wp:simplePos x="0" y="0"/>
                  <wp:positionH relativeFrom="column">
                    <wp:posOffset>82550</wp:posOffset>
                  </wp:positionH>
                  <wp:positionV relativeFrom="paragraph">
                    <wp:posOffset>13970</wp:posOffset>
                  </wp:positionV>
                  <wp:extent cx="251460" cy="251460"/>
                  <wp:effectExtent l="0" t="0" r="0" b="0"/>
                  <wp:wrapNone/>
                  <wp:docPr id="52" name="Obraz 52" descr="Ikonka Youtu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531873">
              <w:rPr>
                <w:sz w:val="20"/>
              </w:rPr>
              <w:t>glownyurzadstatystycznygus</w:t>
            </w:r>
          </w:p>
        </w:tc>
      </w:tr>
      <w:tr w:rsidR="00735B59" w:rsidRPr="00230699" w14:paraId="6C3F4372" w14:textId="77777777" w:rsidTr="00735B59">
        <w:trPr>
          <w:trHeight w:val="510"/>
        </w:trPr>
        <w:tc>
          <w:tcPr>
            <w:tcW w:w="5233" w:type="dxa"/>
          </w:tcPr>
          <w:p w14:paraId="6E2EB6D5" w14:textId="77777777" w:rsidR="00735B59" w:rsidRPr="004579C8" w:rsidRDefault="00735B59" w:rsidP="00735B59">
            <w:pPr>
              <w:spacing w:before="0" w:after="0" w:line="276" w:lineRule="auto"/>
              <w:rPr>
                <w:rFonts w:cs="Arial"/>
                <w:sz w:val="20"/>
              </w:rPr>
            </w:pPr>
          </w:p>
        </w:tc>
        <w:tc>
          <w:tcPr>
            <w:tcW w:w="5234" w:type="dxa"/>
          </w:tcPr>
          <w:p w14:paraId="1128FB59" w14:textId="74810524" w:rsidR="00735B59" w:rsidRPr="00230699" w:rsidRDefault="00735B59" w:rsidP="00735B59">
            <w:pPr>
              <w:spacing w:before="0" w:line="276" w:lineRule="auto"/>
              <w:ind w:firstLine="753"/>
              <w:rPr>
                <w:rFonts w:cs="Arial"/>
                <w:color w:val="000000" w:themeColor="text1"/>
                <w:sz w:val="20"/>
              </w:rPr>
            </w:pPr>
            <w:r w:rsidRPr="00531873">
              <w:rPr>
                <w:noProof/>
                <w:sz w:val="20"/>
                <w:lang w:eastAsia="pl-PL"/>
              </w:rPr>
              <w:t>glownyurzadstatystyczny</w:t>
            </w:r>
            <w:r>
              <w:rPr>
                <w:noProof/>
                <w:sz w:val="20"/>
                <w:lang w:eastAsia="pl-PL"/>
              </w:rPr>
              <w:drawing>
                <wp:anchor distT="0" distB="0" distL="114300" distR="114300" simplePos="0" relativeHeight="251844608" behindDoc="0" locked="0" layoutInCell="1" allowOverlap="1" wp14:anchorId="14AF36A8" wp14:editId="20D0992F">
                  <wp:simplePos x="0" y="0"/>
                  <wp:positionH relativeFrom="column">
                    <wp:posOffset>82550</wp:posOffset>
                  </wp:positionH>
                  <wp:positionV relativeFrom="paragraph">
                    <wp:posOffset>15240</wp:posOffset>
                  </wp:positionV>
                  <wp:extent cx="251460" cy="251460"/>
                  <wp:effectExtent l="0" t="0" r="0" b="0"/>
                  <wp:wrapNone/>
                  <wp:docPr id="53" name="Obraz 53" descr="Ikonka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bl>
    <w:p w14:paraId="152D0F14" w14:textId="30750F27" w:rsidR="00474A3A" w:rsidRPr="00735B59" w:rsidRDefault="00735B59" w:rsidP="00A657A2">
      <w:pPr>
        <w:spacing w:before="0" w:after="0"/>
        <w:rPr>
          <w:i/>
          <w:sz w:val="20"/>
          <w:lang w:val="en-US"/>
        </w:rPr>
      </w:pPr>
      <w:r>
        <w:rPr>
          <w:noProof/>
          <w:sz w:val="18"/>
          <w:lang w:eastAsia="pl-PL"/>
        </w:rPr>
        <mc:AlternateContent>
          <mc:Choice Requires="wps">
            <w:drawing>
              <wp:anchor distT="45720" distB="45720" distL="114300" distR="114300" simplePos="0" relativeHeight="251661312" behindDoc="0" locked="0" layoutInCell="1" allowOverlap="1" wp14:anchorId="55DECBF2" wp14:editId="5792C07C">
                <wp:simplePos x="0" y="0"/>
                <wp:positionH relativeFrom="margin">
                  <wp:align>left</wp:align>
                </wp:positionH>
                <wp:positionV relativeFrom="paragraph">
                  <wp:posOffset>3263900</wp:posOffset>
                </wp:positionV>
                <wp:extent cx="6645275" cy="1377950"/>
                <wp:effectExtent l="0" t="0" r="22225" b="12700"/>
                <wp:wrapSquare wrapText="bothSides"/>
                <wp:docPr id="3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1378424"/>
                        </a:xfrm>
                        <a:prstGeom prst="rect">
                          <a:avLst/>
                        </a:prstGeom>
                        <a:solidFill>
                          <a:schemeClr val="bg1">
                            <a:lumMod val="95000"/>
                          </a:schemeClr>
                        </a:solidFill>
                        <a:ln w="9525">
                          <a:solidFill>
                            <a:schemeClr val="bg1"/>
                          </a:solidFill>
                          <a:miter lim="800000"/>
                          <a:headEnd/>
                          <a:tailEnd/>
                        </a:ln>
                      </wps:spPr>
                      <wps:txbx>
                        <w:txbxContent>
                          <w:p w14:paraId="3D955FF2" w14:textId="77777777" w:rsidR="009E17AF" w:rsidRDefault="009E17AF" w:rsidP="009F6AA2">
                            <w:pPr>
                              <w:rPr>
                                <w:b/>
                              </w:rPr>
                            </w:pPr>
                          </w:p>
                          <w:p w14:paraId="268E943E" w14:textId="72E76E18" w:rsidR="009E17AF" w:rsidRPr="00D4376C" w:rsidRDefault="002E7C32" w:rsidP="009F6AA2">
                            <w:pPr>
                              <w:rPr>
                                <w:b/>
                                <w:lang w:val="en-GB"/>
                              </w:rPr>
                            </w:pPr>
                            <w:r w:rsidRPr="00D4376C">
                              <w:rPr>
                                <w:b/>
                                <w:lang w:val="en-GB"/>
                              </w:rPr>
                              <w:t>Related information</w:t>
                            </w:r>
                          </w:p>
                          <w:p w14:paraId="46D9D362" w14:textId="2D86D669" w:rsidR="009E17AF" w:rsidRPr="00D321CB" w:rsidRDefault="007A46FE" w:rsidP="009F6AA2">
                            <w:pPr>
                              <w:rPr>
                                <w:rStyle w:val="Hipercze"/>
                                <w:rFonts w:cs="Arial"/>
                                <w:color w:val="001D77"/>
                                <w:sz w:val="18"/>
                                <w:szCs w:val="30"/>
                                <w:shd w:val="clear" w:color="auto" w:fill="F0F0F0"/>
                                <w:lang w:val="en-GB"/>
                              </w:rPr>
                            </w:pPr>
                            <w:hyperlink r:id="rId27" w:history="1">
                              <w:r w:rsidR="00D321CB" w:rsidRPr="00D321CB">
                                <w:rPr>
                                  <w:rStyle w:val="Hipercze"/>
                                  <w:rFonts w:cs="Arial"/>
                                  <w:color w:val="001D77"/>
                                  <w:sz w:val="18"/>
                                  <w:szCs w:val="30"/>
                                  <w:shd w:val="clear" w:color="auto" w:fill="F0F0F0"/>
                                  <w:lang w:val="en-GB"/>
                                </w:rPr>
                                <w:t>Household Budget Survey in 202</w:t>
                              </w:r>
                              <w:r w:rsidR="00D321CB">
                                <w:rPr>
                                  <w:rStyle w:val="Hipercze"/>
                                  <w:rFonts w:cs="Arial"/>
                                  <w:color w:val="001D77"/>
                                  <w:sz w:val="18"/>
                                  <w:szCs w:val="30"/>
                                  <w:shd w:val="clear" w:color="auto" w:fill="F0F0F0"/>
                                  <w:lang w:val="en-GB"/>
                                </w:rPr>
                                <w:t>1</w:t>
                              </w:r>
                            </w:hyperlink>
                          </w:p>
                          <w:p w14:paraId="2D8F2DAB" w14:textId="2F32DA87" w:rsidR="009E17AF" w:rsidRPr="00D321CB" w:rsidRDefault="007A46FE" w:rsidP="009F6AA2">
                            <w:pPr>
                              <w:rPr>
                                <w:rStyle w:val="Hipercze"/>
                                <w:rFonts w:cs="Arial"/>
                                <w:color w:val="001D77"/>
                                <w:sz w:val="18"/>
                                <w:szCs w:val="30"/>
                                <w:shd w:val="clear" w:color="auto" w:fill="F0F0F0"/>
                                <w:lang w:val="en-GB"/>
                              </w:rPr>
                            </w:pPr>
                            <w:hyperlink r:id="rId28" w:history="1">
                              <w:r w:rsidR="00D321CB" w:rsidRPr="00D321CB">
                                <w:rPr>
                                  <w:rStyle w:val="Hipercze"/>
                                  <w:rFonts w:cs="Arial"/>
                                  <w:color w:val="001D77"/>
                                  <w:sz w:val="18"/>
                                  <w:szCs w:val="30"/>
                                  <w:shd w:val="clear" w:color="auto" w:fill="F0F0F0"/>
                                  <w:lang w:val="en-GB"/>
                                </w:rPr>
                                <w:t>The situation of households in 2021 on the basis of results of the Household Budget Survey</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a14="http://schemas.microsoft.com/office/drawing/2010/main" xmlns:pic="http://schemas.openxmlformats.org/drawingml/2006/picture" xmlns:c="http://schemas.openxmlformats.org/drawingml/2006/chart" xmlns:a16="http://schemas.microsoft.com/office/drawing/2014/main" xmlns:a="http://schemas.openxmlformats.org/drawingml/2006/main">
            <w:pict>
              <v:shapetype id="_x0000_t202" coordsize="21600,21600" o:spt="202" path="m,l,21600r21600,l21600,xe" w14:anchorId="55DECBF2">
                <v:stroke joinstyle="miter"/>
                <v:path gradientshapeok="t" o:connecttype="rect"/>
              </v:shapetype>
              <v:shape id="_x0000_s1030" style="position:absolute;margin-left:0;margin-top:257pt;width:523.25pt;height:108.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fillcolor="#f2f2f2 [3052]"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">
                <v:textbox>
                  <w:txbxContent>
                    <w:p w:rsidR="009E17AF" w:rsidP="009F6AA2" w:rsidRDefault="009E17AF" w14:paraId="3D955FF2" w14:textId="77777777">
                      <w:pPr>
                        <w:rPr>
                          <w:b/>
                        </w:rPr>
                      </w:pPr>
                    </w:p>
                    <w:p w:rsidRPr="00D4376C" w:rsidR="009E17AF" w:rsidP="009F6AA2" w:rsidRDefault="002E7C32" w14:paraId="268E943E" w14:textId="72E76E18">
                      <w:pPr>
                        <w:rPr>
                          <w:b/>
                          <w:lang w:val="en-GB"/>
                        </w:rPr>
                      </w:pPr>
                      <w:r w:rsidRPr="00D4376C">
                        <w:rPr>
                          <w:b/>
                          <w:lang w:val="en-GB"/>
                        </w:rPr>
                        <w:t>Related information</w:t>
                      </w:r>
                    </w:p>
                    <w:p w:rsidRPr="00D321CB" w:rsidR="009E17AF" w:rsidP="009F6AA2" w:rsidRDefault="00AA769C" w14:paraId="46D9D362" w14:textId="2D86D669">
                      <w:pPr>
                        <w:rPr>
                          <w:rStyle w:val="Hipercze"/>
                          <w:rFonts w:cs="Arial"/>
                          <w:color w:val="001D77"/>
                          <w:sz w:val="18"/>
                          <w:szCs w:val="30"/>
                          <w:shd w:val="clear" w:color="auto" w:fill="F0F0F0"/>
                          <w:lang w:val="en-GB"/>
                        </w:rPr>
                      </w:pPr>
                      <w:r>
                        <w:fldChar w:fldCharType="begin"/>
                      </w:r>
                      <w:r w:rsidRPr="008B5D73">
                        <w:rPr>
                          <w:lang w:val="en-GB"/>
                        </w:rPr>
                        <w:instrText xml:space="preserve"> HYPERLINK "https://stat.gov.pl/en/topics/living-conditions/living-conditions/household-budget-survey-in-2021,2,17.html" </w:instrText>
                      </w:r>
                      <w:r>
                        <w:fldChar w:fldCharType="separate"/>
                      </w:r>
                      <w:r w:rsidRPr="00D321CB" w:rsidR="00D321CB">
                        <w:rPr>
                          <w:rStyle w:val="Hipercze"/>
                          <w:rFonts w:cs="Arial"/>
                          <w:color w:val="001D77"/>
                          <w:sz w:val="18"/>
                          <w:szCs w:val="30"/>
                          <w:shd w:val="clear" w:color="auto" w:fill="F0F0F0"/>
                          <w:lang w:val="en-GB"/>
                        </w:rPr>
                        <w:t>Household Budget Survey in 202</w:t>
                      </w:r>
                      <w:r w:rsidR="00D321CB">
                        <w:rPr>
                          <w:rStyle w:val="Hipercze"/>
                          <w:rFonts w:cs="Arial"/>
                          <w:color w:val="001D77"/>
                          <w:sz w:val="18"/>
                          <w:szCs w:val="30"/>
                          <w:shd w:val="clear" w:color="auto" w:fill="F0F0F0"/>
                          <w:lang w:val="en-GB"/>
                        </w:rPr>
                        <w:t>1</w:t>
                      </w:r>
                      <w:r>
                        <w:rPr>
                          <w:rStyle w:val="Hipercze"/>
                          <w:rFonts w:cs="Arial"/>
                          <w:color w:val="001D77"/>
                          <w:sz w:val="18"/>
                          <w:szCs w:val="30"/>
                          <w:shd w:val="clear" w:color="auto" w:fill="F0F0F0"/>
                          <w:lang w:val="en-GB"/>
                        </w:rPr>
                        <w:fldChar w:fldCharType="end"/>
                      </w:r>
                    </w:p>
                    <w:p w:rsidRPr="00D321CB" w:rsidR="009E17AF" w:rsidP="009F6AA2" w:rsidRDefault="00AA769C" w14:paraId="2D8F2DAB" w14:textId="2F32DA87">
                      <w:pPr>
                        <w:rPr>
                          <w:rStyle w:val="Hipercze"/>
                          <w:rFonts w:cs="Arial"/>
                          <w:color w:val="001D77"/>
                          <w:sz w:val="18"/>
                          <w:szCs w:val="30"/>
                          <w:shd w:val="clear" w:color="auto" w:fill="F0F0F0"/>
                          <w:lang w:val="en-GB"/>
                        </w:rPr>
                      </w:pPr>
                      <w:hyperlink w:history="1" r:id="rId29">
                        <w:r w:rsidRPr="00D321CB" w:rsidR="00D321CB">
                          <w:rPr>
                            <w:rStyle w:val="Hipercze"/>
                            <w:rFonts w:cs="Arial"/>
                            <w:color w:val="001D77"/>
                            <w:sz w:val="18"/>
                            <w:szCs w:val="30"/>
                            <w:shd w:val="clear" w:color="auto" w:fill="F0F0F0"/>
                            <w:lang w:val="en-GB"/>
                          </w:rPr>
                          <w:t>The situation of households in 2021 on the basis of results of the Household Budget Survey</w:t>
                        </w:r>
                      </w:hyperlink>
                    </w:p>
                  </w:txbxContent>
                </v:textbox>
                <w10:wrap type="square" anchorx="margin"/>
              </v:shape>
            </w:pict>
          </mc:Fallback>
        </mc:AlternateContent>
      </w:r>
    </w:p>
    <w:sectPr w:rsidR="00474A3A" w:rsidRPr="00735B59" w:rsidSect="00E240FE">
      <w:headerReference w:type="default" r:id="rId30"/>
      <w:footerReference w:type="default" r:id="rId31"/>
      <w:pgSz w:w="11906" w:h="16838"/>
      <w:pgMar w:top="720" w:right="3119" w:bottom="720" w:left="720" w:header="170"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49DDF5" w14:textId="77777777" w:rsidR="007A46FE" w:rsidRDefault="007A46FE" w:rsidP="000662E2">
      <w:pPr>
        <w:spacing w:after="0" w:line="240" w:lineRule="auto"/>
      </w:pPr>
      <w:r>
        <w:separator/>
      </w:r>
    </w:p>
  </w:endnote>
  <w:endnote w:type="continuationSeparator" w:id="0">
    <w:p w14:paraId="3BB687AC" w14:textId="77777777" w:rsidR="007A46FE" w:rsidRDefault="007A46FE"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embedRegular r:id="rId1" w:fontKey="{231D7737-B5AF-4AC2-A019-863DB4A60944}"/>
    <w:embedBold r:id="rId2" w:fontKey="{A2DD6F41-21AF-41C3-A870-B2027B5C635C}"/>
    <w:embedItalic r:id="rId3" w:fontKey="{8EFE2E33-61D8-4BE1-A132-885DF4494045}"/>
    <w:embedBoldItalic r:id="rId4" w:fontKey="{B6250A18-0F6F-43BE-AD68-A2C5FEAB68E9}"/>
  </w:font>
  <w:font w:name="Fira Sans">
    <w:altName w:val="Fira Sans"/>
    <w:panose1 w:val="020B0503050000020004"/>
    <w:charset w:val="EE"/>
    <w:family w:val="swiss"/>
    <w:pitch w:val="variable"/>
    <w:sig w:usb0="600002FF" w:usb1="02000001" w:usb2="00000000" w:usb3="00000000" w:csb0="0000019F" w:csb1="00000000"/>
    <w:embedRegular r:id="rId5" w:fontKey="{FCF8908E-21C7-42D0-B2E0-EF3484733810}"/>
    <w:embedBold r:id="rId6" w:fontKey="{D960D27F-7301-418B-85C7-91C9C069092F}"/>
    <w:embedItalic r:id="rId7" w:fontKey="{9EB08941-E357-483F-AC28-C481B1DCEDB9}"/>
    <w:embedBoldItalic r:id="rId8" w:fontKey="{8CB71542-31CB-4874-A523-470247D66BE5}"/>
  </w:font>
  <w:font w:name="Fira Sans SemiBold">
    <w:panose1 w:val="020B0603050000020004"/>
    <w:charset w:val="EE"/>
    <w:family w:val="swiss"/>
    <w:pitch w:val="variable"/>
    <w:sig w:usb0="600002FF" w:usb1="02000001" w:usb2="00000000" w:usb3="00000000" w:csb0="0000019F" w:csb1="00000000"/>
    <w:embedRegular r:id="rId9" w:fontKey="{43A427AD-9540-4439-97B1-571BB8CCCB17}"/>
  </w:font>
  <w:font w:name="Fira Sans Medium">
    <w:panose1 w:val="020B0603050000020004"/>
    <w:charset w:val="EE"/>
    <w:family w:val="swiss"/>
    <w:pitch w:val="variable"/>
    <w:sig w:usb0="600002FF" w:usb1="02000001" w:usb2="00000000" w:usb3="00000000" w:csb0="0000019F" w:csb1="00000000"/>
    <w:embedRegular r:id="rId10" w:fontKey="{CD11CFE8-16C9-408E-AEAA-83F00D0C976A}"/>
    <w:embedItalic r:id="rId11" w:fontKey="{EC20618E-DB55-4906-BF47-DAAF9DB16C5C}"/>
  </w:font>
  <w:font w:name="Segoe UI">
    <w:panose1 w:val="020B0502040204020203"/>
    <w:charset w:val="EE"/>
    <w:family w:val="swiss"/>
    <w:pitch w:val="variable"/>
    <w:sig w:usb0="E4002EFF" w:usb1="C000E47F" w:usb2="00000009" w:usb3="00000000" w:csb0="000001FF" w:csb1="00000000"/>
    <w:embedRegular r:id="rId12" w:fontKey="{24247A77-14D9-479A-9FBD-AA8EF822C71B}"/>
  </w:font>
  <w:font w:name="Fira Sans Extra Condensed SemiB">
    <w:panose1 w:val="020B0603050000020004"/>
    <w:charset w:val="EE"/>
    <w:family w:val="swiss"/>
    <w:pitch w:val="variable"/>
    <w:sig w:usb0="600002FF" w:usb1="00000001" w:usb2="00000000" w:usb3="00000000" w:csb0="0000019F" w:csb1="00000000"/>
    <w:embedRegular r:id="rId13" w:fontKey="{99716963-5F20-4D27-927C-E3D71B0AFE4F}"/>
    <w:embedItalic r:id="rId14" w:fontKey="{997FEFC5-7F31-4EB0-9371-7EA5008F372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7510229"/>
      <w:docPartObj>
        <w:docPartGallery w:val="Page Numbers (Bottom of Page)"/>
        <w:docPartUnique/>
      </w:docPartObj>
    </w:sdtPr>
    <w:sdtEndPr/>
    <w:sdtContent>
      <w:p w14:paraId="4394CA03" w14:textId="77777777" w:rsidR="009E17AF" w:rsidRDefault="009E17AF" w:rsidP="003B18B6">
        <w:pPr>
          <w:pStyle w:val="Stopka"/>
          <w:jc w:val="center"/>
        </w:pPr>
        <w:r>
          <w:rPr>
            <w:noProof/>
          </w:rPr>
          <w:fldChar w:fldCharType="begin"/>
        </w:r>
        <w:r>
          <w:rPr>
            <w:noProof/>
          </w:rPr>
          <w:instrText>PAGE   \* MERGEFORMAT</w:instrText>
        </w:r>
        <w:r>
          <w:rPr>
            <w:noProof/>
          </w:rPr>
          <w:fldChar w:fldCharType="separate"/>
        </w:r>
        <w:r w:rsidR="00882973">
          <w:rPr>
            <w:noProof/>
          </w:rPr>
          <w:t>2</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1728881"/>
      <w:docPartObj>
        <w:docPartGallery w:val="Page Numbers (Bottom of Page)"/>
        <w:docPartUnique/>
      </w:docPartObj>
    </w:sdtPr>
    <w:sdtEndPr/>
    <w:sdtContent>
      <w:p w14:paraId="1C9BB873" w14:textId="77777777" w:rsidR="009E17AF" w:rsidRDefault="009E17AF" w:rsidP="003B18B6">
        <w:pPr>
          <w:pStyle w:val="Stopka"/>
          <w:jc w:val="center"/>
        </w:pPr>
        <w:r>
          <w:rPr>
            <w:noProof/>
          </w:rPr>
          <w:fldChar w:fldCharType="begin"/>
        </w:r>
        <w:r>
          <w:rPr>
            <w:noProof/>
          </w:rPr>
          <w:instrText>PAGE   \* MERGEFORMAT</w:instrText>
        </w:r>
        <w:r>
          <w:rPr>
            <w:noProof/>
          </w:rPr>
          <w:fldChar w:fldCharType="separate"/>
        </w:r>
        <w:r w:rsidR="00D5691C">
          <w:rPr>
            <w:noProof/>
          </w:rPr>
          <w:t>1</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14:paraId="5FA35545" w14:textId="77777777" w:rsidR="009E17AF" w:rsidRDefault="009E17AF" w:rsidP="003B18B6">
        <w:pPr>
          <w:pStyle w:val="Stopka"/>
          <w:jc w:val="center"/>
        </w:pPr>
        <w:r>
          <w:rPr>
            <w:noProof/>
          </w:rPr>
          <w:fldChar w:fldCharType="begin"/>
        </w:r>
        <w:r>
          <w:rPr>
            <w:noProof/>
          </w:rPr>
          <w:instrText>PAGE   \* MERGEFORMAT</w:instrText>
        </w:r>
        <w:r>
          <w:rPr>
            <w:noProof/>
          </w:rPr>
          <w:fldChar w:fldCharType="separate"/>
        </w:r>
        <w:r w:rsidR="00D5691C">
          <w:rPr>
            <w:noProof/>
          </w:rPr>
          <w:t>5</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F0C5A1" w14:textId="77777777" w:rsidR="007A46FE" w:rsidRDefault="007A46FE" w:rsidP="000662E2">
      <w:pPr>
        <w:spacing w:after="0" w:line="240" w:lineRule="auto"/>
      </w:pPr>
      <w:r>
        <w:separator/>
      </w:r>
    </w:p>
  </w:footnote>
  <w:footnote w:type="continuationSeparator" w:id="0">
    <w:p w14:paraId="3DC6CB32" w14:textId="77777777" w:rsidR="007A46FE" w:rsidRDefault="007A46FE" w:rsidP="000662E2">
      <w:pPr>
        <w:spacing w:after="0" w:line="240" w:lineRule="auto"/>
      </w:pPr>
      <w:r>
        <w:continuationSeparator/>
      </w:r>
    </w:p>
  </w:footnote>
  <w:footnote w:id="1">
    <w:p w14:paraId="3111598D" w14:textId="6DD8F8AE" w:rsidR="00512F6D" w:rsidRPr="009F3D2B" w:rsidRDefault="00512F6D" w:rsidP="009F3D2B">
      <w:pPr>
        <w:pStyle w:val="Tekstprzypisudolnego"/>
        <w:spacing w:before="0"/>
        <w:ind w:left="85" w:hanging="85"/>
        <w:rPr>
          <w:sz w:val="16"/>
          <w:lang w:val="en-GB"/>
        </w:rPr>
      </w:pPr>
      <w:r w:rsidRPr="009F3D2B">
        <w:rPr>
          <w:rStyle w:val="Odwoanieprzypisudolnego"/>
          <w:sz w:val="16"/>
        </w:rPr>
        <w:footnoteRef/>
      </w:r>
      <w:r w:rsidRPr="009F3D2B">
        <w:rPr>
          <w:sz w:val="16"/>
          <w:lang w:val="en-GB"/>
        </w:rPr>
        <w:t xml:space="preserve"> </w:t>
      </w:r>
      <w:r w:rsidR="00717A43" w:rsidRPr="009F3D2B">
        <w:rPr>
          <w:sz w:val="16"/>
          <w:lang w:val="en-GB"/>
        </w:rPr>
        <w:t>It concerns the provision, at least once, of assistance due to the warfare – regardless of its form and scope, and covers both support provided in Poland and addressed to the persons remaining in Ukraine.</w:t>
      </w:r>
    </w:p>
  </w:footnote>
  <w:footnote w:id="2">
    <w:p w14:paraId="4007C9D0" w14:textId="5D271D15" w:rsidR="009F3D2B" w:rsidRPr="00B11481" w:rsidRDefault="009F3D2B" w:rsidP="009F3D2B">
      <w:pPr>
        <w:pStyle w:val="Tekstprzypisudolnego"/>
        <w:spacing w:before="0"/>
        <w:rPr>
          <w:sz w:val="16"/>
          <w:szCs w:val="16"/>
          <w:lang w:val="en-GB"/>
        </w:rPr>
      </w:pPr>
      <w:r w:rsidRPr="009F3D2B">
        <w:rPr>
          <w:rStyle w:val="Odwoanieprzypisudolnego"/>
          <w:sz w:val="16"/>
          <w:szCs w:val="16"/>
        </w:rPr>
        <w:footnoteRef/>
      </w:r>
      <w:r w:rsidRPr="00B11481">
        <w:rPr>
          <w:sz w:val="16"/>
          <w:szCs w:val="16"/>
          <w:lang w:val="en-GB"/>
        </w:rPr>
        <w:t xml:space="preserve"> </w:t>
      </w:r>
      <w:r w:rsidRPr="009F3D2B">
        <w:rPr>
          <w:sz w:val="16"/>
          <w:szCs w:val="16"/>
          <w:lang w:val="en-GB"/>
        </w:rPr>
        <w:t>Households providing assistance = 100%.</w:t>
      </w:r>
    </w:p>
  </w:footnote>
  <w:footnote w:id="3">
    <w:p w14:paraId="1F66EFC3" w14:textId="42091FFE" w:rsidR="009F3D2B" w:rsidRPr="00B11481" w:rsidRDefault="009F3D2B" w:rsidP="009F3D2B">
      <w:pPr>
        <w:pStyle w:val="Tekstprzypisudolnego"/>
        <w:spacing w:before="0"/>
        <w:rPr>
          <w:lang w:val="en-GB"/>
        </w:rPr>
      </w:pPr>
      <w:r w:rsidRPr="009F3D2B">
        <w:rPr>
          <w:rStyle w:val="Odwoanieprzypisudolnego"/>
          <w:sz w:val="16"/>
          <w:szCs w:val="16"/>
        </w:rPr>
        <w:footnoteRef/>
      </w:r>
      <w:r w:rsidRPr="00B11481">
        <w:rPr>
          <w:sz w:val="16"/>
          <w:szCs w:val="16"/>
          <w:lang w:val="en-GB"/>
        </w:rPr>
        <w:t xml:space="preserve"> </w:t>
      </w:r>
      <w:r w:rsidRPr="009F3D2B">
        <w:rPr>
          <w:sz w:val="16"/>
          <w:szCs w:val="16"/>
          <w:lang w:val="en-GB"/>
        </w:rPr>
        <w:t>It was possible to indicate more than one form of support.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715D97" w14:textId="6F47D86B" w:rsidR="009E17AF" w:rsidRDefault="009E17AF">
    <w:pPr>
      <w:pStyle w:val="Nagwek"/>
    </w:pPr>
    <w:r>
      <w:rPr>
        <w:noProof/>
        <w:lang w:eastAsia="pl-PL"/>
      </w:rPr>
      <mc:AlternateContent>
        <mc:Choice Requires="wps">
          <w:drawing>
            <wp:anchor distT="0" distB="0" distL="114300" distR="114300" simplePos="0" relativeHeight="251662336" behindDoc="1" locked="0" layoutInCell="1" allowOverlap="1" wp14:anchorId="5A3823FD" wp14:editId="4E2B5424">
              <wp:simplePos x="0" y="0"/>
              <wp:positionH relativeFrom="column">
                <wp:posOffset>5214620</wp:posOffset>
              </wp:positionH>
              <wp:positionV relativeFrom="paragraph">
                <wp:posOffset>-178435</wp:posOffset>
              </wp:positionV>
              <wp:extent cx="1874520" cy="22680295"/>
              <wp:effectExtent l="0" t="0" r="0" b="0"/>
              <wp:wrapNone/>
              <wp:docPr id="36"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6913FBC1" id="Prostokąt 24" o:spid="_x0000_s1026" style="position:absolute;margin-left:410.6pt;margin-top:-14.05pt;width:147.6pt;height:1785.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" fillcolor="#f2f2f2 [3052]" stroked="f" strokeweight="1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E2A90D" w14:textId="77777777" w:rsidR="0025029B" w:rsidRDefault="009E17AF">
    <w:pPr>
      <w:pStyle w:val="Nagwek"/>
      <w:rPr>
        <w:noProof/>
        <w:lang w:eastAsia="pl-PL"/>
      </w:rPr>
    </w:pPr>
    <w:r>
      <w:rPr>
        <w:noProof/>
        <w:lang w:eastAsia="pl-PL"/>
      </w:rPr>
      <mc:AlternateContent>
        <mc:Choice Requires="wps">
          <w:drawing>
            <wp:anchor distT="0" distB="0" distL="114300" distR="114300" simplePos="0" relativeHeight="251654144" behindDoc="1" locked="0" layoutInCell="1" allowOverlap="1" wp14:anchorId="36C986BD" wp14:editId="47E4102E">
              <wp:simplePos x="0" y="0"/>
              <wp:positionH relativeFrom="column">
                <wp:posOffset>5207329</wp:posOffset>
              </wp:positionH>
              <wp:positionV relativeFrom="paragraph">
                <wp:posOffset>199670</wp:posOffset>
              </wp:positionV>
              <wp:extent cx="1888383" cy="22905085"/>
              <wp:effectExtent l="0" t="0" r="0" b="0"/>
              <wp:wrapNone/>
              <wp:docPr id="35"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8383"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16AA96A3" id="Prostokąt 10" o:spid="_x0000_s1026" style="position:absolute;margin-left:410.05pt;margin-top:15.7pt;width:148.7pt;height:180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" fillcolor="#f2f2f2" stroked="f" strokeweight="1pt"/>
          </w:pict>
        </mc:Fallback>
      </mc:AlternateContent>
    </w:r>
    <w:r>
      <w:rPr>
        <w:noProof/>
        <w:lang w:eastAsia="pl-PL"/>
      </w:rPr>
      <mc:AlternateContent>
        <mc:Choice Requires="wps">
          <w:drawing>
            <wp:anchor distT="0" distB="0" distL="114300" distR="114300" simplePos="0" relativeHeight="251655168" behindDoc="0" locked="0" layoutInCell="1" allowOverlap="1" wp14:anchorId="6C42D4BA" wp14:editId="194522D3">
              <wp:simplePos x="0" y="0"/>
              <wp:positionH relativeFrom="column">
                <wp:posOffset>5036820</wp:posOffset>
              </wp:positionH>
              <wp:positionV relativeFrom="paragraph">
                <wp:posOffset>198755</wp:posOffset>
              </wp:positionV>
              <wp:extent cx="2060575" cy="357505"/>
              <wp:effectExtent l="0" t="0" r="0" b="0"/>
              <wp:wrapNone/>
              <wp:docPr id="34" name="Schemat blokowy: opóźnieni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4C7295" w14:textId="554C60C0" w:rsidR="009E17AF" w:rsidRPr="003C6C8D" w:rsidRDefault="0025029B" w:rsidP="00074DD8">
                          <w:pPr>
                            <w:spacing w:before="0" w:after="0" w:line="240" w:lineRule="auto"/>
                            <w:ind w:left="227"/>
                            <w:jc w:val="both"/>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6C42D4BA" id="Schemat blokowy: opóźnienie 6" o:spid="_x0000_s1031" style="position:absolute;margin-left:396.6pt;margin-top:15.65pt;width:162.25pt;height:28.15pt;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2C4C7295" w14:textId="554C60C0" w:rsidR="009E17AF" w:rsidRPr="003C6C8D" w:rsidRDefault="0025029B" w:rsidP="00074DD8">
                    <w:pPr>
                      <w:spacing w:before="0" w:after="0" w:line="240" w:lineRule="auto"/>
                      <w:ind w:left="227"/>
                      <w:jc w:val="both"/>
                      <w:rPr>
                        <w:rFonts w:ascii="Fira Sans SemiBold" w:hAnsi="Fira Sans SemiBold"/>
                      </w:rPr>
                    </w:pPr>
                    <w:r>
                      <w:rPr>
                        <w:rFonts w:ascii="Fira Sans SemiBold" w:hAnsi="Fira Sans SemiBold"/>
                      </w:rPr>
                      <w:t>NEWS RELEASES</w:t>
                    </w:r>
                  </w:p>
                </w:txbxContent>
              </v:textbox>
            </v:shape>
          </w:pict>
        </mc:Fallback>
      </mc:AlternateContent>
    </w:r>
    <w:r w:rsidR="0025029B">
      <w:rPr>
        <w:noProof/>
        <w:lang w:eastAsia="pl-PL"/>
      </w:rPr>
      <w:drawing>
        <wp:anchor distT="0" distB="0" distL="114300" distR="114300" simplePos="0" relativeHeight="251664384" behindDoc="0" locked="0" layoutInCell="1" allowOverlap="1" wp14:anchorId="239AA1E8" wp14:editId="7E41FEA5">
          <wp:simplePos x="0" y="0"/>
          <wp:positionH relativeFrom="column">
            <wp:posOffset>0</wp:posOffset>
          </wp:positionH>
          <wp:positionV relativeFrom="paragraph">
            <wp:posOffset>78967</wp:posOffset>
          </wp:positionV>
          <wp:extent cx="1955800" cy="744855"/>
          <wp:effectExtent l="0" t="0" r="0" b="0"/>
          <wp:wrapSquare wrapText="bothSides"/>
          <wp:docPr id="9" name="Obraz 9" descr="C:\Users\zawistowskaB\AppData\Local\Microsoft\Windows\INetCache\Content.Word\logog-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awistowskaB\AppData\Local\Microsoft\Windows\INetCache\Content.Word\logog-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5800" cy="744855"/>
                  </a:xfrm>
                  <a:prstGeom prst="rect">
                    <a:avLst/>
                  </a:prstGeom>
                  <a:noFill/>
                  <a:ln>
                    <a:noFill/>
                  </a:ln>
                </pic:spPr>
              </pic:pic>
            </a:graphicData>
          </a:graphic>
        </wp:anchor>
      </w:drawing>
    </w:r>
  </w:p>
  <w:p w14:paraId="4BF95F95" w14:textId="15C80DAC" w:rsidR="0025029B" w:rsidRDefault="0025029B">
    <w:pPr>
      <w:pStyle w:val="Nagwek"/>
      <w:rPr>
        <w:noProof/>
        <w:lang w:eastAsia="pl-PL"/>
      </w:rPr>
    </w:pPr>
  </w:p>
  <w:p w14:paraId="36C13A4E" w14:textId="77777777" w:rsidR="0025029B" w:rsidRDefault="0025029B" w:rsidP="0025029B">
    <w:pPr>
      <w:pStyle w:val="Nagwek"/>
      <w:spacing w:before="360"/>
      <w:rPr>
        <w:noProof/>
        <w:lang w:eastAsia="pl-PL"/>
      </w:rPr>
    </w:pPr>
  </w:p>
  <w:p w14:paraId="6CA205A1" w14:textId="77777777" w:rsidR="009E17AF" w:rsidRDefault="009E17AF">
    <w:pPr>
      <w:pStyle w:val="Nagwek"/>
      <w:rPr>
        <w:noProof/>
        <w:lang w:eastAsia="pl-PL"/>
      </w:rPr>
    </w:pPr>
    <w:r>
      <w:rPr>
        <w:noProof/>
        <w:lang w:eastAsia="pl-PL"/>
      </w:rPr>
      <mc:AlternateContent>
        <mc:Choice Requires="wps">
          <w:drawing>
            <wp:anchor distT="45720" distB="45720" distL="114300" distR="114300" simplePos="0" relativeHeight="251656192" behindDoc="0" locked="0" layoutInCell="1" allowOverlap="1" wp14:anchorId="47BE405C" wp14:editId="06DF4122">
              <wp:simplePos x="0" y="0"/>
              <wp:positionH relativeFrom="column">
                <wp:posOffset>5259070</wp:posOffset>
              </wp:positionH>
              <wp:positionV relativeFrom="paragraph">
                <wp:posOffset>234315</wp:posOffset>
              </wp:positionV>
              <wp:extent cx="1432560" cy="336550"/>
              <wp:effectExtent l="0" t="0" r="0" b="0"/>
              <wp:wrapNone/>
              <wp:docPr id="3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336550"/>
                      </a:xfrm>
                      <a:prstGeom prst="rect">
                        <a:avLst/>
                      </a:prstGeom>
                      <a:noFill/>
                      <a:ln w="9525">
                        <a:noFill/>
                        <a:miter lim="800000"/>
                        <a:headEnd/>
                        <a:tailEnd/>
                      </a:ln>
                    </wps:spPr>
                    <wps:txbx>
                      <w:txbxContent>
                        <w:p w14:paraId="739510C2" w14:textId="735478CE" w:rsidR="009E17AF" w:rsidRPr="0063253C" w:rsidRDefault="001A2379">
                          <w:pPr>
                            <w:rPr>
                              <w:rFonts w:ascii="Fira Sans SemiBold" w:hAnsi="Fira Sans SemiBold"/>
                              <w:color w:val="001D77"/>
                              <w:lang w:val="en-GB"/>
                            </w:rPr>
                          </w:pPr>
                          <w:r>
                            <w:rPr>
                              <w:rFonts w:ascii="Fira Sans SemiBold" w:hAnsi="Fira Sans SemiBold"/>
                              <w:color w:val="001D77"/>
                              <w:lang w:val="en-GB"/>
                            </w:rPr>
                            <w:t>2</w:t>
                          </w:r>
                          <w:r w:rsidR="005A51B9">
                            <w:rPr>
                              <w:rFonts w:ascii="Fira Sans SemiBold" w:hAnsi="Fira Sans SemiBold"/>
                              <w:color w:val="001D77"/>
                              <w:lang w:val="en-GB"/>
                            </w:rPr>
                            <w:t>7</w:t>
                          </w:r>
                          <w:r>
                            <w:rPr>
                              <w:rFonts w:ascii="Fira Sans SemiBold" w:hAnsi="Fira Sans SemiBold"/>
                              <w:color w:val="001D77"/>
                              <w:lang w:val="en-GB"/>
                            </w:rPr>
                            <w:t>.10</w:t>
                          </w:r>
                          <w:r w:rsidR="009E17AF" w:rsidRPr="0063253C">
                            <w:rPr>
                              <w:rFonts w:ascii="Fira Sans SemiBold" w:hAnsi="Fira Sans SemiBold"/>
                              <w:color w:val="001D77"/>
                              <w:lang w:val="en-GB"/>
                            </w:rPr>
                            <w:t>.202</w:t>
                          </w:r>
                          <w:r w:rsidR="009E17AF">
                            <w:rPr>
                              <w:rFonts w:ascii="Fira Sans SemiBold" w:hAnsi="Fira Sans SemiBold"/>
                              <w:color w:val="001D77"/>
                              <w:lang w:val="en-GB"/>
                            </w:rPr>
                            <w:t>2</w:t>
                          </w:r>
                        </w:p>
                        <w:p w14:paraId="38B0D292" w14:textId="77777777" w:rsidR="009E17AF" w:rsidRPr="0063253C" w:rsidRDefault="009E17AF" w:rsidP="00F37172">
                          <w:pPr>
                            <w:jc w:val="both"/>
                            <w:rPr>
                              <w:rFonts w:ascii="Fira Sans SemiBold" w:hAnsi="Fira Sans SemiBold"/>
                              <w:color w:val="001D77"/>
                              <w:lang w:val="en-GB"/>
                            </w:rPr>
                          </w:pPr>
                          <w:r w:rsidRPr="0063253C">
                            <w:rPr>
                              <w:rFonts w:ascii="Fira Sans SemiBold" w:hAnsi="Fira Sans SemiBold"/>
                              <w:color w:val="001D77"/>
                              <w:lang w:val="en-GB"/>
                            </w:rPr>
                            <w:t>dd.mm.rrrr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47BE405C" id="_x0000_t202" coordsize="21600,21600" o:spt="202" path="m,l,21600r21600,l21600,xe">
              <v:stroke joinstyle="miter"/>
              <v:path gradientshapeok="t" o:connecttype="rect"/>
            </v:shapetype>
            <v:shape id="_x0000_s1032" type="#_x0000_t202" style="position:absolute;margin-left:414.1pt;margin-top:18.45pt;width:112.8pt;height:26.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" filled="f" stroked="f">
              <v:textbox>
                <w:txbxContent>
                  <w:p w14:paraId="739510C2" w14:textId="735478CE" w:rsidR="009E17AF" w:rsidRPr="0063253C" w:rsidRDefault="001A2379">
                    <w:pPr>
                      <w:rPr>
                        <w:rFonts w:ascii="Fira Sans SemiBold" w:hAnsi="Fira Sans SemiBold"/>
                        <w:color w:val="001D77"/>
                        <w:lang w:val="en-GB"/>
                      </w:rPr>
                    </w:pPr>
                    <w:r>
                      <w:rPr>
                        <w:rFonts w:ascii="Fira Sans SemiBold" w:hAnsi="Fira Sans SemiBold"/>
                        <w:color w:val="001D77"/>
                        <w:lang w:val="en-GB"/>
                      </w:rPr>
                      <w:t>2</w:t>
                    </w:r>
                    <w:r w:rsidR="005A51B9">
                      <w:rPr>
                        <w:rFonts w:ascii="Fira Sans SemiBold" w:hAnsi="Fira Sans SemiBold"/>
                        <w:color w:val="001D77"/>
                        <w:lang w:val="en-GB"/>
                      </w:rPr>
                      <w:t>7</w:t>
                    </w:r>
                    <w:r>
                      <w:rPr>
                        <w:rFonts w:ascii="Fira Sans SemiBold" w:hAnsi="Fira Sans SemiBold"/>
                        <w:color w:val="001D77"/>
                        <w:lang w:val="en-GB"/>
                      </w:rPr>
                      <w:t>.10</w:t>
                    </w:r>
                    <w:r w:rsidR="009E17AF" w:rsidRPr="0063253C">
                      <w:rPr>
                        <w:rFonts w:ascii="Fira Sans SemiBold" w:hAnsi="Fira Sans SemiBold"/>
                        <w:color w:val="001D77"/>
                        <w:lang w:val="en-GB"/>
                      </w:rPr>
                      <w:t>.202</w:t>
                    </w:r>
                    <w:r w:rsidR="009E17AF">
                      <w:rPr>
                        <w:rFonts w:ascii="Fira Sans SemiBold" w:hAnsi="Fira Sans SemiBold"/>
                        <w:color w:val="001D77"/>
                        <w:lang w:val="en-GB"/>
                      </w:rPr>
                      <w:t>2</w:t>
                    </w:r>
                  </w:p>
                  <w:p w14:paraId="38B0D292" w14:textId="77777777" w:rsidR="009E17AF" w:rsidRPr="0063253C" w:rsidRDefault="009E17AF" w:rsidP="00F37172">
                    <w:pPr>
                      <w:jc w:val="both"/>
                      <w:rPr>
                        <w:rFonts w:ascii="Fira Sans SemiBold" w:hAnsi="Fira Sans SemiBold"/>
                        <w:color w:val="001D77"/>
                        <w:lang w:val="en-GB"/>
                      </w:rPr>
                    </w:pPr>
                    <w:r w:rsidRPr="0063253C">
                      <w:rPr>
                        <w:rFonts w:ascii="Fira Sans SemiBold" w:hAnsi="Fira Sans SemiBold"/>
                        <w:color w:val="001D77"/>
                        <w:lang w:val="en-GB"/>
                      </w:rPr>
                      <w:t>dd.mm.rrrr r.</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2CA789" w14:textId="77777777" w:rsidR="009E17AF" w:rsidRDefault="009E17AF">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23pt;height:125.25pt;visibility:visible" o:bullet="t">
        <v:imagedata r:id="rId1" o:title=""/>
      </v:shape>
    </w:pict>
  </w:numPicBullet>
  <w:numPicBullet w:numPicBulletId="1">
    <w:pict>
      <v:shape id="_x0000_i1031" type="#_x0000_t75" style="width:124.5pt;height:125.25pt;visibility:visibl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C5B"/>
    <w:rsid w:val="00001D42"/>
    <w:rsid w:val="00003437"/>
    <w:rsid w:val="00004172"/>
    <w:rsid w:val="00005756"/>
    <w:rsid w:val="000069A9"/>
    <w:rsid w:val="00006D23"/>
    <w:rsid w:val="0000709F"/>
    <w:rsid w:val="00010600"/>
    <w:rsid w:val="000108B8"/>
    <w:rsid w:val="00012126"/>
    <w:rsid w:val="000152F5"/>
    <w:rsid w:val="00015853"/>
    <w:rsid w:val="00015CE5"/>
    <w:rsid w:val="00015F03"/>
    <w:rsid w:val="00015F38"/>
    <w:rsid w:val="00016402"/>
    <w:rsid w:val="00016F91"/>
    <w:rsid w:val="00017628"/>
    <w:rsid w:val="00020B67"/>
    <w:rsid w:val="00022773"/>
    <w:rsid w:val="00022B92"/>
    <w:rsid w:val="00022F61"/>
    <w:rsid w:val="00023979"/>
    <w:rsid w:val="00024670"/>
    <w:rsid w:val="000304A6"/>
    <w:rsid w:val="00030FF6"/>
    <w:rsid w:val="00032877"/>
    <w:rsid w:val="00033605"/>
    <w:rsid w:val="00033C7A"/>
    <w:rsid w:val="00033E65"/>
    <w:rsid w:val="000344E3"/>
    <w:rsid w:val="00035382"/>
    <w:rsid w:val="000363C8"/>
    <w:rsid w:val="000374A2"/>
    <w:rsid w:val="00040208"/>
    <w:rsid w:val="00041D2B"/>
    <w:rsid w:val="0004297B"/>
    <w:rsid w:val="00042B02"/>
    <w:rsid w:val="00043063"/>
    <w:rsid w:val="00044796"/>
    <w:rsid w:val="0004582E"/>
    <w:rsid w:val="000470AA"/>
    <w:rsid w:val="0005030D"/>
    <w:rsid w:val="00051427"/>
    <w:rsid w:val="000515F2"/>
    <w:rsid w:val="00053EF0"/>
    <w:rsid w:val="000552F7"/>
    <w:rsid w:val="00055478"/>
    <w:rsid w:val="00055E44"/>
    <w:rsid w:val="00056C66"/>
    <w:rsid w:val="00057CA1"/>
    <w:rsid w:val="00062380"/>
    <w:rsid w:val="00063858"/>
    <w:rsid w:val="00064394"/>
    <w:rsid w:val="0006514B"/>
    <w:rsid w:val="000662E2"/>
    <w:rsid w:val="00066603"/>
    <w:rsid w:val="00066883"/>
    <w:rsid w:val="00066CA6"/>
    <w:rsid w:val="00070936"/>
    <w:rsid w:val="0007113D"/>
    <w:rsid w:val="000716F1"/>
    <w:rsid w:val="00073583"/>
    <w:rsid w:val="00074DD8"/>
    <w:rsid w:val="00075074"/>
    <w:rsid w:val="000752AE"/>
    <w:rsid w:val="00075A37"/>
    <w:rsid w:val="000806F7"/>
    <w:rsid w:val="00080A17"/>
    <w:rsid w:val="00080EE5"/>
    <w:rsid w:val="000851EC"/>
    <w:rsid w:val="000869FC"/>
    <w:rsid w:val="00086E2F"/>
    <w:rsid w:val="00087355"/>
    <w:rsid w:val="0008735C"/>
    <w:rsid w:val="00087448"/>
    <w:rsid w:val="00090897"/>
    <w:rsid w:val="00090C58"/>
    <w:rsid w:val="000916D0"/>
    <w:rsid w:val="00092FDF"/>
    <w:rsid w:val="00095F31"/>
    <w:rsid w:val="00095F54"/>
    <w:rsid w:val="000968C6"/>
    <w:rsid w:val="00097840"/>
    <w:rsid w:val="000A03BF"/>
    <w:rsid w:val="000A2B97"/>
    <w:rsid w:val="000A3711"/>
    <w:rsid w:val="000A4599"/>
    <w:rsid w:val="000A4CAA"/>
    <w:rsid w:val="000A6EE6"/>
    <w:rsid w:val="000B0727"/>
    <w:rsid w:val="000B088F"/>
    <w:rsid w:val="000B3813"/>
    <w:rsid w:val="000B39CD"/>
    <w:rsid w:val="000B3E9E"/>
    <w:rsid w:val="000B3F5C"/>
    <w:rsid w:val="000B40C5"/>
    <w:rsid w:val="000B478A"/>
    <w:rsid w:val="000B50BB"/>
    <w:rsid w:val="000B5217"/>
    <w:rsid w:val="000B54F4"/>
    <w:rsid w:val="000B5D96"/>
    <w:rsid w:val="000C0588"/>
    <w:rsid w:val="000C135D"/>
    <w:rsid w:val="000C2B9E"/>
    <w:rsid w:val="000C3538"/>
    <w:rsid w:val="000C427D"/>
    <w:rsid w:val="000C4C55"/>
    <w:rsid w:val="000C5017"/>
    <w:rsid w:val="000C5594"/>
    <w:rsid w:val="000C65C9"/>
    <w:rsid w:val="000C66C2"/>
    <w:rsid w:val="000C6CDA"/>
    <w:rsid w:val="000C6E7D"/>
    <w:rsid w:val="000D093A"/>
    <w:rsid w:val="000D1D43"/>
    <w:rsid w:val="000D2215"/>
    <w:rsid w:val="000D225C"/>
    <w:rsid w:val="000D2A5C"/>
    <w:rsid w:val="000D33DA"/>
    <w:rsid w:val="000D3903"/>
    <w:rsid w:val="000D64AA"/>
    <w:rsid w:val="000D6F7C"/>
    <w:rsid w:val="000D728A"/>
    <w:rsid w:val="000E0264"/>
    <w:rsid w:val="000E02F4"/>
    <w:rsid w:val="000E0918"/>
    <w:rsid w:val="000E116D"/>
    <w:rsid w:val="000E1365"/>
    <w:rsid w:val="000E1444"/>
    <w:rsid w:val="000E17FE"/>
    <w:rsid w:val="000E312A"/>
    <w:rsid w:val="000E3160"/>
    <w:rsid w:val="000E5EAC"/>
    <w:rsid w:val="000E617F"/>
    <w:rsid w:val="000E6241"/>
    <w:rsid w:val="000E725D"/>
    <w:rsid w:val="000F04B1"/>
    <w:rsid w:val="000F0BD7"/>
    <w:rsid w:val="000F1907"/>
    <w:rsid w:val="000F2BDB"/>
    <w:rsid w:val="000F3240"/>
    <w:rsid w:val="000F4736"/>
    <w:rsid w:val="000F5005"/>
    <w:rsid w:val="000F575C"/>
    <w:rsid w:val="000F5E7B"/>
    <w:rsid w:val="000F5FF3"/>
    <w:rsid w:val="001006C8"/>
    <w:rsid w:val="001011C3"/>
    <w:rsid w:val="00101679"/>
    <w:rsid w:val="00103C80"/>
    <w:rsid w:val="00103DA6"/>
    <w:rsid w:val="001053BE"/>
    <w:rsid w:val="00106775"/>
    <w:rsid w:val="00110059"/>
    <w:rsid w:val="00110B61"/>
    <w:rsid w:val="00110D87"/>
    <w:rsid w:val="00111CB9"/>
    <w:rsid w:val="00112CA9"/>
    <w:rsid w:val="00113A40"/>
    <w:rsid w:val="00113DD1"/>
    <w:rsid w:val="00114DB9"/>
    <w:rsid w:val="00115CFE"/>
    <w:rsid w:val="00115EBD"/>
    <w:rsid w:val="00116087"/>
    <w:rsid w:val="00117F16"/>
    <w:rsid w:val="00117F74"/>
    <w:rsid w:val="0012125A"/>
    <w:rsid w:val="00121317"/>
    <w:rsid w:val="00122D2E"/>
    <w:rsid w:val="0012375C"/>
    <w:rsid w:val="00123F7B"/>
    <w:rsid w:val="00124EF4"/>
    <w:rsid w:val="0012628A"/>
    <w:rsid w:val="00126772"/>
    <w:rsid w:val="001267B5"/>
    <w:rsid w:val="00126EA7"/>
    <w:rsid w:val="00126FF1"/>
    <w:rsid w:val="00130296"/>
    <w:rsid w:val="0013076E"/>
    <w:rsid w:val="00130B9C"/>
    <w:rsid w:val="0013245B"/>
    <w:rsid w:val="00132DEB"/>
    <w:rsid w:val="00134653"/>
    <w:rsid w:val="001376D5"/>
    <w:rsid w:val="00137B5B"/>
    <w:rsid w:val="00137D32"/>
    <w:rsid w:val="0014060D"/>
    <w:rsid w:val="00141771"/>
    <w:rsid w:val="00141C5A"/>
    <w:rsid w:val="00141C86"/>
    <w:rsid w:val="001423B6"/>
    <w:rsid w:val="00143BC0"/>
    <w:rsid w:val="001448A7"/>
    <w:rsid w:val="0014602A"/>
    <w:rsid w:val="001465FA"/>
    <w:rsid w:val="00146621"/>
    <w:rsid w:val="001469BD"/>
    <w:rsid w:val="001503D6"/>
    <w:rsid w:val="00151076"/>
    <w:rsid w:val="00151655"/>
    <w:rsid w:val="001550A2"/>
    <w:rsid w:val="00155632"/>
    <w:rsid w:val="001558B0"/>
    <w:rsid w:val="00155CC9"/>
    <w:rsid w:val="00157C8F"/>
    <w:rsid w:val="0016127B"/>
    <w:rsid w:val="00162325"/>
    <w:rsid w:val="00162604"/>
    <w:rsid w:val="001638E0"/>
    <w:rsid w:val="001642DA"/>
    <w:rsid w:val="001648F5"/>
    <w:rsid w:val="0016568B"/>
    <w:rsid w:val="00167FA5"/>
    <w:rsid w:val="00170256"/>
    <w:rsid w:val="0017045C"/>
    <w:rsid w:val="001708D1"/>
    <w:rsid w:val="0017122E"/>
    <w:rsid w:val="00171D09"/>
    <w:rsid w:val="00172A3B"/>
    <w:rsid w:val="00173D06"/>
    <w:rsid w:val="00173D6C"/>
    <w:rsid w:val="001747E2"/>
    <w:rsid w:val="00174B82"/>
    <w:rsid w:val="00174FC2"/>
    <w:rsid w:val="001756E2"/>
    <w:rsid w:val="001802EF"/>
    <w:rsid w:val="00180604"/>
    <w:rsid w:val="00181548"/>
    <w:rsid w:val="001849AA"/>
    <w:rsid w:val="00184C28"/>
    <w:rsid w:val="001864F9"/>
    <w:rsid w:val="00186B5C"/>
    <w:rsid w:val="00187226"/>
    <w:rsid w:val="00187B70"/>
    <w:rsid w:val="001915A8"/>
    <w:rsid w:val="001931C9"/>
    <w:rsid w:val="0019505E"/>
    <w:rsid w:val="001951DA"/>
    <w:rsid w:val="001953D9"/>
    <w:rsid w:val="00196AED"/>
    <w:rsid w:val="001A08FF"/>
    <w:rsid w:val="001A0DD4"/>
    <w:rsid w:val="001A1762"/>
    <w:rsid w:val="001A18B1"/>
    <w:rsid w:val="001A1FD8"/>
    <w:rsid w:val="001A2379"/>
    <w:rsid w:val="001A3A35"/>
    <w:rsid w:val="001A3D75"/>
    <w:rsid w:val="001A47C1"/>
    <w:rsid w:val="001A4B94"/>
    <w:rsid w:val="001A5E7C"/>
    <w:rsid w:val="001A6DB4"/>
    <w:rsid w:val="001A7478"/>
    <w:rsid w:val="001B029E"/>
    <w:rsid w:val="001B11D0"/>
    <w:rsid w:val="001B43D7"/>
    <w:rsid w:val="001B4438"/>
    <w:rsid w:val="001B5EAF"/>
    <w:rsid w:val="001B66B7"/>
    <w:rsid w:val="001B7686"/>
    <w:rsid w:val="001B77D3"/>
    <w:rsid w:val="001C013D"/>
    <w:rsid w:val="001C23FA"/>
    <w:rsid w:val="001C2BF0"/>
    <w:rsid w:val="001C2F57"/>
    <w:rsid w:val="001C3269"/>
    <w:rsid w:val="001C364E"/>
    <w:rsid w:val="001C3D59"/>
    <w:rsid w:val="001C3FBC"/>
    <w:rsid w:val="001C49D9"/>
    <w:rsid w:val="001C65E7"/>
    <w:rsid w:val="001C6EC4"/>
    <w:rsid w:val="001C7EAA"/>
    <w:rsid w:val="001D00F6"/>
    <w:rsid w:val="001D1DB4"/>
    <w:rsid w:val="001D212D"/>
    <w:rsid w:val="001D2584"/>
    <w:rsid w:val="001D2D28"/>
    <w:rsid w:val="001D2DE7"/>
    <w:rsid w:val="001D344A"/>
    <w:rsid w:val="001D3C55"/>
    <w:rsid w:val="001D3E4A"/>
    <w:rsid w:val="001D5B0C"/>
    <w:rsid w:val="001D62C5"/>
    <w:rsid w:val="001D6F16"/>
    <w:rsid w:val="001D7030"/>
    <w:rsid w:val="001E0445"/>
    <w:rsid w:val="001E3B25"/>
    <w:rsid w:val="001E4E69"/>
    <w:rsid w:val="001E5C91"/>
    <w:rsid w:val="001E7FC1"/>
    <w:rsid w:val="001F2560"/>
    <w:rsid w:val="001F2F80"/>
    <w:rsid w:val="001F43F3"/>
    <w:rsid w:val="001F4E44"/>
    <w:rsid w:val="001F633E"/>
    <w:rsid w:val="001F7447"/>
    <w:rsid w:val="001F7505"/>
    <w:rsid w:val="001F7B00"/>
    <w:rsid w:val="00200D81"/>
    <w:rsid w:val="00202ECB"/>
    <w:rsid w:val="00204FA6"/>
    <w:rsid w:val="00211078"/>
    <w:rsid w:val="00211327"/>
    <w:rsid w:val="0021181C"/>
    <w:rsid w:val="00212A6F"/>
    <w:rsid w:val="00212E22"/>
    <w:rsid w:val="0021377F"/>
    <w:rsid w:val="0021552D"/>
    <w:rsid w:val="002155E0"/>
    <w:rsid w:val="0021569B"/>
    <w:rsid w:val="00215ADE"/>
    <w:rsid w:val="002167B8"/>
    <w:rsid w:val="0022280B"/>
    <w:rsid w:val="00222E56"/>
    <w:rsid w:val="002279BF"/>
    <w:rsid w:val="00227C3D"/>
    <w:rsid w:val="00230347"/>
    <w:rsid w:val="00230679"/>
    <w:rsid w:val="00230699"/>
    <w:rsid w:val="002314CE"/>
    <w:rsid w:val="002318CF"/>
    <w:rsid w:val="0023443D"/>
    <w:rsid w:val="00234B4A"/>
    <w:rsid w:val="00234CD1"/>
    <w:rsid w:val="002360F7"/>
    <w:rsid w:val="00236AF8"/>
    <w:rsid w:val="002400F5"/>
    <w:rsid w:val="002412B5"/>
    <w:rsid w:val="00242E02"/>
    <w:rsid w:val="00242FCB"/>
    <w:rsid w:val="0024486C"/>
    <w:rsid w:val="00245CA2"/>
    <w:rsid w:val="00246327"/>
    <w:rsid w:val="00246F56"/>
    <w:rsid w:val="00250172"/>
    <w:rsid w:val="0025029B"/>
    <w:rsid w:val="00250EB1"/>
    <w:rsid w:val="002520CA"/>
    <w:rsid w:val="00252B5D"/>
    <w:rsid w:val="00256284"/>
    <w:rsid w:val="002574F9"/>
    <w:rsid w:val="00261B01"/>
    <w:rsid w:val="00262B61"/>
    <w:rsid w:val="00262EE2"/>
    <w:rsid w:val="00264AF7"/>
    <w:rsid w:val="0026513B"/>
    <w:rsid w:val="00265274"/>
    <w:rsid w:val="00266292"/>
    <w:rsid w:val="002662F7"/>
    <w:rsid w:val="0027092B"/>
    <w:rsid w:val="00271B98"/>
    <w:rsid w:val="002727F2"/>
    <w:rsid w:val="0027580C"/>
    <w:rsid w:val="00276811"/>
    <w:rsid w:val="00277560"/>
    <w:rsid w:val="00277D59"/>
    <w:rsid w:val="00282699"/>
    <w:rsid w:val="00283037"/>
    <w:rsid w:val="00283981"/>
    <w:rsid w:val="002841EC"/>
    <w:rsid w:val="00285AE8"/>
    <w:rsid w:val="0028726B"/>
    <w:rsid w:val="002926DF"/>
    <w:rsid w:val="00294C77"/>
    <w:rsid w:val="00296697"/>
    <w:rsid w:val="00296806"/>
    <w:rsid w:val="00296D91"/>
    <w:rsid w:val="00297C48"/>
    <w:rsid w:val="00297CE6"/>
    <w:rsid w:val="002A08B3"/>
    <w:rsid w:val="002A09DA"/>
    <w:rsid w:val="002A0C15"/>
    <w:rsid w:val="002A0E52"/>
    <w:rsid w:val="002A1439"/>
    <w:rsid w:val="002A172D"/>
    <w:rsid w:val="002A4890"/>
    <w:rsid w:val="002A4A08"/>
    <w:rsid w:val="002A6EC6"/>
    <w:rsid w:val="002A72FC"/>
    <w:rsid w:val="002A765C"/>
    <w:rsid w:val="002B0472"/>
    <w:rsid w:val="002B0F49"/>
    <w:rsid w:val="002B1B85"/>
    <w:rsid w:val="002B2234"/>
    <w:rsid w:val="002B2D77"/>
    <w:rsid w:val="002B3015"/>
    <w:rsid w:val="002B330B"/>
    <w:rsid w:val="002B4145"/>
    <w:rsid w:val="002B53E3"/>
    <w:rsid w:val="002B5E1A"/>
    <w:rsid w:val="002B6440"/>
    <w:rsid w:val="002B6B12"/>
    <w:rsid w:val="002B6DB4"/>
    <w:rsid w:val="002B7B1C"/>
    <w:rsid w:val="002C10F2"/>
    <w:rsid w:val="002C15EA"/>
    <w:rsid w:val="002C2735"/>
    <w:rsid w:val="002C3EA6"/>
    <w:rsid w:val="002C4152"/>
    <w:rsid w:val="002C4E35"/>
    <w:rsid w:val="002C5949"/>
    <w:rsid w:val="002C6EEE"/>
    <w:rsid w:val="002C6EFB"/>
    <w:rsid w:val="002C7283"/>
    <w:rsid w:val="002C76CC"/>
    <w:rsid w:val="002D35B1"/>
    <w:rsid w:val="002D440E"/>
    <w:rsid w:val="002D4B5B"/>
    <w:rsid w:val="002D4E1B"/>
    <w:rsid w:val="002D6744"/>
    <w:rsid w:val="002D75E9"/>
    <w:rsid w:val="002E00F8"/>
    <w:rsid w:val="002E0223"/>
    <w:rsid w:val="002E1AAF"/>
    <w:rsid w:val="002E3462"/>
    <w:rsid w:val="002E3797"/>
    <w:rsid w:val="002E3B6E"/>
    <w:rsid w:val="002E3CE8"/>
    <w:rsid w:val="002E3D41"/>
    <w:rsid w:val="002E45B8"/>
    <w:rsid w:val="002E575D"/>
    <w:rsid w:val="002E6140"/>
    <w:rsid w:val="002E61A4"/>
    <w:rsid w:val="002E6985"/>
    <w:rsid w:val="002E71B6"/>
    <w:rsid w:val="002E7C32"/>
    <w:rsid w:val="002E7CC6"/>
    <w:rsid w:val="002E7E4C"/>
    <w:rsid w:val="002F086C"/>
    <w:rsid w:val="002F0C89"/>
    <w:rsid w:val="002F0DB0"/>
    <w:rsid w:val="002F19B3"/>
    <w:rsid w:val="002F1F81"/>
    <w:rsid w:val="002F3918"/>
    <w:rsid w:val="002F5BF9"/>
    <w:rsid w:val="002F77C8"/>
    <w:rsid w:val="003033A6"/>
    <w:rsid w:val="00303707"/>
    <w:rsid w:val="0030418D"/>
    <w:rsid w:val="003042C1"/>
    <w:rsid w:val="0030485F"/>
    <w:rsid w:val="00304A8F"/>
    <w:rsid w:val="00304C1D"/>
    <w:rsid w:val="00304F22"/>
    <w:rsid w:val="00305517"/>
    <w:rsid w:val="003061B6"/>
    <w:rsid w:val="00306C7C"/>
    <w:rsid w:val="00307A05"/>
    <w:rsid w:val="00310217"/>
    <w:rsid w:val="0031028F"/>
    <w:rsid w:val="003123D0"/>
    <w:rsid w:val="00313C08"/>
    <w:rsid w:val="00313DA4"/>
    <w:rsid w:val="00314457"/>
    <w:rsid w:val="00314D1D"/>
    <w:rsid w:val="0031645A"/>
    <w:rsid w:val="00320094"/>
    <w:rsid w:val="00320507"/>
    <w:rsid w:val="00320936"/>
    <w:rsid w:val="00320F7F"/>
    <w:rsid w:val="00321021"/>
    <w:rsid w:val="0032105B"/>
    <w:rsid w:val="0032219F"/>
    <w:rsid w:val="00322EDD"/>
    <w:rsid w:val="003237FB"/>
    <w:rsid w:val="00323958"/>
    <w:rsid w:val="00324B9F"/>
    <w:rsid w:val="00324BD5"/>
    <w:rsid w:val="00325329"/>
    <w:rsid w:val="00325930"/>
    <w:rsid w:val="00326F6B"/>
    <w:rsid w:val="0032757A"/>
    <w:rsid w:val="00327D1A"/>
    <w:rsid w:val="00327F5B"/>
    <w:rsid w:val="003311D2"/>
    <w:rsid w:val="00332320"/>
    <w:rsid w:val="00332939"/>
    <w:rsid w:val="00332A25"/>
    <w:rsid w:val="00332A54"/>
    <w:rsid w:val="00332A67"/>
    <w:rsid w:val="003337D8"/>
    <w:rsid w:val="00334046"/>
    <w:rsid w:val="00334910"/>
    <w:rsid w:val="0033494C"/>
    <w:rsid w:val="00334BBC"/>
    <w:rsid w:val="00334C90"/>
    <w:rsid w:val="00335EA8"/>
    <w:rsid w:val="0033608A"/>
    <w:rsid w:val="00337565"/>
    <w:rsid w:val="0034014F"/>
    <w:rsid w:val="003402B6"/>
    <w:rsid w:val="00342218"/>
    <w:rsid w:val="00342EB3"/>
    <w:rsid w:val="003453A4"/>
    <w:rsid w:val="003457D7"/>
    <w:rsid w:val="00345959"/>
    <w:rsid w:val="00346B44"/>
    <w:rsid w:val="003475DF"/>
    <w:rsid w:val="0034767F"/>
    <w:rsid w:val="003479FF"/>
    <w:rsid w:val="00347D72"/>
    <w:rsid w:val="003513C8"/>
    <w:rsid w:val="00352821"/>
    <w:rsid w:val="00353DE2"/>
    <w:rsid w:val="003540DB"/>
    <w:rsid w:val="00354919"/>
    <w:rsid w:val="00354F10"/>
    <w:rsid w:val="00355C51"/>
    <w:rsid w:val="00356A96"/>
    <w:rsid w:val="00357611"/>
    <w:rsid w:val="00357C57"/>
    <w:rsid w:val="00363017"/>
    <w:rsid w:val="00365C72"/>
    <w:rsid w:val="00367237"/>
    <w:rsid w:val="00367CC3"/>
    <w:rsid w:val="0037077F"/>
    <w:rsid w:val="00372411"/>
    <w:rsid w:val="003729F5"/>
    <w:rsid w:val="00373882"/>
    <w:rsid w:val="00374840"/>
    <w:rsid w:val="003750AC"/>
    <w:rsid w:val="0037524C"/>
    <w:rsid w:val="003768E5"/>
    <w:rsid w:val="003815F4"/>
    <w:rsid w:val="00382390"/>
    <w:rsid w:val="0038410A"/>
    <w:rsid w:val="003843DB"/>
    <w:rsid w:val="003849E2"/>
    <w:rsid w:val="0038513A"/>
    <w:rsid w:val="00385E91"/>
    <w:rsid w:val="00391AA9"/>
    <w:rsid w:val="00391DB0"/>
    <w:rsid w:val="00392539"/>
    <w:rsid w:val="00392FEF"/>
    <w:rsid w:val="00393761"/>
    <w:rsid w:val="003953D4"/>
    <w:rsid w:val="00397C2D"/>
    <w:rsid w:val="00397D18"/>
    <w:rsid w:val="003A009D"/>
    <w:rsid w:val="003A1309"/>
    <w:rsid w:val="003A1B36"/>
    <w:rsid w:val="003A3452"/>
    <w:rsid w:val="003A3998"/>
    <w:rsid w:val="003A40EC"/>
    <w:rsid w:val="003A4C31"/>
    <w:rsid w:val="003A56BE"/>
    <w:rsid w:val="003A5895"/>
    <w:rsid w:val="003A6735"/>
    <w:rsid w:val="003A76EB"/>
    <w:rsid w:val="003B0437"/>
    <w:rsid w:val="003B0C2D"/>
    <w:rsid w:val="003B107E"/>
    <w:rsid w:val="003B1454"/>
    <w:rsid w:val="003B18B6"/>
    <w:rsid w:val="003B1F9A"/>
    <w:rsid w:val="003B33FE"/>
    <w:rsid w:val="003B3535"/>
    <w:rsid w:val="003B38CE"/>
    <w:rsid w:val="003B49C8"/>
    <w:rsid w:val="003B57C1"/>
    <w:rsid w:val="003B65FD"/>
    <w:rsid w:val="003B6FC7"/>
    <w:rsid w:val="003C1F03"/>
    <w:rsid w:val="003C425A"/>
    <w:rsid w:val="003C4B7E"/>
    <w:rsid w:val="003C59E0"/>
    <w:rsid w:val="003C66FA"/>
    <w:rsid w:val="003C6C8D"/>
    <w:rsid w:val="003D03EA"/>
    <w:rsid w:val="003D066F"/>
    <w:rsid w:val="003D368A"/>
    <w:rsid w:val="003D3BCE"/>
    <w:rsid w:val="003D3CCA"/>
    <w:rsid w:val="003D40C1"/>
    <w:rsid w:val="003D42E1"/>
    <w:rsid w:val="003D4CB5"/>
    <w:rsid w:val="003D4F95"/>
    <w:rsid w:val="003D5409"/>
    <w:rsid w:val="003D5F42"/>
    <w:rsid w:val="003D60A9"/>
    <w:rsid w:val="003D71FA"/>
    <w:rsid w:val="003E1A58"/>
    <w:rsid w:val="003E2414"/>
    <w:rsid w:val="003E2ACB"/>
    <w:rsid w:val="003E3394"/>
    <w:rsid w:val="003E4EDC"/>
    <w:rsid w:val="003E5529"/>
    <w:rsid w:val="003E5DCF"/>
    <w:rsid w:val="003E5E11"/>
    <w:rsid w:val="003F23F8"/>
    <w:rsid w:val="003F2669"/>
    <w:rsid w:val="003F42C7"/>
    <w:rsid w:val="003F468F"/>
    <w:rsid w:val="003F4C97"/>
    <w:rsid w:val="003F7411"/>
    <w:rsid w:val="003F7FE6"/>
    <w:rsid w:val="00400193"/>
    <w:rsid w:val="0040103E"/>
    <w:rsid w:val="00401337"/>
    <w:rsid w:val="00402D1D"/>
    <w:rsid w:val="00403725"/>
    <w:rsid w:val="004078B9"/>
    <w:rsid w:val="00411654"/>
    <w:rsid w:val="00414CBF"/>
    <w:rsid w:val="0041543B"/>
    <w:rsid w:val="0041587E"/>
    <w:rsid w:val="00415F50"/>
    <w:rsid w:val="004170F6"/>
    <w:rsid w:val="00417DA2"/>
    <w:rsid w:val="004212E7"/>
    <w:rsid w:val="00421A4D"/>
    <w:rsid w:val="00422A69"/>
    <w:rsid w:val="004236D1"/>
    <w:rsid w:val="0042446D"/>
    <w:rsid w:val="00424C18"/>
    <w:rsid w:val="00425450"/>
    <w:rsid w:val="00427BF8"/>
    <w:rsid w:val="00430580"/>
    <w:rsid w:val="00430F84"/>
    <w:rsid w:val="00431C02"/>
    <w:rsid w:val="00431E65"/>
    <w:rsid w:val="00432B4A"/>
    <w:rsid w:val="0043404D"/>
    <w:rsid w:val="0043492C"/>
    <w:rsid w:val="00437395"/>
    <w:rsid w:val="00440700"/>
    <w:rsid w:val="0044076B"/>
    <w:rsid w:val="004417FA"/>
    <w:rsid w:val="00441A8B"/>
    <w:rsid w:val="0044205D"/>
    <w:rsid w:val="00442185"/>
    <w:rsid w:val="00445047"/>
    <w:rsid w:val="004455D9"/>
    <w:rsid w:val="004462D1"/>
    <w:rsid w:val="004467CB"/>
    <w:rsid w:val="004470D2"/>
    <w:rsid w:val="00447255"/>
    <w:rsid w:val="004475FA"/>
    <w:rsid w:val="004477C2"/>
    <w:rsid w:val="00451F26"/>
    <w:rsid w:val="00452CE7"/>
    <w:rsid w:val="00455144"/>
    <w:rsid w:val="00455A14"/>
    <w:rsid w:val="004579C8"/>
    <w:rsid w:val="00460304"/>
    <w:rsid w:val="00460559"/>
    <w:rsid w:val="00461556"/>
    <w:rsid w:val="00461BDE"/>
    <w:rsid w:val="0046260A"/>
    <w:rsid w:val="00463E39"/>
    <w:rsid w:val="0046539D"/>
    <w:rsid w:val="004657FC"/>
    <w:rsid w:val="00465D44"/>
    <w:rsid w:val="00466210"/>
    <w:rsid w:val="004673B0"/>
    <w:rsid w:val="004673F1"/>
    <w:rsid w:val="00467BE9"/>
    <w:rsid w:val="004716FD"/>
    <w:rsid w:val="00471D75"/>
    <w:rsid w:val="004722FA"/>
    <w:rsid w:val="004733F6"/>
    <w:rsid w:val="00474A3A"/>
    <w:rsid w:val="00474E69"/>
    <w:rsid w:val="00475CC1"/>
    <w:rsid w:val="0047614A"/>
    <w:rsid w:val="00476524"/>
    <w:rsid w:val="00476B05"/>
    <w:rsid w:val="004815D6"/>
    <w:rsid w:val="00482D0F"/>
    <w:rsid w:val="00483EDF"/>
    <w:rsid w:val="00484EFF"/>
    <w:rsid w:val="0048561A"/>
    <w:rsid w:val="004875F8"/>
    <w:rsid w:val="00490E03"/>
    <w:rsid w:val="00492488"/>
    <w:rsid w:val="00492B21"/>
    <w:rsid w:val="00493BA8"/>
    <w:rsid w:val="004942C8"/>
    <w:rsid w:val="0049621B"/>
    <w:rsid w:val="004A072E"/>
    <w:rsid w:val="004A2E81"/>
    <w:rsid w:val="004A311F"/>
    <w:rsid w:val="004A3305"/>
    <w:rsid w:val="004A5B9E"/>
    <w:rsid w:val="004A7549"/>
    <w:rsid w:val="004A7B44"/>
    <w:rsid w:val="004B0936"/>
    <w:rsid w:val="004B0DC3"/>
    <w:rsid w:val="004B1ED2"/>
    <w:rsid w:val="004B235A"/>
    <w:rsid w:val="004B298F"/>
    <w:rsid w:val="004B3033"/>
    <w:rsid w:val="004B49AE"/>
    <w:rsid w:val="004B7951"/>
    <w:rsid w:val="004B7E27"/>
    <w:rsid w:val="004C03A1"/>
    <w:rsid w:val="004C1895"/>
    <w:rsid w:val="004C23D2"/>
    <w:rsid w:val="004C348C"/>
    <w:rsid w:val="004C3621"/>
    <w:rsid w:val="004C3E99"/>
    <w:rsid w:val="004C5E25"/>
    <w:rsid w:val="004C6D40"/>
    <w:rsid w:val="004C7213"/>
    <w:rsid w:val="004D0683"/>
    <w:rsid w:val="004D0F47"/>
    <w:rsid w:val="004D1923"/>
    <w:rsid w:val="004D230F"/>
    <w:rsid w:val="004D25F0"/>
    <w:rsid w:val="004D2DD3"/>
    <w:rsid w:val="004D36D5"/>
    <w:rsid w:val="004D507F"/>
    <w:rsid w:val="004D5B08"/>
    <w:rsid w:val="004D7A31"/>
    <w:rsid w:val="004E0604"/>
    <w:rsid w:val="004E07D3"/>
    <w:rsid w:val="004E0E9A"/>
    <w:rsid w:val="004E2B0A"/>
    <w:rsid w:val="004E4803"/>
    <w:rsid w:val="004E497C"/>
    <w:rsid w:val="004E4EF6"/>
    <w:rsid w:val="004E5048"/>
    <w:rsid w:val="004E584D"/>
    <w:rsid w:val="004E5DD7"/>
    <w:rsid w:val="004E625B"/>
    <w:rsid w:val="004E67B9"/>
    <w:rsid w:val="004E70E3"/>
    <w:rsid w:val="004F07D9"/>
    <w:rsid w:val="004F0C3C"/>
    <w:rsid w:val="004F1D5B"/>
    <w:rsid w:val="004F1F24"/>
    <w:rsid w:val="004F43BC"/>
    <w:rsid w:val="004F492A"/>
    <w:rsid w:val="004F5B56"/>
    <w:rsid w:val="004F63FC"/>
    <w:rsid w:val="004F7174"/>
    <w:rsid w:val="004F75C3"/>
    <w:rsid w:val="00500599"/>
    <w:rsid w:val="00500C12"/>
    <w:rsid w:val="00501812"/>
    <w:rsid w:val="00501A4C"/>
    <w:rsid w:val="0050322B"/>
    <w:rsid w:val="00503291"/>
    <w:rsid w:val="00503737"/>
    <w:rsid w:val="0050497E"/>
    <w:rsid w:val="00505977"/>
    <w:rsid w:val="00505A92"/>
    <w:rsid w:val="00506D33"/>
    <w:rsid w:val="00506EDA"/>
    <w:rsid w:val="0051041D"/>
    <w:rsid w:val="005116B3"/>
    <w:rsid w:val="005120CB"/>
    <w:rsid w:val="005123BF"/>
    <w:rsid w:val="00512F6D"/>
    <w:rsid w:val="00513DB5"/>
    <w:rsid w:val="005140B7"/>
    <w:rsid w:val="00515B9C"/>
    <w:rsid w:val="00516B7A"/>
    <w:rsid w:val="005203F1"/>
    <w:rsid w:val="005206C8"/>
    <w:rsid w:val="005211FB"/>
    <w:rsid w:val="00521212"/>
    <w:rsid w:val="00521974"/>
    <w:rsid w:val="00521A37"/>
    <w:rsid w:val="00521BC3"/>
    <w:rsid w:val="00522898"/>
    <w:rsid w:val="00522D17"/>
    <w:rsid w:val="0052341E"/>
    <w:rsid w:val="0052522E"/>
    <w:rsid w:val="005260D6"/>
    <w:rsid w:val="00527729"/>
    <w:rsid w:val="00533632"/>
    <w:rsid w:val="005336BB"/>
    <w:rsid w:val="00533E00"/>
    <w:rsid w:val="005345E1"/>
    <w:rsid w:val="00534A93"/>
    <w:rsid w:val="005358B1"/>
    <w:rsid w:val="00541339"/>
    <w:rsid w:val="00541E6E"/>
    <w:rsid w:val="00541ECD"/>
    <w:rsid w:val="00541EF7"/>
    <w:rsid w:val="0054251F"/>
    <w:rsid w:val="005428D6"/>
    <w:rsid w:val="00543423"/>
    <w:rsid w:val="00543B74"/>
    <w:rsid w:val="00544FB7"/>
    <w:rsid w:val="00550622"/>
    <w:rsid w:val="00550CFB"/>
    <w:rsid w:val="00550F40"/>
    <w:rsid w:val="005511C9"/>
    <w:rsid w:val="005520D8"/>
    <w:rsid w:val="00552CDC"/>
    <w:rsid w:val="005532EE"/>
    <w:rsid w:val="005533BC"/>
    <w:rsid w:val="00553690"/>
    <w:rsid w:val="00553798"/>
    <w:rsid w:val="0055643F"/>
    <w:rsid w:val="00556CF1"/>
    <w:rsid w:val="00556E49"/>
    <w:rsid w:val="005606B0"/>
    <w:rsid w:val="0056080D"/>
    <w:rsid w:val="00561286"/>
    <w:rsid w:val="00561AE5"/>
    <w:rsid w:val="00562055"/>
    <w:rsid w:val="00564A74"/>
    <w:rsid w:val="00564DBF"/>
    <w:rsid w:val="00564F88"/>
    <w:rsid w:val="005652D8"/>
    <w:rsid w:val="005664CC"/>
    <w:rsid w:val="00567186"/>
    <w:rsid w:val="00567F5E"/>
    <w:rsid w:val="00571015"/>
    <w:rsid w:val="00571D0C"/>
    <w:rsid w:val="00572FE5"/>
    <w:rsid w:val="005731B7"/>
    <w:rsid w:val="00574652"/>
    <w:rsid w:val="00574DAD"/>
    <w:rsid w:val="005757FE"/>
    <w:rsid w:val="00575D05"/>
    <w:rsid w:val="0057621C"/>
    <w:rsid w:val="005762A7"/>
    <w:rsid w:val="0057685E"/>
    <w:rsid w:val="00580004"/>
    <w:rsid w:val="005828C3"/>
    <w:rsid w:val="00582A3E"/>
    <w:rsid w:val="00582D3F"/>
    <w:rsid w:val="00584951"/>
    <w:rsid w:val="005878F7"/>
    <w:rsid w:val="00587E37"/>
    <w:rsid w:val="00587FA0"/>
    <w:rsid w:val="0059075A"/>
    <w:rsid w:val="005916D7"/>
    <w:rsid w:val="00591BA7"/>
    <w:rsid w:val="0059538A"/>
    <w:rsid w:val="00596464"/>
    <w:rsid w:val="0059710B"/>
    <w:rsid w:val="0059748C"/>
    <w:rsid w:val="00597E2D"/>
    <w:rsid w:val="005A2AEF"/>
    <w:rsid w:val="005A3C7F"/>
    <w:rsid w:val="005A4144"/>
    <w:rsid w:val="005A420C"/>
    <w:rsid w:val="005A5090"/>
    <w:rsid w:val="005A51B9"/>
    <w:rsid w:val="005A56A5"/>
    <w:rsid w:val="005A6159"/>
    <w:rsid w:val="005A698C"/>
    <w:rsid w:val="005A7BB3"/>
    <w:rsid w:val="005B0772"/>
    <w:rsid w:val="005B1FEB"/>
    <w:rsid w:val="005B22F0"/>
    <w:rsid w:val="005B29DF"/>
    <w:rsid w:val="005B2B47"/>
    <w:rsid w:val="005B2FB6"/>
    <w:rsid w:val="005B6140"/>
    <w:rsid w:val="005C0D7D"/>
    <w:rsid w:val="005C13CD"/>
    <w:rsid w:val="005C14BD"/>
    <w:rsid w:val="005C196B"/>
    <w:rsid w:val="005C313C"/>
    <w:rsid w:val="005C34F9"/>
    <w:rsid w:val="005C5285"/>
    <w:rsid w:val="005C577E"/>
    <w:rsid w:val="005C7031"/>
    <w:rsid w:val="005C7710"/>
    <w:rsid w:val="005C7B5D"/>
    <w:rsid w:val="005D2934"/>
    <w:rsid w:val="005D433E"/>
    <w:rsid w:val="005D46D8"/>
    <w:rsid w:val="005D5835"/>
    <w:rsid w:val="005D789E"/>
    <w:rsid w:val="005E01DA"/>
    <w:rsid w:val="005E0799"/>
    <w:rsid w:val="005E0A61"/>
    <w:rsid w:val="005E127E"/>
    <w:rsid w:val="005E1826"/>
    <w:rsid w:val="005E1D1E"/>
    <w:rsid w:val="005E27D5"/>
    <w:rsid w:val="005E3E07"/>
    <w:rsid w:val="005E4031"/>
    <w:rsid w:val="005E4CC8"/>
    <w:rsid w:val="005E4FC0"/>
    <w:rsid w:val="005E6676"/>
    <w:rsid w:val="005E7471"/>
    <w:rsid w:val="005F10F4"/>
    <w:rsid w:val="005F11DF"/>
    <w:rsid w:val="005F1EA9"/>
    <w:rsid w:val="005F1F3D"/>
    <w:rsid w:val="005F2B8E"/>
    <w:rsid w:val="005F2C48"/>
    <w:rsid w:val="005F44BD"/>
    <w:rsid w:val="005F4861"/>
    <w:rsid w:val="005F5A80"/>
    <w:rsid w:val="005F5E6B"/>
    <w:rsid w:val="005F6CCC"/>
    <w:rsid w:val="005F7D59"/>
    <w:rsid w:val="005F7FD8"/>
    <w:rsid w:val="006000F9"/>
    <w:rsid w:val="00600285"/>
    <w:rsid w:val="00600D5C"/>
    <w:rsid w:val="00600DFE"/>
    <w:rsid w:val="00602A7C"/>
    <w:rsid w:val="006044FF"/>
    <w:rsid w:val="0060484B"/>
    <w:rsid w:val="006051FF"/>
    <w:rsid w:val="00607CC5"/>
    <w:rsid w:val="006109D8"/>
    <w:rsid w:val="006111C4"/>
    <w:rsid w:val="0061203C"/>
    <w:rsid w:val="006135D3"/>
    <w:rsid w:val="00613EA1"/>
    <w:rsid w:val="00616385"/>
    <w:rsid w:val="00620853"/>
    <w:rsid w:val="00623E67"/>
    <w:rsid w:val="006246FD"/>
    <w:rsid w:val="00625E5B"/>
    <w:rsid w:val="00626BD1"/>
    <w:rsid w:val="00627528"/>
    <w:rsid w:val="006319E3"/>
    <w:rsid w:val="0063253C"/>
    <w:rsid w:val="00632CC4"/>
    <w:rsid w:val="00633014"/>
    <w:rsid w:val="00633332"/>
    <w:rsid w:val="00633882"/>
    <w:rsid w:val="00633EA7"/>
    <w:rsid w:val="0063437B"/>
    <w:rsid w:val="00634948"/>
    <w:rsid w:val="0063564F"/>
    <w:rsid w:val="00636FBD"/>
    <w:rsid w:val="0064144A"/>
    <w:rsid w:val="00641496"/>
    <w:rsid w:val="006466E2"/>
    <w:rsid w:val="00646B54"/>
    <w:rsid w:val="00646F3A"/>
    <w:rsid w:val="00647316"/>
    <w:rsid w:val="00647D55"/>
    <w:rsid w:val="0065045B"/>
    <w:rsid w:val="00651D5E"/>
    <w:rsid w:val="00652DBF"/>
    <w:rsid w:val="00653ADD"/>
    <w:rsid w:val="00654166"/>
    <w:rsid w:val="006545F0"/>
    <w:rsid w:val="006545F8"/>
    <w:rsid w:val="00654D2E"/>
    <w:rsid w:val="00654EA6"/>
    <w:rsid w:val="006552FE"/>
    <w:rsid w:val="00655460"/>
    <w:rsid w:val="00655E21"/>
    <w:rsid w:val="00660624"/>
    <w:rsid w:val="006616CB"/>
    <w:rsid w:val="0066227B"/>
    <w:rsid w:val="0066338E"/>
    <w:rsid w:val="0066392C"/>
    <w:rsid w:val="0066517D"/>
    <w:rsid w:val="006670D3"/>
    <w:rsid w:val="006673CA"/>
    <w:rsid w:val="00670DB1"/>
    <w:rsid w:val="00671BC6"/>
    <w:rsid w:val="00671BFE"/>
    <w:rsid w:val="006726D5"/>
    <w:rsid w:val="00673C26"/>
    <w:rsid w:val="00673FC8"/>
    <w:rsid w:val="00674978"/>
    <w:rsid w:val="00674A5B"/>
    <w:rsid w:val="00675755"/>
    <w:rsid w:val="00675EE8"/>
    <w:rsid w:val="00676327"/>
    <w:rsid w:val="006812AF"/>
    <w:rsid w:val="0068157C"/>
    <w:rsid w:val="0068241E"/>
    <w:rsid w:val="0068327D"/>
    <w:rsid w:val="006836F9"/>
    <w:rsid w:val="00683D5E"/>
    <w:rsid w:val="00683DE7"/>
    <w:rsid w:val="00684881"/>
    <w:rsid w:val="00684E9B"/>
    <w:rsid w:val="0068627A"/>
    <w:rsid w:val="006863A7"/>
    <w:rsid w:val="0068741D"/>
    <w:rsid w:val="00687461"/>
    <w:rsid w:val="00687905"/>
    <w:rsid w:val="006928D7"/>
    <w:rsid w:val="006929FE"/>
    <w:rsid w:val="00692C33"/>
    <w:rsid w:val="00692D54"/>
    <w:rsid w:val="00692FD9"/>
    <w:rsid w:val="00693338"/>
    <w:rsid w:val="00694465"/>
    <w:rsid w:val="00694AF0"/>
    <w:rsid w:val="00694BB4"/>
    <w:rsid w:val="00694DE3"/>
    <w:rsid w:val="0069681B"/>
    <w:rsid w:val="00697D5A"/>
    <w:rsid w:val="006A2F59"/>
    <w:rsid w:val="006A45AE"/>
    <w:rsid w:val="006A4686"/>
    <w:rsid w:val="006A4D40"/>
    <w:rsid w:val="006A5D92"/>
    <w:rsid w:val="006A71F6"/>
    <w:rsid w:val="006A78FC"/>
    <w:rsid w:val="006B0966"/>
    <w:rsid w:val="006B09C4"/>
    <w:rsid w:val="006B0E9E"/>
    <w:rsid w:val="006B14B8"/>
    <w:rsid w:val="006B1CD5"/>
    <w:rsid w:val="006B1F19"/>
    <w:rsid w:val="006B23AC"/>
    <w:rsid w:val="006B4B06"/>
    <w:rsid w:val="006B4BF3"/>
    <w:rsid w:val="006B5679"/>
    <w:rsid w:val="006B5AE4"/>
    <w:rsid w:val="006B7C37"/>
    <w:rsid w:val="006C06D7"/>
    <w:rsid w:val="006C10C8"/>
    <w:rsid w:val="006C2977"/>
    <w:rsid w:val="006C2B81"/>
    <w:rsid w:val="006C3C6D"/>
    <w:rsid w:val="006C41A1"/>
    <w:rsid w:val="006C46C0"/>
    <w:rsid w:val="006C621F"/>
    <w:rsid w:val="006C6F58"/>
    <w:rsid w:val="006C7EEC"/>
    <w:rsid w:val="006D0CB7"/>
    <w:rsid w:val="006D106D"/>
    <w:rsid w:val="006D1507"/>
    <w:rsid w:val="006D1D38"/>
    <w:rsid w:val="006D1DB6"/>
    <w:rsid w:val="006D3D65"/>
    <w:rsid w:val="006D4054"/>
    <w:rsid w:val="006D5D15"/>
    <w:rsid w:val="006D5D61"/>
    <w:rsid w:val="006D6E16"/>
    <w:rsid w:val="006D7790"/>
    <w:rsid w:val="006E02EC"/>
    <w:rsid w:val="006E2056"/>
    <w:rsid w:val="006E23F6"/>
    <w:rsid w:val="006E2BD8"/>
    <w:rsid w:val="006E2D34"/>
    <w:rsid w:val="006E2E50"/>
    <w:rsid w:val="006E37C6"/>
    <w:rsid w:val="006E504B"/>
    <w:rsid w:val="006E5CC8"/>
    <w:rsid w:val="006E7636"/>
    <w:rsid w:val="006E7F78"/>
    <w:rsid w:val="006F08B9"/>
    <w:rsid w:val="006F2DD9"/>
    <w:rsid w:val="006F3146"/>
    <w:rsid w:val="006F413B"/>
    <w:rsid w:val="006F4F51"/>
    <w:rsid w:val="006F5A67"/>
    <w:rsid w:val="006F5D3C"/>
    <w:rsid w:val="006F6749"/>
    <w:rsid w:val="006F6DCF"/>
    <w:rsid w:val="006F7343"/>
    <w:rsid w:val="00702C2F"/>
    <w:rsid w:val="00702D89"/>
    <w:rsid w:val="00704597"/>
    <w:rsid w:val="00705CD4"/>
    <w:rsid w:val="007065EB"/>
    <w:rsid w:val="00706A79"/>
    <w:rsid w:val="00707906"/>
    <w:rsid w:val="00710892"/>
    <w:rsid w:val="007116B6"/>
    <w:rsid w:val="00711880"/>
    <w:rsid w:val="00712C89"/>
    <w:rsid w:val="00715D29"/>
    <w:rsid w:val="00716DE0"/>
    <w:rsid w:val="00717A43"/>
    <w:rsid w:val="0072040E"/>
    <w:rsid w:val="007211B1"/>
    <w:rsid w:val="00722EB9"/>
    <w:rsid w:val="00724030"/>
    <w:rsid w:val="007275B6"/>
    <w:rsid w:val="00727703"/>
    <w:rsid w:val="007277F7"/>
    <w:rsid w:val="00730871"/>
    <w:rsid w:val="007325B4"/>
    <w:rsid w:val="00734691"/>
    <w:rsid w:val="007347E4"/>
    <w:rsid w:val="00734888"/>
    <w:rsid w:val="00734FEF"/>
    <w:rsid w:val="00735B59"/>
    <w:rsid w:val="007369FD"/>
    <w:rsid w:val="0074000C"/>
    <w:rsid w:val="007415C0"/>
    <w:rsid w:val="00742452"/>
    <w:rsid w:val="007433F2"/>
    <w:rsid w:val="00743D1C"/>
    <w:rsid w:val="007454E5"/>
    <w:rsid w:val="00745C49"/>
    <w:rsid w:val="00746187"/>
    <w:rsid w:val="00747599"/>
    <w:rsid w:val="007502F3"/>
    <w:rsid w:val="007504A0"/>
    <w:rsid w:val="00750C94"/>
    <w:rsid w:val="0075195D"/>
    <w:rsid w:val="00751FAC"/>
    <w:rsid w:val="007522D6"/>
    <w:rsid w:val="0075267D"/>
    <w:rsid w:val="00752DAC"/>
    <w:rsid w:val="007554B0"/>
    <w:rsid w:val="00760DE9"/>
    <w:rsid w:val="00761541"/>
    <w:rsid w:val="0076254F"/>
    <w:rsid w:val="00762EA7"/>
    <w:rsid w:val="00762FF2"/>
    <w:rsid w:val="00764D9C"/>
    <w:rsid w:val="007664AD"/>
    <w:rsid w:val="00771116"/>
    <w:rsid w:val="0077146E"/>
    <w:rsid w:val="00771914"/>
    <w:rsid w:val="00771A5A"/>
    <w:rsid w:val="00772223"/>
    <w:rsid w:val="007731D8"/>
    <w:rsid w:val="00773CE5"/>
    <w:rsid w:val="0077402D"/>
    <w:rsid w:val="00774D61"/>
    <w:rsid w:val="00774D62"/>
    <w:rsid w:val="00775896"/>
    <w:rsid w:val="007758FD"/>
    <w:rsid w:val="007759B5"/>
    <w:rsid w:val="007764D2"/>
    <w:rsid w:val="00777CB1"/>
    <w:rsid w:val="00780055"/>
    <w:rsid w:val="007801F5"/>
    <w:rsid w:val="00780479"/>
    <w:rsid w:val="00782AD5"/>
    <w:rsid w:val="00783CA4"/>
    <w:rsid w:val="00783CAA"/>
    <w:rsid w:val="007842FB"/>
    <w:rsid w:val="0078546B"/>
    <w:rsid w:val="00785540"/>
    <w:rsid w:val="00785705"/>
    <w:rsid w:val="00786124"/>
    <w:rsid w:val="00787167"/>
    <w:rsid w:val="00787A8F"/>
    <w:rsid w:val="00790C3E"/>
    <w:rsid w:val="00794CA4"/>
    <w:rsid w:val="0079514B"/>
    <w:rsid w:val="007A0B71"/>
    <w:rsid w:val="007A11BD"/>
    <w:rsid w:val="007A1AB5"/>
    <w:rsid w:val="007A2DC1"/>
    <w:rsid w:val="007A3E0B"/>
    <w:rsid w:val="007A46FE"/>
    <w:rsid w:val="007A487D"/>
    <w:rsid w:val="007A668D"/>
    <w:rsid w:val="007A6DAD"/>
    <w:rsid w:val="007A7C29"/>
    <w:rsid w:val="007B08F3"/>
    <w:rsid w:val="007B0BAB"/>
    <w:rsid w:val="007B0D8F"/>
    <w:rsid w:val="007B115B"/>
    <w:rsid w:val="007B1C71"/>
    <w:rsid w:val="007B3C4A"/>
    <w:rsid w:val="007B411B"/>
    <w:rsid w:val="007B5D32"/>
    <w:rsid w:val="007B74AB"/>
    <w:rsid w:val="007B7898"/>
    <w:rsid w:val="007C0412"/>
    <w:rsid w:val="007C2354"/>
    <w:rsid w:val="007C4094"/>
    <w:rsid w:val="007C73A0"/>
    <w:rsid w:val="007D08B5"/>
    <w:rsid w:val="007D1C31"/>
    <w:rsid w:val="007D3319"/>
    <w:rsid w:val="007D335D"/>
    <w:rsid w:val="007D3642"/>
    <w:rsid w:val="007D4EB8"/>
    <w:rsid w:val="007D6267"/>
    <w:rsid w:val="007D6283"/>
    <w:rsid w:val="007D6B06"/>
    <w:rsid w:val="007D6FC6"/>
    <w:rsid w:val="007E04C5"/>
    <w:rsid w:val="007E0DB2"/>
    <w:rsid w:val="007E1352"/>
    <w:rsid w:val="007E13D4"/>
    <w:rsid w:val="007E1DF3"/>
    <w:rsid w:val="007E1F14"/>
    <w:rsid w:val="007E2298"/>
    <w:rsid w:val="007E3314"/>
    <w:rsid w:val="007E4B03"/>
    <w:rsid w:val="007E6345"/>
    <w:rsid w:val="007E716F"/>
    <w:rsid w:val="007F04F4"/>
    <w:rsid w:val="007F229C"/>
    <w:rsid w:val="007F275E"/>
    <w:rsid w:val="007F28BB"/>
    <w:rsid w:val="007F2B39"/>
    <w:rsid w:val="007F324B"/>
    <w:rsid w:val="007F36F4"/>
    <w:rsid w:val="007F3898"/>
    <w:rsid w:val="007F41C8"/>
    <w:rsid w:val="007F4A26"/>
    <w:rsid w:val="007F6485"/>
    <w:rsid w:val="007F7BFB"/>
    <w:rsid w:val="008021BD"/>
    <w:rsid w:val="00802DC2"/>
    <w:rsid w:val="00803B35"/>
    <w:rsid w:val="00804408"/>
    <w:rsid w:val="008054BE"/>
    <w:rsid w:val="0080553C"/>
    <w:rsid w:val="0080589B"/>
    <w:rsid w:val="00805B46"/>
    <w:rsid w:val="0081004B"/>
    <w:rsid w:val="008119BB"/>
    <w:rsid w:val="008127B9"/>
    <w:rsid w:val="008141FA"/>
    <w:rsid w:val="0081438B"/>
    <w:rsid w:val="00814632"/>
    <w:rsid w:val="008152CB"/>
    <w:rsid w:val="00815E9B"/>
    <w:rsid w:val="0081668A"/>
    <w:rsid w:val="00816E06"/>
    <w:rsid w:val="0081743F"/>
    <w:rsid w:val="0081757B"/>
    <w:rsid w:val="008205A7"/>
    <w:rsid w:val="008216FE"/>
    <w:rsid w:val="008223FB"/>
    <w:rsid w:val="00823BD7"/>
    <w:rsid w:val="00823BF7"/>
    <w:rsid w:val="008240D5"/>
    <w:rsid w:val="00824CBC"/>
    <w:rsid w:val="00824CFE"/>
    <w:rsid w:val="00825DC2"/>
    <w:rsid w:val="00826CD5"/>
    <w:rsid w:val="008302D6"/>
    <w:rsid w:val="00830977"/>
    <w:rsid w:val="00830A13"/>
    <w:rsid w:val="0083126D"/>
    <w:rsid w:val="0083283E"/>
    <w:rsid w:val="0083335F"/>
    <w:rsid w:val="008335A8"/>
    <w:rsid w:val="00833C96"/>
    <w:rsid w:val="00834AD3"/>
    <w:rsid w:val="00834DE5"/>
    <w:rsid w:val="0083520C"/>
    <w:rsid w:val="00835284"/>
    <w:rsid w:val="0083594F"/>
    <w:rsid w:val="00841551"/>
    <w:rsid w:val="00843795"/>
    <w:rsid w:val="00843C5B"/>
    <w:rsid w:val="0084551C"/>
    <w:rsid w:val="00847F0F"/>
    <w:rsid w:val="0085014A"/>
    <w:rsid w:val="00850E07"/>
    <w:rsid w:val="00851D39"/>
    <w:rsid w:val="00852448"/>
    <w:rsid w:val="008539BB"/>
    <w:rsid w:val="008540F0"/>
    <w:rsid w:val="00860BA6"/>
    <w:rsid w:val="00861137"/>
    <w:rsid w:val="00862119"/>
    <w:rsid w:val="008622F6"/>
    <w:rsid w:val="0086798B"/>
    <w:rsid w:val="008706A0"/>
    <w:rsid w:val="008707CF"/>
    <w:rsid w:val="00872C2A"/>
    <w:rsid w:val="0087427F"/>
    <w:rsid w:val="0087462D"/>
    <w:rsid w:val="00874735"/>
    <w:rsid w:val="00874865"/>
    <w:rsid w:val="0087524B"/>
    <w:rsid w:val="008752CA"/>
    <w:rsid w:val="00875393"/>
    <w:rsid w:val="00875BA4"/>
    <w:rsid w:val="00875D6D"/>
    <w:rsid w:val="00875EF1"/>
    <w:rsid w:val="00875F84"/>
    <w:rsid w:val="008770E5"/>
    <w:rsid w:val="008802BF"/>
    <w:rsid w:val="0088258A"/>
    <w:rsid w:val="00882973"/>
    <w:rsid w:val="00884D73"/>
    <w:rsid w:val="00884EDE"/>
    <w:rsid w:val="00886332"/>
    <w:rsid w:val="0088655F"/>
    <w:rsid w:val="0088757B"/>
    <w:rsid w:val="0088783A"/>
    <w:rsid w:val="0088797D"/>
    <w:rsid w:val="0089152C"/>
    <w:rsid w:val="00894293"/>
    <w:rsid w:val="00894789"/>
    <w:rsid w:val="00895151"/>
    <w:rsid w:val="00895898"/>
    <w:rsid w:val="0089665A"/>
    <w:rsid w:val="00896D71"/>
    <w:rsid w:val="00897B0C"/>
    <w:rsid w:val="008A0964"/>
    <w:rsid w:val="008A0C4A"/>
    <w:rsid w:val="008A20A8"/>
    <w:rsid w:val="008A26D9"/>
    <w:rsid w:val="008A278B"/>
    <w:rsid w:val="008A2B30"/>
    <w:rsid w:val="008A2D61"/>
    <w:rsid w:val="008A3AA7"/>
    <w:rsid w:val="008A3C4A"/>
    <w:rsid w:val="008A5700"/>
    <w:rsid w:val="008A5AE9"/>
    <w:rsid w:val="008A63C3"/>
    <w:rsid w:val="008A7009"/>
    <w:rsid w:val="008A7200"/>
    <w:rsid w:val="008A7CF0"/>
    <w:rsid w:val="008B18FF"/>
    <w:rsid w:val="008B1E05"/>
    <w:rsid w:val="008B4460"/>
    <w:rsid w:val="008B52D7"/>
    <w:rsid w:val="008B57F2"/>
    <w:rsid w:val="008B5D73"/>
    <w:rsid w:val="008B657E"/>
    <w:rsid w:val="008B6867"/>
    <w:rsid w:val="008B6991"/>
    <w:rsid w:val="008B6DA9"/>
    <w:rsid w:val="008B6E82"/>
    <w:rsid w:val="008C046A"/>
    <w:rsid w:val="008C0A4E"/>
    <w:rsid w:val="008C0C29"/>
    <w:rsid w:val="008C1952"/>
    <w:rsid w:val="008C4EF4"/>
    <w:rsid w:val="008C6D2A"/>
    <w:rsid w:val="008D0957"/>
    <w:rsid w:val="008D2898"/>
    <w:rsid w:val="008D28A2"/>
    <w:rsid w:val="008D6FF2"/>
    <w:rsid w:val="008E0021"/>
    <w:rsid w:val="008E119E"/>
    <w:rsid w:val="008E24D9"/>
    <w:rsid w:val="008E2986"/>
    <w:rsid w:val="008E2C60"/>
    <w:rsid w:val="008E2FED"/>
    <w:rsid w:val="008E431C"/>
    <w:rsid w:val="008E5389"/>
    <w:rsid w:val="008E55F4"/>
    <w:rsid w:val="008E6C87"/>
    <w:rsid w:val="008F0703"/>
    <w:rsid w:val="008F15F3"/>
    <w:rsid w:val="008F2245"/>
    <w:rsid w:val="008F2641"/>
    <w:rsid w:val="008F2B9C"/>
    <w:rsid w:val="008F319B"/>
    <w:rsid w:val="008F3638"/>
    <w:rsid w:val="008F4441"/>
    <w:rsid w:val="008F4694"/>
    <w:rsid w:val="008F615E"/>
    <w:rsid w:val="008F64FF"/>
    <w:rsid w:val="008F6964"/>
    <w:rsid w:val="008F6C3C"/>
    <w:rsid w:val="008F6F31"/>
    <w:rsid w:val="008F74DF"/>
    <w:rsid w:val="00901007"/>
    <w:rsid w:val="009014EF"/>
    <w:rsid w:val="00901ED6"/>
    <w:rsid w:val="0090248C"/>
    <w:rsid w:val="0090252D"/>
    <w:rsid w:val="00903151"/>
    <w:rsid w:val="009034B4"/>
    <w:rsid w:val="00903DA5"/>
    <w:rsid w:val="00903E49"/>
    <w:rsid w:val="00904B2C"/>
    <w:rsid w:val="0090573A"/>
    <w:rsid w:val="00906F75"/>
    <w:rsid w:val="00907511"/>
    <w:rsid w:val="0091010B"/>
    <w:rsid w:val="0091214B"/>
    <w:rsid w:val="009127BA"/>
    <w:rsid w:val="009143A0"/>
    <w:rsid w:val="00914C9A"/>
    <w:rsid w:val="00915485"/>
    <w:rsid w:val="00915D4D"/>
    <w:rsid w:val="00920460"/>
    <w:rsid w:val="00921FC2"/>
    <w:rsid w:val="009227A6"/>
    <w:rsid w:val="00923404"/>
    <w:rsid w:val="00924ABC"/>
    <w:rsid w:val="00924E7F"/>
    <w:rsid w:val="009255B9"/>
    <w:rsid w:val="00926858"/>
    <w:rsid w:val="00927BB0"/>
    <w:rsid w:val="009304E6"/>
    <w:rsid w:val="0093054B"/>
    <w:rsid w:val="00930703"/>
    <w:rsid w:val="009312DF"/>
    <w:rsid w:val="009317DD"/>
    <w:rsid w:val="009320D1"/>
    <w:rsid w:val="0093262A"/>
    <w:rsid w:val="009327D7"/>
    <w:rsid w:val="00933EC1"/>
    <w:rsid w:val="00933F58"/>
    <w:rsid w:val="00933F94"/>
    <w:rsid w:val="00934F3D"/>
    <w:rsid w:val="00936260"/>
    <w:rsid w:val="009371BB"/>
    <w:rsid w:val="0093751C"/>
    <w:rsid w:val="00937540"/>
    <w:rsid w:val="00937F39"/>
    <w:rsid w:val="00940A2B"/>
    <w:rsid w:val="009415FC"/>
    <w:rsid w:val="009445C3"/>
    <w:rsid w:val="00944BA9"/>
    <w:rsid w:val="00947876"/>
    <w:rsid w:val="009508F1"/>
    <w:rsid w:val="00951B99"/>
    <w:rsid w:val="0095200D"/>
    <w:rsid w:val="00952578"/>
    <w:rsid w:val="009530DB"/>
    <w:rsid w:val="00953676"/>
    <w:rsid w:val="009549FE"/>
    <w:rsid w:val="00954B27"/>
    <w:rsid w:val="00955D29"/>
    <w:rsid w:val="00955E5D"/>
    <w:rsid w:val="009568AD"/>
    <w:rsid w:val="00956B79"/>
    <w:rsid w:val="00957676"/>
    <w:rsid w:val="0095783A"/>
    <w:rsid w:val="00957F9D"/>
    <w:rsid w:val="00960CD8"/>
    <w:rsid w:val="00961258"/>
    <w:rsid w:val="00961F59"/>
    <w:rsid w:val="00962F81"/>
    <w:rsid w:val="00963117"/>
    <w:rsid w:val="00963B2F"/>
    <w:rsid w:val="00964741"/>
    <w:rsid w:val="00965571"/>
    <w:rsid w:val="009705EE"/>
    <w:rsid w:val="00970730"/>
    <w:rsid w:val="00971706"/>
    <w:rsid w:val="00971731"/>
    <w:rsid w:val="00972330"/>
    <w:rsid w:val="0097394C"/>
    <w:rsid w:val="00973C01"/>
    <w:rsid w:val="00974385"/>
    <w:rsid w:val="00974594"/>
    <w:rsid w:val="00974AA6"/>
    <w:rsid w:val="0097649B"/>
    <w:rsid w:val="0097699E"/>
    <w:rsid w:val="00976BE8"/>
    <w:rsid w:val="00977219"/>
    <w:rsid w:val="00977927"/>
    <w:rsid w:val="009804A8"/>
    <w:rsid w:val="00980AA6"/>
    <w:rsid w:val="0098135C"/>
    <w:rsid w:val="0098156A"/>
    <w:rsid w:val="0098290C"/>
    <w:rsid w:val="009838FE"/>
    <w:rsid w:val="00984466"/>
    <w:rsid w:val="00985670"/>
    <w:rsid w:val="0099032F"/>
    <w:rsid w:val="00991260"/>
    <w:rsid w:val="00991BAC"/>
    <w:rsid w:val="00996B65"/>
    <w:rsid w:val="0099706C"/>
    <w:rsid w:val="009978F7"/>
    <w:rsid w:val="009A02F6"/>
    <w:rsid w:val="009A0387"/>
    <w:rsid w:val="009A040E"/>
    <w:rsid w:val="009A0BA1"/>
    <w:rsid w:val="009A235F"/>
    <w:rsid w:val="009A3549"/>
    <w:rsid w:val="009A3CD2"/>
    <w:rsid w:val="009A3FCA"/>
    <w:rsid w:val="009A472E"/>
    <w:rsid w:val="009A6187"/>
    <w:rsid w:val="009A64A7"/>
    <w:rsid w:val="009A6D3D"/>
    <w:rsid w:val="009A6EA0"/>
    <w:rsid w:val="009A77B4"/>
    <w:rsid w:val="009B0038"/>
    <w:rsid w:val="009B0189"/>
    <w:rsid w:val="009B17BF"/>
    <w:rsid w:val="009B1F53"/>
    <w:rsid w:val="009B2FD4"/>
    <w:rsid w:val="009B34C9"/>
    <w:rsid w:val="009B3D2D"/>
    <w:rsid w:val="009B3FDD"/>
    <w:rsid w:val="009B408D"/>
    <w:rsid w:val="009B5377"/>
    <w:rsid w:val="009B5E0C"/>
    <w:rsid w:val="009B6310"/>
    <w:rsid w:val="009B6E36"/>
    <w:rsid w:val="009B6F21"/>
    <w:rsid w:val="009C0323"/>
    <w:rsid w:val="009C087A"/>
    <w:rsid w:val="009C09C9"/>
    <w:rsid w:val="009C1164"/>
    <w:rsid w:val="009C1335"/>
    <w:rsid w:val="009C1564"/>
    <w:rsid w:val="009C1A80"/>
    <w:rsid w:val="009C1AB2"/>
    <w:rsid w:val="009C22E5"/>
    <w:rsid w:val="009C46C0"/>
    <w:rsid w:val="009C4C33"/>
    <w:rsid w:val="009C51C9"/>
    <w:rsid w:val="009C5ABA"/>
    <w:rsid w:val="009C6326"/>
    <w:rsid w:val="009C6E51"/>
    <w:rsid w:val="009C721A"/>
    <w:rsid w:val="009C7251"/>
    <w:rsid w:val="009D022C"/>
    <w:rsid w:val="009D064D"/>
    <w:rsid w:val="009D1B1C"/>
    <w:rsid w:val="009D1E1D"/>
    <w:rsid w:val="009D288E"/>
    <w:rsid w:val="009D29A8"/>
    <w:rsid w:val="009D4395"/>
    <w:rsid w:val="009D4BF7"/>
    <w:rsid w:val="009D504A"/>
    <w:rsid w:val="009D6A03"/>
    <w:rsid w:val="009D7071"/>
    <w:rsid w:val="009D74C1"/>
    <w:rsid w:val="009E08DF"/>
    <w:rsid w:val="009E17AF"/>
    <w:rsid w:val="009E2E91"/>
    <w:rsid w:val="009E33BA"/>
    <w:rsid w:val="009E34DB"/>
    <w:rsid w:val="009E6844"/>
    <w:rsid w:val="009F0544"/>
    <w:rsid w:val="009F0633"/>
    <w:rsid w:val="009F0BAB"/>
    <w:rsid w:val="009F3D2B"/>
    <w:rsid w:val="009F5388"/>
    <w:rsid w:val="009F6AA2"/>
    <w:rsid w:val="00A012CB"/>
    <w:rsid w:val="00A01A8A"/>
    <w:rsid w:val="00A02CE3"/>
    <w:rsid w:val="00A03FD9"/>
    <w:rsid w:val="00A05E8C"/>
    <w:rsid w:val="00A1024B"/>
    <w:rsid w:val="00A10318"/>
    <w:rsid w:val="00A11B25"/>
    <w:rsid w:val="00A12677"/>
    <w:rsid w:val="00A139F5"/>
    <w:rsid w:val="00A13B58"/>
    <w:rsid w:val="00A16CDF"/>
    <w:rsid w:val="00A17319"/>
    <w:rsid w:val="00A17AA1"/>
    <w:rsid w:val="00A17C75"/>
    <w:rsid w:val="00A20E77"/>
    <w:rsid w:val="00A212B2"/>
    <w:rsid w:val="00A215C4"/>
    <w:rsid w:val="00A219FA"/>
    <w:rsid w:val="00A222B4"/>
    <w:rsid w:val="00A2518C"/>
    <w:rsid w:val="00A25898"/>
    <w:rsid w:val="00A258B3"/>
    <w:rsid w:val="00A25CC9"/>
    <w:rsid w:val="00A25D35"/>
    <w:rsid w:val="00A26F2C"/>
    <w:rsid w:val="00A275BC"/>
    <w:rsid w:val="00A27749"/>
    <w:rsid w:val="00A301BE"/>
    <w:rsid w:val="00A301D8"/>
    <w:rsid w:val="00A305D4"/>
    <w:rsid w:val="00A313FF"/>
    <w:rsid w:val="00A325CB"/>
    <w:rsid w:val="00A34416"/>
    <w:rsid w:val="00A365F4"/>
    <w:rsid w:val="00A36817"/>
    <w:rsid w:val="00A36CBA"/>
    <w:rsid w:val="00A37950"/>
    <w:rsid w:val="00A401E4"/>
    <w:rsid w:val="00A40C0F"/>
    <w:rsid w:val="00A40D40"/>
    <w:rsid w:val="00A40F01"/>
    <w:rsid w:val="00A4107E"/>
    <w:rsid w:val="00A411EE"/>
    <w:rsid w:val="00A440AB"/>
    <w:rsid w:val="00A4600B"/>
    <w:rsid w:val="00A46406"/>
    <w:rsid w:val="00A47D80"/>
    <w:rsid w:val="00A50072"/>
    <w:rsid w:val="00A5010A"/>
    <w:rsid w:val="00A50C9D"/>
    <w:rsid w:val="00A517AB"/>
    <w:rsid w:val="00A51E94"/>
    <w:rsid w:val="00A529D6"/>
    <w:rsid w:val="00A53132"/>
    <w:rsid w:val="00A54137"/>
    <w:rsid w:val="00A55889"/>
    <w:rsid w:val="00A55A05"/>
    <w:rsid w:val="00A55CA7"/>
    <w:rsid w:val="00A563F2"/>
    <w:rsid w:val="00A564BA"/>
    <w:rsid w:val="00A564E1"/>
    <w:rsid w:val="00A566E8"/>
    <w:rsid w:val="00A56EB5"/>
    <w:rsid w:val="00A57142"/>
    <w:rsid w:val="00A60645"/>
    <w:rsid w:val="00A61095"/>
    <w:rsid w:val="00A62492"/>
    <w:rsid w:val="00A62A87"/>
    <w:rsid w:val="00A6314A"/>
    <w:rsid w:val="00A63893"/>
    <w:rsid w:val="00A64692"/>
    <w:rsid w:val="00A656F8"/>
    <w:rsid w:val="00A657A2"/>
    <w:rsid w:val="00A65B90"/>
    <w:rsid w:val="00A65F18"/>
    <w:rsid w:val="00A66E8F"/>
    <w:rsid w:val="00A6711F"/>
    <w:rsid w:val="00A672EA"/>
    <w:rsid w:val="00A67471"/>
    <w:rsid w:val="00A72341"/>
    <w:rsid w:val="00A72BCA"/>
    <w:rsid w:val="00A731F9"/>
    <w:rsid w:val="00A73A97"/>
    <w:rsid w:val="00A74163"/>
    <w:rsid w:val="00A752B2"/>
    <w:rsid w:val="00A76D85"/>
    <w:rsid w:val="00A77A42"/>
    <w:rsid w:val="00A80E5C"/>
    <w:rsid w:val="00A810F9"/>
    <w:rsid w:val="00A82EB6"/>
    <w:rsid w:val="00A836BB"/>
    <w:rsid w:val="00A84095"/>
    <w:rsid w:val="00A844AB"/>
    <w:rsid w:val="00A8595F"/>
    <w:rsid w:val="00A8690B"/>
    <w:rsid w:val="00A86AF8"/>
    <w:rsid w:val="00A86D89"/>
    <w:rsid w:val="00A86DDA"/>
    <w:rsid w:val="00A86EAA"/>
    <w:rsid w:val="00A86ECC"/>
    <w:rsid w:val="00A86FCC"/>
    <w:rsid w:val="00A9012A"/>
    <w:rsid w:val="00A91B28"/>
    <w:rsid w:val="00A91CEF"/>
    <w:rsid w:val="00A9215B"/>
    <w:rsid w:val="00A9221C"/>
    <w:rsid w:val="00A942A6"/>
    <w:rsid w:val="00A97E1E"/>
    <w:rsid w:val="00AA0161"/>
    <w:rsid w:val="00AA069A"/>
    <w:rsid w:val="00AA1035"/>
    <w:rsid w:val="00AA20C0"/>
    <w:rsid w:val="00AA2E9B"/>
    <w:rsid w:val="00AA710D"/>
    <w:rsid w:val="00AA769C"/>
    <w:rsid w:val="00AA7ADA"/>
    <w:rsid w:val="00AB1674"/>
    <w:rsid w:val="00AB2F6D"/>
    <w:rsid w:val="00AB3E7F"/>
    <w:rsid w:val="00AB436F"/>
    <w:rsid w:val="00AB5D35"/>
    <w:rsid w:val="00AB6184"/>
    <w:rsid w:val="00AB678D"/>
    <w:rsid w:val="00AB6D25"/>
    <w:rsid w:val="00AB6FFC"/>
    <w:rsid w:val="00AB7D66"/>
    <w:rsid w:val="00AC0541"/>
    <w:rsid w:val="00AC1180"/>
    <w:rsid w:val="00AC213B"/>
    <w:rsid w:val="00AC2753"/>
    <w:rsid w:val="00AC2BAA"/>
    <w:rsid w:val="00AC5B86"/>
    <w:rsid w:val="00AC637A"/>
    <w:rsid w:val="00AC69B9"/>
    <w:rsid w:val="00AC6E12"/>
    <w:rsid w:val="00AD0033"/>
    <w:rsid w:val="00AD49E7"/>
    <w:rsid w:val="00AD5123"/>
    <w:rsid w:val="00AD60A7"/>
    <w:rsid w:val="00AD66DA"/>
    <w:rsid w:val="00AE1FD1"/>
    <w:rsid w:val="00AE2D4B"/>
    <w:rsid w:val="00AE2F21"/>
    <w:rsid w:val="00AE3139"/>
    <w:rsid w:val="00AE4ABC"/>
    <w:rsid w:val="00AE4C2E"/>
    <w:rsid w:val="00AE4F99"/>
    <w:rsid w:val="00AE4FB0"/>
    <w:rsid w:val="00AE5B87"/>
    <w:rsid w:val="00AF0D2A"/>
    <w:rsid w:val="00AF0F9C"/>
    <w:rsid w:val="00AF13D2"/>
    <w:rsid w:val="00AF1539"/>
    <w:rsid w:val="00AF19A3"/>
    <w:rsid w:val="00AF3F7E"/>
    <w:rsid w:val="00AF56E8"/>
    <w:rsid w:val="00AF77A4"/>
    <w:rsid w:val="00AF7824"/>
    <w:rsid w:val="00B00099"/>
    <w:rsid w:val="00B00D02"/>
    <w:rsid w:val="00B01B2A"/>
    <w:rsid w:val="00B0297A"/>
    <w:rsid w:val="00B03135"/>
    <w:rsid w:val="00B034B0"/>
    <w:rsid w:val="00B038E8"/>
    <w:rsid w:val="00B04660"/>
    <w:rsid w:val="00B04E85"/>
    <w:rsid w:val="00B05363"/>
    <w:rsid w:val="00B0586D"/>
    <w:rsid w:val="00B060EF"/>
    <w:rsid w:val="00B06571"/>
    <w:rsid w:val="00B071EF"/>
    <w:rsid w:val="00B10DE1"/>
    <w:rsid w:val="00B11481"/>
    <w:rsid w:val="00B118D1"/>
    <w:rsid w:val="00B11B69"/>
    <w:rsid w:val="00B12CF3"/>
    <w:rsid w:val="00B13879"/>
    <w:rsid w:val="00B1437C"/>
    <w:rsid w:val="00B14952"/>
    <w:rsid w:val="00B14A84"/>
    <w:rsid w:val="00B1527F"/>
    <w:rsid w:val="00B172B4"/>
    <w:rsid w:val="00B174C8"/>
    <w:rsid w:val="00B17824"/>
    <w:rsid w:val="00B20166"/>
    <w:rsid w:val="00B21244"/>
    <w:rsid w:val="00B21D78"/>
    <w:rsid w:val="00B22FD9"/>
    <w:rsid w:val="00B246C8"/>
    <w:rsid w:val="00B2483D"/>
    <w:rsid w:val="00B26284"/>
    <w:rsid w:val="00B26CBA"/>
    <w:rsid w:val="00B30012"/>
    <w:rsid w:val="00B30432"/>
    <w:rsid w:val="00B30DB9"/>
    <w:rsid w:val="00B31E54"/>
    <w:rsid w:val="00B31E5A"/>
    <w:rsid w:val="00B33ED6"/>
    <w:rsid w:val="00B3634E"/>
    <w:rsid w:val="00B36B49"/>
    <w:rsid w:val="00B37F13"/>
    <w:rsid w:val="00B40B6A"/>
    <w:rsid w:val="00B41FE2"/>
    <w:rsid w:val="00B42323"/>
    <w:rsid w:val="00B42CC6"/>
    <w:rsid w:val="00B4519C"/>
    <w:rsid w:val="00B47176"/>
    <w:rsid w:val="00B4735A"/>
    <w:rsid w:val="00B4789E"/>
    <w:rsid w:val="00B50B0D"/>
    <w:rsid w:val="00B525F3"/>
    <w:rsid w:val="00B52D46"/>
    <w:rsid w:val="00B5372D"/>
    <w:rsid w:val="00B541D2"/>
    <w:rsid w:val="00B55329"/>
    <w:rsid w:val="00B55639"/>
    <w:rsid w:val="00B5591A"/>
    <w:rsid w:val="00B56291"/>
    <w:rsid w:val="00B5640C"/>
    <w:rsid w:val="00B5772B"/>
    <w:rsid w:val="00B61381"/>
    <w:rsid w:val="00B6377A"/>
    <w:rsid w:val="00B63EFD"/>
    <w:rsid w:val="00B646AB"/>
    <w:rsid w:val="00B648F5"/>
    <w:rsid w:val="00B653AB"/>
    <w:rsid w:val="00B65F9E"/>
    <w:rsid w:val="00B66B19"/>
    <w:rsid w:val="00B7097E"/>
    <w:rsid w:val="00B70C76"/>
    <w:rsid w:val="00B7177F"/>
    <w:rsid w:val="00B71955"/>
    <w:rsid w:val="00B74EC0"/>
    <w:rsid w:val="00B762AE"/>
    <w:rsid w:val="00B76AB2"/>
    <w:rsid w:val="00B76D9C"/>
    <w:rsid w:val="00B800D0"/>
    <w:rsid w:val="00B80CCE"/>
    <w:rsid w:val="00B80D72"/>
    <w:rsid w:val="00B82E07"/>
    <w:rsid w:val="00B82FD9"/>
    <w:rsid w:val="00B83529"/>
    <w:rsid w:val="00B849B0"/>
    <w:rsid w:val="00B8591B"/>
    <w:rsid w:val="00B86250"/>
    <w:rsid w:val="00B914E9"/>
    <w:rsid w:val="00B924B1"/>
    <w:rsid w:val="00B929EA"/>
    <w:rsid w:val="00B92D7C"/>
    <w:rsid w:val="00B9348E"/>
    <w:rsid w:val="00B9407E"/>
    <w:rsid w:val="00B9512F"/>
    <w:rsid w:val="00B956EE"/>
    <w:rsid w:val="00B96807"/>
    <w:rsid w:val="00B9714F"/>
    <w:rsid w:val="00B97537"/>
    <w:rsid w:val="00B97D76"/>
    <w:rsid w:val="00BA0380"/>
    <w:rsid w:val="00BA1848"/>
    <w:rsid w:val="00BA2879"/>
    <w:rsid w:val="00BA2BA1"/>
    <w:rsid w:val="00BA3562"/>
    <w:rsid w:val="00BA4DD6"/>
    <w:rsid w:val="00BA56A1"/>
    <w:rsid w:val="00BA65CA"/>
    <w:rsid w:val="00BA6CA9"/>
    <w:rsid w:val="00BA6DD5"/>
    <w:rsid w:val="00BA6E7A"/>
    <w:rsid w:val="00BA7A3C"/>
    <w:rsid w:val="00BA7DD0"/>
    <w:rsid w:val="00BB17FA"/>
    <w:rsid w:val="00BB1970"/>
    <w:rsid w:val="00BB22F2"/>
    <w:rsid w:val="00BB2737"/>
    <w:rsid w:val="00BB3756"/>
    <w:rsid w:val="00BB40FC"/>
    <w:rsid w:val="00BB4F09"/>
    <w:rsid w:val="00BB61D1"/>
    <w:rsid w:val="00BB78DB"/>
    <w:rsid w:val="00BC10EE"/>
    <w:rsid w:val="00BC1F96"/>
    <w:rsid w:val="00BC2008"/>
    <w:rsid w:val="00BC312C"/>
    <w:rsid w:val="00BC3AB4"/>
    <w:rsid w:val="00BC5C72"/>
    <w:rsid w:val="00BC616E"/>
    <w:rsid w:val="00BD029E"/>
    <w:rsid w:val="00BD0BE3"/>
    <w:rsid w:val="00BD1F8E"/>
    <w:rsid w:val="00BD2000"/>
    <w:rsid w:val="00BD33F9"/>
    <w:rsid w:val="00BD36D3"/>
    <w:rsid w:val="00BD3FA5"/>
    <w:rsid w:val="00BD4E33"/>
    <w:rsid w:val="00BD54FB"/>
    <w:rsid w:val="00BD5544"/>
    <w:rsid w:val="00BD5800"/>
    <w:rsid w:val="00BD61D7"/>
    <w:rsid w:val="00BD6889"/>
    <w:rsid w:val="00BD6C4D"/>
    <w:rsid w:val="00BD77C8"/>
    <w:rsid w:val="00BE1396"/>
    <w:rsid w:val="00BE18F4"/>
    <w:rsid w:val="00BE2B77"/>
    <w:rsid w:val="00BE368B"/>
    <w:rsid w:val="00BE3A47"/>
    <w:rsid w:val="00BE6320"/>
    <w:rsid w:val="00BE69A1"/>
    <w:rsid w:val="00BE6B43"/>
    <w:rsid w:val="00BF0788"/>
    <w:rsid w:val="00BF0A8B"/>
    <w:rsid w:val="00BF2D56"/>
    <w:rsid w:val="00BF2DBA"/>
    <w:rsid w:val="00BF2F0A"/>
    <w:rsid w:val="00BF3D54"/>
    <w:rsid w:val="00BF5D23"/>
    <w:rsid w:val="00BF6E08"/>
    <w:rsid w:val="00C00E33"/>
    <w:rsid w:val="00C010C7"/>
    <w:rsid w:val="00C0130C"/>
    <w:rsid w:val="00C01AD8"/>
    <w:rsid w:val="00C01B88"/>
    <w:rsid w:val="00C030DE"/>
    <w:rsid w:val="00C03634"/>
    <w:rsid w:val="00C05FAE"/>
    <w:rsid w:val="00C062FF"/>
    <w:rsid w:val="00C068AD"/>
    <w:rsid w:val="00C068FD"/>
    <w:rsid w:val="00C070F9"/>
    <w:rsid w:val="00C1042C"/>
    <w:rsid w:val="00C10821"/>
    <w:rsid w:val="00C1268F"/>
    <w:rsid w:val="00C13E53"/>
    <w:rsid w:val="00C15724"/>
    <w:rsid w:val="00C15C4C"/>
    <w:rsid w:val="00C166F5"/>
    <w:rsid w:val="00C16714"/>
    <w:rsid w:val="00C16B49"/>
    <w:rsid w:val="00C16E19"/>
    <w:rsid w:val="00C17751"/>
    <w:rsid w:val="00C17C7B"/>
    <w:rsid w:val="00C17D01"/>
    <w:rsid w:val="00C201DA"/>
    <w:rsid w:val="00C212CA"/>
    <w:rsid w:val="00C214B7"/>
    <w:rsid w:val="00C21932"/>
    <w:rsid w:val="00C22105"/>
    <w:rsid w:val="00C2292C"/>
    <w:rsid w:val="00C244B6"/>
    <w:rsid w:val="00C25C16"/>
    <w:rsid w:val="00C26D31"/>
    <w:rsid w:val="00C30C14"/>
    <w:rsid w:val="00C30CD9"/>
    <w:rsid w:val="00C318A2"/>
    <w:rsid w:val="00C32F5B"/>
    <w:rsid w:val="00C338D8"/>
    <w:rsid w:val="00C33A8D"/>
    <w:rsid w:val="00C3702F"/>
    <w:rsid w:val="00C400F3"/>
    <w:rsid w:val="00C4060B"/>
    <w:rsid w:val="00C41804"/>
    <w:rsid w:val="00C424DA"/>
    <w:rsid w:val="00C4254F"/>
    <w:rsid w:val="00C43298"/>
    <w:rsid w:val="00C43B66"/>
    <w:rsid w:val="00C44200"/>
    <w:rsid w:val="00C4500A"/>
    <w:rsid w:val="00C45227"/>
    <w:rsid w:val="00C45EEF"/>
    <w:rsid w:val="00C46A14"/>
    <w:rsid w:val="00C471BB"/>
    <w:rsid w:val="00C50705"/>
    <w:rsid w:val="00C510F5"/>
    <w:rsid w:val="00C5176F"/>
    <w:rsid w:val="00C51790"/>
    <w:rsid w:val="00C519F3"/>
    <w:rsid w:val="00C52028"/>
    <w:rsid w:val="00C52C5C"/>
    <w:rsid w:val="00C52D1F"/>
    <w:rsid w:val="00C52D7B"/>
    <w:rsid w:val="00C52EFA"/>
    <w:rsid w:val="00C534A1"/>
    <w:rsid w:val="00C53EBB"/>
    <w:rsid w:val="00C54A56"/>
    <w:rsid w:val="00C561C4"/>
    <w:rsid w:val="00C562F3"/>
    <w:rsid w:val="00C56BA6"/>
    <w:rsid w:val="00C6033B"/>
    <w:rsid w:val="00C60AB2"/>
    <w:rsid w:val="00C61E79"/>
    <w:rsid w:val="00C62B85"/>
    <w:rsid w:val="00C64A37"/>
    <w:rsid w:val="00C64B5E"/>
    <w:rsid w:val="00C65B7D"/>
    <w:rsid w:val="00C665D6"/>
    <w:rsid w:val="00C67546"/>
    <w:rsid w:val="00C6759F"/>
    <w:rsid w:val="00C7158E"/>
    <w:rsid w:val="00C7250B"/>
    <w:rsid w:val="00C7267A"/>
    <w:rsid w:val="00C730E2"/>
    <w:rsid w:val="00C7346B"/>
    <w:rsid w:val="00C73A6C"/>
    <w:rsid w:val="00C752A3"/>
    <w:rsid w:val="00C75340"/>
    <w:rsid w:val="00C757A2"/>
    <w:rsid w:val="00C76AC8"/>
    <w:rsid w:val="00C7771A"/>
    <w:rsid w:val="00C77C0E"/>
    <w:rsid w:val="00C821D3"/>
    <w:rsid w:val="00C82E06"/>
    <w:rsid w:val="00C844C7"/>
    <w:rsid w:val="00C87B5B"/>
    <w:rsid w:val="00C90F6D"/>
    <w:rsid w:val="00C91222"/>
    <w:rsid w:val="00C91687"/>
    <w:rsid w:val="00C924A8"/>
    <w:rsid w:val="00C94162"/>
    <w:rsid w:val="00C945FE"/>
    <w:rsid w:val="00C9529D"/>
    <w:rsid w:val="00C95475"/>
    <w:rsid w:val="00C95539"/>
    <w:rsid w:val="00C95A61"/>
    <w:rsid w:val="00C95BB6"/>
    <w:rsid w:val="00C96FAA"/>
    <w:rsid w:val="00C978E4"/>
    <w:rsid w:val="00C97A04"/>
    <w:rsid w:val="00C97EC9"/>
    <w:rsid w:val="00CA077C"/>
    <w:rsid w:val="00CA107B"/>
    <w:rsid w:val="00CA16B3"/>
    <w:rsid w:val="00CA1916"/>
    <w:rsid w:val="00CA31BC"/>
    <w:rsid w:val="00CA331F"/>
    <w:rsid w:val="00CA35A0"/>
    <w:rsid w:val="00CA458B"/>
    <w:rsid w:val="00CA484D"/>
    <w:rsid w:val="00CA4FB6"/>
    <w:rsid w:val="00CA5450"/>
    <w:rsid w:val="00CA5BCA"/>
    <w:rsid w:val="00CA65A7"/>
    <w:rsid w:val="00CA67DB"/>
    <w:rsid w:val="00CA7650"/>
    <w:rsid w:val="00CA7722"/>
    <w:rsid w:val="00CA7CCF"/>
    <w:rsid w:val="00CB209B"/>
    <w:rsid w:val="00CB2843"/>
    <w:rsid w:val="00CB29AC"/>
    <w:rsid w:val="00CB3F07"/>
    <w:rsid w:val="00CB55C2"/>
    <w:rsid w:val="00CB577F"/>
    <w:rsid w:val="00CB5E24"/>
    <w:rsid w:val="00CB6B70"/>
    <w:rsid w:val="00CB7248"/>
    <w:rsid w:val="00CB7485"/>
    <w:rsid w:val="00CC11A3"/>
    <w:rsid w:val="00CC1F01"/>
    <w:rsid w:val="00CC2A7A"/>
    <w:rsid w:val="00CC2B0A"/>
    <w:rsid w:val="00CC3509"/>
    <w:rsid w:val="00CC4178"/>
    <w:rsid w:val="00CC4217"/>
    <w:rsid w:val="00CC69AE"/>
    <w:rsid w:val="00CC739E"/>
    <w:rsid w:val="00CD19F7"/>
    <w:rsid w:val="00CD2A06"/>
    <w:rsid w:val="00CD2A8E"/>
    <w:rsid w:val="00CD394F"/>
    <w:rsid w:val="00CD41F1"/>
    <w:rsid w:val="00CD4A0A"/>
    <w:rsid w:val="00CD5555"/>
    <w:rsid w:val="00CD556F"/>
    <w:rsid w:val="00CD58B7"/>
    <w:rsid w:val="00CD6B1C"/>
    <w:rsid w:val="00CD722E"/>
    <w:rsid w:val="00CD76EE"/>
    <w:rsid w:val="00CE1326"/>
    <w:rsid w:val="00CE197C"/>
    <w:rsid w:val="00CE2089"/>
    <w:rsid w:val="00CE3297"/>
    <w:rsid w:val="00CE3326"/>
    <w:rsid w:val="00CE3D8D"/>
    <w:rsid w:val="00CE6A9C"/>
    <w:rsid w:val="00CE70B9"/>
    <w:rsid w:val="00CE755A"/>
    <w:rsid w:val="00CE7934"/>
    <w:rsid w:val="00CF1B8A"/>
    <w:rsid w:val="00CF1BC8"/>
    <w:rsid w:val="00CF266C"/>
    <w:rsid w:val="00CF3141"/>
    <w:rsid w:val="00CF34B7"/>
    <w:rsid w:val="00CF4099"/>
    <w:rsid w:val="00CF49D0"/>
    <w:rsid w:val="00CF6F1A"/>
    <w:rsid w:val="00CF7C9E"/>
    <w:rsid w:val="00CF7F84"/>
    <w:rsid w:val="00D00796"/>
    <w:rsid w:val="00D01026"/>
    <w:rsid w:val="00D010B3"/>
    <w:rsid w:val="00D011D1"/>
    <w:rsid w:val="00D012C2"/>
    <w:rsid w:val="00D02248"/>
    <w:rsid w:val="00D02826"/>
    <w:rsid w:val="00D03AE3"/>
    <w:rsid w:val="00D04BE9"/>
    <w:rsid w:val="00D04F5A"/>
    <w:rsid w:val="00D06BA6"/>
    <w:rsid w:val="00D06E6A"/>
    <w:rsid w:val="00D10D36"/>
    <w:rsid w:val="00D11309"/>
    <w:rsid w:val="00D119F1"/>
    <w:rsid w:val="00D138ED"/>
    <w:rsid w:val="00D13CC2"/>
    <w:rsid w:val="00D14EC5"/>
    <w:rsid w:val="00D16AC8"/>
    <w:rsid w:val="00D217A4"/>
    <w:rsid w:val="00D22327"/>
    <w:rsid w:val="00D232C9"/>
    <w:rsid w:val="00D244D7"/>
    <w:rsid w:val="00D24F57"/>
    <w:rsid w:val="00D25EA0"/>
    <w:rsid w:val="00D26146"/>
    <w:rsid w:val="00D261A2"/>
    <w:rsid w:val="00D27A55"/>
    <w:rsid w:val="00D30959"/>
    <w:rsid w:val="00D3099D"/>
    <w:rsid w:val="00D30F4A"/>
    <w:rsid w:val="00D321CB"/>
    <w:rsid w:val="00D33846"/>
    <w:rsid w:val="00D33C61"/>
    <w:rsid w:val="00D340D2"/>
    <w:rsid w:val="00D349B5"/>
    <w:rsid w:val="00D353A5"/>
    <w:rsid w:val="00D36A4B"/>
    <w:rsid w:val="00D36C2A"/>
    <w:rsid w:val="00D410F9"/>
    <w:rsid w:val="00D41B07"/>
    <w:rsid w:val="00D43609"/>
    <w:rsid w:val="00D4376C"/>
    <w:rsid w:val="00D44FF9"/>
    <w:rsid w:val="00D467D5"/>
    <w:rsid w:val="00D46F4B"/>
    <w:rsid w:val="00D501B9"/>
    <w:rsid w:val="00D505E6"/>
    <w:rsid w:val="00D5165C"/>
    <w:rsid w:val="00D51E5E"/>
    <w:rsid w:val="00D5213F"/>
    <w:rsid w:val="00D5343E"/>
    <w:rsid w:val="00D53B7B"/>
    <w:rsid w:val="00D5687B"/>
    <w:rsid w:val="00D5691C"/>
    <w:rsid w:val="00D609A6"/>
    <w:rsid w:val="00D616D2"/>
    <w:rsid w:val="00D622A2"/>
    <w:rsid w:val="00D63247"/>
    <w:rsid w:val="00D63B5F"/>
    <w:rsid w:val="00D649EA"/>
    <w:rsid w:val="00D64DFD"/>
    <w:rsid w:val="00D65059"/>
    <w:rsid w:val="00D6545A"/>
    <w:rsid w:val="00D65651"/>
    <w:rsid w:val="00D65C9B"/>
    <w:rsid w:val="00D67AB6"/>
    <w:rsid w:val="00D67E76"/>
    <w:rsid w:val="00D70423"/>
    <w:rsid w:val="00D70EF7"/>
    <w:rsid w:val="00D71339"/>
    <w:rsid w:val="00D71E97"/>
    <w:rsid w:val="00D72798"/>
    <w:rsid w:val="00D73824"/>
    <w:rsid w:val="00D75766"/>
    <w:rsid w:val="00D75AB4"/>
    <w:rsid w:val="00D75C9E"/>
    <w:rsid w:val="00D763AB"/>
    <w:rsid w:val="00D81499"/>
    <w:rsid w:val="00D815CD"/>
    <w:rsid w:val="00D8397C"/>
    <w:rsid w:val="00D84642"/>
    <w:rsid w:val="00D87EC9"/>
    <w:rsid w:val="00D901C1"/>
    <w:rsid w:val="00D9023A"/>
    <w:rsid w:val="00D9328D"/>
    <w:rsid w:val="00D93998"/>
    <w:rsid w:val="00D94EED"/>
    <w:rsid w:val="00D951E1"/>
    <w:rsid w:val="00D96026"/>
    <w:rsid w:val="00D97805"/>
    <w:rsid w:val="00DA1A33"/>
    <w:rsid w:val="00DA1ADF"/>
    <w:rsid w:val="00DA210F"/>
    <w:rsid w:val="00DA2233"/>
    <w:rsid w:val="00DA2277"/>
    <w:rsid w:val="00DA29D8"/>
    <w:rsid w:val="00DA44D1"/>
    <w:rsid w:val="00DA54E1"/>
    <w:rsid w:val="00DA7178"/>
    <w:rsid w:val="00DA7C1C"/>
    <w:rsid w:val="00DB01CF"/>
    <w:rsid w:val="00DB071F"/>
    <w:rsid w:val="00DB0D34"/>
    <w:rsid w:val="00DB147A"/>
    <w:rsid w:val="00DB1B7A"/>
    <w:rsid w:val="00DB1D8F"/>
    <w:rsid w:val="00DB3316"/>
    <w:rsid w:val="00DB37FB"/>
    <w:rsid w:val="00DB4202"/>
    <w:rsid w:val="00DB4FE3"/>
    <w:rsid w:val="00DB5878"/>
    <w:rsid w:val="00DB65FE"/>
    <w:rsid w:val="00DB78BB"/>
    <w:rsid w:val="00DC0849"/>
    <w:rsid w:val="00DC1AC0"/>
    <w:rsid w:val="00DC2C5D"/>
    <w:rsid w:val="00DC2F55"/>
    <w:rsid w:val="00DC3B7B"/>
    <w:rsid w:val="00DC5BCC"/>
    <w:rsid w:val="00DC5D12"/>
    <w:rsid w:val="00DC6708"/>
    <w:rsid w:val="00DC7F8C"/>
    <w:rsid w:val="00DD32AB"/>
    <w:rsid w:val="00DD43AB"/>
    <w:rsid w:val="00DD75CE"/>
    <w:rsid w:val="00DD7B3E"/>
    <w:rsid w:val="00DE392E"/>
    <w:rsid w:val="00DE6AAB"/>
    <w:rsid w:val="00DF14EA"/>
    <w:rsid w:val="00DF20E4"/>
    <w:rsid w:val="00DF2ED5"/>
    <w:rsid w:val="00DF4946"/>
    <w:rsid w:val="00DF50E2"/>
    <w:rsid w:val="00DF5848"/>
    <w:rsid w:val="00DF68D3"/>
    <w:rsid w:val="00DF7C40"/>
    <w:rsid w:val="00DF7F9A"/>
    <w:rsid w:val="00E0029A"/>
    <w:rsid w:val="00E01436"/>
    <w:rsid w:val="00E0272F"/>
    <w:rsid w:val="00E02D1F"/>
    <w:rsid w:val="00E044A1"/>
    <w:rsid w:val="00E045BD"/>
    <w:rsid w:val="00E04C9B"/>
    <w:rsid w:val="00E05106"/>
    <w:rsid w:val="00E05430"/>
    <w:rsid w:val="00E05CAE"/>
    <w:rsid w:val="00E0657E"/>
    <w:rsid w:val="00E108A8"/>
    <w:rsid w:val="00E11688"/>
    <w:rsid w:val="00E13E32"/>
    <w:rsid w:val="00E16090"/>
    <w:rsid w:val="00E16FA5"/>
    <w:rsid w:val="00E17B77"/>
    <w:rsid w:val="00E20190"/>
    <w:rsid w:val="00E22D41"/>
    <w:rsid w:val="00E23337"/>
    <w:rsid w:val="00E240FE"/>
    <w:rsid w:val="00E2506B"/>
    <w:rsid w:val="00E259EA"/>
    <w:rsid w:val="00E30306"/>
    <w:rsid w:val="00E32061"/>
    <w:rsid w:val="00E32350"/>
    <w:rsid w:val="00E333C5"/>
    <w:rsid w:val="00E33AFA"/>
    <w:rsid w:val="00E33F53"/>
    <w:rsid w:val="00E34426"/>
    <w:rsid w:val="00E35795"/>
    <w:rsid w:val="00E36370"/>
    <w:rsid w:val="00E36A24"/>
    <w:rsid w:val="00E41430"/>
    <w:rsid w:val="00E4241C"/>
    <w:rsid w:val="00E42FF9"/>
    <w:rsid w:val="00E4584A"/>
    <w:rsid w:val="00E4627B"/>
    <w:rsid w:val="00E46AA5"/>
    <w:rsid w:val="00E4714C"/>
    <w:rsid w:val="00E475BA"/>
    <w:rsid w:val="00E5006E"/>
    <w:rsid w:val="00E500F5"/>
    <w:rsid w:val="00E51AEB"/>
    <w:rsid w:val="00E522A7"/>
    <w:rsid w:val="00E52E6F"/>
    <w:rsid w:val="00E53FB8"/>
    <w:rsid w:val="00E54452"/>
    <w:rsid w:val="00E55AFD"/>
    <w:rsid w:val="00E5650A"/>
    <w:rsid w:val="00E575FB"/>
    <w:rsid w:val="00E57BEA"/>
    <w:rsid w:val="00E61D2C"/>
    <w:rsid w:val="00E62583"/>
    <w:rsid w:val="00E62745"/>
    <w:rsid w:val="00E62D8A"/>
    <w:rsid w:val="00E63765"/>
    <w:rsid w:val="00E644DE"/>
    <w:rsid w:val="00E65ED8"/>
    <w:rsid w:val="00E65F46"/>
    <w:rsid w:val="00E664C1"/>
    <w:rsid w:val="00E664C5"/>
    <w:rsid w:val="00E671A2"/>
    <w:rsid w:val="00E673AE"/>
    <w:rsid w:val="00E71E3B"/>
    <w:rsid w:val="00E7297F"/>
    <w:rsid w:val="00E74146"/>
    <w:rsid w:val="00E75B23"/>
    <w:rsid w:val="00E767FB"/>
    <w:rsid w:val="00E76851"/>
    <w:rsid w:val="00E76D26"/>
    <w:rsid w:val="00E7798C"/>
    <w:rsid w:val="00E81BB3"/>
    <w:rsid w:val="00E81DAD"/>
    <w:rsid w:val="00E8363B"/>
    <w:rsid w:val="00E841AD"/>
    <w:rsid w:val="00E84E19"/>
    <w:rsid w:val="00E84EE4"/>
    <w:rsid w:val="00E8513B"/>
    <w:rsid w:val="00E852B8"/>
    <w:rsid w:val="00E85DBC"/>
    <w:rsid w:val="00E8667C"/>
    <w:rsid w:val="00E86B59"/>
    <w:rsid w:val="00E8747B"/>
    <w:rsid w:val="00E8760C"/>
    <w:rsid w:val="00E90D9B"/>
    <w:rsid w:val="00E913EA"/>
    <w:rsid w:val="00E93D2F"/>
    <w:rsid w:val="00E94673"/>
    <w:rsid w:val="00E95110"/>
    <w:rsid w:val="00E95607"/>
    <w:rsid w:val="00E97567"/>
    <w:rsid w:val="00EA0A80"/>
    <w:rsid w:val="00EA2819"/>
    <w:rsid w:val="00EA3A97"/>
    <w:rsid w:val="00EA5BDF"/>
    <w:rsid w:val="00EA5CB5"/>
    <w:rsid w:val="00EA74B1"/>
    <w:rsid w:val="00EA75E7"/>
    <w:rsid w:val="00EA7C01"/>
    <w:rsid w:val="00EB11CD"/>
    <w:rsid w:val="00EB1390"/>
    <w:rsid w:val="00EB139C"/>
    <w:rsid w:val="00EB2A4D"/>
    <w:rsid w:val="00EB2C71"/>
    <w:rsid w:val="00EB4340"/>
    <w:rsid w:val="00EB556D"/>
    <w:rsid w:val="00EB5A7D"/>
    <w:rsid w:val="00EB6145"/>
    <w:rsid w:val="00EB6B30"/>
    <w:rsid w:val="00EB7901"/>
    <w:rsid w:val="00EC001A"/>
    <w:rsid w:val="00EC0AF6"/>
    <w:rsid w:val="00EC0F11"/>
    <w:rsid w:val="00EC1171"/>
    <w:rsid w:val="00EC2033"/>
    <w:rsid w:val="00EC288A"/>
    <w:rsid w:val="00EC32BB"/>
    <w:rsid w:val="00ED0AB4"/>
    <w:rsid w:val="00ED0DEE"/>
    <w:rsid w:val="00ED0E89"/>
    <w:rsid w:val="00ED48F8"/>
    <w:rsid w:val="00ED55C0"/>
    <w:rsid w:val="00ED682B"/>
    <w:rsid w:val="00ED7A81"/>
    <w:rsid w:val="00EE3087"/>
    <w:rsid w:val="00EE347A"/>
    <w:rsid w:val="00EE41D5"/>
    <w:rsid w:val="00EE53CA"/>
    <w:rsid w:val="00EE5AAC"/>
    <w:rsid w:val="00EE63BD"/>
    <w:rsid w:val="00EE70D6"/>
    <w:rsid w:val="00EE739F"/>
    <w:rsid w:val="00EF1839"/>
    <w:rsid w:val="00EF28CA"/>
    <w:rsid w:val="00EF3252"/>
    <w:rsid w:val="00EF3520"/>
    <w:rsid w:val="00EF3714"/>
    <w:rsid w:val="00EF3840"/>
    <w:rsid w:val="00EF4008"/>
    <w:rsid w:val="00EF42ED"/>
    <w:rsid w:val="00EF46A1"/>
    <w:rsid w:val="00EF4745"/>
    <w:rsid w:val="00EF496C"/>
    <w:rsid w:val="00EF5E11"/>
    <w:rsid w:val="00EF6E66"/>
    <w:rsid w:val="00EF704F"/>
    <w:rsid w:val="00EF72B5"/>
    <w:rsid w:val="00F0064F"/>
    <w:rsid w:val="00F00AD3"/>
    <w:rsid w:val="00F01CED"/>
    <w:rsid w:val="00F01D0F"/>
    <w:rsid w:val="00F037A4"/>
    <w:rsid w:val="00F045BB"/>
    <w:rsid w:val="00F05C7A"/>
    <w:rsid w:val="00F10179"/>
    <w:rsid w:val="00F10B18"/>
    <w:rsid w:val="00F11D84"/>
    <w:rsid w:val="00F120A6"/>
    <w:rsid w:val="00F120F5"/>
    <w:rsid w:val="00F13611"/>
    <w:rsid w:val="00F13855"/>
    <w:rsid w:val="00F14660"/>
    <w:rsid w:val="00F14DE4"/>
    <w:rsid w:val="00F14E66"/>
    <w:rsid w:val="00F158B9"/>
    <w:rsid w:val="00F15FFD"/>
    <w:rsid w:val="00F2058D"/>
    <w:rsid w:val="00F20F4D"/>
    <w:rsid w:val="00F21494"/>
    <w:rsid w:val="00F22792"/>
    <w:rsid w:val="00F23108"/>
    <w:rsid w:val="00F236CD"/>
    <w:rsid w:val="00F23B27"/>
    <w:rsid w:val="00F25B03"/>
    <w:rsid w:val="00F26FCB"/>
    <w:rsid w:val="00F274AF"/>
    <w:rsid w:val="00F27C8F"/>
    <w:rsid w:val="00F27CAF"/>
    <w:rsid w:val="00F30925"/>
    <w:rsid w:val="00F31B7A"/>
    <w:rsid w:val="00F31B85"/>
    <w:rsid w:val="00F3200D"/>
    <w:rsid w:val="00F3249F"/>
    <w:rsid w:val="00F32749"/>
    <w:rsid w:val="00F32C55"/>
    <w:rsid w:val="00F354AD"/>
    <w:rsid w:val="00F355CD"/>
    <w:rsid w:val="00F35670"/>
    <w:rsid w:val="00F35E1A"/>
    <w:rsid w:val="00F363EC"/>
    <w:rsid w:val="00F367EB"/>
    <w:rsid w:val="00F37172"/>
    <w:rsid w:val="00F413A0"/>
    <w:rsid w:val="00F42313"/>
    <w:rsid w:val="00F4477E"/>
    <w:rsid w:val="00F44903"/>
    <w:rsid w:val="00F461C5"/>
    <w:rsid w:val="00F465A6"/>
    <w:rsid w:val="00F46F5C"/>
    <w:rsid w:val="00F479CD"/>
    <w:rsid w:val="00F51D54"/>
    <w:rsid w:val="00F55B3A"/>
    <w:rsid w:val="00F6053D"/>
    <w:rsid w:val="00F606EF"/>
    <w:rsid w:val="00F60D87"/>
    <w:rsid w:val="00F6162B"/>
    <w:rsid w:val="00F61FA6"/>
    <w:rsid w:val="00F62F42"/>
    <w:rsid w:val="00F6328B"/>
    <w:rsid w:val="00F65E7B"/>
    <w:rsid w:val="00F67D8F"/>
    <w:rsid w:val="00F67ED7"/>
    <w:rsid w:val="00F70270"/>
    <w:rsid w:val="00F70787"/>
    <w:rsid w:val="00F70C29"/>
    <w:rsid w:val="00F72700"/>
    <w:rsid w:val="00F72A70"/>
    <w:rsid w:val="00F73145"/>
    <w:rsid w:val="00F7354E"/>
    <w:rsid w:val="00F73A86"/>
    <w:rsid w:val="00F74BCF"/>
    <w:rsid w:val="00F75D7E"/>
    <w:rsid w:val="00F76E61"/>
    <w:rsid w:val="00F7759F"/>
    <w:rsid w:val="00F8009F"/>
    <w:rsid w:val="00F802BE"/>
    <w:rsid w:val="00F80BBF"/>
    <w:rsid w:val="00F80E93"/>
    <w:rsid w:val="00F81E56"/>
    <w:rsid w:val="00F8243D"/>
    <w:rsid w:val="00F8447F"/>
    <w:rsid w:val="00F86024"/>
    <w:rsid w:val="00F8611A"/>
    <w:rsid w:val="00F87B2C"/>
    <w:rsid w:val="00F909A5"/>
    <w:rsid w:val="00F90FA7"/>
    <w:rsid w:val="00F91151"/>
    <w:rsid w:val="00F940B0"/>
    <w:rsid w:val="00F9411A"/>
    <w:rsid w:val="00F9538F"/>
    <w:rsid w:val="00F961BB"/>
    <w:rsid w:val="00FA025A"/>
    <w:rsid w:val="00FA1CA9"/>
    <w:rsid w:val="00FA31C7"/>
    <w:rsid w:val="00FA36EF"/>
    <w:rsid w:val="00FA5128"/>
    <w:rsid w:val="00FA7215"/>
    <w:rsid w:val="00FB067A"/>
    <w:rsid w:val="00FB0943"/>
    <w:rsid w:val="00FB1161"/>
    <w:rsid w:val="00FB1A84"/>
    <w:rsid w:val="00FB2776"/>
    <w:rsid w:val="00FB42D4"/>
    <w:rsid w:val="00FB526D"/>
    <w:rsid w:val="00FB5906"/>
    <w:rsid w:val="00FB59DE"/>
    <w:rsid w:val="00FB5B02"/>
    <w:rsid w:val="00FB6221"/>
    <w:rsid w:val="00FB701C"/>
    <w:rsid w:val="00FB762F"/>
    <w:rsid w:val="00FC1CC0"/>
    <w:rsid w:val="00FC2330"/>
    <w:rsid w:val="00FC2A3D"/>
    <w:rsid w:val="00FC2AED"/>
    <w:rsid w:val="00FC69C3"/>
    <w:rsid w:val="00FC6D97"/>
    <w:rsid w:val="00FC6E7E"/>
    <w:rsid w:val="00FD0499"/>
    <w:rsid w:val="00FD2906"/>
    <w:rsid w:val="00FD33FC"/>
    <w:rsid w:val="00FD376B"/>
    <w:rsid w:val="00FD3856"/>
    <w:rsid w:val="00FD4CA6"/>
    <w:rsid w:val="00FD5EA7"/>
    <w:rsid w:val="00FD79BD"/>
    <w:rsid w:val="00FE016B"/>
    <w:rsid w:val="00FE0E1C"/>
    <w:rsid w:val="00FE1D52"/>
    <w:rsid w:val="00FE1D70"/>
    <w:rsid w:val="00FE1E2D"/>
    <w:rsid w:val="00FE2BD4"/>
    <w:rsid w:val="00FE4659"/>
    <w:rsid w:val="00FE49AB"/>
    <w:rsid w:val="00FE4F24"/>
    <w:rsid w:val="00FE5229"/>
    <w:rsid w:val="00FE5418"/>
    <w:rsid w:val="00FE5C39"/>
    <w:rsid w:val="00FF0615"/>
    <w:rsid w:val="00FF08C3"/>
    <w:rsid w:val="00FF11A5"/>
    <w:rsid w:val="00FF2706"/>
    <w:rsid w:val="00FF4509"/>
    <w:rsid w:val="00FF4F84"/>
    <w:rsid w:val="00FF5840"/>
    <w:rsid w:val="00FF66B2"/>
    <w:rsid w:val="00FF6B6E"/>
    <w:rsid w:val="00FF6D4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683388"/>
  <w15:docId w15:val="{113D1279-C6B8-4E06-8464-B1436BC2D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001559"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000E3B"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001559"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001559"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001559"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000E3B" w:themeColor="accent1" w:themeShade="7F"/>
      <w:sz w:val="24"/>
      <w:szCs w:val="24"/>
    </w:r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001559" w:themeColor="accent1" w:themeShade="BF"/>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001559"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paragraph" w:customStyle="1" w:styleId="LID">
    <w:name w:val="LID"/>
    <w:basedOn w:val="Normalny"/>
    <w:qFormat/>
    <w:rsid w:val="00633014"/>
    <w:rPr>
      <w:b/>
      <w:noProof/>
      <w:szCs w:val="19"/>
      <w:lang w:eastAsia="pl-PL"/>
    </w:rPr>
  </w:style>
  <w:style w:type="table" w:customStyle="1" w:styleId="Tabelasiatki1jasnaakcent11">
    <w:name w:val="Tabela siatki 1 — jasna — akcent 11"/>
    <w:basedOn w:val="Standardowy"/>
    <w:uiPriority w:val="46"/>
    <w:rsid w:val="007A2DC1"/>
    <w:pPr>
      <w:spacing w:after="0" w:line="240" w:lineRule="auto"/>
    </w:pPr>
    <w:tblPr>
      <w:tblStyleRowBandSize w:val="1"/>
      <w:tblStyleColBandSize w:val="1"/>
      <w:tblBorders>
        <w:top w:val="single" w:sz="4" w:space="0" w:color="6288FF" w:themeColor="accent1" w:themeTint="66"/>
        <w:left w:val="single" w:sz="4" w:space="0" w:color="6288FF" w:themeColor="accent1" w:themeTint="66"/>
        <w:bottom w:val="single" w:sz="4" w:space="0" w:color="6288FF" w:themeColor="accent1" w:themeTint="66"/>
        <w:right w:val="single" w:sz="4" w:space="0" w:color="6288FF" w:themeColor="accent1" w:themeTint="66"/>
        <w:insideH w:val="single" w:sz="4" w:space="0" w:color="6288FF" w:themeColor="accent1" w:themeTint="66"/>
        <w:insideV w:val="single" w:sz="4" w:space="0" w:color="6288FF" w:themeColor="accent1" w:themeTint="66"/>
      </w:tblBorders>
    </w:tblPr>
    <w:tblStylePr w:type="firstRow">
      <w:rPr>
        <w:b/>
        <w:bCs/>
      </w:rPr>
      <w:tblPr/>
      <w:tcPr>
        <w:tcBorders>
          <w:bottom w:val="single" w:sz="12" w:space="0" w:color="144DFF" w:themeColor="accent1" w:themeTint="99"/>
        </w:tcBorders>
      </w:tcPr>
    </w:tblStylePr>
    <w:tblStylePr w:type="lastRow">
      <w:rPr>
        <w:b/>
        <w:bCs/>
      </w:rPr>
      <w:tblPr/>
      <w:tcPr>
        <w:tcBorders>
          <w:top w:val="double" w:sz="2" w:space="0" w:color="144DFF"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character" w:styleId="UyteHipercze">
    <w:name w:val="FollowedHyperlink"/>
    <w:basedOn w:val="Domylnaczcionkaakapitu"/>
    <w:uiPriority w:val="99"/>
    <w:semiHidden/>
    <w:unhideWhenUsed/>
    <w:rsid w:val="003A4C31"/>
    <w:rPr>
      <w:color w:val="605D5C" w:themeColor="followedHyperlink"/>
      <w:u w:val="single"/>
    </w:rPr>
  </w:style>
  <w:style w:type="paragraph" w:styleId="NormalnyWeb">
    <w:name w:val="Normal (Web)"/>
    <w:basedOn w:val="Normalny"/>
    <w:uiPriority w:val="99"/>
    <w:semiHidden/>
    <w:unhideWhenUsed/>
    <w:rsid w:val="00C1042C"/>
    <w:pPr>
      <w:spacing w:before="100" w:beforeAutospacing="1" w:after="100" w:afterAutospacing="1" w:line="240" w:lineRule="auto"/>
    </w:pPr>
    <w:rPr>
      <w:rFonts w:ascii="Times New Roman" w:eastAsiaTheme="minorEastAsia" w:hAnsi="Times New Roman" w:cs="Times New Roman"/>
      <w:sz w:val="24"/>
      <w:szCs w:val="24"/>
      <w:lang w:eastAsia="pl-PL"/>
    </w:rPr>
  </w:style>
  <w:style w:type="paragraph" w:styleId="Poprawka">
    <w:name w:val="Revision"/>
    <w:hidden/>
    <w:uiPriority w:val="99"/>
    <w:semiHidden/>
    <w:rsid w:val="00A05E8C"/>
    <w:pPr>
      <w:spacing w:after="0" w:line="240" w:lineRule="auto"/>
    </w:pPr>
    <w:rPr>
      <w:rFonts w:ascii="Fira Sans" w:hAnsi="Fira Sans"/>
      <w:sz w:val="19"/>
    </w:rPr>
  </w:style>
  <w:style w:type="character" w:styleId="Odwoaniedokomentarza">
    <w:name w:val="annotation reference"/>
    <w:basedOn w:val="Domylnaczcionkaakapitu"/>
    <w:uiPriority w:val="99"/>
    <w:semiHidden/>
    <w:unhideWhenUsed/>
    <w:rsid w:val="006F7343"/>
    <w:rPr>
      <w:sz w:val="16"/>
      <w:szCs w:val="16"/>
    </w:rPr>
  </w:style>
  <w:style w:type="paragraph" w:styleId="Tekstkomentarza">
    <w:name w:val="annotation text"/>
    <w:basedOn w:val="Normalny"/>
    <w:link w:val="TekstkomentarzaZnak"/>
    <w:uiPriority w:val="99"/>
    <w:unhideWhenUsed/>
    <w:rsid w:val="006F7343"/>
    <w:pPr>
      <w:spacing w:line="240" w:lineRule="auto"/>
    </w:pPr>
    <w:rPr>
      <w:sz w:val="20"/>
      <w:szCs w:val="20"/>
    </w:rPr>
  </w:style>
  <w:style w:type="character" w:customStyle="1" w:styleId="TekstkomentarzaZnak">
    <w:name w:val="Tekst komentarza Znak"/>
    <w:basedOn w:val="Domylnaczcionkaakapitu"/>
    <w:link w:val="Tekstkomentarza"/>
    <w:uiPriority w:val="99"/>
    <w:rsid w:val="006F7343"/>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6F7343"/>
    <w:rPr>
      <w:b/>
      <w:bCs/>
    </w:rPr>
  </w:style>
  <w:style w:type="character" w:customStyle="1" w:styleId="TematkomentarzaZnak">
    <w:name w:val="Temat komentarza Znak"/>
    <w:basedOn w:val="TekstkomentarzaZnak"/>
    <w:link w:val="Tematkomentarza"/>
    <w:uiPriority w:val="99"/>
    <w:semiHidden/>
    <w:rsid w:val="006F7343"/>
    <w:rPr>
      <w:rFonts w:ascii="Fira Sans" w:hAnsi="Fira Sans"/>
      <w:b/>
      <w:bCs/>
      <w:sz w:val="20"/>
      <w:szCs w:val="20"/>
    </w:rPr>
  </w:style>
  <w:style w:type="table" w:customStyle="1" w:styleId="Siatkatabelijasna2">
    <w:name w:val="Siatka tabeli — jasna2"/>
    <w:basedOn w:val="Standardowy"/>
    <w:uiPriority w:val="40"/>
    <w:rsid w:val="00CD394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ytu">
    <w:name w:val="Title"/>
    <w:basedOn w:val="Normalny"/>
    <w:next w:val="Normalny"/>
    <w:link w:val="TytuZnak"/>
    <w:uiPriority w:val="10"/>
    <w:qFormat/>
    <w:rsid w:val="00734691"/>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34691"/>
    <w:rPr>
      <w:rFonts w:asciiTheme="majorHAnsi" w:eastAsiaTheme="majorEastAsia" w:hAnsiTheme="majorHAnsi" w:cstheme="majorBidi"/>
      <w:spacing w:val="-10"/>
      <w:kern w:val="28"/>
      <w:sz w:val="56"/>
      <w:szCs w:val="56"/>
    </w:rPr>
  </w:style>
  <w:style w:type="character" w:customStyle="1" w:styleId="Nierozpoznanawzmianka1">
    <w:name w:val="Nierozpoznana wzmianka1"/>
    <w:basedOn w:val="Domylnaczcionkaakapitu"/>
    <w:uiPriority w:val="99"/>
    <w:semiHidden/>
    <w:unhideWhenUsed/>
    <w:rsid w:val="00D75AB4"/>
    <w:rPr>
      <w:color w:val="605E5C"/>
      <w:shd w:val="clear" w:color="auto" w:fill="E1DFDD"/>
    </w:rPr>
  </w:style>
  <w:style w:type="character" w:customStyle="1" w:styleId="Nierozpoznanawzmianka2">
    <w:name w:val="Nierozpoznana wzmianka2"/>
    <w:basedOn w:val="Domylnaczcionkaakapitu"/>
    <w:uiPriority w:val="99"/>
    <w:semiHidden/>
    <w:unhideWhenUsed/>
    <w:rsid w:val="00CA5BCA"/>
    <w:rPr>
      <w:color w:val="605E5C"/>
      <w:shd w:val="clear" w:color="auto" w:fill="E1DFDD"/>
    </w:rPr>
  </w:style>
  <w:style w:type="paragraph" w:customStyle="1" w:styleId="Ikonawskanika">
    <w:name w:val="Ikona wskaźnika"/>
    <w:basedOn w:val="Normalny"/>
    <w:link w:val="IkonawskanikaZnak"/>
    <w:qFormat/>
    <w:rsid w:val="001B66B7"/>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IkonawskanikaZnak">
    <w:name w:val="Ikona wskaźnika Znak"/>
    <w:basedOn w:val="Domylnaczcionkaakapitu"/>
    <w:link w:val="Ikonawskanika"/>
    <w:rsid w:val="001B66B7"/>
    <w:rPr>
      <w:rFonts w:ascii="Fira Sans SemiBold" w:hAnsi="Fira Sans SemiBold"/>
      <w:color w:val="66AFDE"/>
      <w:sz w:val="60"/>
      <w:szCs w:val="60"/>
    </w:rPr>
  </w:style>
  <w:style w:type="paragraph" w:customStyle="1" w:styleId="Wartowskanika">
    <w:name w:val="Wartość wskaźnika"/>
    <w:basedOn w:val="Normalny"/>
    <w:link w:val="WartowskanikaZnak"/>
    <w:qFormat/>
    <w:rsid w:val="001B66B7"/>
    <w:pPr>
      <w:autoSpaceDE w:val="0"/>
      <w:autoSpaceDN w:val="0"/>
      <w:adjustRightInd w:val="0"/>
      <w:spacing w:before="160" w:after="0" w:line="240" w:lineRule="auto"/>
    </w:pPr>
    <w:rPr>
      <w:rFonts w:ascii="Fira Sans SemiBold" w:hAnsi="Fira Sans SemiBold"/>
      <w:color w:val="FFFFFF" w:themeColor="background1"/>
      <w:sz w:val="40"/>
      <w:szCs w:val="56"/>
    </w:rPr>
  </w:style>
  <w:style w:type="paragraph" w:customStyle="1" w:styleId="Opiswskanika">
    <w:name w:val="Opis wskaźnika"/>
    <w:basedOn w:val="tekstnaniebieskimtle"/>
    <w:link w:val="OpiswskanikaZnak"/>
    <w:qFormat/>
    <w:rsid w:val="001B66B7"/>
    <w:rPr>
      <w:color w:val="FFFFFF" w:themeColor="background1"/>
    </w:rPr>
  </w:style>
  <w:style w:type="character" w:customStyle="1" w:styleId="WartowskanikaZnak">
    <w:name w:val="Wartość wskaźnika Znak"/>
    <w:basedOn w:val="Domylnaczcionkaakapitu"/>
    <w:link w:val="Wartowskanika"/>
    <w:rsid w:val="001B66B7"/>
    <w:rPr>
      <w:rFonts w:ascii="Fira Sans SemiBold" w:hAnsi="Fira Sans SemiBold"/>
      <w:color w:val="FFFFFF" w:themeColor="background1"/>
      <w:sz w:val="40"/>
      <w:szCs w:val="56"/>
    </w:rPr>
  </w:style>
  <w:style w:type="character" w:customStyle="1" w:styleId="OpiswskanikaZnak">
    <w:name w:val="Opis wskaźnika Znak"/>
    <w:basedOn w:val="Domylnaczcionkaakapitu"/>
    <w:link w:val="Opiswskanika"/>
    <w:rsid w:val="001B66B7"/>
    <w:rPr>
      <w:rFonts w:ascii="Fira Sans" w:hAnsi="Fira Sans"/>
      <w:color w:val="FFFFFF" w:themeColor="background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591746">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914977141">
      <w:bodyDiv w:val="1"/>
      <w:marLeft w:val="0"/>
      <w:marRight w:val="0"/>
      <w:marTop w:val="0"/>
      <w:marBottom w:val="0"/>
      <w:divBdr>
        <w:top w:val="none" w:sz="0" w:space="0" w:color="auto"/>
        <w:left w:val="none" w:sz="0" w:space="0" w:color="auto"/>
        <w:bottom w:val="none" w:sz="0" w:space="0" w:color="auto"/>
        <w:right w:val="none" w:sz="0" w:space="0" w:color="auto"/>
      </w:divBdr>
    </w:div>
    <w:div w:id="1031802691">
      <w:bodyDiv w:val="1"/>
      <w:marLeft w:val="0"/>
      <w:marRight w:val="0"/>
      <w:marTop w:val="0"/>
      <w:marBottom w:val="0"/>
      <w:divBdr>
        <w:top w:val="none" w:sz="0" w:space="0" w:color="auto"/>
        <w:left w:val="none" w:sz="0" w:space="0" w:color="auto"/>
        <w:bottom w:val="none" w:sz="0" w:space="0" w:color="auto"/>
        <w:right w:val="none" w:sz="0" w:space="0" w:color="auto"/>
      </w:divBdr>
    </w:div>
    <w:div w:id="1068722644">
      <w:bodyDiv w:val="1"/>
      <w:marLeft w:val="0"/>
      <w:marRight w:val="0"/>
      <w:marTop w:val="0"/>
      <w:marBottom w:val="0"/>
      <w:divBdr>
        <w:top w:val="none" w:sz="0" w:space="0" w:color="auto"/>
        <w:left w:val="none" w:sz="0" w:space="0" w:color="auto"/>
        <w:bottom w:val="none" w:sz="0" w:space="0" w:color="auto"/>
        <w:right w:val="none" w:sz="0" w:space="0" w:color="auto"/>
      </w:divBdr>
    </w:div>
    <w:div w:id="1202791207">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4.xml"/><Relationship Id="rId18" Type="http://schemas.openxmlformats.org/officeDocument/2006/relationships/header" Target="header2.xml"/><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webSettings" Target="webSettings.xml"/><Relationship Id="rId12" Type="http://schemas.openxmlformats.org/officeDocument/2006/relationships/chart" Target="charts/chart3.xml"/><Relationship Id="rId17" Type="http://schemas.openxmlformats.org/officeDocument/2006/relationships/footer" Target="footer1.xml"/><Relationship Id="rId25" Type="http://schemas.openxmlformats.org/officeDocument/2006/relationships/image" Target="media/image8.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mailto:obslugaprasowa@stat.gov.pl" TargetMode="External"/><Relationship Id="rId29" Type="http://schemas.openxmlformats.org/officeDocument/2006/relationships/hyperlink" Target="https://stat.gov.pl/en/topics/living-conditions/living-conditions/the-situation-of-households-in-2021-on-the-basis-of-results-of-the-household-budget-survey,12,21.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2.xml"/><Relationship Id="rId24" Type="http://schemas.openxmlformats.org/officeDocument/2006/relationships/image" Target="media/image7.png"/><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chart" Target="charts/chart6.xml"/><Relationship Id="rId23" Type="http://schemas.openxmlformats.org/officeDocument/2006/relationships/image" Target="media/image6.png"/><Relationship Id="rId28" Type="http://schemas.openxmlformats.org/officeDocument/2006/relationships/hyperlink" Target="https://stat.gov.pl/en/topics/living-conditions/living-conditions/the-situation-of-households-in-2021-on-the-basis-of-results-of-the-household-budget-survey,12,21.html" TargetMode="External"/><Relationship Id="rId10" Type="http://schemas.openxmlformats.org/officeDocument/2006/relationships/chart" Target="charts/chart1.xml"/><Relationship Id="rId19" Type="http://schemas.openxmlformats.org/officeDocument/2006/relationships/footer" Target="footer2.xml"/><Relationship Id="rId31"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hart" Target="charts/chart5.xml"/><Relationship Id="rId22" Type="http://schemas.openxmlformats.org/officeDocument/2006/relationships/image" Target="media/image5.png"/><Relationship Id="rId27" Type="http://schemas.openxmlformats.org/officeDocument/2006/relationships/hyperlink" Target="https://stat.gov.pl/en/topics/living-conditions/living-conditions/household-budget-survey-in-2021,2,17.html" TargetMode="External"/><Relationship Id="rId30" Type="http://schemas.openxmlformats.org/officeDocument/2006/relationships/header" Target="header3.xml"/><Relationship Id="rId8"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Users\jacykowd\Desktop\Notatka%20dot.%20pomocy%20Ukrainie\BGD%20Notatka_Pomoc%20Ukrainie_wykresy_EN.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kowalewiczm1\AppData\Local\Microsoft\Windows\INetCache\Content.Outlook\JRGR5BCL\BGD%20Notatka_Pomoc%20Ukrainie_wykresy_EN.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C:\Users\kowalewiczm1\Desktop\notatka%20-%20t&#322;umaczenie\BGD%20Notatka_Pomoc%20Ukrainie_wykresy.xlsx" TargetMode="External"/><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file:///C:\Users\kowalewiczm1\Desktop\notatka%20-%20t&#322;umaczenie\BGD%20Notatka_Pomoc%20Ukrainie_wykresy.xlsx" TargetMode="External"/><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file:///C:\Z_terminala\Ula\Bud&#380;ety\2022\Notatka%20o%20pomocy%20Ukrainie\21.10.2022%20-%20wersja%20do%20p.Prezesa\BGD%20Notatka_Pomoc%20Ukrainie_wykresy.xlsx" TargetMode="External"/><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oleObject" Target="file:///C:\Users\kowalewiczm1\Desktop\notatka%20-%20t&#322;umaczenie\BGD%20Notatka_Pomoc%20Ukrainie_wykresy.xlsx" TargetMode="External"/><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0497222222222221E-2"/>
          <c:y val="0.21762271995979915"/>
          <c:w val="0.91585127391829535"/>
          <c:h val="0.67342691916469788"/>
        </c:manualLayout>
      </c:layout>
      <c:barChart>
        <c:barDir val="bar"/>
        <c:grouping val="clustered"/>
        <c:varyColors val="0"/>
        <c:ser>
          <c:idx val="0"/>
          <c:order val="0"/>
          <c:tx>
            <c:strRef>
              <c:f>'1. odsetek pomagających'!$B$4</c:f>
              <c:strCache>
                <c:ptCount val="1"/>
              </c:strCache>
            </c:strRef>
          </c:tx>
          <c:spPr>
            <a:solidFill>
              <a:srgbClr val="334A92"/>
            </a:solidFill>
            <a:ln w="38100"/>
            <a:scene3d>
              <a:camera prst="orthographicFront"/>
              <a:lightRig rig="threePt" dir="t"/>
            </a:scene3d>
          </c:spPr>
          <c:invertIfNegative val="0"/>
          <c:dPt>
            <c:idx val="1"/>
            <c:invertIfNegative val="0"/>
            <c:bubble3D val="0"/>
            <c:spPr>
              <a:solidFill>
                <a:srgbClr val="6677AD"/>
              </a:solidFill>
              <a:ln w="38100"/>
              <a:scene3d>
                <a:camera prst="orthographicFront"/>
                <a:lightRig rig="threePt" dir="t"/>
              </a:scene3d>
            </c:spPr>
            <c:extLst xmlns:c16r2="http://schemas.microsoft.com/office/drawing/2015/06/chart">
              <c:ext xmlns:c16="http://schemas.microsoft.com/office/drawing/2014/chart" uri="{C3380CC4-5D6E-409C-BE32-E72D297353CC}">
                <c16:uniqueId val="{00000001-06E3-43A2-86A9-6A25304113AA}"/>
              </c:ext>
            </c:extLst>
          </c:dPt>
          <c:dPt>
            <c:idx val="2"/>
            <c:invertIfNegative val="0"/>
            <c:bubble3D val="0"/>
            <c:spPr>
              <a:solidFill>
                <a:sysClr val="windowText" lastClr="000000">
                  <a:lumMod val="50000"/>
                  <a:lumOff val="50000"/>
                </a:sysClr>
              </a:solidFill>
              <a:ln w="38100"/>
              <a:scene3d>
                <a:camera prst="orthographicFront"/>
                <a:lightRig rig="threePt" dir="t"/>
              </a:scene3d>
            </c:spPr>
            <c:extLst xmlns:c16r2="http://schemas.microsoft.com/office/drawing/2015/06/chart">
              <c:ext xmlns:c16="http://schemas.microsoft.com/office/drawing/2014/chart" uri="{C3380CC4-5D6E-409C-BE32-E72D297353CC}">
                <c16:uniqueId val="{00000003-06E3-43A2-86A9-6A25304113AA}"/>
              </c:ext>
            </c:extLst>
          </c:dPt>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'1. odsetek pomagających'!$C$3:$E$3</c:f>
              <c:strCache>
                <c:ptCount val="3"/>
                <c:pt idx="0">
                  <c:v>1st quarter of 2022</c:v>
                </c:pt>
                <c:pt idx="1">
                  <c:v>2nd quarter of 2022</c:v>
                </c:pt>
                <c:pt idx="2">
                  <c:v>1st half of 2022</c:v>
                </c:pt>
              </c:strCache>
            </c:strRef>
          </c:cat>
          <c:val>
            <c:numRef>
              <c:f>'1. odsetek pomagających'!$C$4:$E$4</c:f>
              <c:numCache>
                <c:formatCode>0.0%</c:formatCode>
                <c:ptCount val="3"/>
                <c:pt idx="0">
                  <c:v>0.69906249088176664</c:v>
                </c:pt>
                <c:pt idx="1">
                  <c:v>0.5328125292428233</c:v>
                </c:pt>
                <c:pt idx="2">
                  <c:v>0.70241223156379662</c:v>
                </c:pt>
              </c:numCache>
            </c:numRef>
          </c:val>
          <c:extLst xmlns:c16r2="http://schemas.microsoft.com/office/drawing/2015/06/chart">
            <c:ext xmlns:c16="http://schemas.microsoft.com/office/drawing/2014/chart" uri="{C3380CC4-5D6E-409C-BE32-E72D297353CC}">
              <c16:uniqueId val="{00000000-99EE-4788-B947-1009EB8BB33A}"/>
            </c:ext>
          </c:extLst>
        </c:ser>
        <c:dLbls>
          <c:showLegendKey val="0"/>
          <c:showVal val="1"/>
          <c:showCatName val="0"/>
          <c:showSerName val="0"/>
          <c:showPercent val="0"/>
          <c:showBubbleSize val="0"/>
        </c:dLbls>
        <c:gapWidth val="100"/>
        <c:axId val="-1467058800"/>
        <c:axId val="-1467058256"/>
      </c:barChart>
      <c:catAx>
        <c:axId val="-1467058800"/>
        <c:scaling>
          <c:orientation val="maxMin"/>
        </c:scaling>
        <c:delete val="0"/>
        <c:axPos val="l"/>
        <c:numFmt formatCode="General" sourceLinked="1"/>
        <c:majorTickMark val="out"/>
        <c:minorTickMark val="none"/>
        <c:tickLblPos val="nextTo"/>
        <c:spPr>
          <a:ln>
            <a:solidFill>
              <a:sysClr val="windowText" lastClr="000000"/>
            </a:solidFill>
          </a:ln>
        </c:spPr>
        <c:txPr>
          <a:bodyPr/>
          <a:lstStyle/>
          <a:p>
            <a:pPr>
              <a:defRPr sz="900" spc="-20" baseline="0"/>
            </a:pPr>
            <a:endParaRPr lang="pl-PL"/>
          </a:p>
        </c:txPr>
        <c:crossAx val="-1467058256"/>
        <c:crosses val="autoZero"/>
        <c:auto val="1"/>
        <c:lblAlgn val="ctr"/>
        <c:lblOffset val="100"/>
        <c:noMultiLvlLbl val="0"/>
      </c:catAx>
      <c:valAx>
        <c:axId val="-1467058256"/>
        <c:scaling>
          <c:orientation val="minMax"/>
          <c:max val="1"/>
          <c:min val="0"/>
        </c:scaling>
        <c:delete val="0"/>
        <c:axPos val="b"/>
        <c:majorGridlines>
          <c:spPr>
            <a:ln w="6350">
              <a:solidFill>
                <a:sysClr val="window" lastClr="FFFFFF">
                  <a:lumMod val="50000"/>
                  <a:alpha val="76000"/>
                </a:sysClr>
              </a:solidFill>
            </a:ln>
          </c:spPr>
        </c:majorGridlines>
        <c:numFmt formatCode="0%" sourceLinked="0"/>
        <c:majorTickMark val="out"/>
        <c:minorTickMark val="none"/>
        <c:tickLblPos val="nextTo"/>
        <c:spPr>
          <a:ln>
            <a:noFill/>
          </a:ln>
        </c:spPr>
        <c:txPr>
          <a:bodyPr/>
          <a:lstStyle/>
          <a:p>
            <a:pPr>
              <a:defRPr sz="900"/>
            </a:pPr>
            <a:endParaRPr lang="pl-PL"/>
          </a:p>
        </c:txPr>
        <c:crossAx val="-1467058800"/>
        <c:crosses val="max"/>
        <c:crossBetween val="between"/>
        <c:majorUnit val="0.2"/>
        <c:minorUnit val="0.2"/>
      </c:valAx>
    </c:plotArea>
    <c:plotVisOnly val="1"/>
    <c:dispBlanksAs val="gap"/>
    <c:showDLblsOverMax val="0"/>
  </c:chart>
  <c:spPr>
    <a:ln>
      <a:noFill/>
    </a:ln>
  </c:spPr>
  <c:txPr>
    <a:bodyPr/>
    <a:lstStyle/>
    <a:p>
      <a:pPr>
        <a:defRPr>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9944444444444447"/>
          <c:y val="0.1481533395847183"/>
          <c:w val="0.45231201686577654"/>
          <c:h val="0.79264162603591359"/>
        </c:manualLayout>
      </c:layout>
      <c:barChart>
        <c:barDir val="bar"/>
        <c:grouping val="clustered"/>
        <c:varyColors val="0"/>
        <c:ser>
          <c:idx val="0"/>
          <c:order val="0"/>
          <c:tx>
            <c:strRef>
              <c:f>'2. rodzaj pomocy'!$C$2</c:f>
              <c:strCache>
                <c:ptCount val="1"/>
                <c:pt idx="0">
                  <c:v>1st quarter of 2022</c:v>
                </c:pt>
              </c:strCache>
            </c:strRef>
          </c:tx>
          <c:spPr>
            <a:solidFill>
              <a:srgbClr val="334A92"/>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 rodzaj pomocy'!$B$4:$B$11</c:f>
              <c:strCache>
                <c:ptCount val="8"/>
                <c:pt idx="0">
                  <c:v>Financial support (direct or through organization)</c:v>
                </c:pt>
                <c:pt idx="1">
                  <c:v>Provision of in-kind donations</c:v>
                </c:pt>
                <c:pt idx="2">
                  <c:v>Assistance in the area of border crossing points, reception points, accommodation facilities, aid centers or collection points for material donations</c:v>
                </c:pt>
                <c:pt idx="3">
                  <c:v>Transport (transport of refugees, transport of donations in-kind, free car rental)</c:v>
                </c:pt>
                <c:pt idx="4">
                  <c:v>Blood donation for those in need in Ukraine</c:v>
                </c:pt>
                <c:pt idx="5">
                  <c:v>Reception of refugees from Ukraine to a house/apartment, providing them with a flat</c:v>
                </c:pt>
                <c:pt idx="6">
                  <c:v>Assistance to refugees remaining in Poland
(in finding a job, dealing with everyday matters, caring for relatives, etc.)</c:v>
                </c:pt>
                <c:pt idx="7">
                  <c:v>Other not mentioned above</c:v>
                </c:pt>
              </c:strCache>
            </c:strRef>
          </c:cat>
          <c:val>
            <c:numRef>
              <c:f>'2. rodzaj pomocy'!$C$4:$C$11</c:f>
              <c:numCache>
                <c:formatCode>0.0%</c:formatCode>
                <c:ptCount val="8"/>
                <c:pt idx="0">
                  <c:v>0.63382974937897052</c:v>
                </c:pt>
                <c:pt idx="1">
                  <c:v>0.7958378164383515</c:v>
                </c:pt>
                <c:pt idx="2">
                  <c:v>3.2665919857260188E-2</c:v>
                </c:pt>
                <c:pt idx="3">
                  <c:v>3.206207090782455E-2</c:v>
                </c:pt>
                <c:pt idx="4">
                  <c:v>1.3939435078174672E-2</c:v>
                </c:pt>
                <c:pt idx="5">
                  <c:v>2.9781695271406335E-2</c:v>
                </c:pt>
                <c:pt idx="6">
                  <c:v>6.3934207131256887E-2</c:v>
                </c:pt>
                <c:pt idx="7">
                  <c:v>4.3070482843058722E-3</c:v>
                </c:pt>
              </c:numCache>
            </c:numRef>
          </c:val>
          <c:extLst xmlns:c16r2="http://schemas.microsoft.com/office/drawing/2015/06/chart">
            <c:ext xmlns:c16="http://schemas.microsoft.com/office/drawing/2014/chart" uri="{C3380CC4-5D6E-409C-BE32-E72D297353CC}">
              <c16:uniqueId val="{00000000-A5EE-4250-9DE5-F363DFBE6715}"/>
            </c:ext>
          </c:extLst>
        </c:ser>
        <c:ser>
          <c:idx val="1"/>
          <c:order val="1"/>
          <c:tx>
            <c:strRef>
              <c:f>'2. rodzaj pomocy'!$D$2</c:f>
              <c:strCache>
                <c:ptCount val="1"/>
                <c:pt idx="0">
                  <c:v>2nd quarter of 2022</c:v>
                </c:pt>
              </c:strCache>
            </c:strRef>
          </c:tx>
          <c:spPr>
            <a:solidFill>
              <a:srgbClr val="6677A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 rodzaj pomocy'!$B$4:$B$11</c:f>
              <c:strCache>
                <c:ptCount val="8"/>
                <c:pt idx="0">
                  <c:v>Financial support (direct or through organization)</c:v>
                </c:pt>
                <c:pt idx="1">
                  <c:v>Provision of in-kind donations</c:v>
                </c:pt>
                <c:pt idx="2">
                  <c:v>Assistance in the area of border crossing points, reception points, accommodation facilities, aid centers or collection points for material donations</c:v>
                </c:pt>
                <c:pt idx="3">
                  <c:v>Transport (transport of refugees, transport of donations in-kind, free car rental)</c:v>
                </c:pt>
                <c:pt idx="4">
                  <c:v>Blood donation for those in need in Ukraine</c:v>
                </c:pt>
                <c:pt idx="5">
                  <c:v>Reception of refugees from Ukraine to a house/apartment, providing them with a flat</c:v>
                </c:pt>
                <c:pt idx="6">
                  <c:v>Assistance to refugees remaining in Poland
(in finding a job, dealing with everyday matters, caring for relatives, etc.)</c:v>
                </c:pt>
                <c:pt idx="7">
                  <c:v>Other not mentioned above</c:v>
                </c:pt>
              </c:strCache>
            </c:strRef>
          </c:cat>
          <c:val>
            <c:numRef>
              <c:f>'2. rodzaj pomocy'!$D$4:$D$11</c:f>
              <c:numCache>
                <c:formatCode>0.0%</c:formatCode>
                <c:ptCount val="8"/>
                <c:pt idx="0">
                  <c:v>0.66658323163248023</c:v>
                </c:pt>
                <c:pt idx="1">
                  <c:v>0.80867231120806782</c:v>
                </c:pt>
                <c:pt idx="2">
                  <c:v>2.9139939221495815E-2</c:v>
                </c:pt>
                <c:pt idx="3">
                  <c:v>2.2694928555870932E-2</c:v>
                </c:pt>
                <c:pt idx="4">
                  <c:v>1.398583217803469E-2</c:v>
                </c:pt>
                <c:pt idx="5">
                  <c:v>3.0547179400304925E-2</c:v>
                </c:pt>
                <c:pt idx="6">
                  <c:v>5.454009894657507E-2</c:v>
                </c:pt>
                <c:pt idx="7">
                  <c:v>6.5592382980635931E-3</c:v>
                </c:pt>
              </c:numCache>
            </c:numRef>
          </c:val>
          <c:extLst xmlns:c16r2="http://schemas.microsoft.com/office/drawing/2015/06/chart">
            <c:ext xmlns:c16="http://schemas.microsoft.com/office/drawing/2014/chart" uri="{C3380CC4-5D6E-409C-BE32-E72D297353CC}">
              <c16:uniqueId val="{00000001-A5EE-4250-9DE5-F363DFBE6715}"/>
            </c:ext>
          </c:extLst>
        </c:ser>
        <c:dLbls>
          <c:dLblPos val="outEnd"/>
          <c:showLegendKey val="0"/>
          <c:showVal val="1"/>
          <c:showCatName val="0"/>
          <c:showSerName val="0"/>
          <c:showPercent val="0"/>
          <c:showBubbleSize val="0"/>
        </c:dLbls>
        <c:gapWidth val="60"/>
        <c:axId val="-1468796064"/>
        <c:axId val="-1468792800"/>
      </c:barChart>
      <c:catAx>
        <c:axId val="-1468796064"/>
        <c:scaling>
          <c:orientation val="maxMin"/>
        </c:scaling>
        <c:delete val="0"/>
        <c:axPos val="l"/>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b" anchorCtr="1"/>
          <a:lstStyle/>
          <a:p>
            <a:pPr>
              <a:defRPr sz="850" b="0" i="0" u="none" strike="noStrike" kern="1200" spc="-1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468792800"/>
        <c:crosses val="autoZero"/>
        <c:auto val="1"/>
        <c:lblAlgn val="ctr"/>
        <c:lblOffset val="100"/>
        <c:noMultiLvlLbl val="0"/>
      </c:catAx>
      <c:valAx>
        <c:axId val="-1468792800"/>
        <c:scaling>
          <c:orientation val="minMax"/>
        </c:scaling>
        <c:delete val="0"/>
        <c:axPos val="b"/>
        <c:majorGridlines>
          <c:spPr>
            <a:ln w="6350" cap="flat" cmpd="sng" algn="ctr">
              <a:solidFill>
                <a:srgbClr val="7F7F7F"/>
              </a:solidFill>
              <a:round/>
            </a:ln>
            <a:effectLst/>
          </c:spPr>
        </c:majorGridlines>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crossAx val="-1468796064"/>
        <c:crosses val="max"/>
        <c:crossBetween val="between"/>
        <c:majorUnit val="0.2"/>
        <c:minorUnit val="0.2"/>
      </c:valAx>
      <c:spPr>
        <a:noFill/>
        <a:ln>
          <a:noFill/>
        </a:ln>
        <a:effectLst/>
      </c:spPr>
    </c:plotArea>
    <c:legend>
      <c:legendPos val="t"/>
      <c:legendEntry>
        <c:idx val="1"/>
        <c:txPr>
          <a:bodyPr rot="0" spcFirstLastPara="1" vertOverflow="ellipsis" vert="horz" wrap="square" anchor="ctr" anchorCtr="1"/>
          <a:lstStyle/>
          <a:p>
            <a:pPr>
              <a:defRPr sz="9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legendEntry>
      <c:layout>
        <c:manualLayout>
          <c:xMode val="edge"/>
          <c:yMode val="edge"/>
          <c:x val="0.48588797170156633"/>
          <c:y val="9.228293541190466E-2"/>
          <c:w val="0.5091748339936496"/>
          <c:h val="4.769803390560818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pl-PL"/>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0497222222222221E-2"/>
          <c:y val="0.24138857266682542"/>
          <c:w val="0.91585127391829535"/>
          <c:h val="0.66618409190162819"/>
        </c:manualLayout>
      </c:layout>
      <c:barChart>
        <c:barDir val="col"/>
        <c:grouping val="clustered"/>
        <c:varyColors val="0"/>
        <c:ser>
          <c:idx val="0"/>
          <c:order val="0"/>
          <c:tx>
            <c:strRef>
              <c:f>'2. odsetek grupy społ-ek'!$B$4</c:f>
              <c:strCache>
                <c:ptCount val="1"/>
                <c:pt idx="0">
                  <c:v>1st quarter of 2022</c:v>
                </c:pt>
              </c:strCache>
            </c:strRef>
          </c:tx>
          <c:spPr>
            <a:solidFill>
              <a:srgbClr val="334A92"/>
            </a:solidFill>
            <a:ln w="38100"/>
            <a:scene3d>
              <a:camera prst="orthographicFront"/>
              <a:lightRig rig="threePt" dir="t"/>
            </a:scene3d>
          </c:spPr>
          <c:invertIfNegative val="0"/>
          <c:dLbls>
            <c:numFmt formatCode="0.0%" sourceLinked="0"/>
            <c:spPr>
              <a:noFill/>
              <a:ln>
                <a:noFill/>
              </a:ln>
              <a:effectLst/>
            </c:spPr>
            <c:txPr>
              <a:bodyPr/>
              <a:lstStyle/>
              <a:p>
                <a:pPr>
                  <a:defRPr sz="9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'2. odsetek grupy społ-ek'!$C$3:$H$3</c:f>
              <c:strCache>
                <c:ptCount val="6"/>
                <c:pt idx="0">
                  <c:v>Poland</c:v>
                </c:pt>
                <c:pt idx="1">
                  <c:v>employees</c:v>
                </c:pt>
                <c:pt idx="2">
                  <c:v>farmers</c:v>
                </c:pt>
                <c:pt idx="3">
                  <c:v>self-employed</c:v>
                </c:pt>
                <c:pt idx="4">
                  <c:v>retirees</c:v>
                </c:pt>
                <c:pt idx="5">
                  <c:v>pensioners</c:v>
                </c:pt>
              </c:strCache>
            </c:strRef>
          </c:cat>
          <c:val>
            <c:numRef>
              <c:f>'2. odsetek grupy społ-ek'!$C$4:$H$4</c:f>
              <c:numCache>
                <c:formatCode>0.0%</c:formatCode>
                <c:ptCount val="6"/>
                <c:pt idx="0">
                  <c:v>0.69906249088176664</c:v>
                </c:pt>
                <c:pt idx="1">
                  <c:v>0.74878435213823313</c:v>
                </c:pt>
                <c:pt idx="2">
                  <c:v>0.6900195716113231</c:v>
                </c:pt>
                <c:pt idx="3">
                  <c:v>0.81239312738919656</c:v>
                </c:pt>
                <c:pt idx="4">
                  <c:v>0.6325390789548303</c:v>
                </c:pt>
                <c:pt idx="5">
                  <c:v>0.48965666409562636</c:v>
                </c:pt>
              </c:numCache>
            </c:numRef>
          </c:val>
          <c:extLst xmlns:c16r2="http://schemas.microsoft.com/office/drawing/2015/06/chart">
            <c:ext xmlns:c16="http://schemas.microsoft.com/office/drawing/2014/chart" uri="{C3380CC4-5D6E-409C-BE32-E72D297353CC}">
              <c16:uniqueId val="{00000000-609E-4560-B69B-321304E8CC12}"/>
            </c:ext>
          </c:extLst>
        </c:ser>
        <c:ser>
          <c:idx val="1"/>
          <c:order val="1"/>
          <c:tx>
            <c:strRef>
              <c:f>'2. odsetek grupy społ-ek'!$B$5</c:f>
              <c:strCache>
                <c:ptCount val="1"/>
                <c:pt idx="0">
                  <c:v>2nd quarter of 2022</c:v>
                </c:pt>
              </c:strCache>
            </c:strRef>
          </c:tx>
          <c:spPr>
            <a:solidFill>
              <a:srgbClr val="6677AD"/>
            </a:solidFill>
            <a:ln w="38100"/>
            <a:effectLst/>
            <a:scene3d>
              <a:camera prst="orthographicFront"/>
              <a:lightRig rig="threePt" dir="t"/>
            </a:scene3d>
          </c:spPr>
          <c:invertIfNegative val="0"/>
          <c:dLbls>
            <c:numFmt formatCode="0.0%" sourceLinked="0"/>
            <c:spPr>
              <a:noFill/>
              <a:ln>
                <a:noFill/>
              </a:ln>
              <a:effectLst/>
            </c:spPr>
            <c:txPr>
              <a:bodyPr/>
              <a:lstStyle/>
              <a:p>
                <a:pPr>
                  <a:defRPr sz="9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'2. odsetek grupy społ-ek'!$C$3:$H$3</c:f>
              <c:strCache>
                <c:ptCount val="6"/>
                <c:pt idx="0">
                  <c:v>Poland</c:v>
                </c:pt>
                <c:pt idx="1">
                  <c:v>employees</c:v>
                </c:pt>
                <c:pt idx="2">
                  <c:v>farmers</c:v>
                </c:pt>
                <c:pt idx="3">
                  <c:v>self-employed</c:v>
                </c:pt>
                <c:pt idx="4">
                  <c:v>retirees</c:v>
                </c:pt>
                <c:pt idx="5">
                  <c:v>pensioners</c:v>
                </c:pt>
              </c:strCache>
            </c:strRef>
          </c:cat>
          <c:val>
            <c:numRef>
              <c:f>'2. odsetek grupy społ-ek'!$C$5:$H$5</c:f>
              <c:numCache>
                <c:formatCode>0.0%</c:formatCode>
                <c:ptCount val="6"/>
                <c:pt idx="0">
                  <c:v>0.5328125292428233</c:v>
                </c:pt>
                <c:pt idx="1">
                  <c:v>0.57415974714105156</c:v>
                </c:pt>
                <c:pt idx="2">
                  <c:v>0.48234267463895142</c:v>
                </c:pt>
                <c:pt idx="3">
                  <c:v>0.63643126968665598</c:v>
                </c:pt>
                <c:pt idx="4">
                  <c:v>0.46616739650787464</c:v>
                </c:pt>
                <c:pt idx="5">
                  <c:v>0.34663189446692927</c:v>
                </c:pt>
              </c:numCache>
            </c:numRef>
          </c:val>
          <c:extLst xmlns:c16r2="http://schemas.microsoft.com/office/drawing/2015/06/chart">
            <c:ext xmlns:c16="http://schemas.microsoft.com/office/drawing/2014/chart" uri="{C3380CC4-5D6E-409C-BE32-E72D297353CC}">
              <c16:uniqueId val="{00000001-609E-4560-B69B-321304E8CC12}"/>
            </c:ext>
          </c:extLst>
        </c:ser>
        <c:dLbls>
          <c:showLegendKey val="0"/>
          <c:showVal val="0"/>
          <c:showCatName val="0"/>
          <c:showSerName val="0"/>
          <c:showPercent val="0"/>
          <c:showBubbleSize val="0"/>
        </c:dLbls>
        <c:gapWidth val="42"/>
        <c:axId val="-1468787904"/>
        <c:axId val="-1468791168"/>
      </c:barChart>
      <c:catAx>
        <c:axId val="-1468787904"/>
        <c:scaling>
          <c:orientation val="minMax"/>
        </c:scaling>
        <c:delete val="0"/>
        <c:axPos val="b"/>
        <c:numFmt formatCode="General" sourceLinked="1"/>
        <c:majorTickMark val="out"/>
        <c:minorTickMark val="none"/>
        <c:tickLblPos val="nextTo"/>
        <c:spPr>
          <a:ln>
            <a:solidFill>
              <a:sysClr val="windowText" lastClr="000000"/>
            </a:solidFill>
          </a:ln>
        </c:spPr>
        <c:txPr>
          <a:bodyPr/>
          <a:lstStyle/>
          <a:p>
            <a:pPr>
              <a:defRPr sz="850" spc="-20" baseline="0"/>
            </a:pPr>
            <a:endParaRPr lang="pl-PL"/>
          </a:p>
        </c:txPr>
        <c:crossAx val="-1468791168"/>
        <c:crosses val="autoZero"/>
        <c:auto val="1"/>
        <c:lblAlgn val="ctr"/>
        <c:lblOffset val="100"/>
        <c:noMultiLvlLbl val="0"/>
      </c:catAx>
      <c:valAx>
        <c:axId val="-1468791168"/>
        <c:scaling>
          <c:orientation val="minMax"/>
          <c:max val="1"/>
          <c:min val="0"/>
        </c:scaling>
        <c:delete val="0"/>
        <c:axPos val="l"/>
        <c:majorGridlines>
          <c:spPr>
            <a:ln w="6350">
              <a:solidFill>
                <a:sysClr val="window" lastClr="FFFFFF">
                  <a:lumMod val="50000"/>
                  <a:alpha val="76000"/>
                </a:sysClr>
              </a:solidFill>
            </a:ln>
          </c:spPr>
        </c:majorGridlines>
        <c:numFmt formatCode="0%" sourceLinked="0"/>
        <c:majorTickMark val="out"/>
        <c:minorTickMark val="none"/>
        <c:tickLblPos val="nextTo"/>
        <c:spPr>
          <a:ln>
            <a:noFill/>
          </a:ln>
        </c:spPr>
        <c:txPr>
          <a:bodyPr/>
          <a:lstStyle/>
          <a:p>
            <a:pPr>
              <a:defRPr sz="900"/>
            </a:pPr>
            <a:endParaRPr lang="pl-PL"/>
          </a:p>
        </c:txPr>
        <c:crossAx val="-1468787904"/>
        <c:crosses val="autoZero"/>
        <c:crossBetween val="between"/>
        <c:majorUnit val="0.2"/>
        <c:minorUnit val="0.2"/>
      </c:valAx>
    </c:plotArea>
    <c:legend>
      <c:legendPos val="r"/>
      <c:layout>
        <c:manualLayout>
          <c:xMode val="edge"/>
          <c:yMode val="edge"/>
          <c:x val="7.8245481494062033E-2"/>
          <c:y val="0.15814944698206465"/>
          <c:w val="0.91426864715064937"/>
          <c:h val="7.8018169652145059E-2"/>
        </c:manualLayout>
      </c:layout>
      <c:overlay val="0"/>
      <c:spPr>
        <a:noFill/>
        <a:ln>
          <a:noFill/>
        </a:ln>
      </c:spPr>
      <c:txPr>
        <a:bodyPr/>
        <a:lstStyle/>
        <a:p>
          <a:pPr>
            <a:defRPr sz="900"/>
          </a:pPr>
          <a:endParaRPr lang="pl-PL"/>
        </a:p>
      </c:txPr>
    </c:legend>
    <c:plotVisOnly val="1"/>
    <c:dispBlanksAs val="gap"/>
    <c:showDLblsOverMax val="0"/>
  </c:chart>
  <c:spPr>
    <a:ln>
      <a:noFill/>
    </a:ln>
  </c:spPr>
  <c:txPr>
    <a:bodyPr/>
    <a:lstStyle/>
    <a:p>
      <a:pPr>
        <a:defRPr>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0497222222222221E-2"/>
          <c:y val="0.24329714121100715"/>
          <c:w val="0.91585127391829535"/>
          <c:h val="0.66587629290241168"/>
        </c:manualLayout>
      </c:layout>
      <c:barChart>
        <c:barDir val="col"/>
        <c:grouping val="clustered"/>
        <c:varyColors val="0"/>
        <c:ser>
          <c:idx val="0"/>
          <c:order val="0"/>
          <c:tx>
            <c:strRef>
              <c:f>'3. odsetek kwintyle'!$B$4</c:f>
              <c:strCache>
                <c:ptCount val="1"/>
                <c:pt idx="0">
                  <c:v>1st quarter of 2022</c:v>
                </c:pt>
              </c:strCache>
            </c:strRef>
          </c:tx>
          <c:spPr>
            <a:solidFill>
              <a:srgbClr val="334A92"/>
            </a:solidFill>
            <a:ln w="38100"/>
            <a:scene3d>
              <a:camera prst="orthographicFront"/>
              <a:lightRig rig="threePt" dir="t"/>
            </a:scene3d>
          </c:spPr>
          <c:invertIfNegative val="0"/>
          <c:dLbls>
            <c:numFmt formatCode="0.0%" sourceLinked="0"/>
            <c:spPr>
              <a:noFill/>
              <a:ln>
                <a:noFill/>
              </a:ln>
              <a:effectLst/>
            </c:spPr>
            <c:txPr>
              <a:bodyPr/>
              <a:lstStyle/>
              <a:p>
                <a:pPr>
                  <a:defRPr sz="9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'3. odsetek kwintyle'!$C$3:$H$3</c:f>
              <c:strCache>
                <c:ptCount val="6"/>
                <c:pt idx="0">
                  <c:v>Poland</c:v>
                </c:pt>
                <c:pt idx="1">
                  <c:v>first</c:v>
                </c:pt>
                <c:pt idx="2">
                  <c:v>second</c:v>
                </c:pt>
                <c:pt idx="3">
                  <c:v>third</c:v>
                </c:pt>
                <c:pt idx="4">
                  <c:v>fourth</c:v>
                </c:pt>
                <c:pt idx="5">
                  <c:v>fifth</c:v>
                </c:pt>
              </c:strCache>
            </c:strRef>
          </c:cat>
          <c:val>
            <c:numRef>
              <c:f>'3. odsetek kwintyle'!$C$4:$H$4</c:f>
              <c:numCache>
                <c:formatCode>0.0%</c:formatCode>
                <c:ptCount val="6"/>
                <c:pt idx="0">
                  <c:v>0.69906249088176664</c:v>
                </c:pt>
                <c:pt idx="1">
                  <c:v>0.63844077949210731</c:v>
                </c:pt>
                <c:pt idx="2">
                  <c:v>0.64541464629846435</c:v>
                </c:pt>
                <c:pt idx="3">
                  <c:v>0.67806966268701874</c:v>
                </c:pt>
                <c:pt idx="4">
                  <c:v>0.71405553847757341</c:v>
                </c:pt>
                <c:pt idx="5">
                  <c:v>0.77511396369941554</c:v>
                </c:pt>
              </c:numCache>
            </c:numRef>
          </c:val>
          <c:extLst xmlns:c16r2="http://schemas.microsoft.com/office/drawing/2015/06/chart">
            <c:ext xmlns:c16="http://schemas.microsoft.com/office/drawing/2014/chart" uri="{C3380CC4-5D6E-409C-BE32-E72D297353CC}">
              <c16:uniqueId val="{00000000-0B8C-4455-8B99-7074780D2CD5}"/>
            </c:ext>
          </c:extLst>
        </c:ser>
        <c:ser>
          <c:idx val="1"/>
          <c:order val="1"/>
          <c:tx>
            <c:strRef>
              <c:f>'3. odsetek kwintyle'!$B$5</c:f>
              <c:strCache>
                <c:ptCount val="1"/>
                <c:pt idx="0">
                  <c:v>2nd quarter of 2022</c:v>
                </c:pt>
              </c:strCache>
            </c:strRef>
          </c:tx>
          <c:spPr>
            <a:solidFill>
              <a:srgbClr val="6677AD"/>
            </a:solidFill>
            <a:ln w="38100"/>
            <a:effectLst/>
            <a:scene3d>
              <a:camera prst="orthographicFront"/>
              <a:lightRig rig="threePt" dir="t"/>
            </a:scene3d>
          </c:spPr>
          <c:invertIfNegative val="0"/>
          <c:dLbls>
            <c:numFmt formatCode="0.0%" sourceLinked="0"/>
            <c:spPr>
              <a:noFill/>
              <a:ln>
                <a:noFill/>
              </a:ln>
              <a:effectLst/>
            </c:spPr>
            <c:txPr>
              <a:bodyPr/>
              <a:lstStyle/>
              <a:p>
                <a:pPr>
                  <a:defRPr sz="9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'3. odsetek kwintyle'!$C$3:$H$3</c:f>
              <c:strCache>
                <c:ptCount val="6"/>
                <c:pt idx="0">
                  <c:v>Poland</c:v>
                </c:pt>
                <c:pt idx="1">
                  <c:v>first</c:v>
                </c:pt>
                <c:pt idx="2">
                  <c:v>second</c:v>
                </c:pt>
                <c:pt idx="3">
                  <c:v>third</c:v>
                </c:pt>
                <c:pt idx="4">
                  <c:v>fourth</c:v>
                </c:pt>
                <c:pt idx="5">
                  <c:v>fifth</c:v>
                </c:pt>
              </c:strCache>
            </c:strRef>
          </c:cat>
          <c:val>
            <c:numRef>
              <c:f>'3. odsetek kwintyle'!$C$5:$H$5</c:f>
              <c:numCache>
                <c:formatCode>0.0%</c:formatCode>
                <c:ptCount val="6"/>
                <c:pt idx="0">
                  <c:v>0.5328125292428233</c:v>
                </c:pt>
                <c:pt idx="1">
                  <c:v>0.4823248041979567</c:v>
                </c:pt>
                <c:pt idx="2">
                  <c:v>0.47481956553966531</c:v>
                </c:pt>
                <c:pt idx="3">
                  <c:v>0.51334057630127894</c:v>
                </c:pt>
                <c:pt idx="4">
                  <c:v>0.5391239939969249</c:v>
                </c:pt>
                <c:pt idx="5">
                  <c:v>0.60863135380125688</c:v>
                </c:pt>
              </c:numCache>
            </c:numRef>
          </c:val>
          <c:extLst xmlns:c16r2="http://schemas.microsoft.com/office/drawing/2015/06/chart">
            <c:ext xmlns:c16="http://schemas.microsoft.com/office/drawing/2014/chart" uri="{C3380CC4-5D6E-409C-BE32-E72D297353CC}">
              <c16:uniqueId val="{00000001-0B8C-4455-8B99-7074780D2CD5}"/>
            </c:ext>
          </c:extLst>
        </c:ser>
        <c:dLbls>
          <c:showLegendKey val="0"/>
          <c:showVal val="0"/>
          <c:showCatName val="0"/>
          <c:showSerName val="0"/>
          <c:showPercent val="0"/>
          <c:showBubbleSize val="0"/>
        </c:dLbls>
        <c:gapWidth val="42"/>
        <c:axId val="-1468786816"/>
        <c:axId val="-1468797696"/>
      </c:barChart>
      <c:catAx>
        <c:axId val="-1468786816"/>
        <c:scaling>
          <c:orientation val="minMax"/>
        </c:scaling>
        <c:delete val="0"/>
        <c:axPos val="b"/>
        <c:numFmt formatCode="General" sourceLinked="1"/>
        <c:majorTickMark val="out"/>
        <c:minorTickMark val="none"/>
        <c:tickLblPos val="nextTo"/>
        <c:spPr>
          <a:ln>
            <a:solidFill>
              <a:sysClr val="windowText" lastClr="000000"/>
            </a:solidFill>
          </a:ln>
        </c:spPr>
        <c:txPr>
          <a:bodyPr/>
          <a:lstStyle/>
          <a:p>
            <a:pPr>
              <a:defRPr sz="850" spc="-20" baseline="0"/>
            </a:pPr>
            <a:endParaRPr lang="pl-PL"/>
          </a:p>
        </c:txPr>
        <c:crossAx val="-1468797696"/>
        <c:crosses val="autoZero"/>
        <c:auto val="1"/>
        <c:lblAlgn val="ctr"/>
        <c:lblOffset val="100"/>
        <c:noMultiLvlLbl val="0"/>
      </c:catAx>
      <c:valAx>
        <c:axId val="-1468797696"/>
        <c:scaling>
          <c:orientation val="minMax"/>
          <c:max val="1"/>
          <c:min val="0"/>
        </c:scaling>
        <c:delete val="0"/>
        <c:axPos val="l"/>
        <c:majorGridlines>
          <c:spPr>
            <a:ln w="6350">
              <a:solidFill>
                <a:sysClr val="window" lastClr="FFFFFF">
                  <a:lumMod val="50000"/>
                  <a:alpha val="76000"/>
                </a:sysClr>
              </a:solidFill>
            </a:ln>
          </c:spPr>
        </c:majorGridlines>
        <c:numFmt formatCode="0%" sourceLinked="0"/>
        <c:majorTickMark val="out"/>
        <c:minorTickMark val="none"/>
        <c:tickLblPos val="nextTo"/>
        <c:spPr>
          <a:ln>
            <a:noFill/>
          </a:ln>
        </c:spPr>
        <c:txPr>
          <a:bodyPr/>
          <a:lstStyle/>
          <a:p>
            <a:pPr>
              <a:defRPr sz="900"/>
            </a:pPr>
            <a:endParaRPr lang="pl-PL"/>
          </a:p>
        </c:txPr>
        <c:crossAx val="-1468786816"/>
        <c:crosses val="autoZero"/>
        <c:crossBetween val="between"/>
        <c:majorUnit val="0.2"/>
        <c:minorUnit val="0.2"/>
      </c:valAx>
    </c:plotArea>
    <c:legend>
      <c:legendPos val="r"/>
      <c:layout>
        <c:manualLayout>
          <c:xMode val="edge"/>
          <c:yMode val="edge"/>
          <c:x val="7.5766245098871754E-2"/>
          <c:y val="0.16115312400276074"/>
          <c:w val="0.91426864715064937"/>
          <c:h val="7.6970173732995917E-2"/>
        </c:manualLayout>
      </c:layout>
      <c:overlay val="0"/>
      <c:spPr>
        <a:noFill/>
        <a:ln>
          <a:noFill/>
        </a:ln>
      </c:spPr>
      <c:txPr>
        <a:bodyPr/>
        <a:lstStyle/>
        <a:p>
          <a:pPr>
            <a:defRPr sz="900"/>
          </a:pPr>
          <a:endParaRPr lang="pl-PL"/>
        </a:p>
      </c:txPr>
    </c:legend>
    <c:plotVisOnly val="1"/>
    <c:dispBlanksAs val="gap"/>
    <c:showDLblsOverMax val="0"/>
  </c:chart>
  <c:spPr>
    <a:ln>
      <a:noFill/>
    </a:ln>
  </c:spPr>
  <c:txPr>
    <a:bodyPr/>
    <a:lstStyle/>
    <a:p>
      <a:pPr>
        <a:defRPr>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0497222222222221E-2"/>
          <c:y val="0.23696220548555158"/>
          <c:w val="0.91585127391829535"/>
          <c:h val="0.5671863999117075"/>
        </c:manualLayout>
      </c:layout>
      <c:barChart>
        <c:barDir val="col"/>
        <c:grouping val="clustered"/>
        <c:varyColors val="0"/>
        <c:ser>
          <c:idx val="0"/>
          <c:order val="0"/>
          <c:tx>
            <c:strRef>
              <c:f>'4. odsetek KLM'!$B$4</c:f>
              <c:strCache>
                <c:ptCount val="1"/>
                <c:pt idx="0">
                  <c:v>1st quarter of 2022</c:v>
                </c:pt>
              </c:strCache>
            </c:strRef>
          </c:tx>
          <c:spPr>
            <a:solidFill>
              <a:srgbClr val="334A92"/>
            </a:solidFill>
            <a:ln w="38100"/>
            <a:scene3d>
              <a:camera prst="orthographicFront"/>
              <a:lightRig rig="threePt" dir="t"/>
            </a:scene3d>
          </c:spPr>
          <c:invertIfNegative val="0"/>
          <c:dLbls>
            <c:numFmt formatCode="0.0%" sourceLinked="0"/>
            <c:spPr>
              <a:noFill/>
              <a:ln>
                <a:noFill/>
              </a:ln>
              <a:effectLst/>
            </c:spPr>
            <c:txPr>
              <a:bodyPr/>
              <a:lstStyle/>
              <a:p>
                <a:pPr>
                  <a:defRPr sz="9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'4. odsetek KLM'!$C$3:$I$3</c:f>
              <c:strCache>
                <c:ptCount val="7"/>
                <c:pt idx="0">
                  <c:v>Poland</c:v>
                </c:pt>
                <c:pt idx="1">
                  <c:v>Urban areas in total</c:v>
                </c:pt>
                <c:pt idx="2">
                  <c:v>Cities 500 thousand and over</c:v>
                </c:pt>
                <c:pt idx="3">
                  <c:v>Towns and cities 100-499 thousand</c:v>
                </c:pt>
                <c:pt idx="4">
                  <c:v>Towns 
20-99 thousand</c:v>
                </c:pt>
                <c:pt idx="5">
                  <c:v>Towns below 20 thousand</c:v>
                </c:pt>
                <c:pt idx="6">
                  <c:v>Rural areas</c:v>
                </c:pt>
              </c:strCache>
              <c:extLst xmlns:c16r2="http://schemas.microsoft.com/office/drawing/2015/06/chart"/>
            </c:strRef>
          </c:cat>
          <c:val>
            <c:numRef>
              <c:f>'4. odsetek KLM'!$C$4:$I$4</c:f>
              <c:numCache>
                <c:formatCode>0.0%</c:formatCode>
                <c:ptCount val="7"/>
                <c:pt idx="0">
                  <c:v>0.69906249088176664</c:v>
                </c:pt>
                <c:pt idx="1">
                  <c:v>0.70525139977462814</c:v>
                </c:pt>
                <c:pt idx="2">
                  <c:v>0.75330146216568483</c:v>
                </c:pt>
                <c:pt idx="3">
                  <c:v>0.70952503803428812</c:v>
                </c:pt>
                <c:pt idx="4">
                  <c:v>0.6918940941230709</c:v>
                </c:pt>
                <c:pt idx="5">
                  <c:v>0.66260762541518414</c:v>
                </c:pt>
                <c:pt idx="6">
                  <c:v>0.68626227061376066</c:v>
                </c:pt>
              </c:numCache>
              <c:extLst xmlns:c16r2="http://schemas.microsoft.com/office/drawing/2015/06/chart"/>
            </c:numRef>
          </c:val>
          <c:extLst xmlns:c16r2="http://schemas.microsoft.com/office/drawing/2015/06/chart">
            <c:ext xmlns:c16="http://schemas.microsoft.com/office/drawing/2014/chart" uri="{C3380CC4-5D6E-409C-BE32-E72D297353CC}">
              <c16:uniqueId val="{00000000-99EE-4788-B947-1009EB8BB33A}"/>
            </c:ext>
          </c:extLst>
        </c:ser>
        <c:ser>
          <c:idx val="1"/>
          <c:order val="1"/>
          <c:tx>
            <c:strRef>
              <c:f>'4. odsetek KLM'!$B$5</c:f>
              <c:strCache>
                <c:ptCount val="1"/>
                <c:pt idx="0">
                  <c:v>2nd quarter of 2022</c:v>
                </c:pt>
              </c:strCache>
            </c:strRef>
          </c:tx>
          <c:spPr>
            <a:solidFill>
              <a:srgbClr val="6677AD"/>
            </a:solidFill>
            <a:ln w="38100"/>
            <a:effectLst/>
            <a:scene3d>
              <a:camera prst="orthographicFront"/>
              <a:lightRig rig="threePt" dir="t"/>
            </a:scene3d>
          </c:spPr>
          <c:invertIfNegative val="0"/>
          <c:dLbls>
            <c:dLbl>
              <c:idx val="0"/>
              <c:layout>
                <c:manualLayout>
                  <c:x val="7.4377091855708441E-3"/>
                  <c:y val="-9.109625613688839E-17"/>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A861-4950-B474-44B335405F62}"/>
                </c:ext>
                <c:ext xmlns:c15="http://schemas.microsoft.com/office/drawing/2012/chart" uri="{CE6537A1-D6FC-4f65-9D91-7224C49458BB}"/>
              </c:extLst>
            </c:dLbl>
            <c:dLbl>
              <c:idx val="1"/>
              <c:layout>
                <c:manualLayout>
                  <c:x val="7.4377091855708441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A861-4950-B474-44B335405F62}"/>
                </c:ext>
                <c:ext xmlns:c15="http://schemas.microsoft.com/office/drawing/2012/chart" uri="{CE6537A1-D6FC-4f65-9D91-7224C49458BB}"/>
              </c:extLst>
            </c:dLbl>
            <c:dLbl>
              <c:idx val="2"/>
              <c:layout>
                <c:manualLayout>
                  <c:x val="7.437709185570799E-3"/>
                  <c:y val="-4.5548128068444195E-17"/>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A861-4950-B474-44B335405F62}"/>
                </c:ext>
                <c:ext xmlns:c15="http://schemas.microsoft.com/office/drawing/2012/chart" uri="{CE6537A1-D6FC-4f65-9D91-7224C49458BB}"/>
              </c:extLst>
            </c:dLbl>
            <c:dLbl>
              <c:idx val="3"/>
              <c:layout>
                <c:manualLayout>
                  <c:x val="7.4377091855708441E-3"/>
                  <c:y val="4.5548128068444195E-17"/>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A861-4950-B474-44B335405F62}"/>
                </c:ext>
                <c:ext xmlns:c15="http://schemas.microsoft.com/office/drawing/2012/chart" uri="{CE6537A1-D6FC-4f65-9D91-7224C49458BB}"/>
              </c:extLst>
            </c:dLbl>
            <c:dLbl>
              <c:idx val="4"/>
              <c:layout>
                <c:manualLayout>
                  <c:x val="7.437709185570753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A861-4950-B474-44B335405F62}"/>
                </c:ext>
                <c:ext xmlns:c15="http://schemas.microsoft.com/office/drawing/2012/chart" uri="{CE6537A1-D6FC-4f65-9D91-7224C49458BB}"/>
              </c:extLst>
            </c:dLbl>
            <c:dLbl>
              <c:idx val="5"/>
              <c:layout>
                <c:manualLayout>
                  <c:x val="7.437709185570753E-3"/>
                  <c:y val="-9.109625613688839E-17"/>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A861-4950-B474-44B335405F62}"/>
                </c:ext>
                <c:ext xmlns:c15="http://schemas.microsoft.com/office/drawing/2012/chart" uri="{CE6537A1-D6FC-4f65-9D91-7224C49458BB}"/>
              </c:extLst>
            </c:dLbl>
            <c:dLbl>
              <c:idx val="6"/>
              <c:layout>
                <c:manualLayout>
                  <c:x val="7.4377091855706619E-3"/>
                  <c:y val="-9.109625613688839E-17"/>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A861-4950-B474-44B335405F62}"/>
                </c:ext>
                <c:ext xmlns:c15="http://schemas.microsoft.com/office/drawing/2012/chart" uri="{CE6537A1-D6FC-4f65-9D91-7224C49458BB}"/>
              </c:extLst>
            </c:dLbl>
            <c:numFmt formatCode="0.0%" sourceLinked="0"/>
            <c:spPr>
              <a:noFill/>
              <a:ln>
                <a:noFill/>
              </a:ln>
              <a:effectLst/>
            </c:spPr>
            <c:txPr>
              <a:bodyPr/>
              <a:lstStyle/>
              <a:p>
                <a:pPr>
                  <a:defRPr sz="9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'4. odsetek KLM'!$C$3:$I$3</c:f>
              <c:strCache>
                <c:ptCount val="7"/>
                <c:pt idx="0">
                  <c:v>Poland</c:v>
                </c:pt>
                <c:pt idx="1">
                  <c:v>Urban areas in total</c:v>
                </c:pt>
                <c:pt idx="2">
                  <c:v>Cities 500 thousand and over</c:v>
                </c:pt>
                <c:pt idx="3">
                  <c:v>Towns and cities 100-499 thousand</c:v>
                </c:pt>
                <c:pt idx="4">
                  <c:v>Towns 
20-99 thousand</c:v>
                </c:pt>
                <c:pt idx="5">
                  <c:v>Towns below 20 thousand</c:v>
                </c:pt>
                <c:pt idx="6">
                  <c:v>Rural areas</c:v>
                </c:pt>
              </c:strCache>
              <c:extLst xmlns:c16r2="http://schemas.microsoft.com/office/drawing/2015/06/chart"/>
            </c:strRef>
          </c:cat>
          <c:val>
            <c:numRef>
              <c:f>'4. odsetek KLM'!$C$5:$I$5</c:f>
              <c:numCache>
                <c:formatCode>0.0%</c:formatCode>
                <c:ptCount val="7"/>
                <c:pt idx="0">
                  <c:v>0.5328125292428233</c:v>
                </c:pt>
                <c:pt idx="1">
                  <c:v>0.56064485346400783</c:v>
                </c:pt>
                <c:pt idx="2">
                  <c:v>0.61881051214423788</c:v>
                </c:pt>
                <c:pt idx="3">
                  <c:v>0.58680326765433144</c:v>
                </c:pt>
                <c:pt idx="4">
                  <c:v>0.52845994101422844</c:v>
                </c:pt>
                <c:pt idx="5">
                  <c:v>0.503258955318724</c:v>
                </c:pt>
                <c:pt idx="6">
                  <c:v>0.4752482947574318</c:v>
                </c:pt>
              </c:numCache>
              <c:extLst xmlns:c16r2="http://schemas.microsoft.com/office/drawing/2015/06/chart"/>
            </c:numRef>
          </c:val>
          <c:extLst xmlns:c16r2="http://schemas.microsoft.com/office/drawing/2015/06/chart">
            <c:ext xmlns:c16="http://schemas.microsoft.com/office/drawing/2014/chart" uri="{C3380CC4-5D6E-409C-BE32-E72D297353CC}">
              <c16:uniqueId val="{00000001-99EE-4788-B947-1009EB8BB33A}"/>
            </c:ext>
          </c:extLst>
        </c:ser>
        <c:dLbls>
          <c:showLegendKey val="0"/>
          <c:showVal val="0"/>
          <c:showCatName val="0"/>
          <c:showSerName val="0"/>
          <c:showPercent val="0"/>
          <c:showBubbleSize val="0"/>
        </c:dLbls>
        <c:gapWidth val="42"/>
        <c:axId val="-1467057712"/>
        <c:axId val="-1544013808"/>
      </c:barChart>
      <c:catAx>
        <c:axId val="-1467057712"/>
        <c:scaling>
          <c:orientation val="minMax"/>
        </c:scaling>
        <c:delete val="0"/>
        <c:axPos val="b"/>
        <c:numFmt formatCode="General" sourceLinked="1"/>
        <c:majorTickMark val="out"/>
        <c:minorTickMark val="none"/>
        <c:tickLblPos val="nextTo"/>
        <c:spPr>
          <a:ln>
            <a:solidFill>
              <a:sysClr val="windowText" lastClr="000000"/>
            </a:solidFill>
          </a:ln>
        </c:spPr>
        <c:txPr>
          <a:bodyPr/>
          <a:lstStyle/>
          <a:p>
            <a:pPr>
              <a:defRPr sz="850" spc="-20" baseline="0"/>
            </a:pPr>
            <a:endParaRPr lang="pl-PL"/>
          </a:p>
        </c:txPr>
        <c:crossAx val="-1544013808"/>
        <c:crosses val="autoZero"/>
        <c:auto val="1"/>
        <c:lblAlgn val="ctr"/>
        <c:lblOffset val="100"/>
        <c:noMultiLvlLbl val="0"/>
      </c:catAx>
      <c:valAx>
        <c:axId val="-1544013808"/>
        <c:scaling>
          <c:orientation val="minMax"/>
          <c:max val="1"/>
          <c:min val="0"/>
        </c:scaling>
        <c:delete val="0"/>
        <c:axPos val="l"/>
        <c:majorGridlines>
          <c:spPr>
            <a:ln w="6350">
              <a:solidFill>
                <a:sysClr val="window" lastClr="FFFFFF">
                  <a:lumMod val="50000"/>
                  <a:alpha val="76000"/>
                </a:sysClr>
              </a:solidFill>
            </a:ln>
          </c:spPr>
        </c:majorGridlines>
        <c:numFmt formatCode="0%" sourceLinked="0"/>
        <c:majorTickMark val="out"/>
        <c:minorTickMark val="none"/>
        <c:tickLblPos val="nextTo"/>
        <c:spPr>
          <a:ln>
            <a:noFill/>
          </a:ln>
        </c:spPr>
        <c:txPr>
          <a:bodyPr/>
          <a:lstStyle/>
          <a:p>
            <a:pPr>
              <a:defRPr sz="900"/>
            </a:pPr>
            <a:endParaRPr lang="pl-PL"/>
          </a:p>
        </c:txPr>
        <c:crossAx val="-1467057712"/>
        <c:crosses val="autoZero"/>
        <c:crossBetween val="between"/>
        <c:majorUnit val="0.2"/>
        <c:minorUnit val="0.2"/>
      </c:valAx>
    </c:plotArea>
    <c:legend>
      <c:legendPos val="r"/>
      <c:layout>
        <c:manualLayout>
          <c:xMode val="edge"/>
          <c:yMode val="edge"/>
          <c:x val="7.8245414975302005E-2"/>
          <c:y val="0.15400379809942799"/>
          <c:w val="0.91426864715064937"/>
          <c:h val="7.8434586980975204E-2"/>
        </c:manualLayout>
      </c:layout>
      <c:overlay val="0"/>
      <c:spPr>
        <a:noFill/>
        <a:ln>
          <a:noFill/>
        </a:ln>
      </c:spPr>
      <c:txPr>
        <a:bodyPr/>
        <a:lstStyle/>
        <a:p>
          <a:pPr>
            <a:defRPr sz="900"/>
          </a:pPr>
          <a:endParaRPr lang="pl-PL"/>
        </a:p>
      </c:txPr>
    </c:legend>
    <c:plotVisOnly val="1"/>
    <c:dispBlanksAs val="gap"/>
    <c:showDLblsOverMax val="0"/>
  </c:chart>
  <c:spPr>
    <a:ln>
      <a:noFill/>
    </a:ln>
  </c:spPr>
  <c:txPr>
    <a:bodyPr/>
    <a:lstStyle/>
    <a:p>
      <a:pPr>
        <a:defRPr>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4634711485906144"/>
          <c:y val="0.14413401852583896"/>
          <c:w val="0.71182048879519"/>
          <c:h val="0.79998290580027565"/>
        </c:manualLayout>
      </c:layout>
      <c:barChart>
        <c:barDir val="bar"/>
        <c:grouping val="clustered"/>
        <c:varyColors val="0"/>
        <c:ser>
          <c:idx val="0"/>
          <c:order val="0"/>
          <c:tx>
            <c:strRef>
              <c:f>'5. odsetek województwa'!$B$4</c:f>
              <c:strCache>
                <c:ptCount val="1"/>
                <c:pt idx="0">
                  <c:v>1st quarter of 2022</c:v>
                </c:pt>
              </c:strCache>
            </c:strRef>
          </c:tx>
          <c:spPr>
            <a:solidFill>
              <a:srgbClr val="334A92"/>
            </a:solidFill>
            <a:ln w="38100"/>
            <a:scene3d>
              <a:camera prst="orthographicFront"/>
              <a:lightRig rig="threePt" dir="t"/>
            </a:scene3d>
          </c:spPr>
          <c:invertIfNegative val="0"/>
          <c:dLbls>
            <c:numFmt formatCode="0.0%" sourceLinked="0"/>
            <c:spPr>
              <a:noFill/>
              <a:ln>
                <a:noFill/>
              </a:ln>
              <a:effectLst/>
            </c:spPr>
            <c:txPr>
              <a:bodyPr/>
              <a:lstStyle/>
              <a:p>
                <a:pPr>
                  <a:defRPr sz="900"/>
                </a:pPr>
                <a:endParaRPr lang="pl-PL"/>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'5. odsetek województwa'!$C$3:$S$3</c:f>
              <c:strCache>
                <c:ptCount val="17"/>
                <c:pt idx="0">
                  <c:v>Poland</c:v>
                </c:pt>
                <c:pt idx="1">
                  <c:v>dolnośląskie</c:v>
                </c:pt>
                <c:pt idx="2">
                  <c:v>kujawsko-pomorskie</c:v>
                </c:pt>
                <c:pt idx="3">
                  <c:v>lubelskie</c:v>
                </c:pt>
                <c:pt idx="4">
                  <c:v>lubuskie</c:v>
                </c:pt>
                <c:pt idx="5">
                  <c:v>łódzkie</c:v>
                </c:pt>
                <c:pt idx="6">
                  <c:v>małopolskie</c:v>
                </c:pt>
                <c:pt idx="7">
                  <c:v>mazowieckie</c:v>
                </c:pt>
                <c:pt idx="8">
                  <c:v>opolskie</c:v>
                </c:pt>
                <c:pt idx="9">
                  <c:v>podkarpackie</c:v>
                </c:pt>
                <c:pt idx="10">
                  <c:v>podlaskie</c:v>
                </c:pt>
                <c:pt idx="11">
                  <c:v>pomorskie</c:v>
                </c:pt>
                <c:pt idx="12">
                  <c:v>śląskie</c:v>
                </c:pt>
                <c:pt idx="13">
                  <c:v>świętokrzyskie</c:v>
                </c:pt>
                <c:pt idx="14">
                  <c:v>warmińsko-mazurskie</c:v>
                </c:pt>
                <c:pt idx="15">
                  <c:v>wielkopolskie</c:v>
                </c:pt>
                <c:pt idx="16">
                  <c:v>zachodniopomorskie</c:v>
                </c:pt>
              </c:strCache>
            </c:strRef>
          </c:cat>
          <c:val>
            <c:numRef>
              <c:f>'5. odsetek województwa'!$C$4:$S$4</c:f>
              <c:numCache>
                <c:formatCode>0.0%</c:formatCode>
                <c:ptCount val="17"/>
                <c:pt idx="0">
                  <c:v>0.69906249088176664</c:v>
                </c:pt>
                <c:pt idx="1">
                  <c:v>0.70822429452226809</c:v>
                </c:pt>
                <c:pt idx="2">
                  <c:v>0.71954229398919667</c:v>
                </c:pt>
                <c:pt idx="3">
                  <c:v>0.70627722923237213</c:v>
                </c:pt>
                <c:pt idx="4">
                  <c:v>0.58545110359731101</c:v>
                </c:pt>
                <c:pt idx="5">
                  <c:v>0.63805599086384868</c:v>
                </c:pt>
                <c:pt idx="6">
                  <c:v>0.6795340499703183</c:v>
                </c:pt>
                <c:pt idx="7">
                  <c:v>0.77975820919399252</c:v>
                </c:pt>
                <c:pt idx="8">
                  <c:v>0.72990233856805342</c:v>
                </c:pt>
                <c:pt idx="9">
                  <c:v>0.83603890679441184</c:v>
                </c:pt>
                <c:pt idx="10">
                  <c:v>0.68688531376239725</c:v>
                </c:pt>
                <c:pt idx="11">
                  <c:v>0.69496461459243919</c:v>
                </c:pt>
                <c:pt idx="12">
                  <c:v>0.65588814106470394</c:v>
                </c:pt>
                <c:pt idx="13">
                  <c:v>0.71881883345184971</c:v>
                </c:pt>
                <c:pt idx="14">
                  <c:v>0.65409122859555213</c:v>
                </c:pt>
                <c:pt idx="15">
                  <c:v>0.59648975328926424</c:v>
                </c:pt>
                <c:pt idx="16">
                  <c:v>0.75331193502777538</c:v>
                </c:pt>
              </c:numCache>
            </c:numRef>
          </c:val>
          <c:extLst xmlns:c16r2="http://schemas.microsoft.com/office/drawing/2015/06/chart">
            <c:ext xmlns:c16="http://schemas.microsoft.com/office/drawing/2014/chart" uri="{C3380CC4-5D6E-409C-BE32-E72D297353CC}">
              <c16:uniqueId val="{00000000-6310-4A92-B092-B836973D8F83}"/>
            </c:ext>
          </c:extLst>
        </c:ser>
        <c:ser>
          <c:idx val="1"/>
          <c:order val="1"/>
          <c:tx>
            <c:strRef>
              <c:f>'5. odsetek województwa'!$B$5</c:f>
              <c:strCache>
                <c:ptCount val="1"/>
                <c:pt idx="0">
                  <c:v>2nd quarter of 2022</c:v>
                </c:pt>
              </c:strCache>
            </c:strRef>
          </c:tx>
          <c:spPr>
            <a:solidFill>
              <a:srgbClr val="99A4C8"/>
            </a:solidFill>
            <a:ln w="38100"/>
            <a:effectLst/>
            <a:scene3d>
              <a:camera prst="orthographicFront"/>
              <a:lightRig rig="threePt" dir="t"/>
            </a:scene3d>
          </c:spPr>
          <c:invertIfNegative val="0"/>
          <c:dLbls>
            <c:numFmt formatCode="0.0%" sourceLinked="0"/>
            <c:spPr>
              <a:noFill/>
              <a:ln>
                <a:noFill/>
              </a:ln>
              <a:effectLst/>
            </c:spPr>
            <c:txPr>
              <a:bodyPr/>
              <a:lstStyle/>
              <a:p>
                <a:pPr>
                  <a:defRPr sz="900">
                    <a:solidFill>
                      <a:sysClr val="windowText" lastClr="000000"/>
                    </a:solidFill>
                  </a:defRPr>
                </a:pPr>
                <a:endParaRPr lang="pl-PL"/>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'5. odsetek województwa'!$C$3:$S$3</c:f>
              <c:strCache>
                <c:ptCount val="17"/>
                <c:pt idx="0">
                  <c:v>Poland</c:v>
                </c:pt>
                <c:pt idx="1">
                  <c:v>dolnośląskie</c:v>
                </c:pt>
                <c:pt idx="2">
                  <c:v>kujawsko-pomorskie</c:v>
                </c:pt>
                <c:pt idx="3">
                  <c:v>lubelskie</c:v>
                </c:pt>
                <c:pt idx="4">
                  <c:v>lubuskie</c:v>
                </c:pt>
                <c:pt idx="5">
                  <c:v>łódzkie</c:v>
                </c:pt>
                <c:pt idx="6">
                  <c:v>małopolskie</c:v>
                </c:pt>
                <c:pt idx="7">
                  <c:v>mazowieckie</c:v>
                </c:pt>
                <c:pt idx="8">
                  <c:v>opolskie</c:v>
                </c:pt>
                <c:pt idx="9">
                  <c:v>podkarpackie</c:v>
                </c:pt>
                <c:pt idx="10">
                  <c:v>podlaskie</c:v>
                </c:pt>
                <c:pt idx="11">
                  <c:v>pomorskie</c:v>
                </c:pt>
                <c:pt idx="12">
                  <c:v>śląskie</c:v>
                </c:pt>
                <c:pt idx="13">
                  <c:v>świętokrzyskie</c:v>
                </c:pt>
                <c:pt idx="14">
                  <c:v>warmińsko-mazurskie</c:v>
                </c:pt>
                <c:pt idx="15">
                  <c:v>wielkopolskie</c:v>
                </c:pt>
                <c:pt idx="16">
                  <c:v>zachodniopomorskie</c:v>
                </c:pt>
              </c:strCache>
            </c:strRef>
          </c:cat>
          <c:val>
            <c:numRef>
              <c:f>'5. odsetek województwa'!$C$5:$S$5</c:f>
              <c:numCache>
                <c:formatCode>0.0%</c:formatCode>
                <c:ptCount val="17"/>
                <c:pt idx="0">
                  <c:v>0.5328125292428233</c:v>
                </c:pt>
                <c:pt idx="1">
                  <c:v>0.5568636375493492</c:v>
                </c:pt>
                <c:pt idx="2">
                  <c:v>0.56414720303532884</c:v>
                </c:pt>
                <c:pt idx="3">
                  <c:v>0.50721595861332136</c:v>
                </c:pt>
                <c:pt idx="4">
                  <c:v>0.39557874082494221</c:v>
                </c:pt>
                <c:pt idx="5">
                  <c:v>0.4413787485472852</c:v>
                </c:pt>
                <c:pt idx="6">
                  <c:v>0.50822039061315105</c:v>
                </c:pt>
                <c:pt idx="7">
                  <c:v>0.65201899410692565</c:v>
                </c:pt>
                <c:pt idx="8">
                  <c:v>0.58895029325287485</c:v>
                </c:pt>
                <c:pt idx="9">
                  <c:v>0.54265736731602465</c:v>
                </c:pt>
                <c:pt idx="10">
                  <c:v>0.4666475347873561</c:v>
                </c:pt>
                <c:pt idx="11">
                  <c:v>0.54994622588127728</c:v>
                </c:pt>
                <c:pt idx="12">
                  <c:v>0.5372081534811024</c:v>
                </c:pt>
                <c:pt idx="13">
                  <c:v>0.50017683881451214</c:v>
                </c:pt>
                <c:pt idx="14">
                  <c:v>0.43347261458478792</c:v>
                </c:pt>
                <c:pt idx="15">
                  <c:v>0.43525071681521466</c:v>
                </c:pt>
                <c:pt idx="16">
                  <c:v>0.58417602598219676</c:v>
                </c:pt>
              </c:numCache>
            </c:numRef>
          </c:val>
          <c:extLst xmlns:c16r2="http://schemas.microsoft.com/office/drawing/2015/06/chart">
            <c:ext xmlns:c16="http://schemas.microsoft.com/office/drawing/2014/chart" uri="{C3380CC4-5D6E-409C-BE32-E72D297353CC}">
              <c16:uniqueId val="{00000001-6310-4A92-B092-B836973D8F83}"/>
            </c:ext>
          </c:extLst>
        </c:ser>
        <c:dLbls>
          <c:showLegendKey val="0"/>
          <c:showVal val="0"/>
          <c:showCatName val="0"/>
          <c:showSerName val="0"/>
          <c:showPercent val="0"/>
          <c:showBubbleSize val="0"/>
        </c:dLbls>
        <c:gapWidth val="40"/>
        <c:overlap val="100"/>
        <c:axId val="-1544023600"/>
        <c:axId val="-1544014896"/>
      </c:barChart>
      <c:catAx>
        <c:axId val="-1544023600"/>
        <c:scaling>
          <c:orientation val="maxMin"/>
        </c:scaling>
        <c:delete val="0"/>
        <c:axPos val="l"/>
        <c:numFmt formatCode="General" sourceLinked="1"/>
        <c:majorTickMark val="out"/>
        <c:minorTickMark val="none"/>
        <c:tickLblPos val="nextTo"/>
        <c:spPr>
          <a:ln>
            <a:solidFill>
              <a:sysClr val="windowText" lastClr="000000"/>
            </a:solidFill>
          </a:ln>
        </c:spPr>
        <c:txPr>
          <a:bodyPr/>
          <a:lstStyle/>
          <a:p>
            <a:pPr>
              <a:defRPr sz="900" spc="-20" baseline="0"/>
            </a:pPr>
            <a:endParaRPr lang="pl-PL"/>
          </a:p>
        </c:txPr>
        <c:crossAx val="-1544014896"/>
        <c:crosses val="autoZero"/>
        <c:auto val="1"/>
        <c:lblAlgn val="ctr"/>
        <c:lblOffset val="100"/>
        <c:noMultiLvlLbl val="0"/>
      </c:catAx>
      <c:valAx>
        <c:axId val="-1544014896"/>
        <c:scaling>
          <c:orientation val="minMax"/>
          <c:max val="1"/>
          <c:min val="0"/>
        </c:scaling>
        <c:delete val="0"/>
        <c:axPos val="b"/>
        <c:majorGridlines>
          <c:spPr>
            <a:ln w="6350">
              <a:solidFill>
                <a:sysClr val="window" lastClr="FFFFFF">
                  <a:lumMod val="50000"/>
                  <a:alpha val="76000"/>
                </a:sysClr>
              </a:solidFill>
            </a:ln>
          </c:spPr>
        </c:majorGridlines>
        <c:numFmt formatCode="0%" sourceLinked="0"/>
        <c:majorTickMark val="out"/>
        <c:minorTickMark val="none"/>
        <c:tickLblPos val="nextTo"/>
        <c:spPr>
          <a:ln>
            <a:noFill/>
          </a:ln>
        </c:spPr>
        <c:txPr>
          <a:bodyPr/>
          <a:lstStyle/>
          <a:p>
            <a:pPr>
              <a:defRPr sz="900"/>
            </a:pPr>
            <a:endParaRPr lang="pl-PL"/>
          </a:p>
        </c:txPr>
        <c:crossAx val="-1544023600"/>
        <c:crosses val="max"/>
        <c:crossBetween val="between"/>
        <c:majorUnit val="0.2"/>
        <c:minorUnit val="0.2"/>
      </c:valAx>
    </c:plotArea>
    <c:legend>
      <c:legendPos val="r"/>
      <c:layout>
        <c:manualLayout>
          <c:xMode val="edge"/>
          <c:yMode val="edge"/>
          <c:x val="0.22947128819756585"/>
          <c:y val="9.0844560305131467E-2"/>
          <c:w val="0.73529378464902007"/>
          <c:h val="5.0279597004241505E-2"/>
        </c:manualLayout>
      </c:layout>
      <c:overlay val="0"/>
      <c:spPr>
        <a:noFill/>
        <a:ln>
          <a:noFill/>
        </a:ln>
      </c:spPr>
      <c:txPr>
        <a:bodyPr/>
        <a:lstStyle/>
        <a:p>
          <a:pPr>
            <a:defRPr sz="900"/>
          </a:pPr>
          <a:endParaRPr lang="pl-PL"/>
        </a:p>
      </c:txPr>
    </c:legend>
    <c:plotVisOnly val="1"/>
    <c:dispBlanksAs val="gap"/>
    <c:showDLblsOverMax val="0"/>
  </c:chart>
  <c:spPr>
    <a:ln>
      <a:noFill/>
    </a:ln>
  </c:spPr>
  <c:txPr>
    <a:bodyPr/>
    <a:lstStyle/>
    <a:p>
      <a:pPr>
        <a:defRPr>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0.0871</cdr:x>
      <cdr:y>0.00647</cdr:y>
    </cdr:from>
    <cdr:to>
      <cdr:x>0.89915</cdr:x>
      <cdr:y>0.11853</cdr:y>
    </cdr:to>
    <cdr:sp macro="" textlink="">
      <cdr:nvSpPr>
        <cdr:cNvPr id="8" name="pole tekstowe 7"/>
        <cdr:cNvSpPr txBox="1"/>
      </cdr:nvSpPr>
      <cdr:spPr>
        <a:xfrm xmlns:a="http://schemas.openxmlformats.org/drawingml/2006/main">
          <a:off x="548716" y="22124"/>
          <a:ext cx="5115781" cy="38318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sz="1100"/>
        </a:p>
      </cdr:txBody>
    </cdr:sp>
  </cdr:relSizeAnchor>
  <cdr:relSizeAnchor xmlns:cdr="http://schemas.openxmlformats.org/drawingml/2006/chartDrawing">
    <cdr:from>
      <cdr:x>0.00032</cdr:x>
      <cdr:y>0</cdr:y>
    </cdr:from>
    <cdr:to>
      <cdr:x>1</cdr:x>
      <cdr:y>0.17462</cdr:y>
    </cdr:to>
    <cdr:sp macro="" textlink="">
      <cdr:nvSpPr>
        <cdr:cNvPr id="11" name="pole tekstowe 10"/>
        <cdr:cNvSpPr txBox="1"/>
      </cdr:nvSpPr>
      <cdr:spPr>
        <a:xfrm xmlns:a="http://schemas.openxmlformats.org/drawingml/2006/main">
          <a:off x="1639" y="0"/>
          <a:ext cx="5120906" cy="452516"/>
        </a:xfrm>
        <a:prstGeom xmlns:a="http://schemas.openxmlformats.org/drawingml/2006/main" prst="rect">
          <a:avLst/>
        </a:prstGeom>
      </cdr:spPr>
      <cdr:txBody>
        <a:bodyPr xmlns:a="http://schemas.openxmlformats.org/drawingml/2006/main" vertOverflow="clip" wrap="square" lIns="0" rIns="0" rtlCol="0" anchor="t"/>
        <a:lstStyle xmlns:a="http://schemas.openxmlformats.org/drawingml/2006/main"/>
        <a:p xmlns:a="http://schemas.openxmlformats.org/drawingml/2006/main">
          <a:pPr marL="0" marR="0" lvl="0" indent="0" algn="l" defTabSz="914400" eaLnBrk="1" fontAlgn="auto" latinLnBrk="0" hangingPunct="1">
            <a:lnSpc>
              <a:spcPct val="100000"/>
            </a:lnSpc>
            <a:spcBef>
              <a:spcPts val="0"/>
            </a:spcBef>
            <a:spcAft>
              <a:spcPts val="0"/>
            </a:spcAft>
            <a:buClrTx/>
            <a:buSzTx/>
            <a:buFontTx/>
            <a:buNone/>
            <a:tabLst/>
            <a:defRPr/>
          </a:pPr>
          <a:r>
            <a:rPr lang="pl-PL" sz="900" b="1" spc="0">
              <a:effectLst/>
              <a:latin typeface="Fira Sans" panose="020B0503050000020004" pitchFamily="34" charset="0"/>
              <a:ea typeface="Fira Sans" panose="020B0503050000020004" pitchFamily="34" charset="0"/>
              <a:cs typeface="+mn-cs"/>
            </a:rPr>
            <a:t>Graph 1.</a:t>
          </a:r>
          <a:r>
            <a:rPr kumimoji="0" lang="pl-PL" sz="900" b="1" i="0" u="none" strike="noStrike" kern="0" cap="none" spc="0" normalizeH="0" baseline="30000" noProof="0">
              <a:ln>
                <a:noFill/>
              </a:ln>
              <a:solidFill>
                <a:sysClr val="windowText" lastClr="000000"/>
              </a:solidFill>
              <a:effectLst/>
              <a:uLnTx/>
              <a:uFillTx/>
              <a:latin typeface="Fira Sans" panose="020B0503050000020004" pitchFamily="34" charset="0"/>
              <a:ea typeface="Fira Sans" panose="020B0503050000020004" pitchFamily="34" charset="0"/>
              <a:cs typeface="+mn-cs"/>
            </a:rPr>
            <a:t>    </a:t>
          </a:r>
          <a:r>
            <a:rPr lang="pl-PL" sz="900" b="1" spc="0" baseline="0">
              <a:effectLst/>
              <a:latin typeface="Fira Sans" panose="020B0503050000020004" pitchFamily="34" charset="0"/>
              <a:ea typeface="Fira Sans" panose="020B0503050000020004" pitchFamily="34" charset="0"/>
              <a:cs typeface="+mn-cs"/>
            </a:rPr>
            <a:t>Percentage of households, which granted support to the inhabitants </a:t>
          </a:r>
          <a:br>
            <a:rPr lang="pl-PL" sz="900" b="1" spc="0" baseline="0">
              <a:effectLst/>
              <a:latin typeface="Fira Sans" panose="020B0503050000020004" pitchFamily="34" charset="0"/>
              <a:ea typeface="Fira Sans" panose="020B0503050000020004" pitchFamily="34" charset="0"/>
              <a:cs typeface="+mn-cs"/>
            </a:rPr>
          </a:br>
          <a:r>
            <a:rPr lang="pl-PL" sz="900" b="1" spc="0" baseline="0">
              <a:effectLst/>
              <a:latin typeface="Fira Sans" panose="020B0503050000020004" pitchFamily="34" charset="0"/>
              <a:ea typeface="Fira Sans" panose="020B0503050000020004" pitchFamily="34" charset="0"/>
              <a:cs typeface="+mn-cs"/>
            </a:rPr>
            <a:t>                  of Ukraine in the 1st and 2nd quarters and in the 1st half of 2022</a:t>
          </a:r>
        </a:p>
        <a:p xmlns:a="http://schemas.openxmlformats.org/drawingml/2006/main">
          <a:pPr marL="0" marR="0" lvl="0" indent="0" algn="l" defTabSz="914400" eaLnBrk="1" fontAlgn="auto" latinLnBrk="0" hangingPunct="1">
            <a:lnSpc>
              <a:spcPct val="100000"/>
            </a:lnSpc>
            <a:spcBef>
              <a:spcPts val="0"/>
            </a:spcBef>
            <a:spcAft>
              <a:spcPts val="0"/>
            </a:spcAft>
            <a:buClrTx/>
            <a:buSzTx/>
            <a:buFontTx/>
            <a:buNone/>
            <a:tabLst/>
            <a:defRPr/>
          </a:pPr>
          <a:endParaRPr lang="pl-PL" sz="900" b="1" spc="0" baseline="0">
            <a:effectLst/>
            <a:latin typeface="Fira Sans" panose="020B0503050000020004" pitchFamily="34" charset="0"/>
            <a:ea typeface="Fira Sans" panose="020B0503050000020004" pitchFamily="34" charset="0"/>
            <a:cs typeface="+mn-cs"/>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cdr:y>
    </cdr:from>
    <cdr:to>
      <cdr:x>1</cdr:x>
      <cdr:y>0.09322</cdr:y>
    </cdr:to>
    <cdr:sp macro="" textlink="">
      <cdr:nvSpPr>
        <cdr:cNvPr id="2" name="pole tekstowe 1"/>
        <cdr:cNvSpPr txBox="1"/>
      </cdr:nvSpPr>
      <cdr:spPr>
        <a:xfrm xmlns:a="http://schemas.openxmlformats.org/drawingml/2006/main">
          <a:off x="0" y="0"/>
          <a:ext cx="5122800" cy="48660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lvl="0" indent="0" defTabSz="914400" eaLnBrk="1" fontAlgn="auto" latinLnBrk="0" hangingPunct="1">
            <a:lnSpc>
              <a:spcPct val="100000"/>
            </a:lnSpc>
            <a:spcBef>
              <a:spcPts val="0"/>
            </a:spcBef>
            <a:spcAft>
              <a:spcPts val="0"/>
            </a:spcAft>
            <a:buClrTx/>
            <a:buSzTx/>
            <a:buFontTx/>
            <a:buNone/>
            <a:tabLst/>
            <a:defRPr/>
          </a:pPr>
          <a:r>
            <a:rPr lang="pl-PL" sz="950" b="1">
              <a:effectLst/>
              <a:latin typeface="Fira Sans" panose="020B0503050000020004" pitchFamily="34" charset="0"/>
              <a:ea typeface="Fira Sans" panose="020B0503050000020004" pitchFamily="34" charset="0"/>
              <a:cs typeface="+mn-cs"/>
            </a:rPr>
            <a:t>Graph 2.    Percentage</a:t>
          </a:r>
          <a:r>
            <a:rPr lang="pl-PL" sz="950" b="1" baseline="30000">
              <a:effectLst/>
              <a:latin typeface="Fira Sans" panose="020B0503050000020004" pitchFamily="34" charset="0"/>
              <a:ea typeface="Fira Sans" panose="020B0503050000020004" pitchFamily="34" charset="0"/>
              <a:cs typeface="+mn-cs"/>
            </a:rPr>
            <a:t>2</a:t>
          </a:r>
          <a:r>
            <a:rPr lang="pl-PL" sz="950" b="1">
              <a:effectLst/>
              <a:latin typeface="Fira Sans" panose="020B0503050000020004" pitchFamily="34" charset="0"/>
              <a:ea typeface="Fira Sans" panose="020B0503050000020004" pitchFamily="34" charset="0"/>
              <a:cs typeface="+mn-cs"/>
            </a:rPr>
            <a:t> of households, which granted support to the inhabitants </a:t>
          </a:r>
          <a:br>
            <a:rPr lang="pl-PL" sz="950" b="1">
              <a:effectLst/>
              <a:latin typeface="Fira Sans" panose="020B0503050000020004" pitchFamily="34" charset="0"/>
              <a:ea typeface="Fira Sans" panose="020B0503050000020004" pitchFamily="34" charset="0"/>
              <a:cs typeface="+mn-cs"/>
            </a:rPr>
          </a:br>
          <a:r>
            <a:rPr lang="pl-PL" sz="950" b="1">
              <a:effectLst/>
              <a:latin typeface="Fira Sans" panose="020B0503050000020004" pitchFamily="34" charset="0"/>
              <a:ea typeface="Fira Sans" panose="020B0503050000020004" pitchFamily="34" charset="0"/>
              <a:cs typeface="+mn-cs"/>
            </a:rPr>
            <a:t>                    of Ukraine in the 1st and 2nd quarters of 2022 by types of support</a:t>
          </a:r>
          <a:r>
            <a:rPr lang="pl-PL" sz="950" b="1" baseline="30000">
              <a:effectLst/>
              <a:latin typeface="Fira Sans" panose="020B0503050000020004" pitchFamily="34" charset="0"/>
              <a:ea typeface="Fira Sans" panose="020B0503050000020004" pitchFamily="34" charset="0"/>
              <a:cs typeface="+mn-cs"/>
            </a:rPr>
            <a:t>3</a:t>
          </a:r>
        </a:p>
      </cdr:txBody>
    </cdr:sp>
  </cdr:relSizeAnchor>
</c:userShapes>
</file>

<file path=word/drawings/drawing3.xml><?xml version="1.0" encoding="utf-8"?>
<c:userShapes xmlns:c="http://schemas.openxmlformats.org/drawingml/2006/chart">
  <cdr:relSizeAnchor xmlns:cdr="http://schemas.openxmlformats.org/drawingml/2006/chartDrawing">
    <cdr:from>
      <cdr:x>0.0871</cdr:x>
      <cdr:y>0.00647</cdr:y>
    </cdr:from>
    <cdr:to>
      <cdr:x>0.89915</cdr:x>
      <cdr:y>0.11853</cdr:y>
    </cdr:to>
    <cdr:sp macro="" textlink="">
      <cdr:nvSpPr>
        <cdr:cNvPr id="8" name="pole tekstowe 7"/>
        <cdr:cNvSpPr txBox="1"/>
      </cdr:nvSpPr>
      <cdr:spPr>
        <a:xfrm xmlns:a="http://schemas.openxmlformats.org/drawingml/2006/main">
          <a:off x="548716" y="22124"/>
          <a:ext cx="5115781" cy="38318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sz="1100"/>
        </a:p>
      </cdr:txBody>
    </cdr:sp>
  </cdr:relSizeAnchor>
  <cdr:relSizeAnchor xmlns:cdr="http://schemas.openxmlformats.org/drawingml/2006/chartDrawing">
    <cdr:from>
      <cdr:x>0.00032</cdr:x>
      <cdr:y>0</cdr:y>
    </cdr:from>
    <cdr:to>
      <cdr:x>1</cdr:x>
      <cdr:y>0.17462</cdr:y>
    </cdr:to>
    <cdr:sp macro="" textlink="">
      <cdr:nvSpPr>
        <cdr:cNvPr id="11" name="pole tekstowe 10"/>
        <cdr:cNvSpPr txBox="1"/>
      </cdr:nvSpPr>
      <cdr:spPr>
        <a:xfrm xmlns:a="http://schemas.openxmlformats.org/drawingml/2006/main">
          <a:off x="1951" y="0"/>
          <a:ext cx="6094164" cy="440746"/>
        </a:xfrm>
        <a:prstGeom xmlns:a="http://schemas.openxmlformats.org/drawingml/2006/main" prst="rect">
          <a:avLst/>
        </a:prstGeom>
      </cdr:spPr>
      <cdr:txBody>
        <a:bodyPr xmlns:a="http://schemas.openxmlformats.org/drawingml/2006/main" vertOverflow="clip" wrap="square" lIns="0" rIns="0" rtlCol="0" anchor="t"/>
        <a:lstStyle xmlns:a="http://schemas.openxmlformats.org/drawingml/2006/main"/>
        <a:p xmlns:a="http://schemas.openxmlformats.org/drawingml/2006/main">
          <a:pPr marL="0" marR="0" lvl="0" indent="0" algn="l" defTabSz="914400" eaLnBrk="1" fontAlgn="auto" latinLnBrk="0" hangingPunct="1">
            <a:lnSpc>
              <a:spcPct val="100000"/>
            </a:lnSpc>
            <a:spcBef>
              <a:spcPts val="0"/>
            </a:spcBef>
            <a:spcAft>
              <a:spcPts val="0"/>
            </a:spcAft>
            <a:buClrTx/>
            <a:buSzTx/>
            <a:buFontTx/>
            <a:buNone/>
            <a:tabLst/>
            <a:defRPr/>
          </a:pPr>
          <a:r>
            <a:rPr lang="pl-PL" sz="900" b="1" spc="0">
              <a:effectLst/>
              <a:latin typeface="Fira Sans" panose="020B0503050000020004" pitchFamily="34" charset="0"/>
              <a:ea typeface="Fira Sans" panose="020B0503050000020004" pitchFamily="34" charset="0"/>
              <a:cs typeface="+mn-cs"/>
            </a:rPr>
            <a:t>Graph 3.</a:t>
          </a:r>
          <a:r>
            <a:rPr kumimoji="0" lang="pl-PL" sz="900" b="1" i="0" u="none" strike="noStrike" kern="0" cap="none" spc="0" normalizeH="0" baseline="30000" noProof="0">
              <a:ln>
                <a:noFill/>
              </a:ln>
              <a:solidFill>
                <a:sysClr val="windowText" lastClr="000000"/>
              </a:solidFill>
              <a:effectLst/>
              <a:uLnTx/>
              <a:uFillTx/>
              <a:latin typeface="Fira Sans" panose="020B0503050000020004" pitchFamily="34" charset="0"/>
              <a:ea typeface="Fira Sans" panose="020B0503050000020004" pitchFamily="34" charset="0"/>
              <a:cs typeface="+mn-cs"/>
            </a:rPr>
            <a:t>    </a:t>
          </a:r>
          <a:r>
            <a:rPr lang="pl-PL" sz="900" b="1" spc="0" baseline="0">
              <a:effectLst/>
              <a:latin typeface="Fira Sans" panose="020B0503050000020004" pitchFamily="34" charset="0"/>
              <a:ea typeface="Fira Sans" panose="020B0503050000020004" pitchFamily="34" charset="0"/>
              <a:cs typeface="+mn-cs"/>
            </a:rPr>
            <a:t>Percentage of households, which granted support to the inhabitants </a:t>
          </a:r>
          <a:br>
            <a:rPr lang="pl-PL" sz="900" b="1" spc="0" baseline="0">
              <a:effectLst/>
              <a:latin typeface="Fira Sans" panose="020B0503050000020004" pitchFamily="34" charset="0"/>
              <a:ea typeface="Fira Sans" panose="020B0503050000020004" pitchFamily="34" charset="0"/>
              <a:cs typeface="+mn-cs"/>
            </a:rPr>
          </a:br>
          <a:r>
            <a:rPr lang="pl-PL" sz="900" b="1" spc="0" baseline="0">
              <a:effectLst/>
              <a:latin typeface="Fira Sans" panose="020B0503050000020004" pitchFamily="34" charset="0"/>
              <a:ea typeface="Fira Sans" panose="020B0503050000020004" pitchFamily="34" charset="0"/>
              <a:cs typeface="+mn-cs"/>
            </a:rPr>
            <a:t>                   of Ukraine in the 1st and 2nd quarters of 2022 by socio-economic groups</a:t>
          </a:r>
        </a:p>
      </cdr:txBody>
    </cdr:sp>
  </cdr:relSizeAnchor>
</c:userShapes>
</file>

<file path=word/drawings/drawing4.xml><?xml version="1.0" encoding="utf-8"?>
<c:userShapes xmlns:c="http://schemas.openxmlformats.org/drawingml/2006/chart">
  <cdr:relSizeAnchor xmlns:cdr="http://schemas.openxmlformats.org/drawingml/2006/chartDrawing">
    <cdr:from>
      <cdr:x>0.0871</cdr:x>
      <cdr:y>0.00647</cdr:y>
    </cdr:from>
    <cdr:to>
      <cdr:x>0.89915</cdr:x>
      <cdr:y>0.11853</cdr:y>
    </cdr:to>
    <cdr:sp macro="" textlink="">
      <cdr:nvSpPr>
        <cdr:cNvPr id="8" name="pole tekstowe 7"/>
        <cdr:cNvSpPr txBox="1"/>
      </cdr:nvSpPr>
      <cdr:spPr>
        <a:xfrm xmlns:a="http://schemas.openxmlformats.org/drawingml/2006/main">
          <a:off x="548716" y="22124"/>
          <a:ext cx="5115781" cy="38318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sz="1100"/>
        </a:p>
      </cdr:txBody>
    </cdr:sp>
  </cdr:relSizeAnchor>
  <cdr:relSizeAnchor xmlns:cdr="http://schemas.openxmlformats.org/drawingml/2006/chartDrawing">
    <cdr:from>
      <cdr:x>0.00032</cdr:x>
      <cdr:y>0</cdr:y>
    </cdr:from>
    <cdr:to>
      <cdr:x>1</cdr:x>
      <cdr:y>0.17462</cdr:y>
    </cdr:to>
    <cdr:sp macro="" textlink="">
      <cdr:nvSpPr>
        <cdr:cNvPr id="11" name="pole tekstowe 10"/>
        <cdr:cNvSpPr txBox="1"/>
      </cdr:nvSpPr>
      <cdr:spPr>
        <a:xfrm xmlns:a="http://schemas.openxmlformats.org/drawingml/2006/main">
          <a:off x="1951" y="0"/>
          <a:ext cx="6094164" cy="440746"/>
        </a:xfrm>
        <a:prstGeom xmlns:a="http://schemas.openxmlformats.org/drawingml/2006/main" prst="rect">
          <a:avLst/>
        </a:prstGeom>
      </cdr:spPr>
      <cdr:txBody>
        <a:bodyPr xmlns:a="http://schemas.openxmlformats.org/drawingml/2006/main" vertOverflow="clip" wrap="square" lIns="0" rIns="0" rtlCol="0" anchor="t"/>
        <a:lstStyle xmlns:a="http://schemas.openxmlformats.org/drawingml/2006/main"/>
        <a:p xmlns:a="http://schemas.openxmlformats.org/drawingml/2006/main">
          <a:pPr marL="0" marR="0" lvl="0" indent="0" algn="l" defTabSz="914400" eaLnBrk="1" fontAlgn="auto" latinLnBrk="0" hangingPunct="1">
            <a:lnSpc>
              <a:spcPct val="100000"/>
            </a:lnSpc>
            <a:spcBef>
              <a:spcPts val="0"/>
            </a:spcBef>
            <a:spcAft>
              <a:spcPts val="0"/>
            </a:spcAft>
            <a:buClrTx/>
            <a:buSzTx/>
            <a:buFontTx/>
            <a:buNone/>
            <a:tabLst/>
            <a:defRPr/>
          </a:pPr>
          <a:r>
            <a:rPr lang="pl-PL" sz="900" b="1" spc="0">
              <a:effectLst/>
              <a:latin typeface="Fira Sans" panose="020B0503050000020004" pitchFamily="34" charset="0"/>
              <a:ea typeface="Fira Sans" panose="020B0503050000020004" pitchFamily="34" charset="0"/>
              <a:cs typeface="+mn-cs"/>
            </a:rPr>
            <a:t>Graph 4.</a:t>
          </a:r>
          <a:r>
            <a:rPr kumimoji="0" lang="pl-PL" sz="900" b="1" i="0" u="none" strike="noStrike" kern="0" cap="none" spc="0" normalizeH="0" baseline="30000" noProof="0">
              <a:ln>
                <a:noFill/>
              </a:ln>
              <a:solidFill>
                <a:sysClr val="windowText" lastClr="000000"/>
              </a:solidFill>
              <a:effectLst/>
              <a:uLnTx/>
              <a:uFillTx/>
              <a:latin typeface="Fira Sans" panose="020B0503050000020004" pitchFamily="34" charset="0"/>
              <a:ea typeface="Fira Sans" panose="020B0503050000020004" pitchFamily="34" charset="0"/>
              <a:cs typeface="+mn-cs"/>
            </a:rPr>
            <a:t>    </a:t>
          </a:r>
          <a:r>
            <a:rPr lang="pl-PL" sz="900" b="1" spc="0" baseline="0">
              <a:effectLst/>
              <a:latin typeface="Fira Sans" panose="020B0503050000020004" pitchFamily="34" charset="0"/>
              <a:ea typeface="Fira Sans" panose="020B0503050000020004" pitchFamily="34" charset="0"/>
              <a:cs typeface="+mn-cs"/>
            </a:rPr>
            <a:t>Percentage of households, which granted support to the inhabitants </a:t>
          </a:r>
          <a:br>
            <a:rPr lang="pl-PL" sz="900" b="1" spc="0" baseline="0">
              <a:effectLst/>
              <a:latin typeface="Fira Sans" panose="020B0503050000020004" pitchFamily="34" charset="0"/>
              <a:ea typeface="Fira Sans" panose="020B0503050000020004" pitchFamily="34" charset="0"/>
              <a:cs typeface="+mn-cs"/>
            </a:rPr>
          </a:br>
          <a:r>
            <a:rPr lang="pl-PL" sz="900" b="1" spc="0" baseline="0">
              <a:effectLst/>
              <a:latin typeface="Fira Sans" panose="020B0503050000020004" pitchFamily="34" charset="0"/>
              <a:ea typeface="Fira Sans" panose="020B0503050000020004" pitchFamily="34" charset="0"/>
              <a:cs typeface="+mn-cs"/>
            </a:rPr>
            <a:t>                   of Ukraine in the 1st and 2nd quarters of 2022 by quintile groups</a:t>
          </a:r>
        </a:p>
      </cdr:txBody>
    </cdr:sp>
  </cdr:relSizeAnchor>
</c:userShapes>
</file>

<file path=word/drawings/drawing5.xml><?xml version="1.0" encoding="utf-8"?>
<c:userShapes xmlns:c="http://schemas.openxmlformats.org/drawingml/2006/chart">
  <cdr:relSizeAnchor xmlns:cdr="http://schemas.openxmlformats.org/drawingml/2006/chartDrawing">
    <cdr:from>
      <cdr:x>0.0871</cdr:x>
      <cdr:y>0.00647</cdr:y>
    </cdr:from>
    <cdr:to>
      <cdr:x>0.89915</cdr:x>
      <cdr:y>0.11853</cdr:y>
    </cdr:to>
    <cdr:sp macro="" textlink="">
      <cdr:nvSpPr>
        <cdr:cNvPr id="8" name="pole tekstowe 7"/>
        <cdr:cNvSpPr txBox="1"/>
      </cdr:nvSpPr>
      <cdr:spPr>
        <a:xfrm xmlns:a="http://schemas.openxmlformats.org/drawingml/2006/main">
          <a:off x="548716" y="22124"/>
          <a:ext cx="5115781" cy="38318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sz="1100"/>
        </a:p>
      </cdr:txBody>
    </cdr:sp>
  </cdr:relSizeAnchor>
  <cdr:relSizeAnchor xmlns:cdr="http://schemas.openxmlformats.org/drawingml/2006/chartDrawing">
    <cdr:from>
      <cdr:x>0.00032</cdr:x>
      <cdr:y>0</cdr:y>
    </cdr:from>
    <cdr:to>
      <cdr:x>1</cdr:x>
      <cdr:y>0.17462</cdr:y>
    </cdr:to>
    <cdr:sp macro="" textlink="">
      <cdr:nvSpPr>
        <cdr:cNvPr id="11" name="pole tekstowe 10"/>
        <cdr:cNvSpPr txBox="1"/>
      </cdr:nvSpPr>
      <cdr:spPr>
        <a:xfrm xmlns:a="http://schemas.openxmlformats.org/drawingml/2006/main">
          <a:off x="1951" y="0"/>
          <a:ext cx="6094164" cy="440746"/>
        </a:xfrm>
        <a:prstGeom xmlns:a="http://schemas.openxmlformats.org/drawingml/2006/main" prst="rect">
          <a:avLst/>
        </a:prstGeom>
      </cdr:spPr>
      <cdr:txBody>
        <a:bodyPr xmlns:a="http://schemas.openxmlformats.org/drawingml/2006/main" vertOverflow="clip" wrap="square" lIns="0" rIns="0" rtlCol="0" anchor="t"/>
        <a:lstStyle xmlns:a="http://schemas.openxmlformats.org/drawingml/2006/main"/>
        <a:p xmlns:a="http://schemas.openxmlformats.org/drawingml/2006/main">
          <a:pPr marL="0" marR="0" lvl="0" indent="0" algn="l" defTabSz="914400" eaLnBrk="1" fontAlgn="auto" latinLnBrk="0" hangingPunct="1">
            <a:lnSpc>
              <a:spcPct val="100000"/>
            </a:lnSpc>
            <a:spcBef>
              <a:spcPts val="0"/>
            </a:spcBef>
            <a:spcAft>
              <a:spcPts val="0"/>
            </a:spcAft>
            <a:buClrTx/>
            <a:buSzTx/>
            <a:buFontTx/>
            <a:buNone/>
            <a:tabLst/>
            <a:defRPr/>
          </a:pPr>
          <a:r>
            <a:rPr lang="pl-PL" sz="900" b="1" spc="0">
              <a:effectLst/>
              <a:latin typeface="Fira Sans" panose="020B0503050000020004" pitchFamily="34" charset="0"/>
              <a:ea typeface="Fira Sans" panose="020B0503050000020004" pitchFamily="34" charset="0"/>
              <a:cs typeface="+mn-cs"/>
            </a:rPr>
            <a:t>Graph 5.    Percentage of households, which granted support to the inhabitants </a:t>
          </a:r>
          <a:br>
            <a:rPr lang="pl-PL" sz="900" b="1" spc="0">
              <a:effectLst/>
              <a:latin typeface="Fira Sans" panose="020B0503050000020004" pitchFamily="34" charset="0"/>
              <a:ea typeface="Fira Sans" panose="020B0503050000020004" pitchFamily="34" charset="0"/>
              <a:cs typeface="+mn-cs"/>
            </a:rPr>
          </a:br>
          <a:r>
            <a:rPr lang="pl-PL" sz="900" b="1" spc="0">
              <a:effectLst/>
              <a:latin typeface="Fira Sans" panose="020B0503050000020004" pitchFamily="34" charset="0"/>
              <a:ea typeface="Fira Sans" panose="020B0503050000020004" pitchFamily="34" charset="0"/>
              <a:cs typeface="+mn-cs"/>
            </a:rPr>
            <a:t>                    of Ukraine in the 1st and 2nd quarters of 2022 by </a:t>
          </a:r>
          <a:r>
            <a:rPr lang="pl-PL" sz="900" b="1" spc="0" baseline="0">
              <a:effectLst/>
              <a:latin typeface="Fira Sans" panose="020B0503050000020004" pitchFamily="34" charset="0"/>
              <a:ea typeface="Fira Sans" panose="020B0503050000020004" pitchFamily="34" charset="0"/>
              <a:cs typeface="+mn-cs"/>
            </a:rPr>
            <a:t>the class of locality</a:t>
          </a:r>
        </a:p>
      </cdr:txBody>
    </cdr:sp>
  </cdr:relSizeAnchor>
</c:userShapes>
</file>

<file path=word/drawings/drawing6.xml><?xml version="1.0" encoding="utf-8"?>
<c:userShapes xmlns:c="http://schemas.openxmlformats.org/drawingml/2006/chart">
  <cdr:relSizeAnchor xmlns:cdr="http://schemas.openxmlformats.org/drawingml/2006/chartDrawing">
    <cdr:from>
      <cdr:x>0.0871</cdr:x>
      <cdr:y>0.00647</cdr:y>
    </cdr:from>
    <cdr:to>
      <cdr:x>0.89915</cdr:x>
      <cdr:y>0.11853</cdr:y>
    </cdr:to>
    <cdr:sp macro="" textlink="">
      <cdr:nvSpPr>
        <cdr:cNvPr id="8" name="pole tekstowe 7"/>
        <cdr:cNvSpPr txBox="1"/>
      </cdr:nvSpPr>
      <cdr:spPr>
        <a:xfrm xmlns:a="http://schemas.openxmlformats.org/drawingml/2006/main">
          <a:off x="548716" y="22124"/>
          <a:ext cx="5115781" cy="38318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sz="1100"/>
        </a:p>
      </cdr:txBody>
    </cdr:sp>
  </cdr:relSizeAnchor>
  <cdr:relSizeAnchor xmlns:cdr="http://schemas.openxmlformats.org/drawingml/2006/chartDrawing">
    <cdr:from>
      <cdr:x>0.00032</cdr:x>
      <cdr:y>0</cdr:y>
    </cdr:from>
    <cdr:to>
      <cdr:x>1</cdr:x>
      <cdr:y>0.09676</cdr:y>
    </cdr:to>
    <cdr:sp macro="" textlink="">
      <cdr:nvSpPr>
        <cdr:cNvPr id="11" name="pole tekstowe 10"/>
        <cdr:cNvSpPr txBox="1"/>
      </cdr:nvSpPr>
      <cdr:spPr>
        <a:xfrm xmlns:a="http://schemas.openxmlformats.org/drawingml/2006/main">
          <a:off x="1639" y="0"/>
          <a:ext cx="5121161" cy="459801"/>
        </a:xfrm>
        <a:prstGeom xmlns:a="http://schemas.openxmlformats.org/drawingml/2006/main" prst="rect">
          <a:avLst/>
        </a:prstGeom>
      </cdr:spPr>
      <cdr:txBody>
        <a:bodyPr xmlns:a="http://schemas.openxmlformats.org/drawingml/2006/main" vertOverflow="clip" wrap="square" lIns="0" rIns="0" rtlCol="0" anchor="t"/>
        <a:lstStyle xmlns:a="http://schemas.openxmlformats.org/drawingml/2006/main"/>
        <a:p xmlns:a="http://schemas.openxmlformats.org/drawingml/2006/main">
          <a:pPr marL="0" marR="0" lvl="0" indent="0" algn="l" defTabSz="914400" eaLnBrk="1" fontAlgn="auto" latinLnBrk="0" hangingPunct="1">
            <a:lnSpc>
              <a:spcPct val="100000"/>
            </a:lnSpc>
            <a:spcBef>
              <a:spcPts val="0"/>
            </a:spcBef>
            <a:spcAft>
              <a:spcPts val="0"/>
            </a:spcAft>
            <a:buClrTx/>
            <a:buSzTx/>
            <a:buFontTx/>
            <a:buNone/>
            <a:tabLst/>
            <a:defRPr/>
          </a:pPr>
          <a:r>
            <a:rPr lang="pl-PL" sz="900" b="1" spc="0">
              <a:effectLst/>
              <a:latin typeface="Fira Sans" panose="020B0503050000020004" pitchFamily="34" charset="0"/>
              <a:ea typeface="Fira Sans" panose="020B0503050000020004" pitchFamily="34" charset="0"/>
              <a:cs typeface="+mn-cs"/>
            </a:rPr>
            <a:t>Graph 6.</a:t>
          </a:r>
          <a:r>
            <a:rPr kumimoji="0" lang="pl-PL" sz="900" b="1" i="0" u="none" strike="noStrike" kern="0" cap="none" spc="0" normalizeH="0" baseline="30000" noProof="0">
              <a:ln>
                <a:noFill/>
              </a:ln>
              <a:solidFill>
                <a:sysClr val="windowText" lastClr="000000"/>
              </a:solidFill>
              <a:effectLst/>
              <a:uLnTx/>
              <a:uFillTx/>
              <a:latin typeface="Fira Sans" panose="020B0503050000020004" pitchFamily="34" charset="0"/>
              <a:ea typeface="Fira Sans" panose="020B0503050000020004" pitchFamily="34" charset="0"/>
              <a:cs typeface="+mn-cs"/>
            </a:rPr>
            <a:t>    </a:t>
          </a:r>
          <a:r>
            <a:rPr lang="pl-PL" sz="900" b="1" spc="0" baseline="0">
              <a:effectLst/>
              <a:latin typeface="Fira Sans" panose="020B0503050000020004" pitchFamily="34" charset="0"/>
              <a:ea typeface="Fira Sans" panose="020B0503050000020004" pitchFamily="34" charset="0"/>
              <a:cs typeface="+mn-cs"/>
            </a:rPr>
            <a:t>Percentage of households, which granted support to the inhabitants </a:t>
          </a:r>
          <a:br>
            <a:rPr lang="pl-PL" sz="900" b="1" spc="0" baseline="0">
              <a:effectLst/>
              <a:latin typeface="Fira Sans" panose="020B0503050000020004" pitchFamily="34" charset="0"/>
              <a:ea typeface="Fira Sans" panose="020B0503050000020004" pitchFamily="34" charset="0"/>
              <a:cs typeface="+mn-cs"/>
            </a:rPr>
          </a:br>
          <a:r>
            <a:rPr lang="pl-PL" sz="900" b="1" spc="0" baseline="0">
              <a:effectLst/>
              <a:latin typeface="Fira Sans" panose="020B0503050000020004" pitchFamily="34" charset="0"/>
              <a:ea typeface="Fira Sans" panose="020B0503050000020004" pitchFamily="34" charset="0"/>
              <a:cs typeface="+mn-cs"/>
            </a:rPr>
            <a:t>                   of Ukraine in the 1st and 2nd quarters of 2022 by voivodships</a:t>
          </a:r>
        </a:p>
      </cdr:txBody>
    </cdr:sp>
  </cdr:relSizeAnchor>
</c:userShapes>
</file>

<file path=word/theme/theme1.xml><?xml version="1.0" encoding="utf-8"?>
<a:theme xmlns:a="http://schemas.openxmlformats.org/drawingml/2006/main" name="Motyw pakietu Office">
  <a:themeElements>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NazwaPliku xmlns="AD3641B4-23D9-4536-AF9E-7D0EADDEB824">Support granted by households to the inhabitants of Ukraine in the first half of 2022 on the basis of results of the Household Budget Survey.docx</NazwaPliku>
    <Odbiorcy2 xmlns="AD3641B4-23D9-4536-AF9E-7D0EADDEB824" xsi:nil="true"/>
    <Osoba xmlns="AD3641B4-23D9-4536-AF9E-7D0EADDEB824">STAT\JacykowD</Osoba>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D39804-E15D-40D9-A3F2-808567566B96}">
  <ds:schemaRefs>
    <ds:schemaRef ds:uri="http://schemas.microsoft.com/office/2006/metadata/properties"/>
    <ds:schemaRef ds:uri="http://schemas.microsoft.com/office/infopath/2007/PartnerControls"/>
    <ds:schemaRef ds:uri="http://schemas.microsoft.com/sharepoint/v3"/>
    <ds:schemaRef ds:uri="AD3641B4-23D9-4536-AF9E-7D0EADDEB824"/>
  </ds:schemaRefs>
</ds:datastoreItem>
</file>

<file path=customXml/itemProps2.xml><?xml version="1.0" encoding="utf-8"?>
<ds:datastoreItem xmlns:ds="http://schemas.openxmlformats.org/officeDocument/2006/customXml" ds:itemID="{FD6ECC39-EC8E-41D0-89BF-A4848EBCFF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3641B4-23D9-4536-AF9E-7D0EADDEB8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73AED0-BB3B-47CB-8844-AD8D74E1E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566</Words>
  <Characters>3398</Characters>
  <Application>Microsoft Office Word</Application>
  <DocSecurity>0</DocSecurity>
  <Lines>28</Lines>
  <Paragraphs>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granted by households to the inhabitants of Ukraine in the first half of 2022 on the basis of results of the Household Budget Survey</dc:title>
  <dc:subject/>
  <dc:creator>Statistics Poland</dc:creator>
  <cp:keywords/>
  <dc:description/>
  <cp:lastModifiedBy>Putkowska Beata</cp:lastModifiedBy>
  <cp:revision>4</cp:revision>
  <cp:lastPrinted>2022-10-20T09:55:00Z</cp:lastPrinted>
  <dcterms:created xsi:type="dcterms:W3CDTF">2022-10-27T05:23:00Z</dcterms:created>
  <dcterms:modified xsi:type="dcterms:W3CDTF">2022-10-27T05:23:00Z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0x0101005F253E89B8992844AAE9836E71E202A8</vt:lpwstr>
  </property>
  <property fmtid="{D5CDD505-2E9C-101B-9397-08002B2CF9AE}" pid="3" name="ZnakPisma">
    <vt:lpwstr>GUS-BS06.6362.3.2022.1</vt:lpwstr>
  </property>
  <property fmtid="{D5CDD505-2E9C-101B-9397-08002B2CF9AE}" pid="4" name="UNPPisma">
    <vt:lpwstr>2022-246350</vt:lpwstr>
  </property>
  <property fmtid="{D5CDD505-2E9C-101B-9397-08002B2CF9AE}" pid="5" name="ZnakSprawy">
    <vt:lpwstr>GUS-BS06.6362.3.2022</vt:lpwstr>
  </property>
  <property fmtid="{D5CDD505-2E9C-101B-9397-08002B2CF9AE}" pid="6" name="ZnakSprawyPrzedPrzeniesieniem">
    <vt:lpwstr/>
  </property>
  <property fmtid="{D5CDD505-2E9C-101B-9397-08002B2CF9AE}" pid="7" name="Autor">
    <vt:lpwstr>Jacyków Dariusz</vt:lpwstr>
  </property>
  <property fmtid="{D5CDD505-2E9C-101B-9397-08002B2CF9AE}" pid="8" name="AutorInicjaly">
    <vt:lpwstr>DJ</vt:lpwstr>
  </property>
  <property fmtid="{D5CDD505-2E9C-101B-9397-08002B2CF9AE}" pid="9" name="AutorNrTelefonu">
    <vt:lpwstr>(22) 608-3574</vt:lpwstr>
  </property>
  <property fmtid="{D5CDD505-2E9C-101B-9397-08002B2CF9AE}" pid="10" name="Stanowisko">
    <vt:lpwstr>główny specjalista</vt:lpwstr>
  </property>
  <property fmtid="{D5CDD505-2E9C-101B-9397-08002B2CF9AE}" pid="11" name="OpisPisma">
    <vt:lpwstr>Informacja sygnalna "Pomoc udzielona przez gospodarstwa domowe mieszkańcom Ukrainy w I półroczu 2022 r. w świetle wyników badania budżetów gospodarstw domowych" - korekta</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2022-10-26</vt:lpwstr>
  </property>
  <property fmtid="{D5CDD505-2E9C-101B-9397-08002B2CF9AE}" pid="15" name="Wydzial">
    <vt:lpwstr>Wydział Społeczno-Ekonomicznych Badań Gospodarstw Domowych</vt:lpwstr>
  </property>
  <property fmtid="{D5CDD505-2E9C-101B-9397-08002B2CF9AE}" pid="16" name="KodWydzialu">
    <vt:lpwstr>BS-06</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