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charts/style1.xml" ContentType="application/vnd.ms-office.chartstyle+xml"/>
  <Override PartName="/word/theme/theme1.xml" ContentType="application/vnd.openxmlformats-officedocument.theme+xml"/>
  <Override PartName="/word/charts/colors1.xml" ContentType="application/vnd.ms-office.chartcolorstyle+xml"/>
  <Override PartName="/word/charts/chart1.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2F120673" w:rsidR="00393761" w:rsidRPr="00605C77" w:rsidRDefault="00605C77" w:rsidP="00F049AB">
      <w:pPr>
        <w:pStyle w:val="Tytuinfomacjisygnalnej"/>
        <w:rPr>
          <w:sz w:val="32"/>
          <w:lang w:val="en-GB"/>
        </w:rPr>
      </w:pPr>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A85AD5" w:rsidRPr="00605C77">
        <w:rPr>
          <w:lang w:val="en-GB"/>
        </w:rPr>
        <w:t>LFS</w:t>
      </w:r>
      <w:r w:rsidR="000858EC" w:rsidRPr="00605C77">
        <w:rPr>
          <w:lang w:val="en-GB"/>
        </w:rPr>
        <w:t>)</w:t>
      </w:r>
      <w:r w:rsidR="00364AF9" w:rsidRPr="00605C77">
        <w:rPr>
          <w:sz w:val="32"/>
          <w:lang w:val="en-GB"/>
        </w:rPr>
        <w:tab/>
      </w:r>
    </w:p>
    <w:p w14:paraId="5127FC87" w14:textId="23E8D6A5" w:rsidR="000858EC" w:rsidRPr="00D958CD" w:rsidRDefault="000858EC" w:rsidP="00A416DE">
      <w:pPr>
        <w:pStyle w:val="Tytuinfomacjisygnalnej"/>
        <w:spacing w:after="240"/>
        <w:rPr>
          <w:rFonts w:ascii="Fira Sans" w:hAnsi="Fira Sans"/>
          <w:sz w:val="19"/>
          <w:szCs w:val="19"/>
          <w:lang w:val="en-US"/>
        </w:rPr>
      </w:pPr>
    </w:p>
    <w:p w14:paraId="3D0CD95B" w14:textId="77777777" w:rsidR="008C2E01" w:rsidRDefault="00731D27" w:rsidP="004F4A42">
      <w:pPr>
        <w:pStyle w:val="Lead"/>
        <w:rPr>
          <w:lang w:val="en-US"/>
        </w:rPr>
      </w:pPr>
      <w:r w:rsidRPr="00587CEE">
        <w:rPr>
          <w:color w:val="001D77"/>
        </w:rPr>
        <mc:AlternateContent>
          <mc:Choice Requires="wps">
            <w:drawing>
              <wp:anchor distT="45720" distB="45720" distL="114300" distR="114300" simplePos="0" relativeHeight="251738112" behindDoc="0" locked="0" layoutInCell="1" allowOverlap="1" wp14:anchorId="2FC13F97" wp14:editId="29557942">
                <wp:simplePos x="0" y="0"/>
                <wp:positionH relativeFrom="margin">
                  <wp:posOffset>-57150</wp:posOffset>
                </wp:positionH>
                <wp:positionV relativeFrom="paragraph">
                  <wp:posOffset>95885</wp:posOffset>
                </wp:positionV>
                <wp:extent cx="2133600" cy="1219200"/>
                <wp:effectExtent l="0" t="0" r="0" b="0"/>
                <wp:wrapSquare wrapText="bothSides"/>
                <wp:docPr id="6" name="Pole tekstowe 2" descr="Activity rate of persons aged 15-89 years - 58.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19200"/>
                        </a:xfrm>
                        <a:prstGeom prst="roundRect">
                          <a:avLst/>
                        </a:prstGeom>
                        <a:solidFill>
                          <a:srgbClr val="001D77"/>
                        </a:solidFill>
                        <a:ln w="9525">
                          <a:noFill/>
                          <a:miter lim="800000"/>
                          <a:headEnd/>
                          <a:tailEnd/>
                        </a:ln>
                      </wps:spPr>
                      <wps:txbx>
                        <w:txbxContent>
                          <w:p w14:paraId="3109E173" w14:textId="4298F55D" w:rsidR="009035C7" w:rsidRPr="00043F4E" w:rsidRDefault="009035C7"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Pr="00043F4E">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0</w:t>
                            </w:r>
                            <w:r w:rsidRPr="00043F4E">
                              <w:rPr>
                                <w:rFonts w:ascii="Fira Sans SemiBold" w:hAnsi="Fira Sans SemiBold"/>
                                <w:color w:val="FFFFFF" w:themeColor="background1"/>
                                <w:sz w:val="72"/>
                                <w:lang w:val="en-GB"/>
                              </w:rPr>
                              <w:t>%</w:t>
                            </w:r>
                          </w:p>
                          <w:p w14:paraId="631AC713" w14:textId="6F7E4CC7" w:rsidR="009035C7" w:rsidRPr="00043F4E" w:rsidRDefault="009035C7" w:rsidP="00AD1045">
                            <w:pPr>
                              <w:pStyle w:val="tekstnaniebieskimtle"/>
                              <w:spacing w:before="120"/>
                              <w:jc w:val="center"/>
                              <w:rPr>
                                <w:color w:val="FFFFFF" w:themeColor="background1"/>
                                <w:sz w:val="18"/>
                                <w:szCs w:val="20"/>
                                <w:lang w:val="en-GB"/>
                              </w:rPr>
                            </w:pPr>
                            <w:r w:rsidRPr="00043F4E">
                              <w:rPr>
                                <w:lang w:val="en-GB"/>
                              </w:rPr>
                              <w:t>Activity rate of persons aged 15-89 years</w:t>
                            </w:r>
                          </w:p>
                          <w:p w14:paraId="1B4DB790" w14:textId="77777777" w:rsidR="00D12A51" w:rsidRPr="00D958CD" w:rsidRDefault="00D12A51"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ctivity rate of persons aged 15-89 years - 58.0%&#10;" style="position:absolute;margin-left:-4.5pt;margin-top:7.55pt;width:168pt;height:96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" fillcolor="#001d77" stroked="f">
                <v:stroke joinstyle="miter"/>
                <v:textbox>
                  <w:txbxContent>
                    <w:p w14:paraId="3109E173" w14:textId="4298F55D" w:rsidR="009035C7" w:rsidRPr="00043F4E" w:rsidRDefault="009035C7"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Pr="00043F4E">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0</w:t>
                      </w:r>
                      <w:r w:rsidRPr="00043F4E">
                        <w:rPr>
                          <w:rFonts w:ascii="Fira Sans SemiBold" w:hAnsi="Fira Sans SemiBold"/>
                          <w:color w:val="FFFFFF" w:themeColor="background1"/>
                          <w:sz w:val="72"/>
                          <w:lang w:val="en-GB"/>
                        </w:rPr>
                        <w:t>%</w:t>
                      </w:r>
                    </w:p>
                    <w:p w14:paraId="631AC713" w14:textId="6F7E4CC7" w:rsidR="009035C7" w:rsidRPr="00043F4E" w:rsidRDefault="009035C7" w:rsidP="00AD1045">
                      <w:pPr>
                        <w:pStyle w:val="tekstnaniebieskimtle"/>
                        <w:spacing w:before="120"/>
                        <w:jc w:val="center"/>
                        <w:rPr>
                          <w:color w:val="FFFFFF" w:themeColor="background1"/>
                          <w:sz w:val="18"/>
                          <w:szCs w:val="20"/>
                          <w:lang w:val="en-GB"/>
                        </w:rPr>
                      </w:pPr>
                      <w:r w:rsidRPr="00043F4E">
                        <w:rPr>
                          <w:lang w:val="en-GB"/>
                        </w:rPr>
                        <w:t>Activity rate of persons aged 15-89 years</w:t>
                      </w:r>
                    </w:p>
                    <w:p w14:paraId="1B4DB790" w14:textId="77777777" w:rsidR="00D12A51" w:rsidRPr="00D958CD" w:rsidRDefault="00D12A51" w:rsidP="00705190">
                      <w:pPr>
                        <w:pStyle w:val="Opiswskanika"/>
                        <w:rPr>
                          <w:color w:val="FF0000"/>
                          <w:lang w:val="en-US"/>
                        </w:rPr>
                      </w:pPr>
                    </w:p>
                  </w:txbxContent>
                </v:textbox>
                <w10:wrap type="square" anchorx="margin"/>
              </v:roundrect>
            </w:pict>
          </mc:Fallback>
        </mc:AlternateContent>
      </w:r>
      <w:r w:rsidR="003B5E9B" w:rsidRPr="00D958CD">
        <w:rPr>
          <w:lang w:val="en-US"/>
        </w:rPr>
        <w:t>In the first qu</w:t>
      </w:r>
      <w:r w:rsidR="008C2E01">
        <w:rPr>
          <w:lang w:val="en-US"/>
        </w:rPr>
        <w:t>a</w:t>
      </w:r>
      <w:r w:rsidR="003B5E9B" w:rsidRPr="00D958CD">
        <w:rPr>
          <w:lang w:val="en-US"/>
        </w:rPr>
        <w:t xml:space="preserve">rter of </w:t>
      </w:r>
      <w:r w:rsidR="00705190" w:rsidRPr="00D958CD">
        <w:rPr>
          <w:lang w:val="en-US"/>
        </w:rPr>
        <w:t>202</w:t>
      </w:r>
      <w:r w:rsidR="00BF4921" w:rsidRPr="00D958CD">
        <w:rPr>
          <w:lang w:val="en-US"/>
        </w:rPr>
        <w:t>2</w:t>
      </w:r>
      <w:r w:rsidR="003B5E9B" w:rsidRPr="00D958CD">
        <w:rPr>
          <w:lang w:val="en-US"/>
        </w:rPr>
        <w:t xml:space="preserve">, economically active persons </w:t>
      </w:r>
      <w:r w:rsidR="00705190" w:rsidRPr="00D958CD">
        <w:rPr>
          <w:lang w:val="en-US"/>
        </w:rPr>
        <w:t xml:space="preserve"> </w:t>
      </w:r>
      <w:r w:rsidR="003B5E9B" w:rsidRPr="00D958CD">
        <w:rPr>
          <w:lang w:val="en-US"/>
        </w:rPr>
        <w:t>accounted for 58.0% of the population</w:t>
      </w:r>
      <w:r w:rsidR="00F449B9" w:rsidRPr="00F849EE">
        <w:rPr>
          <w:rStyle w:val="Odwoanieprzypisudolnego"/>
        </w:rPr>
        <w:footnoteReference w:id="1"/>
      </w:r>
      <w:r w:rsidR="00705190" w:rsidRPr="00D958CD">
        <w:rPr>
          <w:lang w:val="en-US"/>
        </w:rPr>
        <w:t xml:space="preserve"> </w:t>
      </w:r>
      <w:r w:rsidR="003B5E9B" w:rsidRPr="00D958CD">
        <w:rPr>
          <w:lang w:val="en-US"/>
        </w:rPr>
        <w:t xml:space="preserve">aged </w:t>
      </w:r>
      <w:r w:rsidR="00705190" w:rsidRPr="00D958CD">
        <w:rPr>
          <w:lang w:val="en-US"/>
        </w:rPr>
        <w:t xml:space="preserve">15–89 </w:t>
      </w:r>
      <w:r w:rsidR="003B5E9B" w:rsidRPr="00D958CD">
        <w:rPr>
          <w:lang w:val="en-US"/>
        </w:rPr>
        <w:t>years</w:t>
      </w:r>
      <w:r w:rsidR="00705190" w:rsidRPr="00D958CD">
        <w:rPr>
          <w:lang w:val="en-US"/>
        </w:rPr>
        <w:t xml:space="preserve">. </w:t>
      </w:r>
      <w:r w:rsidR="00314CC7" w:rsidRPr="00D958CD">
        <w:rPr>
          <w:lang w:val="en-US"/>
        </w:rPr>
        <w:t xml:space="preserve">Compared with the fourth quarter of </w:t>
      </w:r>
      <w:r w:rsidR="00BF3217" w:rsidRPr="00D958CD">
        <w:rPr>
          <w:lang w:val="en-US"/>
        </w:rPr>
        <w:t>2021</w:t>
      </w:r>
      <w:r w:rsidR="00314CC7" w:rsidRPr="00D958CD">
        <w:rPr>
          <w:lang w:val="en-US"/>
        </w:rPr>
        <w:t xml:space="preserve">, the rate stayed at the same level, </w:t>
      </w:r>
      <w:r w:rsidR="00BF3217" w:rsidRPr="00D958CD">
        <w:rPr>
          <w:lang w:val="en-US"/>
        </w:rPr>
        <w:t xml:space="preserve"> </w:t>
      </w:r>
      <w:r w:rsidR="00314CC7" w:rsidRPr="00D958CD">
        <w:rPr>
          <w:lang w:val="en-US"/>
        </w:rPr>
        <w:t xml:space="preserve">while compared with the first quarter of 2021, it increased </w:t>
      </w:r>
      <w:r w:rsidR="00BF3217" w:rsidRPr="00D958CD">
        <w:rPr>
          <w:lang w:val="en-US"/>
        </w:rPr>
        <w:t xml:space="preserve"> </w:t>
      </w:r>
      <w:r w:rsidR="008173BE" w:rsidRPr="00D958CD">
        <w:rPr>
          <w:lang w:val="en-US"/>
        </w:rPr>
        <w:t xml:space="preserve">by </w:t>
      </w:r>
      <w:r w:rsidR="00BF3217" w:rsidRPr="00D958CD">
        <w:rPr>
          <w:lang w:val="en-US"/>
        </w:rPr>
        <w:t>0</w:t>
      </w:r>
      <w:r w:rsidR="00BD5C9F" w:rsidRPr="00D958CD">
        <w:rPr>
          <w:lang w:val="en-US"/>
        </w:rPr>
        <w:t>.7</w:t>
      </w:r>
      <w:r w:rsidR="00BF3217" w:rsidRPr="00D958CD">
        <w:rPr>
          <w:lang w:val="en-US"/>
        </w:rPr>
        <w:t xml:space="preserve"> pp</w:t>
      </w:r>
      <w:r w:rsidR="00314CC7" w:rsidRPr="00D958CD">
        <w:rPr>
          <w:lang w:val="en-US"/>
        </w:rPr>
        <w:t>.</w:t>
      </w:r>
    </w:p>
    <w:p w14:paraId="5F4C5639" w14:textId="4FA66210" w:rsidR="002919DE" w:rsidRPr="00D958CD" w:rsidRDefault="00314CC7" w:rsidP="004F4A42">
      <w:pPr>
        <w:pStyle w:val="Lead"/>
        <w:rPr>
          <w:lang w:val="en-US"/>
        </w:rPr>
      </w:pPr>
      <w:r w:rsidRPr="00D958CD">
        <w:rPr>
          <w:lang w:val="en-US"/>
        </w:rPr>
        <w:t xml:space="preserve"> </w:t>
      </w:r>
    </w:p>
    <w:p w14:paraId="25B29E1C" w14:textId="08EF4080" w:rsidR="002919DE" w:rsidRPr="00D958CD" w:rsidRDefault="008D11F9" w:rsidP="004F4A42">
      <w:pPr>
        <w:pStyle w:val="Nagwek1"/>
        <w:rPr>
          <w:rFonts w:ascii="Fira Sans" w:eastAsiaTheme="minorHAnsi" w:hAnsi="Fira Sans" w:cstheme="minorBidi"/>
          <w:b/>
          <w:bCs w:val="0"/>
          <w:noProof/>
          <w:szCs w:val="19"/>
          <w:lang w:val="en-US"/>
        </w:rPr>
      </w:pPr>
      <w:r w:rsidRPr="00902F5E">
        <w:rPr>
          <w:lang w:val="en-GB"/>
        </w:rPr>
        <w:t>Economic activity of the population aged 15</w:t>
      </w:r>
      <w:r>
        <w:rPr>
          <w:lang w:val="en-GB"/>
        </w:rPr>
        <w:t>-89</w:t>
      </w:r>
      <w:r w:rsidRPr="00902F5E">
        <w:rPr>
          <w:lang w:val="en-GB"/>
        </w:rPr>
        <w:t xml:space="preserve"> years by the LFS</w:t>
      </w:r>
      <w:r w:rsidRPr="00902F5E">
        <w:rPr>
          <w:rStyle w:val="Odwoanieprzypisudolnego"/>
          <w:lang w:val="en-GB"/>
        </w:rPr>
        <w:t xml:space="preserve"> </w:t>
      </w:r>
      <w:r w:rsidR="004F4A42" w:rsidRPr="00A92009">
        <w:rPr>
          <w:b/>
          <w:noProof/>
        </w:rPr>
        <mc:AlternateContent>
          <mc:Choice Requires="wps">
            <w:drawing>
              <wp:anchor distT="45720" distB="45720" distL="114300" distR="114300" simplePos="0" relativeHeight="251674624" behindDoc="1" locked="0" layoutInCell="1" allowOverlap="1" wp14:anchorId="6367A9BC" wp14:editId="296A969B">
                <wp:simplePos x="0" y="0"/>
                <wp:positionH relativeFrom="column">
                  <wp:posOffset>5275580</wp:posOffset>
                </wp:positionH>
                <wp:positionV relativeFrom="paragraph">
                  <wp:posOffset>213995</wp:posOffset>
                </wp:positionV>
                <wp:extent cx="1724025" cy="1597660"/>
                <wp:effectExtent l="0" t="0" r="0" b="2540"/>
                <wp:wrapTight wrapText="bothSides">
                  <wp:wrapPolygon edited="0">
                    <wp:start x="716" y="0"/>
                    <wp:lineTo x="716" y="21377"/>
                    <wp:lineTo x="20765" y="21377"/>
                    <wp:lineTo x="20765" y="0"/>
                    <wp:lineTo x="716" y="0"/>
                  </wp:wrapPolygon>
                </wp:wrapTight>
                <wp:docPr id="2" name="Pole tekstowe 2" descr="Economic activity rate for persons aged 15–89 years stayed at the same level compared with the previous quarter among both men and women, whereas it increased compared with the first quarter of 2021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597660"/>
                        </a:xfrm>
                        <a:prstGeom prst="rect">
                          <a:avLst/>
                        </a:prstGeom>
                        <a:noFill/>
                        <a:ln w="9525">
                          <a:noFill/>
                          <a:miter lim="800000"/>
                          <a:headEnd/>
                          <a:tailEnd/>
                        </a:ln>
                      </wps:spPr>
                      <wps:txbx>
                        <w:txbxContent>
                          <w:p w14:paraId="66113316" w14:textId="7C18D701" w:rsidR="00D12A51" w:rsidRPr="003B5E9B" w:rsidRDefault="00D12A51" w:rsidP="005F45EE">
                            <w:pPr>
                              <w:pStyle w:val="tekstzboku"/>
                              <w:rPr>
                                <w:bCs w:val="0"/>
                                <w:lang w:val="en-GB"/>
                              </w:rPr>
                            </w:pPr>
                            <w:r w:rsidRPr="003B5E9B">
                              <w:rPr>
                                <w:lang w:val="en-GB"/>
                              </w:rPr>
                              <w:t>Economic activity rate for persons aged 15–89 years stayed at the same level compared with the previous quarter among both men and women</w:t>
                            </w:r>
                            <w:r w:rsidR="00A57F29">
                              <w:rPr>
                                <w:lang w:val="en-GB"/>
                              </w:rPr>
                              <w:t>, whereas it increased compared with the first quarter of 2021</w:t>
                            </w:r>
                            <w:r w:rsidRPr="003B5E9B">
                              <w:rPr>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Economic activity rate for persons aged 15–89 years stayed at the same level compared with the previous quarter among both men and women, whereas it increased compared with the first quarter of 2021 " style="position:absolute;margin-left:415.4pt;margin-top:16.85pt;width:135.75pt;height:125.8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" filled="f" stroked="f">
                <v:textbox>
                  <w:txbxContent>
                    <w:p w14:paraId="66113316" w14:textId="7C18D701" w:rsidR="00D12A51" w:rsidRPr="003B5E9B" w:rsidRDefault="00D12A51" w:rsidP="005F45EE">
                      <w:pPr>
                        <w:pStyle w:val="tekstzboku"/>
                        <w:rPr>
                          <w:bCs w:val="0"/>
                          <w:lang w:val="en-GB"/>
                        </w:rPr>
                      </w:pPr>
                      <w:r w:rsidRPr="003B5E9B">
                        <w:rPr>
                          <w:lang w:val="en-GB"/>
                        </w:rPr>
                        <w:t>Economic activity rate for persons aged 15–89 years stayed at the same level compared with the previous quarter among both men and women</w:t>
                      </w:r>
                      <w:r w:rsidR="00A57F29">
                        <w:rPr>
                          <w:lang w:val="en-GB"/>
                        </w:rPr>
                        <w:t>, whereas it increased compared with the first quarter of 2021</w:t>
                      </w:r>
                      <w:r w:rsidRPr="003B5E9B">
                        <w:rPr>
                          <w:lang w:val="en-GB"/>
                        </w:rPr>
                        <w:t xml:space="preserve"> </w:t>
                      </w:r>
                    </w:p>
                  </w:txbxContent>
                </v:textbox>
                <w10:wrap type="tight"/>
              </v:shape>
            </w:pict>
          </mc:Fallback>
        </mc:AlternateContent>
      </w:r>
    </w:p>
    <w:p w14:paraId="27747B1E" w14:textId="0763DB79" w:rsidR="001A24B3" w:rsidRPr="00D958CD" w:rsidRDefault="001A24B3" w:rsidP="001A24B3">
      <w:pPr>
        <w:spacing w:line="288" w:lineRule="auto"/>
        <w:rPr>
          <w:rFonts w:eastAsia="Times New Roman" w:cs="Times New Roman"/>
          <w:szCs w:val="19"/>
          <w:lang w:val="en-US" w:eastAsia="pl-PL"/>
        </w:rPr>
      </w:pPr>
      <w:r>
        <w:rPr>
          <w:shd w:val="clear" w:color="auto" w:fill="FFFFFF"/>
          <w:lang w:val="en-GB"/>
        </w:rPr>
        <w:t>In the first q</w:t>
      </w:r>
      <w:r w:rsidRPr="00FB4116">
        <w:rPr>
          <w:shd w:val="clear" w:color="auto" w:fill="FFFFFF"/>
          <w:lang w:val="en-GB"/>
        </w:rPr>
        <w:t>uarter of 202</w:t>
      </w:r>
      <w:r>
        <w:rPr>
          <w:shd w:val="clear" w:color="auto" w:fill="FFFFFF"/>
          <w:lang w:val="en-GB"/>
        </w:rPr>
        <w:t>2</w:t>
      </w:r>
      <w:r w:rsidRPr="00FB4116">
        <w:rPr>
          <w:shd w:val="clear" w:color="auto" w:fill="FFFFFF"/>
          <w:lang w:val="en-GB"/>
        </w:rPr>
        <w:t>, the number of economically active</w:t>
      </w:r>
      <w:r>
        <w:rPr>
          <w:shd w:val="clear" w:color="auto" w:fill="FFFFFF"/>
          <w:lang w:val="en-GB"/>
        </w:rPr>
        <w:t xml:space="preserve"> persons</w:t>
      </w:r>
      <w:r w:rsidRPr="00FB4116">
        <w:rPr>
          <w:shd w:val="clear" w:color="auto" w:fill="FFFFFF"/>
          <w:lang w:val="en-GB"/>
        </w:rPr>
        <w:t xml:space="preserve"> aged 15–89 years comprised </w:t>
      </w:r>
      <w:r w:rsidRPr="00D958CD">
        <w:rPr>
          <w:rFonts w:eastAsia="Times New Roman" w:cs="Times New Roman"/>
          <w:szCs w:val="19"/>
          <w:lang w:val="en-US" w:eastAsia="pl-PL"/>
        </w:rPr>
        <w:t>17250</w:t>
      </w:r>
      <w:r w:rsidRPr="00FB4116">
        <w:rPr>
          <w:shd w:val="clear" w:color="auto" w:fill="FFFFFF"/>
          <w:lang w:val="en-GB"/>
        </w:rPr>
        <w:t xml:space="preserve"> thousand persons, </w:t>
      </w:r>
      <w:r>
        <w:rPr>
          <w:shd w:val="clear" w:color="auto" w:fill="FFFFFF"/>
          <w:lang w:val="en-GB"/>
        </w:rPr>
        <w:t>of which</w:t>
      </w:r>
      <w:r w:rsidRPr="00FB4116">
        <w:rPr>
          <w:shd w:val="clear" w:color="auto" w:fill="FFFFFF"/>
          <w:lang w:val="en-GB"/>
        </w:rPr>
        <w:t xml:space="preserve">: </w:t>
      </w:r>
      <w:r w:rsidRPr="00D958CD">
        <w:rPr>
          <w:rFonts w:eastAsia="Times New Roman" w:cs="Times New Roman"/>
          <w:szCs w:val="19"/>
          <w:lang w:val="en-US" w:eastAsia="pl-PL"/>
        </w:rPr>
        <w:t>16714</w:t>
      </w:r>
      <w:r w:rsidRPr="00FB4116">
        <w:rPr>
          <w:shd w:val="clear" w:color="auto" w:fill="FFFFFF"/>
          <w:lang w:val="en-GB"/>
        </w:rPr>
        <w:t xml:space="preserve"> thousand constituted employed persons, while </w:t>
      </w:r>
      <w:r>
        <w:rPr>
          <w:shd w:val="clear" w:color="auto" w:fill="FFFFFF"/>
          <w:lang w:val="en-GB"/>
        </w:rPr>
        <w:t>536</w:t>
      </w:r>
      <w:r w:rsidRPr="00FB4116">
        <w:rPr>
          <w:shd w:val="clear" w:color="auto" w:fill="FFFFFF"/>
          <w:lang w:val="en-GB"/>
        </w:rPr>
        <w:t xml:space="preserve"> thousand – the unemployed. The population of economically inactive persons </w:t>
      </w:r>
      <w:r w:rsidR="004B01BA">
        <w:rPr>
          <w:shd w:val="clear" w:color="auto" w:fill="FFFFFF"/>
          <w:lang w:val="en-GB"/>
        </w:rPr>
        <w:t>in</w:t>
      </w:r>
      <w:r w:rsidRPr="00FB4116">
        <w:rPr>
          <w:shd w:val="clear" w:color="auto" w:fill="FFFFFF"/>
          <w:lang w:val="en-GB"/>
        </w:rPr>
        <w:t xml:space="preserve"> the same age group amounted to </w:t>
      </w:r>
      <w:r w:rsidRPr="00D958CD">
        <w:rPr>
          <w:rFonts w:eastAsia="Times New Roman" w:cs="Times New Roman"/>
          <w:szCs w:val="19"/>
          <w:lang w:val="en-US" w:eastAsia="pl-PL"/>
        </w:rPr>
        <w:t>125</w:t>
      </w:r>
      <w:r w:rsidR="003B5E9B" w:rsidRPr="00D958CD">
        <w:rPr>
          <w:rFonts w:eastAsia="Times New Roman" w:cs="Times New Roman"/>
          <w:szCs w:val="19"/>
          <w:lang w:val="en-US" w:eastAsia="pl-PL"/>
        </w:rPr>
        <w:t>11</w:t>
      </w:r>
      <w:r w:rsidRPr="00FB4116">
        <w:rPr>
          <w:shd w:val="clear" w:color="auto" w:fill="FFFFFF"/>
          <w:lang w:val="en-GB"/>
        </w:rPr>
        <w:t xml:space="preserve"> thousand persons</w:t>
      </w:r>
      <w:r w:rsidRPr="00D958CD">
        <w:rPr>
          <w:rFonts w:eastAsia="Times New Roman" w:cs="Times New Roman"/>
          <w:szCs w:val="19"/>
          <w:lang w:val="en-US" w:eastAsia="pl-PL"/>
        </w:rPr>
        <w:t xml:space="preserve">. </w:t>
      </w:r>
    </w:p>
    <w:p w14:paraId="1CC8EA2B" w14:textId="7127CD6A" w:rsidR="002E6164" w:rsidRPr="00842845" w:rsidRDefault="002E6164" w:rsidP="002E6164">
      <w:pPr>
        <w:spacing w:line="288" w:lineRule="auto"/>
        <w:rPr>
          <w:rFonts w:eastAsia="Times New Roman" w:cs="Times New Roman"/>
          <w:szCs w:val="19"/>
          <w:lang w:val="en-GB" w:eastAsia="pl-PL"/>
        </w:rPr>
      </w:pPr>
      <w:r w:rsidRPr="00842845">
        <w:rPr>
          <w:rFonts w:eastAsia="Times New Roman" w:cs="Times New Roman"/>
          <w:szCs w:val="19"/>
          <w:lang w:val="en-GB" w:eastAsia="pl-PL"/>
        </w:rPr>
        <w:t xml:space="preserve">Compared to the </w:t>
      </w:r>
      <w:r>
        <w:rPr>
          <w:rFonts w:eastAsia="Times New Roman" w:cs="Times New Roman"/>
          <w:szCs w:val="19"/>
          <w:lang w:val="en-GB" w:eastAsia="pl-PL"/>
        </w:rPr>
        <w:t>fourth</w:t>
      </w:r>
      <w:r w:rsidRPr="00842845">
        <w:rPr>
          <w:rFonts w:eastAsia="Times New Roman" w:cs="Times New Roman"/>
          <w:szCs w:val="19"/>
          <w:lang w:val="en-GB" w:eastAsia="pl-PL"/>
        </w:rPr>
        <w:t xml:space="preserve"> quarter of 2021, the number of economically active persons decreased by </w:t>
      </w:r>
      <w:r>
        <w:rPr>
          <w:rFonts w:eastAsia="Times New Roman" w:cs="Times New Roman"/>
          <w:szCs w:val="19"/>
          <w:lang w:val="en-GB" w:eastAsia="pl-PL"/>
        </w:rPr>
        <w:t>28</w:t>
      </w:r>
      <w:r w:rsidRPr="00842845">
        <w:rPr>
          <w:rFonts w:eastAsia="Times New Roman" w:cs="Times New Roman"/>
          <w:szCs w:val="19"/>
          <w:lang w:val="en-GB" w:eastAsia="pl-PL"/>
        </w:rPr>
        <w:t xml:space="preserve"> thousand, i.e.</w:t>
      </w:r>
      <w:r>
        <w:rPr>
          <w:rFonts w:eastAsia="Times New Roman" w:cs="Times New Roman"/>
          <w:szCs w:val="19"/>
          <w:lang w:val="en-GB" w:eastAsia="pl-PL"/>
        </w:rPr>
        <w:t xml:space="preserve"> by </w:t>
      </w:r>
      <w:r w:rsidRPr="00842845">
        <w:rPr>
          <w:rFonts w:eastAsia="Times New Roman" w:cs="Times New Roman"/>
          <w:szCs w:val="19"/>
          <w:lang w:val="en-GB" w:eastAsia="pl-PL"/>
        </w:rPr>
        <w:t>0.</w:t>
      </w:r>
      <w:r>
        <w:rPr>
          <w:rFonts w:eastAsia="Times New Roman" w:cs="Times New Roman"/>
          <w:szCs w:val="19"/>
          <w:lang w:val="en-GB" w:eastAsia="pl-PL"/>
        </w:rPr>
        <w:t>2</w:t>
      </w:r>
      <w:r w:rsidRPr="00842845">
        <w:rPr>
          <w:rFonts w:eastAsia="Times New Roman" w:cs="Times New Roman"/>
          <w:szCs w:val="19"/>
          <w:lang w:val="en-GB" w:eastAsia="pl-PL"/>
        </w:rPr>
        <w:t>%</w:t>
      </w:r>
      <w:r w:rsidR="00824C98">
        <w:rPr>
          <w:rFonts w:eastAsia="Times New Roman" w:cs="Times New Roman"/>
          <w:szCs w:val="19"/>
          <w:lang w:val="en-GB" w:eastAsia="pl-PL"/>
        </w:rPr>
        <w:t xml:space="preserve"> (which was also influenced by seasonal changes in the labour market)</w:t>
      </w:r>
      <w:r w:rsidRPr="00842845">
        <w:rPr>
          <w:rFonts w:eastAsia="Times New Roman" w:cs="Times New Roman"/>
          <w:szCs w:val="19"/>
          <w:lang w:val="en-GB" w:eastAsia="pl-PL"/>
        </w:rPr>
        <w:t xml:space="preserve">, while </w:t>
      </w:r>
      <w:r>
        <w:rPr>
          <w:rFonts w:eastAsia="Times New Roman" w:cs="Times New Roman"/>
          <w:szCs w:val="19"/>
          <w:lang w:val="en-GB" w:eastAsia="pl-PL"/>
        </w:rPr>
        <w:t xml:space="preserve">compared with the same period of the last year, </w:t>
      </w:r>
      <w:r w:rsidR="00824C98">
        <w:rPr>
          <w:rFonts w:eastAsia="Times New Roman" w:cs="Times New Roman"/>
          <w:szCs w:val="19"/>
          <w:lang w:val="en-GB" w:eastAsia="pl-PL"/>
        </w:rPr>
        <w:t xml:space="preserve">population of the economically active </w:t>
      </w:r>
      <w:r w:rsidRPr="00842845">
        <w:rPr>
          <w:rFonts w:eastAsia="Times New Roman" w:cs="Times New Roman"/>
          <w:szCs w:val="19"/>
          <w:lang w:val="en-GB" w:eastAsia="pl-PL"/>
        </w:rPr>
        <w:t xml:space="preserve">increased </w:t>
      </w:r>
      <w:r>
        <w:rPr>
          <w:rFonts w:eastAsia="Times New Roman" w:cs="Times New Roman"/>
          <w:szCs w:val="19"/>
          <w:lang w:val="en-GB" w:eastAsia="pl-PL"/>
        </w:rPr>
        <w:t>(</w:t>
      </w:r>
      <w:r w:rsidRPr="00842845">
        <w:rPr>
          <w:rFonts w:eastAsia="Times New Roman" w:cs="Times New Roman"/>
          <w:szCs w:val="19"/>
          <w:lang w:val="en-GB" w:eastAsia="pl-PL"/>
        </w:rPr>
        <w:t xml:space="preserve">by </w:t>
      </w:r>
      <w:r>
        <w:rPr>
          <w:rFonts w:eastAsia="Times New Roman" w:cs="Times New Roman"/>
          <w:szCs w:val="19"/>
          <w:lang w:val="en-GB" w:eastAsia="pl-PL"/>
        </w:rPr>
        <w:t>130</w:t>
      </w:r>
      <w:r w:rsidRPr="00842845">
        <w:rPr>
          <w:rFonts w:eastAsia="Times New Roman" w:cs="Times New Roman"/>
          <w:szCs w:val="19"/>
          <w:lang w:val="en-GB" w:eastAsia="pl-PL"/>
        </w:rPr>
        <w:t xml:space="preserve"> thousand, i.e. by 0.</w:t>
      </w:r>
      <w:r>
        <w:rPr>
          <w:rFonts w:eastAsia="Times New Roman" w:cs="Times New Roman"/>
          <w:szCs w:val="19"/>
          <w:lang w:val="en-GB" w:eastAsia="pl-PL"/>
        </w:rPr>
        <w:t>8</w:t>
      </w:r>
      <w:r w:rsidRPr="00842845">
        <w:rPr>
          <w:rFonts w:eastAsia="Times New Roman" w:cs="Times New Roman"/>
          <w:szCs w:val="19"/>
          <w:lang w:val="en-GB" w:eastAsia="pl-PL"/>
        </w:rPr>
        <w:t>%</w:t>
      </w:r>
      <w:r>
        <w:rPr>
          <w:rFonts w:eastAsia="Times New Roman" w:cs="Times New Roman"/>
          <w:szCs w:val="19"/>
          <w:lang w:val="en-GB" w:eastAsia="pl-PL"/>
        </w:rPr>
        <w:t>)</w:t>
      </w:r>
      <w:r w:rsidRPr="00842845">
        <w:rPr>
          <w:rFonts w:eastAsia="Times New Roman" w:cs="Times New Roman"/>
          <w:szCs w:val="19"/>
          <w:lang w:val="en-GB" w:eastAsia="pl-PL"/>
        </w:rPr>
        <w:t>.</w:t>
      </w:r>
    </w:p>
    <w:p w14:paraId="26BBC0B6" w14:textId="6F71EE15" w:rsidR="00705190" w:rsidRPr="00D958CD" w:rsidRDefault="009117CC" w:rsidP="00705190">
      <w:pPr>
        <w:spacing w:line="288" w:lineRule="auto"/>
        <w:rPr>
          <w:rFonts w:eastAsia="Times New Roman" w:cs="Times New Roman"/>
          <w:szCs w:val="19"/>
          <w:lang w:val="en-US" w:eastAsia="pl-PL"/>
        </w:rPr>
      </w:pPr>
      <w:r w:rsidRPr="00D66BE3">
        <w:rPr>
          <w:noProof/>
          <w:lang w:eastAsia="pl-PL"/>
        </w:rPr>
        <mc:AlternateContent>
          <mc:Choice Requires="wps">
            <w:drawing>
              <wp:anchor distT="45720" distB="45720" distL="114300" distR="114300" simplePos="0" relativeHeight="251787264" behindDoc="1" locked="0" layoutInCell="1" allowOverlap="1" wp14:anchorId="2EC81A11" wp14:editId="2242F522">
                <wp:simplePos x="0" y="0"/>
                <wp:positionH relativeFrom="column">
                  <wp:posOffset>5343525</wp:posOffset>
                </wp:positionH>
                <wp:positionV relativeFrom="paragraph">
                  <wp:posOffset>989965</wp:posOffset>
                </wp:positionV>
                <wp:extent cx="1598295" cy="1257300"/>
                <wp:effectExtent l="0" t="0" r="0" b="0"/>
                <wp:wrapTight wrapText="bothSides">
                  <wp:wrapPolygon edited="0">
                    <wp:start x="772" y="0"/>
                    <wp:lineTo x="772" y="21273"/>
                    <wp:lineTo x="20596" y="21273"/>
                    <wp:lineTo x="20596" y="0"/>
                    <wp:lineTo x="772" y="0"/>
                  </wp:wrapPolygon>
                </wp:wrapTight>
                <wp:docPr id="31" name="Pole tekstowe 2" descr="The index describing  the relations of jobless per-sons to the number of employed persons increased compared to the previous quarter, whereas it decreased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1257300"/>
                        </a:xfrm>
                        <a:prstGeom prst="rect">
                          <a:avLst/>
                        </a:prstGeom>
                        <a:noFill/>
                        <a:ln w="9525">
                          <a:noFill/>
                          <a:miter lim="800000"/>
                          <a:headEnd/>
                          <a:tailEnd/>
                        </a:ln>
                      </wps:spPr>
                      <wps:txbx>
                        <w:txbxContent>
                          <w:p w14:paraId="503F8A88" w14:textId="6DBDC4E9" w:rsidR="00D12A51" w:rsidRPr="00D2480C" w:rsidRDefault="00D12A51" w:rsidP="00EC542E">
                            <w:pPr>
                              <w:pStyle w:val="tekstzboku"/>
                              <w:rPr>
                                <w:lang w:val="en-GB"/>
                              </w:rPr>
                            </w:pPr>
                            <w:r w:rsidRPr="00D2480C">
                              <w:rPr>
                                <w:lang w:val="en-GB"/>
                              </w:rPr>
                              <w:t>The index describing  the relations of jobless persons to the number of employed persons increased compared to the previous quarter</w:t>
                            </w:r>
                            <w:r w:rsidR="009117CC">
                              <w:rPr>
                                <w:lang w:val="en-GB"/>
                              </w:rPr>
                              <w:t>, whereas it decreased over the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81A11" id="_x0000_s1028" type="#_x0000_t202" alt="The index describing  the relations of jobless per-sons to the number of employed persons increased compared to the previous quarter, whereas it decreased over the year" style="position:absolute;margin-left:420.75pt;margin-top:77.95pt;width:125.85pt;height:99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" filled="f" stroked="f">
                <v:textbox>
                  <w:txbxContent>
                    <w:p w14:paraId="503F8A88" w14:textId="6DBDC4E9" w:rsidR="00D12A51" w:rsidRPr="00D2480C" w:rsidRDefault="00D12A51" w:rsidP="00EC542E">
                      <w:pPr>
                        <w:pStyle w:val="tekstzboku"/>
                        <w:rPr>
                          <w:lang w:val="en-GB"/>
                        </w:rPr>
                      </w:pPr>
                      <w:r w:rsidRPr="00D2480C">
                        <w:rPr>
                          <w:lang w:val="en-GB"/>
                        </w:rPr>
                        <w:t>The index describing  the relations of jobless persons to the number of employed persons increased compared to the previous quarter</w:t>
                      </w:r>
                      <w:r w:rsidR="009117CC">
                        <w:rPr>
                          <w:lang w:val="en-GB"/>
                        </w:rPr>
                        <w:t>, whereas it decreased over the year</w:t>
                      </w:r>
                    </w:p>
                  </w:txbxContent>
                </v:textbox>
                <w10:wrap type="tight"/>
              </v:shape>
            </w:pict>
          </mc:Fallback>
        </mc:AlternateContent>
      </w:r>
      <w:r w:rsidR="00D61EB5">
        <w:rPr>
          <w:shd w:val="clear" w:color="auto" w:fill="FFFFFF"/>
          <w:lang w:val="en-GB"/>
        </w:rPr>
        <w:t xml:space="preserve">In the first quarter of 2022, the share of economically active persons in the total number of persons </w:t>
      </w:r>
      <w:r w:rsidR="00D61EB5" w:rsidRPr="00FB4116">
        <w:rPr>
          <w:shd w:val="clear" w:color="auto" w:fill="FFFFFF"/>
          <w:lang w:val="en-GB"/>
        </w:rPr>
        <w:t xml:space="preserve">aged 15-89 years </w:t>
      </w:r>
      <w:r w:rsidR="00D61EB5">
        <w:rPr>
          <w:shd w:val="clear" w:color="auto" w:fill="FFFFFF"/>
          <w:lang w:val="en-GB"/>
        </w:rPr>
        <w:t xml:space="preserve">was higher among </w:t>
      </w:r>
      <w:r w:rsidR="00D61EB5" w:rsidRPr="00FB4116">
        <w:rPr>
          <w:shd w:val="clear" w:color="auto" w:fill="FFFFFF"/>
          <w:lang w:val="en-GB"/>
        </w:rPr>
        <w:t xml:space="preserve">men </w:t>
      </w:r>
      <w:r w:rsidR="00D61EB5">
        <w:rPr>
          <w:shd w:val="clear" w:color="auto" w:fill="FFFFFF"/>
          <w:lang w:val="en-GB"/>
        </w:rPr>
        <w:t>and accounted for</w:t>
      </w:r>
      <w:r w:rsidR="00D61EB5" w:rsidRPr="00FB4116">
        <w:rPr>
          <w:shd w:val="clear" w:color="auto" w:fill="FFFFFF"/>
          <w:lang w:val="en-GB"/>
        </w:rPr>
        <w:t xml:space="preserve"> 6</w:t>
      </w:r>
      <w:r w:rsidR="00D61EB5">
        <w:rPr>
          <w:shd w:val="clear" w:color="auto" w:fill="FFFFFF"/>
          <w:lang w:val="en-GB"/>
        </w:rPr>
        <w:t>6.1</w:t>
      </w:r>
      <w:r w:rsidR="00D61EB5" w:rsidRPr="00FB4116">
        <w:rPr>
          <w:shd w:val="clear" w:color="auto" w:fill="FFFFFF"/>
          <w:lang w:val="en-GB"/>
        </w:rPr>
        <w:t xml:space="preserve">%, </w:t>
      </w:r>
      <w:r w:rsidR="00D61EB5">
        <w:rPr>
          <w:shd w:val="clear" w:color="auto" w:fill="FFFFFF"/>
          <w:lang w:val="en-GB"/>
        </w:rPr>
        <w:t>while in the population of women this percentage was at the level of 50</w:t>
      </w:r>
      <w:r w:rsidR="00D61EB5" w:rsidRPr="00FB4116">
        <w:rPr>
          <w:shd w:val="clear" w:color="auto" w:fill="FFFFFF"/>
          <w:lang w:val="en-GB"/>
        </w:rPr>
        <w:t>.</w:t>
      </w:r>
      <w:r w:rsidR="00D61EB5">
        <w:rPr>
          <w:shd w:val="clear" w:color="auto" w:fill="FFFFFF"/>
          <w:lang w:val="en-GB"/>
        </w:rPr>
        <w:t>5</w:t>
      </w:r>
      <w:r w:rsidR="00D61EB5" w:rsidRPr="00FB4116">
        <w:rPr>
          <w:shd w:val="clear" w:color="auto" w:fill="FFFFFF"/>
          <w:lang w:val="en-GB"/>
        </w:rPr>
        <w:t>% (</w:t>
      </w:r>
      <w:r w:rsidR="00D61EB5">
        <w:rPr>
          <w:shd w:val="clear" w:color="auto" w:fill="FFFFFF"/>
          <w:lang w:val="en-GB"/>
        </w:rPr>
        <w:t>the respective figures for persons at working age</w:t>
      </w:r>
      <w:r w:rsidR="00D61EB5" w:rsidRPr="00D958CD">
        <w:rPr>
          <w:rStyle w:val="Odwoanieprzypisudolnego"/>
          <w:shd w:val="clear" w:color="auto" w:fill="FFFFFF"/>
          <w:lang w:val="en-US"/>
        </w:rPr>
        <w:t xml:space="preserve"> </w:t>
      </w:r>
      <w:r w:rsidR="00D61EB5">
        <w:rPr>
          <w:shd w:val="clear" w:color="auto" w:fill="FFFFFF"/>
          <w:lang w:val="en-GB"/>
        </w:rPr>
        <w:t xml:space="preserve">comprised </w:t>
      </w:r>
      <w:r w:rsidR="00D61EB5" w:rsidRPr="00FB4116">
        <w:rPr>
          <w:shd w:val="clear" w:color="auto" w:fill="FFFFFF"/>
          <w:lang w:val="en-GB"/>
        </w:rPr>
        <w:t>8</w:t>
      </w:r>
      <w:r w:rsidR="00D61EB5">
        <w:rPr>
          <w:shd w:val="clear" w:color="auto" w:fill="FFFFFF"/>
          <w:lang w:val="en-GB"/>
        </w:rPr>
        <w:t>3</w:t>
      </w:r>
      <w:r w:rsidR="00D61EB5" w:rsidRPr="00FB4116">
        <w:rPr>
          <w:shd w:val="clear" w:color="auto" w:fill="FFFFFF"/>
          <w:lang w:val="en-GB"/>
        </w:rPr>
        <w:t>.</w:t>
      </w:r>
      <w:r w:rsidR="00D61EB5">
        <w:rPr>
          <w:shd w:val="clear" w:color="auto" w:fill="FFFFFF"/>
          <w:lang w:val="en-GB"/>
        </w:rPr>
        <w:t>5</w:t>
      </w:r>
      <w:r w:rsidR="00D61EB5" w:rsidRPr="00FB4116">
        <w:rPr>
          <w:shd w:val="clear" w:color="auto" w:fill="FFFFFF"/>
          <w:lang w:val="en-GB"/>
        </w:rPr>
        <w:t xml:space="preserve">% </w:t>
      </w:r>
      <w:r w:rsidR="00D61EB5">
        <w:rPr>
          <w:shd w:val="clear" w:color="auto" w:fill="FFFFFF"/>
          <w:lang w:val="en-GB"/>
        </w:rPr>
        <w:t xml:space="preserve">and </w:t>
      </w:r>
      <w:r w:rsidR="00D61EB5" w:rsidRPr="00FB4116">
        <w:rPr>
          <w:shd w:val="clear" w:color="auto" w:fill="FFFFFF"/>
          <w:lang w:val="en-GB"/>
        </w:rPr>
        <w:t>7</w:t>
      </w:r>
      <w:r w:rsidR="00D61EB5">
        <w:rPr>
          <w:shd w:val="clear" w:color="auto" w:fill="FFFFFF"/>
          <w:lang w:val="en-GB"/>
        </w:rPr>
        <w:t>6</w:t>
      </w:r>
      <w:r w:rsidR="00D61EB5" w:rsidRPr="00FB4116">
        <w:rPr>
          <w:shd w:val="clear" w:color="auto" w:fill="FFFFFF"/>
          <w:lang w:val="en-GB"/>
        </w:rPr>
        <w:t>.</w:t>
      </w:r>
      <w:r w:rsidR="00D61EB5">
        <w:rPr>
          <w:shd w:val="clear" w:color="auto" w:fill="FFFFFF"/>
          <w:lang w:val="en-GB"/>
        </w:rPr>
        <w:t>0</w:t>
      </w:r>
      <w:r w:rsidR="00D61EB5" w:rsidRPr="00FB4116">
        <w:rPr>
          <w:shd w:val="clear" w:color="auto" w:fill="FFFFFF"/>
          <w:lang w:val="en-GB"/>
        </w:rPr>
        <w:t xml:space="preserve">%). </w:t>
      </w:r>
      <w:r w:rsidR="00D61EB5">
        <w:rPr>
          <w:shd w:val="clear" w:color="auto" w:fill="FFFFFF"/>
          <w:lang w:val="en-GB"/>
        </w:rPr>
        <w:t>The corresponding i</w:t>
      </w:r>
      <w:r w:rsidR="00D61EB5" w:rsidRPr="00FB4116">
        <w:rPr>
          <w:shd w:val="clear" w:color="auto" w:fill="FFFFFF"/>
          <w:lang w:val="en-GB"/>
        </w:rPr>
        <w:t>n</w:t>
      </w:r>
      <w:r w:rsidR="00D61EB5">
        <w:rPr>
          <w:shd w:val="clear" w:color="auto" w:fill="FFFFFF"/>
          <w:lang w:val="en-GB"/>
        </w:rPr>
        <w:t xml:space="preserve">dicators for urban and rural areas respectively accounted for </w:t>
      </w:r>
      <w:r w:rsidR="00D61EB5" w:rsidRPr="00D958CD">
        <w:rPr>
          <w:rFonts w:eastAsia="Times New Roman" w:cs="Times New Roman"/>
          <w:szCs w:val="19"/>
          <w:lang w:val="en-US" w:eastAsia="pl-PL"/>
        </w:rPr>
        <w:t xml:space="preserve">58.0% </w:t>
      </w:r>
      <w:r w:rsidR="00D61EB5">
        <w:rPr>
          <w:shd w:val="clear" w:color="auto" w:fill="FFFFFF"/>
          <w:lang w:val="en-GB"/>
        </w:rPr>
        <w:t xml:space="preserve">and </w:t>
      </w:r>
      <w:r w:rsidR="00D61EB5" w:rsidRPr="00FB4116">
        <w:rPr>
          <w:shd w:val="clear" w:color="auto" w:fill="FFFFFF"/>
          <w:lang w:val="en-GB"/>
        </w:rPr>
        <w:t>57.</w:t>
      </w:r>
      <w:r w:rsidR="00D61EB5">
        <w:rPr>
          <w:shd w:val="clear" w:color="auto" w:fill="FFFFFF"/>
          <w:lang w:val="en-GB"/>
        </w:rPr>
        <w:t>8</w:t>
      </w:r>
      <w:r w:rsidR="00D61EB5" w:rsidRPr="00FB4116">
        <w:rPr>
          <w:shd w:val="clear" w:color="auto" w:fill="FFFFFF"/>
          <w:lang w:val="en-GB"/>
        </w:rPr>
        <w:t>%</w:t>
      </w:r>
      <w:r w:rsidR="00D61EB5">
        <w:rPr>
          <w:shd w:val="clear" w:color="auto" w:fill="FFFFFF"/>
          <w:lang w:val="en-GB"/>
        </w:rPr>
        <w:t xml:space="preserve"> (at working age: </w:t>
      </w:r>
      <w:r w:rsidR="00D61EB5" w:rsidRPr="00D958CD">
        <w:rPr>
          <w:rFonts w:eastAsia="Times New Roman" w:cs="Times New Roman"/>
          <w:szCs w:val="19"/>
          <w:lang w:val="en-US" w:eastAsia="pl-PL"/>
        </w:rPr>
        <w:t>82.2% and 76.9%)</w:t>
      </w:r>
      <w:r w:rsidR="00A008DE" w:rsidRPr="00D958CD">
        <w:rPr>
          <w:rFonts w:eastAsia="Times New Roman" w:cs="Times New Roman"/>
          <w:szCs w:val="19"/>
          <w:lang w:val="en-US" w:eastAsia="pl-PL"/>
        </w:rPr>
        <w:t>.</w:t>
      </w:r>
    </w:p>
    <w:p w14:paraId="73E53549" w14:textId="1AB65328" w:rsidR="00316ABE" w:rsidRPr="00842845" w:rsidRDefault="00316ABE" w:rsidP="00316ABE">
      <w:pPr>
        <w:spacing w:line="288" w:lineRule="auto"/>
        <w:rPr>
          <w:rFonts w:eastAsia="Times New Roman" w:cs="Times New Roman"/>
          <w:szCs w:val="19"/>
          <w:lang w:val="en-US" w:eastAsia="pl-PL"/>
        </w:rPr>
      </w:pPr>
      <w:r w:rsidRPr="00842845">
        <w:rPr>
          <w:shd w:val="clear" w:color="auto" w:fill="FFFFFF"/>
          <w:lang w:val="en-US"/>
        </w:rPr>
        <w:t xml:space="preserve">The indicator defining the ratio of the number of not working persons (the unemployed aged 15-74 years and </w:t>
      </w:r>
      <w:r w:rsidR="00857C9E">
        <w:rPr>
          <w:shd w:val="clear" w:color="auto" w:fill="FFFFFF"/>
          <w:lang w:val="en-US"/>
        </w:rPr>
        <w:t xml:space="preserve">the </w:t>
      </w:r>
      <w:r w:rsidRPr="00842845">
        <w:rPr>
          <w:shd w:val="clear" w:color="auto" w:fill="FFFFFF"/>
          <w:lang w:val="en-US"/>
        </w:rPr>
        <w:t>economically inactive aged 15-89 years) to the number of employed persons (aged 15-89 years) increased compared with the previous period</w:t>
      </w:r>
      <w:r>
        <w:rPr>
          <w:shd w:val="clear" w:color="auto" w:fill="FFFFFF"/>
          <w:lang w:val="en-US"/>
        </w:rPr>
        <w:t>, while it decreased compared to the same period of 2021</w:t>
      </w:r>
      <w:r w:rsidRPr="00842845">
        <w:rPr>
          <w:shd w:val="clear" w:color="auto" w:fill="FFFFFF"/>
          <w:lang w:val="en-US"/>
        </w:rPr>
        <w:t xml:space="preserve">. In the </w:t>
      </w:r>
      <w:r>
        <w:rPr>
          <w:shd w:val="clear" w:color="auto" w:fill="FFFFFF"/>
          <w:lang w:val="en-US"/>
        </w:rPr>
        <w:t>first</w:t>
      </w:r>
      <w:r w:rsidRPr="00842845">
        <w:rPr>
          <w:shd w:val="clear" w:color="auto" w:fill="FFFFFF"/>
          <w:lang w:val="en-US"/>
        </w:rPr>
        <w:t xml:space="preserve"> quarter of 202</w:t>
      </w:r>
      <w:r>
        <w:rPr>
          <w:shd w:val="clear" w:color="auto" w:fill="FFFFFF"/>
          <w:lang w:val="en-US"/>
        </w:rPr>
        <w:t>2</w:t>
      </w:r>
      <w:r w:rsidRPr="00842845">
        <w:rPr>
          <w:shd w:val="clear" w:color="auto" w:fill="FFFFFF"/>
          <w:lang w:val="en-US"/>
        </w:rPr>
        <w:t xml:space="preserve">, there were </w:t>
      </w:r>
      <w:r w:rsidRPr="00842845">
        <w:rPr>
          <w:rFonts w:eastAsia="Times New Roman" w:cs="Times New Roman"/>
          <w:szCs w:val="19"/>
          <w:lang w:val="en-US" w:eastAsia="pl-PL"/>
        </w:rPr>
        <w:t>7</w:t>
      </w:r>
      <w:r>
        <w:rPr>
          <w:rFonts w:eastAsia="Times New Roman" w:cs="Times New Roman"/>
          <w:szCs w:val="19"/>
          <w:lang w:val="en-US" w:eastAsia="pl-PL"/>
        </w:rPr>
        <w:t>81</w:t>
      </w:r>
      <w:r w:rsidRPr="00842845">
        <w:rPr>
          <w:shd w:val="clear" w:color="auto" w:fill="FFFFFF"/>
          <w:lang w:val="en-US"/>
        </w:rPr>
        <w:t xml:space="preserve"> jobless persons aged 15-89 years per</w:t>
      </w:r>
      <w:r>
        <w:rPr>
          <w:shd w:val="clear" w:color="auto" w:fill="FFFFFF"/>
          <w:lang w:val="en-US"/>
        </w:rPr>
        <w:t xml:space="preserve"> 1000 employed persons (in the fourth </w:t>
      </w:r>
      <w:r w:rsidRPr="00842845">
        <w:rPr>
          <w:shd w:val="clear" w:color="auto" w:fill="FFFFFF"/>
          <w:lang w:val="en-US"/>
        </w:rPr>
        <w:t xml:space="preserve">quarter of 2021 </w:t>
      </w:r>
      <w:r>
        <w:rPr>
          <w:shd w:val="clear" w:color="auto" w:fill="FFFFFF"/>
          <w:lang w:val="en-US"/>
        </w:rPr>
        <w:t xml:space="preserve">and in the first quarter of 2021 </w:t>
      </w:r>
      <w:r w:rsidRPr="00842845">
        <w:rPr>
          <w:shd w:val="clear" w:color="auto" w:fill="FFFFFF"/>
          <w:lang w:val="en-US"/>
        </w:rPr>
        <w:t>there were</w:t>
      </w:r>
      <w:r>
        <w:rPr>
          <w:shd w:val="clear" w:color="auto" w:fill="FFFFFF"/>
          <w:lang w:val="en-US"/>
        </w:rPr>
        <w:t xml:space="preserve"> respectively</w:t>
      </w:r>
      <w:r w:rsidRPr="00842845">
        <w:rPr>
          <w:shd w:val="clear" w:color="auto" w:fill="FFFFFF"/>
          <w:lang w:val="en-US"/>
        </w:rPr>
        <w:t xml:space="preserve"> </w:t>
      </w:r>
      <w:r w:rsidRPr="00842845">
        <w:rPr>
          <w:rFonts w:eastAsia="Times New Roman" w:cs="Times New Roman"/>
          <w:szCs w:val="19"/>
          <w:lang w:val="en-US" w:eastAsia="pl-PL"/>
        </w:rPr>
        <w:t>7</w:t>
      </w:r>
      <w:r>
        <w:rPr>
          <w:rFonts w:eastAsia="Times New Roman" w:cs="Times New Roman"/>
          <w:szCs w:val="19"/>
          <w:lang w:val="en-US" w:eastAsia="pl-PL"/>
        </w:rPr>
        <w:t>76 and 819</w:t>
      </w:r>
      <w:r w:rsidRPr="00842845">
        <w:rPr>
          <w:rFonts w:eastAsia="Times New Roman" w:cs="Times New Roman"/>
          <w:szCs w:val="19"/>
          <w:lang w:val="en-US" w:eastAsia="pl-PL"/>
        </w:rPr>
        <w:t xml:space="preserve"> persons). </w:t>
      </w:r>
    </w:p>
    <w:p w14:paraId="660CDB4C" w14:textId="3604D94D" w:rsidR="00705190" w:rsidRPr="00D958CD" w:rsidRDefault="00D2480C" w:rsidP="00A416DE">
      <w:pPr>
        <w:spacing w:after="240" w:line="288" w:lineRule="auto"/>
        <w:rPr>
          <w:rFonts w:eastAsia="Times New Roman" w:cs="Times New Roman"/>
          <w:szCs w:val="19"/>
          <w:lang w:val="en-US" w:eastAsia="pl-PL"/>
        </w:rPr>
      </w:pPr>
      <w:r w:rsidRPr="00D958CD">
        <w:rPr>
          <w:rFonts w:eastAsia="Times New Roman" w:cs="Times New Roman"/>
          <w:szCs w:val="19"/>
          <w:lang w:val="en-US" w:eastAsia="pl-PL"/>
        </w:rPr>
        <w:t xml:space="preserve"> </w:t>
      </w:r>
    </w:p>
    <w:p w14:paraId="7311228E" w14:textId="77777777" w:rsidR="00215CC8" w:rsidRPr="00D958CD" w:rsidRDefault="00215CC8" w:rsidP="00A416DE">
      <w:pPr>
        <w:spacing w:after="240" w:line="288" w:lineRule="auto"/>
        <w:rPr>
          <w:rFonts w:eastAsia="Times New Roman" w:cs="Times New Roman"/>
          <w:szCs w:val="19"/>
          <w:lang w:val="en-US" w:eastAsia="pl-PL"/>
        </w:rPr>
      </w:pPr>
    </w:p>
    <w:p w14:paraId="756B8444" w14:textId="0E3EEB30" w:rsidR="00705190" w:rsidRPr="00D958CD" w:rsidRDefault="00705190" w:rsidP="004F4A42">
      <w:pPr>
        <w:pStyle w:val="Lead"/>
        <w:ind w:left="3686"/>
        <w:rPr>
          <w:lang w:val="en-US"/>
        </w:rPr>
      </w:pPr>
      <w:r w:rsidRPr="001B1F02">
        <w:rPr>
          <w:color w:val="001D77"/>
        </w:rPr>
        <w:lastRenderedPageBreak/>
        <mc:AlternateContent>
          <mc:Choice Requires="wps">
            <w:drawing>
              <wp:anchor distT="45720" distB="45720" distL="114300" distR="114300" simplePos="0" relativeHeight="251759616" behindDoc="0" locked="0" layoutInCell="1" allowOverlap="1" wp14:anchorId="38BE1552" wp14:editId="7D872901">
                <wp:simplePos x="0" y="0"/>
                <wp:positionH relativeFrom="margin">
                  <wp:align>left</wp:align>
                </wp:positionH>
                <wp:positionV relativeFrom="paragraph">
                  <wp:posOffset>55245</wp:posOffset>
                </wp:positionV>
                <wp:extent cx="2181225" cy="1143000"/>
                <wp:effectExtent l="0" t="0" r="9525" b="0"/>
                <wp:wrapSquare wrapText="bothSides"/>
                <wp:docPr id="15" name="Pole tekstowe 2" descr="Employment rate of persons aged 15-89 years - 56.2%&#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14:paraId="6972CA75" w14:textId="6B89E426" w:rsidR="0014599A" w:rsidRPr="0014599A" w:rsidRDefault="0014599A"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2</w:t>
                            </w:r>
                            <w:r w:rsidRPr="0014599A">
                              <w:rPr>
                                <w:rFonts w:ascii="Fira Sans SemiBold" w:hAnsi="Fira Sans SemiBold"/>
                                <w:color w:val="FFFFFF" w:themeColor="background1"/>
                                <w:sz w:val="72"/>
                                <w:lang w:val="en-GB"/>
                              </w:rPr>
                              <w:t>%</w:t>
                            </w:r>
                          </w:p>
                          <w:p w14:paraId="73CDD619" w14:textId="5B545C10" w:rsidR="0014599A" w:rsidRPr="0014599A" w:rsidRDefault="0014599A" w:rsidP="00AD1045">
                            <w:pPr>
                              <w:spacing w:before="0" w:after="0" w:line="240" w:lineRule="auto"/>
                              <w:jc w:val="center"/>
                              <w:rPr>
                                <w:sz w:val="20"/>
                                <w:lang w:val="en-GB"/>
                              </w:rPr>
                            </w:pPr>
                            <w:r w:rsidRPr="0014599A">
                              <w:rPr>
                                <w:sz w:val="20"/>
                                <w:lang w:val="en-GB"/>
                              </w:rPr>
                              <w:t>Employment rate</w:t>
                            </w:r>
                          </w:p>
                          <w:p w14:paraId="3A9B76FE" w14:textId="21B0C0A8" w:rsidR="0014599A" w:rsidRPr="0014599A" w:rsidRDefault="00F80863" w:rsidP="00AD1045">
                            <w:pPr>
                              <w:spacing w:before="0" w:after="0" w:line="240" w:lineRule="auto"/>
                              <w:jc w:val="center"/>
                              <w:rPr>
                                <w:color w:val="FFFFFF" w:themeColor="background1"/>
                                <w:sz w:val="18"/>
                                <w:szCs w:val="20"/>
                                <w:lang w:val="en-GB"/>
                              </w:rPr>
                            </w:pPr>
                            <w:r>
                              <w:rPr>
                                <w:sz w:val="20"/>
                                <w:lang w:val="en-GB"/>
                              </w:rPr>
                              <w:t>o</w:t>
                            </w:r>
                            <w:r w:rsidR="0014599A" w:rsidRPr="0014599A">
                              <w:rPr>
                                <w:sz w:val="20"/>
                                <w:lang w:val="en-GB"/>
                              </w:rPr>
                              <w:t>f persons aged 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Employment rate of persons aged 15-89 years - 56.2%&#10;&#10;" style="position:absolute;left:0;text-align:left;margin-left:0;margin-top:4.35pt;width:171.75pt;height:90pt;z-index:251759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" fillcolor="#001d77" stroked="f">
                <v:stroke joinstyle="miter"/>
                <v:textbox>
                  <w:txbxContent>
                    <w:p w14:paraId="6972CA75" w14:textId="6B89E426" w:rsidR="0014599A" w:rsidRPr="0014599A" w:rsidRDefault="0014599A"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2</w:t>
                      </w:r>
                      <w:r w:rsidRPr="0014599A">
                        <w:rPr>
                          <w:rFonts w:ascii="Fira Sans SemiBold" w:hAnsi="Fira Sans SemiBold"/>
                          <w:color w:val="FFFFFF" w:themeColor="background1"/>
                          <w:sz w:val="72"/>
                          <w:lang w:val="en-GB"/>
                        </w:rPr>
                        <w:t>%</w:t>
                      </w:r>
                    </w:p>
                    <w:p w14:paraId="73CDD619" w14:textId="5B545C10" w:rsidR="0014599A" w:rsidRPr="0014599A" w:rsidRDefault="0014599A" w:rsidP="00AD1045">
                      <w:pPr>
                        <w:spacing w:before="0" w:after="0" w:line="240" w:lineRule="auto"/>
                        <w:jc w:val="center"/>
                        <w:rPr>
                          <w:sz w:val="20"/>
                          <w:lang w:val="en-GB"/>
                        </w:rPr>
                      </w:pPr>
                      <w:r w:rsidRPr="0014599A">
                        <w:rPr>
                          <w:sz w:val="20"/>
                          <w:lang w:val="en-GB"/>
                        </w:rPr>
                        <w:t>Employment rate</w:t>
                      </w:r>
                    </w:p>
                    <w:p w14:paraId="3A9B76FE" w14:textId="21B0C0A8" w:rsidR="0014599A" w:rsidRPr="0014599A" w:rsidRDefault="00F80863" w:rsidP="00AD1045">
                      <w:pPr>
                        <w:spacing w:before="0" w:after="0" w:line="240" w:lineRule="auto"/>
                        <w:jc w:val="center"/>
                        <w:rPr>
                          <w:color w:val="FFFFFF" w:themeColor="background1"/>
                          <w:sz w:val="18"/>
                          <w:szCs w:val="20"/>
                          <w:lang w:val="en-GB"/>
                        </w:rPr>
                      </w:pPr>
                      <w:r>
                        <w:rPr>
                          <w:sz w:val="20"/>
                          <w:lang w:val="en-GB"/>
                        </w:rPr>
                        <w:t>o</w:t>
                      </w:r>
                      <w:r w:rsidR="0014599A" w:rsidRPr="0014599A">
                        <w:rPr>
                          <w:sz w:val="20"/>
                          <w:lang w:val="en-GB"/>
                        </w:rPr>
                        <w:t>f persons aged 15-89 years</w:t>
                      </w:r>
                    </w:p>
                  </w:txbxContent>
                </v:textbox>
                <w10:wrap type="square" anchorx="margin"/>
              </v:roundrect>
            </w:pict>
          </mc:Fallback>
        </mc:AlternateContent>
      </w:r>
      <w:r w:rsidR="00722FB9" w:rsidRPr="00D958CD">
        <w:rPr>
          <w:lang w:val="en-US"/>
        </w:rPr>
        <w:t xml:space="preserve">In the first quarter of 2022, employed persons accounted for 56.2% of the population aged </w:t>
      </w:r>
      <w:r w:rsidR="00777A4F">
        <w:rPr>
          <w:lang w:val="en-US"/>
        </w:rPr>
        <w:br/>
      </w:r>
      <w:r w:rsidR="00722FB9" w:rsidRPr="00D958CD">
        <w:rPr>
          <w:lang w:val="en-US"/>
        </w:rPr>
        <w:t>15–89 years. Compared with the fourth quarter of 2021, employment rate decreased by 0.1 pp., while compared with the same period of the last year</w:t>
      </w:r>
      <w:r w:rsidR="004851E9" w:rsidRPr="00D958CD">
        <w:rPr>
          <w:lang w:val="en-US"/>
        </w:rPr>
        <w:t xml:space="preserve"> </w:t>
      </w:r>
      <w:r w:rsidR="00722FB9" w:rsidRPr="00D958CD">
        <w:rPr>
          <w:lang w:val="en-US"/>
        </w:rPr>
        <w:t>it increased by 1.2 pp. It was higher in the male population (64.0%,) than among women (48.9 %)</w:t>
      </w:r>
      <w:r w:rsidR="008C2E01">
        <w:rPr>
          <w:lang w:val="en-US"/>
        </w:rPr>
        <w:t>.</w:t>
      </w:r>
      <w:r w:rsidRPr="00D958CD">
        <w:rPr>
          <w:lang w:val="en-US"/>
        </w:rPr>
        <w:t xml:space="preserve"> </w:t>
      </w:r>
    </w:p>
    <w:p w14:paraId="7481044C" w14:textId="4630C7C6" w:rsidR="00705190" w:rsidRPr="00D958CD" w:rsidRDefault="00AD026A" w:rsidP="008C2E01">
      <w:pPr>
        <w:pStyle w:val="Nagwek1"/>
        <w:jc w:val="both"/>
        <w:rPr>
          <w:lang w:val="en-US"/>
        </w:rPr>
      </w:pPr>
      <w:r w:rsidRPr="00D62D4A">
        <w:rPr>
          <w:noProof/>
        </w:rPr>
        <mc:AlternateContent>
          <mc:Choice Requires="wps">
            <w:drawing>
              <wp:anchor distT="45720" distB="45720" distL="114300" distR="114300" simplePos="0" relativeHeight="251785216" behindDoc="1" locked="0" layoutInCell="1" allowOverlap="1" wp14:anchorId="5EE73E00" wp14:editId="11CFB825">
                <wp:simplePos x="0" y="0"/>
                <wp:positionH relativeFrom="column">
                  <wp:posOffset>5305425</wp:posOffset>
                </wp:positionH>
                <wp:positionV relativeFrom="paragraph">
                  <wp:posOffset>234950</wp:posOffset>
                </wp:positionV>
                <wp:extent cx="1612265" cy="1304925"/>
                <wp:effectExtent l="0" t="0" r="0" b="0"/>
                <wp:wrapTight wrapText="bothSides">
                  <wp:wrapPolygon edited="0">
                    <wp:start x="766" y="0"/>
                    <wp:lineTo x="766" y="21127"/>
                    <wp:lineTo x="20673" y="21127"/>
                    <wp:lineTo x="20673" y="0"/>
                    <wp:lineTo x="766" y="0"/>
                  </wp:wrapPolygon>
                </wp:wrapTight>
                <wp:docPr id="32" name="Pole tekstowe 2" descr="The population of employed persons decreased compared with the previous quarter, whereas it increased compared with the corresponding period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304925"/>
                        </a:xfrm>
                        <a:prstGeom prst="rect">
                          <a:avLst/>
                        </a:prstGeom>
                        <a:noFill/>
                        <a:ln w="9525">
                          <a:noFill/>
                          <a:miter lim="800000"/>
                          <a:headEnd/>
                          <a:tailEnd/>
                        </a:ln>
                      </wps:spPr>
                      <wps:txbx>
                        <w:txbxContent>
                          <w:p w14:paraId="712F2DBE" w14:textId="2F9A4CE2" w:rsidR="00D12A51" w:rsidRPr="009A5F72" w:rsidRDefault="009A5F72" w:rsidP="00EC542E">
                            <w:pPr>
                              <w:pStyle w:val="tekstzboku"/>
                              <w:rPr>
                                <w:lang w:val="en-GB"/>
                              </w:rPr>
                            </w:pPr>
                            <w:r w:rsidRPr="009A5F72">
                              <w:rPr>
                                <w:lang w:val="en-GB"/>
                              </w:rPr>
                              <w:t>The population of employed persons decreased compared with the previous quarter</w:t>
                            </w:r>
                            <w:r w:rsidR="00AD026A">
                              <w:rPr>
                                <w:lang w:val="en-GB"/>
                              </w:rPr>
                              <w:t>, whereas it increased compared with the corresponding period of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73E00" id="_x0000_s1030" type="#_x0000_t202" alt="The population of employed persons decreased compared with the previous quarter, whereas it increased compared with the corresponding period of 2021" style="position:absolute;left:0;text-align:left;margin-left:417.75pt;margin-top:18.5pt;width:126.95pt;height:102.75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" filled="f" stroked="f">
                <v:textbox>
                  <w:txbxContent>
                    <w:p w14:paraId="712F2DBE" w14:textId="2F9A4CE2" w:rsidR="00D12A51" w:rsidRPr="009A5F72" w:rsidRDefault="009A5F72" w:rsidP="00EC542E">
                      <w:pPr>
                        <w:pStyle w:val="tekstzboku"/>
                        <w:rPr>
                          <w:lang w:val="en-GB"/>
                        </w:rPr>
                      </w:pPr>
                      <w:r w:rsidRPr="009A5F72">
                        <w:rPr>
                          <w:lang w:val="en-GB"/>
                        </w:rPr>
                        <w:t>The population of employed persons decreased compared with the previous quarter</w:t>
                      </w:r>
                      <w:r w:rsidR="00AD026A">
                        <w:rPr>
                          <w:lang w:val="en-GB"/>
                        </w:rPr>
                        <w:t>, whereas it increased compared with the corresponding period of 2021</w:t>
                      </w:r>
                    </w:p>
                  </w:txbxContent>
                </v:textbox>
                <w10:wrap type="tight"/>
              </v:shape>
            </w:pict>
          </mc:Fallback>
        </mc:AlternateContent>
      </w:r>
      <w:r w:rsidR="00722FB9" w:rsidRPr="00F4773B">
        <w:rPr>
          <w:rFonts w:ascii="Fira Sans" w:hAnsi="Fira Sans"/>
          <w:b/>
          <w:spacing w:val="-2"/>
          <w:szCs w:val="19"/>
          <w:lang w:val="en-GB"/>
        </w:rPr>
        <w:t>Employed persons</w:t>
      </w:r>
      <w:r w:rsidR="00722FB9" w:rsidRPr="00F4773B">
        <w:rPr>
          <w:lang w:val="en-GB"/>
        </w:rPr>
        <w:t xml:space="preserve"> aged 15 - 89 years by the LFS</w:t>
      </w:r>
    </w:p>
    <w:p w14:paraId="3F10AEC0" w14:textId="48EDA3EC" w:rsidR="0025437C" w:rsidRPr="00F4773B" w:rsidRDefault="0025437C" w:rsidP="0025437C">
      <w:pPr>
        <w:spacing w:line="288" w:lineRule="auto"/>
        <w:rPr>
          <w:shd w:val="clear" w:color="auto" w:fill="FFFFFF"/>
          <w:lang w:val="en-GB"/>
        </w:rPr>
      </w:pPr>
      <w:r w:rsidRPr="00F4773B">
        <w:rPr>
          <w:shd w:val="clear" w:color="auto" w:fill="FFFFFF"/>
          <w:lang w:val="en-GB"/>
        </w:rPr>
        <w:t xml:space="preserve">In the </w:t>
      </w:r>
      <w:r>
        <w:rPr>
          <w:shd w:val="clear" w:color="auto" w:fill="FFFFFF"/>
          <w:lang w:val="en-GB"/>
        </w:rPr>
        <w:t>first quarter of 2022</w:t>
      </w:r>
      <w:r w:rsidRPr="00F4773B">
        <w:rPr>
          <w:shd w:val="clear" w:color="auto" w:fill="FFFFFF"/>
          <w:lang w:val="en-GB"/>
        </w:rPr>
        <w:t xml:space="preserve">, the population of employed persons aged 15-89 years comprised </w:t>
      </w:r>
      <w:r w:rsidRPr="00F4773B">
        <w:rPr>
          <w:rFonts w:eastAsia="Times New Roman" w:cs="Times New Roman"/>
          <w:szCs w:val="19"/>
          <w:lang w:val="en-GB" w:eastAsia="pl-PL"/>
        </w:rPr>
        <w:t>167</w:t>
      </w:r>
      <w:r>
        <w:rPr>
          <w:rFonts w:eastAsia="Times New Roman" w:cs="Times New Roman"/>
          <w:szCs w:val="19"/>
          <w:lang w:val="en-GB" w:eastAsia="pl-PL"/>
        </w:rPr>
        <w:t>14</w:t>
      </w:r>
      <w:r w:rsidRPr="00F4773B">
        <w:rPr>
          <w:shd w:val="clear" w:color="auto" w:fill="FFFFFF"/>
          <w:lang w:val="en-GB"/>
        </w:rPr>
        <w:t xml:space="preserve"> thousand persons and it decreased compared </w:t>
      </w:r>
      <w:r>
        <w:rPr>
          <w:shd w:val="clear" w:color="auto" w:fill="FFFFFF"/>
          <w:lang w:val="en-GB"/>
        </w:rPr>
        <w:t>with</w:t>
      </w:r>
      <w:r w:rsidRPr="00F4773B">
        <w:rPr>
          <w:shd w:val="clear" w:color="auto" w:fill="FFFFFF"/>
          <w:lang w:val="en-GB"/>
        </w:rPr>
        <w:t xml:space="preserve"> the previous period </w:t>
      </w:r>
      <w:r>
        <w:rPr>
          <w:shd w:val="clear" w:color="auto" w:fill="FFFFFF"/>
          <w:lang w:val="en-GB"/>
        </w:rPr>
        <w:t>(</w:t>
      </w:r>
      <w:r w:rsidRPr="00F4773B">
        <w:rPr>
          <w:shd w:val="clear" w:color="auto" w:fill="FFFFFF"/>
          <w:lang w:val="en-GB"/>
        </w:rPr>
        <w:t xml:space="preserve">by </w:t>
      </w:r>
      <w:r>
        <w:rPr>
          <w:rFonts w:eastAsia="Times New Roman" w:cs="Times New Roman"/>
          <w:szCs w:val="19"/>
          <w:lang w:val="en-GB" w:eastAsia="pl-PL"/>
        </w:rPr>
        <w:t>66</w:t>
      </w:r>
      <w:r w:rsidR="00D93B6C">
        <w:rPr>
          <w:rFonts w:eastAsia="Times New Roman" w:cs="Times New Roman"/>
          <w:szCs w:val="19"/>
          <w:lang w:val="en-GB" w:eastAsia="pl-PL"/>
        </w:rPr>
        <w:t> </w:t>
      </w:r>
      <w:r w:rsidRPr="00F4773B">
        <w:rPr>
          <w:rFonts w:eastAsia="Times New Roman" w:cs="Times New Roman"/>
          <w:szCs w:val="19"/>
          <w:lang w:val="en-GB" w:eastAsia="pl-PL"/>
        </w:rPr>
        <w:t>thousand, i.e. by</w:t>
      </w:r>
      <w:r w:rsidRPr="00F4773B" w:rsidDel="00CB3101">
        <w:rPr>
          <w:rFonts w:eastAsia="Times New Roman" w:cs="Times New Roman"/>
          <w:szCs w:val="19"/>
          <w:lang w:val="en-GB" w:eastAsia="pl-PL"/>
        </w:rPr>
        <w:t xml:space="preserve"> </w:t>
      </w:r>
      <w:r w:rsidRPr="00F4773B">
        <w:rPr>
          <w:rFonts w:eastAsia="Times New Roman" w:cs="Times New Roman"/>
          <w:szCs w:val="19"/>
          <w:lang w:val="en-GB" w:eastAsia="pl-PL"/>
        </w:rPr>
        <w:t>0.</w:t>
      </w:r>
      <w:r>
        <w:rPr>
          <w:rFonts w:eastAsia="Times New Roman" w:cs="Times New Roman"/>
          <w:szCs w:val="19"/>
          <w:lang w:val="en-GB" w:eastAsia="pl-PL"/>
        </w:rPr>
        <w:t>4</w:t>
      </w:r>
      <w:r w:rsidRPr="00F4773B" w:rsidDel="00CB3101">
        <w:rPr>
          <w:rFonts w:eastAsia="Times New Roman" w:cs="Times New Roman"/>
          <w:szCs w:val="19"/>
          <w:lang w:val="en-GB" w:eastAsia="pl-PL"/>
        </w:rPr>
        <w:t>%</w:t>
      </w:r>
      <w:r>
        <w:rPr>
          <w:rFonts w:eastAsia="Times New Roman" w:cs="Times New Roman"/>
          <w:szCs w:val="19"/>
          <w:lang w:val="en-GB" w:eastAsia="pl-PL"/>
        </w:rPr>
        <w:t>), whereas it increased compared with the first quarter of 202</w:t>
      </w:r>
      <w:r w:rsidR="00857C9E">
        <w:rPr>
          <w:rFonts w:eastAsia="Times New Roman" w:cs="Times New Roman"/>
          <w:szCs w:val="19"/>
          <w:lang w:val="en-GB" w:eastAsia="pl-PL"/>
        </w:rPr>
        <w:t>1</w:t>
      </w:r>
      <w:r>
        <w:rPr>
          <w:rFonts w:eastAsia="Times New Roman" w:cs="Times New Roman"/>
          <w:szCs w:val="19"/>
          <w:lang w:val="en-GB" w:eastAsia="pl-PL"/>
        </w:rPr>
        <w:t xml:space="preserve"> (by 281 thousand, i.e. 1.7%)</w:t>
      </w:r>
      <w:r w:rsidRPr="00F4773B" w:rsidDel="00CB3101">
        <w:rPr>
          <w:rFonts w:eastAsia="Times New Roman" w:cs="Times New Roman"/>
          <w:szCs w:val="19"/>
          <w:lang w:val="en-GB" w:eastAsia="pl-PL"/>
        </w:rPr>
        <w:t>.</w:t>
      </w:r>
      <w:r w:rsidRPr="00F4773B">
        <w:rPr>
          <w:shd w:val="clear" w:color="auto" w:fill="FFFFFF"/>
          <w:lang w:val="en-GB"/>
        </w:rPr>
        <w:t xml:space="preserve"> </w:t>
      </w:r>
      <w:r>
        <w:rPr>
          <w:shd w:val="clear" w:color="auto" w:fill="FFFFFF"/>
          <w:lang w:val="en-GB"/>
        </w:rPr>
        <w:t>As regards division by sex, the number of employed persons decreased over the quarter among both men (a drop by 45 thousand, i.e. by 0.5%) and women (a drop by 21</w:t>
      </w:r>
      <w:r w:rsidR="00D47E43">
        <w:rPr>
          <w:shd w:val="clear" w:color="auto" w:fill="FFFFFF"/>
          <w:lang w:val="en-GB"/>
        </w:rPr>
        <w:t> </w:t>
      </w:r>
      <w:r>
        <w:rPr>
          <w:shd w:val="clear" w:color="auto" w:fill="FFFFFF"/>
          <w:lang w:val="en-GB"/>
        </w:rPr>
        <w:t xml:space="preserve">thousand, i.e. 0.3%).  </w:t>
      </w:r>
      <w:r w:rsidR="00AD791E">
        <w:rPr>
          <w:shd w:val="clear" w:color="auto" w:fill="FFFFFF"/>
          <w:lang w:val="en-GB"/>
        </w:rPr>
        <w:t xml:space="preserve">As regards </w:t>
      </w:r>
      <w:r>
        <w:rPr>
          <w:shd w:val="clear" w:color="auto" w:fill="FFFFFF"/>
          <w:lang w:val="en-GB"/>
        </w:rPr>
        <w:t xml:space="preserve">the place of residence, a decline in the number of employed persons occurred among urban residents – by 0.7% (by 75 thousand persons), while in rural areas the number of employed population </w:t>
      </w:r>
      <w:r w:rsidR="005505B6">
        <w:rPr>
          <w:shd w:val="clear" w:color="auto" w:fill="FFFFFF"/>
          <w:lang w:val="en-GB"/>
        </w:rPr>
        <w:t xml:space="preserve">stayed at a similar level. Compared with corresponding period of the last year, a growth in the number of the employed was observed </w:t>
      </w:r>
      <w:r w:rsidR="00D8478C">
        <w:rPr>
          <w:shd w:val="clear" w:color="auto" w:fill="FFFFFF"/>
          <w:lang w:val="en-GB"/>
        </w:rPr>
        <w:t>irrespective of both: sex and the place of residence.</w:t>
      </w:r>
    </w:p>
    <w:p w14:paraId="46E40A5B" w14:textId="5AEF4D45" w:rsidR="0025437C" w:rsidRPr="00F4773B" w:rsidRDefault="0025437C" w:rsidP="0025437C">
      <w:pPr>
        <w:spacing w:line="288" w:lineRule="auto"/>
        <w:rPr>
          <w:shd w:val="clear" w:color="auto" w:fill="FFFFFF"/>
          <w:lang w:val="en-GB"/>
        </w:rPr>
      </w:pPr>
      <w:r w:rsidRPr="00F4773B">
        <w:rPr>
          <w:shd w:val="clear" w:color="auto" w:fill="FFFFFF"/>
          <w:lang w:val="en-GB"/>
        </w:rPr>
        <w:t xml:space="preserve">The dominant among the employed were </w:t>
      </w:r>
      <w:r>
        <w:rPr>
          <w:shd w:val="clear" w:color="auto" w:fill="FFFFFF"/>
          <w:lang w:val="en-GB"/>
        </w:rPr>
        <w:t xml:space="preserve">still </w:t>
      </w:r>
      <w:r w:rsidRPr="00F4773B">
        <w:rPr>
          <w:shd w:val="clear" w:color="auto" w:fill="FFFFFF"/>
          <w:lang w:val="en-GB"/>
        </w:rPr>
        <w:t xml:space="preserve">men, who constituted </w:t>
      </w:r>
      <w:r w:rsidRPr="00F4773B">
        <w:rPr>
          <w:rFonts w:eastAsia="Times New Roman" w:cs="Times New Roman"/>
          <w:szCs w:val="19"/>
          <w:lang w:val="en-GB" w:eastAsia="pl-PL"/>
        </w:rPr>
        <w:t>54.</w:t>
      </w:r>
      <w:r>
        <w:rPr>
          <w:rFonts w:eastAsia="Times New Roman" w:cs="Times New Roman"/>
          <w:szCs w:val="19"/>
          <w:lang w:val="en-GB" w:eastAsia="pl-PL"/>
        </w:rPr>
        <w:t>6</w:t>
      </w:r>
      <w:r w:rsidRPr="00F4773B">
        <w:rPr>
          <w:rFonts w:eastAsia="Times New Roman" w:cs="Times New Roman"/>
          <w:szCs w:val="19"/>
          <w:lang w:val="en-GB" w:eastAsia="pl-PL"/>
        </w:rPr>
        <w:t xml:space="preserve">% </w:t>
      </w:r>
      <w:r w:rsidRPr="00F4773B">
        <w:rPr>
          <w:shd w:val="clear" w:color="auto" w:fill="FFFFFF"/>
          <w:lang w:val="en-GB"/>
        </w:rPr>
        <w:t xml:space="preserve">(i.e. </w:t>
      </w:r>
      <w:r w:rsidRPr="00F4773B">
        <w:rPr>
          <w:rFonts w:eastAsia="Times New Roman" w:cs="Times New Roman"/>
          <w:szCs w:val="19"/>
          <w:lang w:val="en-GB" w:eastAsia="pl-PL"/>
        </w:rPr>
        <w:t>91</w:t>
      </w:r>
      <w:r>
        <w:rPr>
          <w:rFonts w:eastAsia="Times New Roman" w:cs="Times New Roman"/>
          <w:szCs w:val="19"/>
          <w:lang w:val="en-GB" w:eastAsia="pl-PL"/>
        </w:rPr>
        <w:t>27</w:t>
      </w:r>
      <w:r w:rsidRPr="00F4773B">
        <w:rPr>
          <w:rFonts w:eastAsia="Times New Roman" w:cs="Times New Roman"/>
          <w:szCs w:val="19"/>
          <w:lang w:val="en-GB" w:eastAsia="pl-PL"/>
        </w:rPr>
        <w:t xml:space="preserve"> </w:t>
      </w:r>
      <w:r w:rsidRPr="00F4773B">
        <w:rPr>
          <w:shd w:val="clear" w:color="auto" w:fill="FFFFFF"/>
          <w:lang w:val="en-GB"/>
        </w:rPr>
        <w:t>thousand) of this population.</w:t>
      </w:r>
      <w:r>
        <w:rPr>
          <w:shd w:val="clear" w:color="auto" w:fill="FFFFFF"/>
          <w:lang w:val="en-GB"/>
        </w:rPr>
        <w:t xml:space="preserve"> </w:t>
      </w:r>
      <w:r w:rsidRPr="00F4773B">
        <w:rPr>
          <w:shd w:val="clear" w:color="auto" w:fill="FFFFFF"/>
          <w:lang w:val="en-GB"/>
        </w:rPr>
        <w:t>Wh</w:t>
      </w:r>
      <w:r w:rsidR="00542400">
        <w:rPr>
          <w:shd w:val="clear" w:color="auto" w:fill="FFFFFF"/>
          <w:lang w:val="en-GB"/>
        </w:rPr>
        <w:t>ereas</w:t>
      </w:r>
      <w:r w:rsidRPr="00F4773B">
        <w:rPr>
          <w:shd w:val="clear" w:color="auto" w:fill="FFFFFF"/>
          <w:lang w:val="en-GB"/>
        </w:rPr>
        <w:t>, as regards the place of residence, the share of urban residents accounted for 59.</w:t>
      </w:r>
      <w:r w:rsidR="00D81F07">
        <w:rPr>
          <w:shd w:val="clear" w:color="auto" w:fill="FFFFFF"/>
          <w:lang w:val="en-GB"/>
        </w:rPr>
        <w:t>7</w:t>
      </w:r>
      <w:r w:rsidRPr="00F4773B">
        <w:rPr>
          <w:shd w:val="clear" w:color="auto" w:fill="FFFFFF"/>
          <w:lang w:val="en-GB"/>
        </w:rPr>
        <w:t xml:space="preserve">% (i.e. </w:t>
      </w:r>
      <w:r w:rsidR="00D81F07" w:rsidRPr="00D958CD">
        <w:rPr>
          <w:rFonts w:eastAsia="Times New Roman" w:cs="Times New Roman"/>
          <w:szCs w:val="19"/>
          <w:lang w:val="en-US" w:eastAsia="pl-PL"/>
        </w:rPr>
        <w:t>9980</w:t>
      </w:r>
      <w:r w:rsidRPr="00F4773B">
        <w:rPr>
          <w:shd w:val="clear" w:color="auto" w:fill="FFFFFF"/>
          <w:lang w:val="en-GB"/>
        </w:rPr>
        <w:t xml:space="preserve"> thousand persons).</w:t>
      </w:r>
    </w:p>
    <w:p w14:paraId="07FC705E" w14:textId="110C53E4" w:rsidR="00536E74" w:rsidRPr="00A12FF1" w:rsidRDefault="002E7FCF" w:rsidP="00536E74">
      <w:pPr>
        <w:spacing w:line="288" w:lineRule="auto"/>
        <w:rPr>
          <w:szCs w:val="19"/>
          <w:lang w:val="en-GB"/>
        </w:rPr>
      </w:pPr>
      <w:r w:rsidRPr="00A12FF1">
        <w:rPr>
          <w:rFonts w:eastAsia="Times New Roman" w:cs="Times New Roman"/>
          <w:noProof/>
          <w:szCs w:val="19"/>
          <w:lang w:eastAsia="pl-PL"/>
        </w:rPr>
        <mc:AlternateContent>
          <mc:Choice Requires="wps">
            <w:drawing>
              <wp:anchor distT="45720" distB="45720" distL="114300" distR="114300" simplePos="0" relativeHeight="251761664" behindDoc="1" locked="0" layoutInCell="1" allowOverlap="1" wp14:anchorId="602AD7A7" wp14:editId="75160991">
                <wp:simplePos x="0" y="0"/>
                <wp:positionH relativeFrom="column">
                  <wp:posOffset>5305425</wp:posOffset>
                </wp:positionH>
                <wp:positionV relativeFrom="paragraph">
                  <wp:posOffset>1201420</wp:posOffset>
                </wp:positionV>
                <wp:extent cx="1579880" cy="1476375"/>
                <wp:effectExtent l="0" t="0" r="0" b="0"/>
                <wp:wrapTight wrapText="bothSides">
                  <wp:wrapPolygon edited="0">
                    <wp:start x="781" y="0"/>
                    <wp:lineTo x="781" y="21182"/>
                    <wp:lineTo x="20576" y="21182"/>
                    <wp:lineTo x="20576" y="0"/>
                    <wp:lineTo x="781" y="0"/>
                  </wp:wrapPolygon>
                </wp:wrapTight>
                <wp:docPr id="16" name="Pole tekstowe 2" descr="The number of persons employed full-time decreased compared with the previous quarter, whereas it increased compared with the same period of the last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476375"/>
                        </a:xfrm>
                        <a:prstGeom prst="rect">
                          <a:avLst/>
                        </a:prstGeom>
                        <a:noFill/>
                        <a:ln w="9525">
                          <a:noFill/>
                          <a:miter lim="800000"/>
                          <a:headEnd/>
                          <a:tailEnd/>
                        </a:ln>
                      </wps:spPr>
                      <wps:txbx>
                        <w:txbxContent>
                          <w:p w14:paraId="242D6121" w14:textId="54B4932E" w:rsidR="00D12A51" w:rsidRPr="009A5F72" w:rsidRDefault="009A5F72" w:rsidP="00F849EE">
                            <w:pPr>
                              <w:pStyle w:val="tekstzboku"/>
                              <w:rPr>
                                <w:lang w:val="en-GB"/>
                              </w:rPr>
                            </w:pPr>
                            <w:r w:rsidRPr="009A5F72">
                              <w:rPr>
                                <w:lang w:val="en-GB"/>
                              </w:rPr>
                              <w:t>The number of persons employed full-time decreased compared with the previous quarter</w:t>
                            </w:r>
                            <w:r w:rsidR="002E7FCF">
                              <w:rPr>
                                <w:lang w:val="en-GB"/>
                              </w:rPr>
                              <w:t>, whereas it increased compared with the same period of the last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AD7A7" id="_x0000_s1031" type="#_x0000_t202" alt="The number of persons employed full-time decreased compared with the previous quarter, whereas it increased compared with the same period of the last year" style="position:absolute;margin-left:417.75pt;margin-top:94.6pt;width:124.4pt;height:116.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" filled="f" stroked="f">
                <v:textbox inset=",0">
                  <w:txbxContent>
                    <w:p w14:paraId="242D6121" w14:textId="54B4932E" w:rsidR="00D12A51" w:rsidRPr="009A5F72" w:rsidRDefault="009A5F72" w:rsidP="00F849EE">
                      <w:pPr>
                        <w:pStyle w:val="tekstzboku"/>
                        <w:rPr>
                          <w:lang w:val="en-GB"/>
                        </w:rPr>
                      </w:pPr>
                      <w:r w:rsidRPr="009A5F72">
                        <w:rPr>
                          <w:lang w:val="en-GB"/>
                        </w:rPr>
                        <w:t>The number of persons employed full-time decreased compared with the previous quarter</w:t>
                      </w:r>
                      <w:r w:rsidR="002E7FCF">
                        <w:rPr>
                          <w:lang w:val="en-GB"/>
                        </w:rPr>
                        <w:t>, whereas it increased compared with the same period of the last year</w:t>
                      </w:r>
                    </w:p>
                  </w:txbxContent>
                </v:textbox>
                <w10:wrap type="tight"/>
              </v:shape>
            </w:pict>
          </mc:Fallback>
        </mc:AlternateContent>
      </w:r>
      <w:r w:rsidR="0004233E" w:rsidRPr="00A12FF1">
        <w:rPr>
          <w:rFonts w:eastAsia="Times New Roman" w:cs="Times New Roman"/>
          <w:szCs w:val="19"/>
          <w:lang w:val="en-GB" w:eastAsia="pl-PL"/>
        </w:rPr>
        <w:t xml:space="preserve">Over the quarter, </w:t>
      </w:r>
      <w:r w:rsidR="00A12FF1" w:rsidRPr="00A12FF1">
        <w:rPr>
          <w:rFonts w:eastAsia="Times New Roman" w:cs="Times New Roman"/>
          <w:szCs w:val="19"/>
          <w:lang w:val="en-GB" w:eastAsia="pl-PL"/>
        </w:rPr>
        <w:t xml:space="preserve">a drop in </w:t>
      </w:r>
      <w:r w:rsidR="0004233E" w:rsidRPr="00A12FF1">
        <w:rPr>
          <w:rFonts w:eastAsia="Times New Roman" w:cs="Times New Roman"/>
          <w:szCs w:val="19"/>
          <w:lang w:val="en-GB" w:eastAsia="pl-PL"/>
        </w:rPr>
        <w:t xml:space="preserve">unemployment rate </w:t>
      </w:r>
      <w:r w:rsidR="00A12FF1" w:rsidRPr="00A12FF1">
        <w:rPr>
          <w:rFonts w:eastAsia="Times New Roman" w:cs="Times New Roman"/>
          <w:szCs w:val="19"/>
          <w:lang w:val="en-GB" w:eastAsia="pl-PL"/>
        </w:rPr>
        <w:t xml:space="preserve">was observed among all </w:t>
      </w:r>
      <w:r w:rsidR="0004233E" w:rsidRPr="00A12FF1">
        <w:rPr>
          <w:rFonts w:eastAsia="Times New Roman" w:cs="Times New Roman"/>
          <w:szCs w:val="19"/>
          <w:lang w:val="en-GB" w:eastAsia="pl-PL"/>
        </w:rPr>
        <w:t xml:space="preserve"> </w:t>
      </w:r>
      <w:r w:rsidR="00A12FF1" w:rsidRPr="00A12FF1">
        <w:rPr>
          <w:rFonts w:eastAsia="Times New Roman" w:cs="Times New Roman"/>
          <w:szCs w:val="19"/>
          <w:lang w:val="en-GB" w:eastAsia="pl-PL"/>
        </w:rPr>
        <w:t xml:space="preserve">analysed groups, </w:t>
      </w:r>
      <w:r w:rsidR="00536E74" w:rsidRPr="00A12FF1">
        <w:rPr>
          <w:szCs w:val="19"/>
          <w:lang w:val="en-GB"/>
        </w:rPr>
        <w:t xml:space="preserve"> </w:t>
      </w:r>
      <w:r w:rsidR="00A12FF1" w:rsidRPr="00A12FF1">
        <w:rPr>
          <w:szCs w:val="19"/>
          <w:lang w:val="en-GB"/>
        </w:rPr>
        <w:t xml:space="preserve">with the exception of </w:t>
      </w:r>
      <w:r w:rsidR="00542400">
        <w:rPr>
          <w:szCs w:val="19"/>
          <w:lang w:val="en-GB"/>
        </w:rPr>
        <w:t>rural areas</w:t>
      </w:r>
      <w:r w:rsidR="00A12FF1" w:rsidRPr="00A12FF1">
        <w:rPr>
          <w:szCs w:val="19"/>
          <w:lang w:val="en-GB"/>
        </w:rPr>
        <w:t xml:space="preserve"> where the rate stayed at the same level </w:t>
      </w:r>
      <w:r w:rsidR="00536E74" w:rsidRPr="00A12FF1">
        <w:rPr>
          <w:szCs w:val="19"/>
          <w:lang w:val="en-GB"/>
        </w:rPr>
        <w:t>(</w:t>
      </w:r>
      <w:r w:rsidR="00A12FF1" w:rsidRPr="00A12FF1">
        <w:rPr>
          <w:szCs w:val="19"/>
          <w:lang w:val="en-GB"/>
        </w:rPr>
        <w:t>a drop</w:t>
      </w:r>
      <w:r w:rsidR="00F64C46" w:rsidRPr="00A12FF1">
        <w:rPr>
          <w:szCs w:val="19"/>
          <w:lang w:val="en-GB"/>
        </w:rPr>
        <w:t xml:space="preserve">: </w:t>
      </w:r>
      <w:r w:rsidR="00A12FF1" w:rsidRPr="00A12FF1">
        <w:rPr>
          <w:szCs w:val="19"/>
          <w:lang w:val="en-GB"/>
        </w:rPr>
        <w:t>among men</w:t>
      </w:r>
      <w:r w:rsidR="008173BE" w:rsidRPr="00A12FF1">
        <w:rPr>
          <w:szCs w:val="19"/>
          <w:lang w:val="en-GB"/>
        </w:rPr>
        <w:t xml:space="preserve"> by </w:t>
      </w:r>
      <w:r w:rsidR="00536E74" w:rsidRPr="00A12FF1">
        <w:rPr>
          <w:szCs w:val="19"/>
          <w:lang w:val="en-GB"/>
        </w:rPr>
        <w:t>0</w:t>
      </w:r>
      <w:r w:rsidR="00BD5C9F" w:rsidRPr="00A12FF1">
        <w:rPr>
          <w:szCs w:val="19"/>
          <w:lang w:val="en-GB"/>
        </w:rPr>
        <w:t>.2</w:t>
      </w:r>
      <w:r w:rsidR="00536E74" w:rsidRPr="00A12FF1">
        <w:rPr>
          <w:szCs w:val="19"/>
          <w:lang w:val="en-GB"/>
        </w:rPr>
        <w:t xml:space="preserve"> </w:t>
      </w:r>
      <w:r w:rsidR="00A12FF1" w:rsidRPr="00A12FF1">
        <w:rPr>
          <w:szCs w:val="19"/>
          <w:lang w:val="en-GB"/>
        </w:rPr>
        <w:t>percentage point</w:t>
      </w:r>
      <w:r w:rsidR="00536E74" w:rsidRPr="00A12FF1">
        <w:rPr>
          <w:szCs w:val="19"/>
          <w:lang w:val="en-GB"/>
        </w:rPr>
        <w:t xml:space="preserve">, </w:t>
      </w:r>
      <w:r w:rsidR="00A12FF1" w:rsidRPr="00A12FF1">
        <w:rPr>
          <w:szCs w:val="19"/>
          <w:lang w:val="en-GB"/>
        </w:rPr>
        <w:t xml:space="preserve">in the female population </w:t>
      </w:r>
      <w:r w:rsidR="008173BE" w:rsidRPr="00A12FF1">
        <w:rPr>
          <w:szCs w:val="19"/>
          <w:lang w:val="en-GB"/>
        </w:rPr>
        <w:t xml:space="preserve">by </w:t>
      </w:r>
      <w:r w:rsidR="00536E74" w:rsidRPr="00A12FF1">
        <w:rPr>
          <w:szCs w:val="19"/>
          <w:lang w:val="en-GB"/>
        </w:rPr>
        <w:t>0</w:t>
      </w:r>
      <w:r w:rsidR="00BD5C9F" w:rsidRPr="00A12FF1">
        <w:rPr>
          <w:szCs w:val="19"/>
          <w:lang w:val="en-GB"/>
        </w:rPr>
        <w:t>.1</w:t>
      </w:r>
      <w:r w:rsidR="00536E74" w:rsidRPr="00A12FF1">
        <w:rPr>
          <w:szCs w:val="19"/>
          <w:lang w:val="en-GB"/>
        </w:rPr>
        <w:t xml:space="preserve"> </w:t>
      </w:r>
      <w:r w:rsidR="00A12FF1" w:rsidRPr="00A12FF1">
        <w:rPr>
          <w:szCs w:val="19"/>
          <w:lang w:val="en-GB"/>
        </w:rPr>
        <w:t>percentage point</w:t>
      </w:r>
      <w:r w:rsidR="00536E74" w:rsidRPr="00A12FF1">
        <w:rPr>
          <w:szCs w:val="19"/>
          <w:lang w:val="en-GB"/>
        </w:rPr>
        <w:t xml:space="preserve">, </w:t>
      </w:r>
      <w:r w:rsidR="00A12FF1" w:rsidRPr="00A12FF1">
        <w:rPr>
          <w:szCs w:val="19"/>
          <w:lang w:val="en-GB"/>
        </w:rPr>
        <w:t xml:space="preserve">in urban areas </w:t>
      </w:r>
      <w:r w:rsidR="008173BE" w:rsidRPr="00A12FF1">
        <w:rPr>
          <w:szCs w:val="19"/>
          <w:lang w:val="en-GB"/>
        </w:rPr>
        <w:t xml:space="preserve">by </w:t>
      </w:r>
      <w:r w:rsidR="00536E74" w:rsidRPr="00A12FF1">
        <w:rPr>
          <w:szCs w:val="19"/>
          <w:lang w:val="en-GB"/>
        </w:rPr>
        <w:t> 0</w:t>
      </w:r>
      <w:r w:rsidR="00BD5C9F" w:rsidRPr="00A12FF1">
        <w:rPr>
          <w:szCs w:val="19"/>
          <w:lang w:val="en-GB"/>
        </w:rPr>
        <w:t>.3</w:t>
      </w:r>
      <w:r w:rsidR="00536E74" w:rsidRPr="00A12FF1">
        <w:rPr>
          <w:szCs w:val="19"/>
          <w:lang w:val="en-GB"/>
        </w:rPr>
        <w:t xml:space="preserve"> </w:t>
      </w:r>
      <w:r w:rsidR="00A12FF1" w:rsidRPr="00A12FF1">
        <w:rPr>
          <w:szCs w:val="19"/>
          <w:lang w:val="en-GB"/>
        </w:rPr>
        <w:t>percentage point</w:t>
      </w:r>
      <w:r w:rsidR="00536E74" w:rsidRPr="00A12FF1">
        <w:rPr>
          <w:szCs w:val="19"/>
          <w:lang w:val="en-GB"/>
        </w:rPr>
        <w:t xml:space="preserve">). </w:t>
      </w:r>
      <w:r w:rsidR="00A12FF1" w:rsidRPr="00A12FF1">
        <w:rPr>
          <w:szCs w:val="19"/>
          <w:lang w:val="en-GB"/>
        </w:rPr>
        <w:t>Wh</w:t>
      </w:r>
      <w:r w:rsidR="00542400">
        <w:rPr>
          <w:szCs w:val="19"/>
          <w:lang w:val="en-GB"/>
        </w:rPr>
        <w:t>ereas</w:t>
      </w:r>
      <w:r w:rsidR="00A12FF1" w:rsidRPr="00A12FF1">
        <w:rPr>
          <w:szCs w:val="19"/>
          <w:lang w:val="en-GB"/>
        </w:rPr>
        <w:t xml:space="preserve">, over the year, a growth in the indicator was recorded regardless of sex and the place of residence </w:t>
      </w:r>
      <w:r w:rsidR="00536E74" w:rsidRPr="00A12FF1">
        <w:rPr>
          <w:szCs w:val="19"/>
          <w:lang w:val="en-GB"/>
        </w:rPr>
        <w:t>(</w:t>
      </w:r>
      <w:r w:rsidR="00A12FF1">
        <w:rPr>
          <w:szCs w:val="19"/>
          <w:lang w:val="en-GB"/>
        </w:rPr>
        <w:t>the highest growth</w:t>
      </w:r>
      <w:r w:rsidR="00536E74" w:rsidRPr="00A12FF1">
        <w:rPr>
          <w:szCs w:val="19"/>
          <w:lang w:val="en-GB"/>
        </w:rPr>
        <w:t xml:space="preserve"> –</w:t>
      </w:r>
      <w:r w:rsidR="008173BE" w:rsidRPr="00A12FF1">
        <w:rPr>
          <w:szCs w:val="19"/>
          <w:lang w:val="en-GB"/>
        </w:rPr>
        <w:t xml:space="preserve"> by </w:t>
      </w:r>
      <w:r w:rsidR="00536E74" w:rsidRPr="00A12FF1">
        <w:rPr>
          <w:szCs w:val="19"/>
          <w:lang w:val="en-GB"/>
        </w:rPr>
        <w:t>1</w:t>
      </w:r>
      <w:r w:rsidR="00BD5C9F" w:rsidRPr="00A12FF1">
        <w:rPr>
          <w:szCs w:val="19"/>
          <w:lang w:val="en-GB"/>
        </w:rPr>
        <w:t>.4</w:t>
      </w:r>
      <w:r w:rsidR="00536E74" w:rsidRPr="00A12FF1">
        <w:rPr>
          <w:szCs w:val="19"/>
          <w:lang w:val="en-GB"/>
        </w:rPr>
        <w:t xml:space="preserve"> </w:t>
      </w:r>
      <w:r w:rsidR="00A12FF1" w:rsidRPr="00A12FF1">
        <w:rPr>
          <w:szCs w:val="19"/>
          <w:lang w:val="en-GB"/>
        </w:rPr>
        <w:t>percentage point</w:t>
      </w:r>
      <w:r w:rsidR="00536E74" w:rsidRPr="00A12FF1">
        <w:rPr>
          <w:szCs w:val="19"/>
          <w:lang w:val="en-GB"/>
        </w:rPr>
        <w:t xml:space="preserve"> </w:t>
      </w:r>
      <w:r w:rsidR="00A12FF1">
        <w:rPr>
          <w:szCs w:val="19"/>
          <w:lang w:val="en-GB"/>
        </w:rPr>
        <w:t>occurred among women</w:t>
      </w:r>
      <w:r w:rsidR="00536E74" w:rsidRPr="00A12FF1">
        <w:rPr>
          <w:szCs w:val="19"/>
          <w:lang w:val="en-GB"/>
        </w:rPr>
        <w:t xml:space="preserve">, </w:t>
      </w:r>
      <w:r w:rsidR="00A12FF1">
        <w:rPr>
          <w:szCs w:val="19"/>
          <w:lang w:val="en-GB"/>
        </w:rPr>
        <w:t xml:space="preserve">while regarding the place of residence </w:t>
      </w:r>
      <w:r w:rsidR="00536E74" w:rsidRPr="00A12FF1">
        <w:rPr>
          <w:szCs w:val="19"/>
          <w:lang w:val="en-GB"/>
        </w:rPr>
        <w:t xml:space="preserve">– </w:t>
      </w:r>
      <w:r w:rsidR="00A12FF1">
        <w:rPr>
          <w:szCs w:val="19"/>
          <w:lang w:val="en-GB"/>
        </w:rPr>
        <w:t xml:space="preserve">among persons living in urban areas </w:t>
      </w:r>
      <w:r w:rsidR="005A7B1D" w:rsidRPr="00A12FF1">
        <w:rPr>
          <w:szCs w:val="19"/>
          <w:lang w:val="en-GB"/>
        </w:rPr>
        <w:t>–</w:t>
      </w:r>
      <w:r w:rsidR="008173BE" w:rsidRPr="00A12FF1">
        <w:rPr>
          <w:szCs w:val="19"/>
          <w:lang w:val="en-GB"/>
        </w:rPr>
        <w:t xml:space="preserve"> by </w:t>
      </w:r>
      <w:r w:rsidR="00536E74" w:rsidRPr="00A12FF1">
        <w:rPr>
          <w:szCs w:val="19"/>
          <w:lang w:val="en-GB"/>
        </w:rPr>
        <w:t>1</w:t>
      </w:r>
      <w:r w:rsidR="00BD5C9F" w:rsidRPr="00A12FF1">
        <w:rPr>
          <w:szCs w:val="19"/>
          <w:lang w:val="en-GB"/>
        </w:rPr>
        <w:t>.3</w:t>
      </w:r>
      <w:r w:rsidR="00536E74" w:rsidRPr="00A12FF1">
        <w:rPr>
          <w:szCs w:val="19"/>
          <w:lang w:val="en-GB"/>
        </w:rPr>
        <w:t xml:space="preserve"> </w:t>
      </w:r>
      <w:r w:rsidR="00A12FF1" w:rsidRPr="00A12FF1">
        <w:rPr>
          <w:szCs w:val="19"/>
          <w:lang w:val="en-GB"/>
        </w:rPr>
        <w:t>percentage point</w:t>
      </w:r>
      <w:r w:rsidR="00536E74" w:rsidRPr="00A12FF1">
        <w:rPr>
          <w:szCs w:val="19"/>
          <w:lang w:val="en-GB"/>
        </w:rPr>
        <w:t>).</w:t>
      </w:r>
    </w:p>
    <w:p w14:paraId="314BFCFD" w14:textId="5A686C08" w:rsidR="00302114" w:rsidRPr="00302114" w:rsidRDefault="00F94B76" w:rsidP="00F94B76">
      <w:pPr>
        <w:spacing w:line="288" w:lineRule="auto"/>
        <w:rPr>
          <w:rFonts w:eastAsia="Times New Roman" w:cs="Times New Roman"/>
          <w:szCs w:val="19"/>
          <w:lang w:val="en-GB" w:eastAsia="pl-PL"/>
        </w:rPr>
      </w:pPr>
      <w:r w:rsidRPr="00302114">
        <w:rPr>
          <w:rFonts w:eastAsia="Times New Roman" w:cs="Times New Roman"/>
          <w:szCs w:val="19"/>
          <w:lang w:val="en-GB" w:eastAsia="pl-PL"/>
        </w:rPr>
        <w:t>In the first quarter of 2022, 15641 thousand persons performed full-time work, while 1073</w:t>
      </w:r>
      <w:r w:rsidR="00D93B6C">
        <w:rPr>
          <w:rFonts w:eastAsia="Times New Roman" w:cs="Times New Roman"/>
          <w:szCs w:val="19"/>
          <w:lang w:val="en-GB" w:eastAsia="pl-PL"/>
        </w:rPr>
        <w:t> </w:t>
      </w:r>
      <w:r w:rsidRPr="00302114">
        <w:rPr>
          <w:rFonts w:eastAsia="Times New Roman" w:cs="Times New Roman"/>
          <w:szCs w:val="19"/>
          <w:lang w:val="en-GB" w:eastAsia="pl-PL"/>
        </w:rPr>
        <w:t>thousand worked part-time. Compared with the fourth quarter of 2021, the number of persons employed full-time decreased by 154 thousand, i.e. by</w:t>
      </w:r>
      <w:r w:rsidRPr="00302114" w:rsidDel="00CB3101">
        <w:rPr>
          <w:rFonts w:eastAsia="Times New Roman" w:cs="Times New Roman"/>
          <w:szCs w:val="19"/>
          <w:lang w:val="en-GB" w:eastAsia="pl-PL"/>
        </w:rPr>
        <w:t xml:space="preserve"> </w:t>
      </w:r>
      <w:r w:rsidRPr="00302114">
        <w:rPr>
          <w:rFonts w:eastAsia="Times New Roman" w:cs="Times New Roman"/>
          <w:szCs w:val="19"/>
          <w:lang w:val="en-GB" w:eastAsia="pl-PL"/>
        </w:rPr>
        <w:t>1.0</w:t>
      </w:r>
      <w:r w:rsidRPr="00302114" w:rsidDel="00CB3101">
        <w:rPr>
          <w:rFonts w:eastAsia="Times New Roman" w:cs="Times New Roman"/>
          <w:szCs w:val="19"/>
          <w:lang w:val="en-GB" w:eastAsia="pl-PL"/>
        </w:rPr>
        <w:t xml:space="preserve">%, </w:t>
      </w:r>
      <w:r w:rsidRPr="00302114">
        <w:rPr>
          <w:rFonts w:eastAsia="Times New Roman" w:cs="Times New Roman"/>
          <w:szCs w:val="19"/>
          <w:lang w:val="en-GB" w:eastAsia="pl-PL"/>
        </w:rPr>
        <w:t>while the number of persons employed part-time increased by 88 thousand, i.e. by 8.9%.</w:t>
      </w:r>
      <w:r w:rsidRPr="00302114" w:rsidDel="00CB3101">
        <w:rPr>
          <w:rFonts w:eastAsia="Times New Roman" w:cs="Times New Roman"/>
          <w:szCs w:val="19"/>
          <w:lang w:val="en-GB" w:eastAsia="pl-PL"/>
        </w:rPr>
        <w:t xml:space="preserve"> </w:t>
      </w:r>
      <w:r w:rsidR="00302114" w:rsidRPr="00302114">
        <w:rPr>
          <w:rFonts w:eastAsia="Times New Roman" w:cs="Times New Roman"/>
          <w:szCs w:val="19"/>
          <w:lang w:val="en-GB" w:eastAsia="pl-PL"/>
        </w:rPr>
        <w:t xml:space="preserve">Over the year, a growth by 293 thousand, i.e. by 1.9% was observed in the number of persons employed full-time, while the number of persons employed part-time stayed at a similar level. </w:t>
      </w:r>
    </w:p>
    <w:p w14:paraId="25280579" w14:textId="4B1FC926" w:rsidR="00960A7E" w:rsidRPr="00960A7E" w:rsidRDefault="00F94B76" w:rsidP="008F0ACB">
      <w:pPr>
        <w:spacing w:line="288" w:lineRule="auto"/>
        <w:rPr>
          <w:rFonts w:eastAsia="Times New Roman" w:cs="Times New Roman"/>
          <w:szCs w:val="19"/>
          <w:lang w:val="en-GB" w:eastAsia="pl-PL"/>
        </w:rPr>
      </w:pPr>
      <w:r w:rsidRPr="00960A7E">
        <w:rPr>
          <w:rFonts w:eastAsia="Times New Roman" w:cs="Times New Roman"/>
          <w:szCs w:val="19"/>
          <w:lang w:val="en-GB" w:eastAsia="pl-PL"/>
        </w:rPr>
        <w:t>The average number of hours worked during the reference in the main job comprised 3</w:t>
      </w:r>
      <w:r w:rsidR="00960A7E" w:rsidRPr="00960A7E">
        <w:rPr>
          <w:rFonts w:eastAsia="Times New Roman" w:cs="Times New Roman"/>
          <w:szCs w:val="19"/>
          <w:lang w:val="en-GB" w:eastAsia="pl-PL"/>
        </w:rPr>
        <w:t>9</w:t>
      </w:r>
      <w:r w:rsidRPr="00960A7E">
        <w:rPr>
          <w:rFonts w:eastAsia="Times New Roman" w:cs="Times New Roman"/>
          <w:szCs w:val="19"/>
          <w:lang w:val="en-GB" w:eastAsia="pl-PL"/>
        </w:rPr>
        <w:t>.</w:t>
      </w:r>
      <w:r w:rsidR="00960A7E" w:rsidRPr="00960A7E">
        <w:rPr>
          <w:rFonts w:eastAsia="Times New Roman" w:cs="Times New Roman"/>
          <w:szCs w:val="19"/>
          <w:lang w:val="en-GB" w:eastAsia="pl-PL"/>
        </w:rPr>
        <w:t>6</w:t>
      </w:r>
      <w:r w:rsidR="00AD1FD7">
        <w:rPr>
          <w:rFonts w:eastAsia="Times New Roman" w:cs="Times New Roman"/>
          <w:szCs w:val="19"/>
          <w:lang w:val="en-GB" w:eastAsia="pl-PL"/>
        </w:rPr>
        <w:t> </w:t>
      </w:r>
      <w:r w:rsidRPr="00960A7E">
        <w:rPr>
          <w:rFonts w:eastAsia="Times New Roman" w:cs="Times New Roman"/>
          <w:szCs w:val="19"/>
          <w:lang w:val="en-GB" w:eastAsia="pl-PL"/>
        </w:rPr>
        <w:t xml:space="preserve">hours and was </w:t>
      </w:r>
      <w:r w:rsidR="00960A7E" w:rsidRPr="00960A7E">
        <w:rPr>
          <w:rFonts w:eastAsia="Times New Roman" w:cs="Times New Roman"/>
          <w:szCs w:val="19"/>
          <w:lang w:val="en-GB" w:eastAsia="pl-PL"/>
        </w:rPr>
        <w:t xml:space="preserve">slightly higher </w:t>
      </w:r>
      <w:r w:rsidRPr="00960A7E">
        <w:rPr>
          <w:rFonts w:eastAsia="Times New Roman" w:cs="Times New Roman"/>
          <w:szCs w:val="19"/>
          <w:lang w:val="en-GB" w:eastAsia="pl-PL"/>
        </w:rPr>
        <w:t xml:space="preserve">than the one recorded in the </w:t>
      </w:r>
      <w:r w:rsidR="00960A7E" w:rsidRPr="00960A7E">
        <w:rPr>
          <w:rFonts w:eastAsia="Times New Roman" w:cs="Times New Roman"/>
          <w:szCs w:val="19"/>
          <w:lang w:val="en-GB" w:eastAsia="pl-PL"/>
        </w:rPr>
        <w:t xml:space="preserve">fourth </w:t>
      </w:r>
      <w:r w:rsidRPr="00960A7E">
        <w:rPr>
          <w:rFonts w:eastAsia="Times New Roman" w:cs="Times New Roman"/>
          <w:szCs w:val="19"/>
          <w:lang w:val="en-GB" w:eastAsia="pl-PL"/>
        </w:rPr>
        <w:t>quarter of 2021</w:t>
      </w:r>
      <w:r w:rsidR="00960A7E" w:rsidRPr="00960A7E">
        <w:rPr>
          <w:rFonts w:eastAsia="Times New Roman" w:cs="Times New Roman"/>
          <w:szCs w:val="19"/>
          <w:lang w:val="en-GB" w:eastAsia="pl-PL"/>
        </w:rPr>
        <w:t>, as well as compared with the first quarter of 2021 (respectively by 0.7 hour and 0.3 hour).</w:t>
      </w:r>
    </w:p>
    <w:p w14:paraId="0DA814C3" w14:textId="0575FA42" w:rsidR="00537225" w:rsidRPr="00260A41" w:rsidRDefault="00260A41" w:rsidP="00537225">
      <w:pPr>
        <w:spacing w:line="288" w:lineRule="auto"/>
        <w:rPr>
          <w:rFonts w:eastAsia="Times New Roman" w:cs="Times New Roman"/>
          <w:szCs w:val="19"/>
          <w:lang w:val="en-GB" w:eastAsia="pl-PL"/>
        </w:rPr>
      </w:pPr>
      <w:r w:rsidRPr="00260A41">
        <w:rPr>
          <w:rFonts w:eastAsia="Times New Roman" w:cs="Times New Roman"/>
          <w:szCs w:val="19"/>
          <w:lang w:val="en-GB" w:eastAsia="pl-PL"/>
        </w:rPr>
        <w:t>T</w:t>
      </w:r>
      <w:r w:rsidR="00537225" w:rsidRPr="00260A41">
        <w:rPr>
          <w:rFonts w:eastAsia="Times New Roman" w:cs="Times New Roman"/>
          <w:szCs w:val="19"/>
          <w:lang w:val="en-GB" w:eastAsia="pl-PL"/>
        </w:rPr>
        <w:t xml:space="preserve">he share of </w:t>
      </w:r>
      <w:r w:rsidR="00537225" w:rsidRPr="00260A41">
        <w:rPr>
          <w:shd w:val="clear" w:color="auto" w:fill="FFFFFF"/>
          <w:lang w:val="en-GB"/>
        </w:rPr>
        <w:t>employees employed in a public company/institution of by a private employer</w:t>
      </w:r>
      <w:r w:rsidR="00537225" w:rsidRPr="00260A41">
        <w:rPr>
          <w:rFonts w:eastAsia="Times New Roman" w:cs="Times New Roman"/>
          <w:szCs w:val="19"/>
          <w:lang w:val="en-GB" w:eastAsia="pl-PL"/>
        </w:rPr>
        <w:t xml:space="preserve"> in the total number of the employed</w:t>
      </w:r>
      <w:r w:rsidRPr="00260A41">
        <w:rPr>
          <w:rFonts w:eastAsia="Times New Roman" w:cs="Times New Roman"/>
          <w:szCs w:val="19"/>
          <w:lang w:val="en-GB" w:eastAsia="pl-PL"/>
        </w:rPr>
        <w:t xml:space="preserve"> accounted for </w:t>
      </w:r>
      <w:r w:rsidR="00537225" w:rsidRPr="00260A41">
        <w:rPr>
          <w:rFonts w:eastAsia="Times New Roman" w:cs="Times New Roman"/>
          <w:szCs w:val="19"/>
          <w:lang w:val="en-GB" w:eastAsia="pl-PL"/>
        </w:rPr>
        <w:t xml:space="preserve"> </w:t>
      </w:r>
      <w:r w:rsidRPr="00260A41">
        <w:rPr>
          <w:rFonts w:eastAsia="Times New Roman" w:cs="Times New Roman"/>
          <w:szCs w:val="19"/>
          <w:lang w:val="en-GB" w:eastAsia="pl-PL"/>
        </w:rPr>
        <w:t>80.2% (13409 thousand persons) and it de</w:t>
      </w:r>
      <w:r w:rsidR="00537225" w:rsidRPr="00260A41">
        <w:rPr>
          <w:rFonts w:eastAsia="Times New Roman" w:cs="Times New Roman"/>
          <w:szCs w:val="19"/>
          <w:lang w:val="en-GB" w:eastAsia="pl-PL"/>
        </w:rPr>
        <w:t xml:space="preserve">creased </w:t>
      </w:r>
      <w:r w:rsidRPr="00260A41">
        <w:rPr>
          <w:rFonts w:eastAsia="Times New Roman" w:cs="Times New Roman"/>
          <w:szCs w:val="19"/>
          <w:lang w:val="en-GB" w:eastAsia="pl-PL"/>
        </w:rPr>
        <w:t xml:space="preserve">over the quarter </w:t>
      </w:r>
      <w:r w:rsidR="00537225" w:rsidRPr="00260A41">
        <w:rPr>
          <w:rFonts w:eastAsia="Times New Roman" w:cs="Times New Roman"/>
          <w:szCs w:val="19"/>
          <w:lang w:val="en-GB" w:eastAsia="pl-PL"/>
        </w:rPr>
        <w:t>by 0.2 percentage point</w:t>
      </w:r>
      <w:r>
        <w:rPr>
          <w:rFonts w:eastAsia="Times New Roman" w:cs="Times New Roman"/>
          <w:szCs w:val="19"/>
          <w:lang w:val="en-GB" w:eastAsia="pl-PL"/>
        </w:rPr>
        <w:t>, w</w:t>
      </w:r>
      <w:r w:rsidR="00537225" w:rsidRPr="00260A41">
        <w:rPr>
          <w:rFonts w:eastAsia="Times New Roman" w:cs="Times New Roman"/>
          <w:szCs w:val="19"/>
          <w:lang w:val="en-GB" w:eastAsia="pl-PL"/>
        </w:rPr>
        <w:t xml:space="preserve">hile </w:t>
      </w:r>
      <w:r>
        <w:rPr>
          <w:rFonts w:eastAsia="Times New Roman" w:cs="Times New Roman"/>
          <w:szCs w:val="19"/>
          <w:lang w:val="en-GB" w:eastAsia="pl-PL"/>
        </w:rPr>
        <w:t>compared with the first quarter of 202</w:t>
      </w:r>
      <w:r w:rsidR="00542400">
        <w:rPr>
          <w:rFonts w:eastAsia="Times New Roman" w:cs="Times New Roman"/>
          <w:szCs w:val="19"/>
          <w:lang w:val="en-GB" w:eastAsia="pl-PL"/>
        </w:rPr>
        <w:t>1</w:t>
      </w:r>
      <w:r>
        <w:rPr>
          <w:rFonts w:eastAsia="Times New Roman" w:cs="Times New Roman"/>
          <w:szCs w:val="19"/>
          <w:lang w:val="en-GB" w:eastAsia="pl-PL"/>
        </w:rPr>
        <w:t xml:space="preserve"> it </w:t>
      </w:r>
      <w:r w:rsidR="00AD1FD7">
        <w:rPr>
          <w:rFonts w:eastAsia="Times New Roman" w:cs="Times New Roman"/>
          <w:szCs w:val="19"/>
          <w:lang w:val="en-GB" w:eastAsia="pl-PL"/>
        </w:rPr>
        <w:t>increased</w:t>
      </w:r>
      <w:r>
        <w:rPr>
          <w:rFonts w:eastAsia="Times New Roman" w:cs="Times New Roman"/>
          <w:szCs w:val="19"/>
          <w:lang w:val="en-GB" w:eastAsia="pl-PL"/>
        </w:rPr>
        <w:t xml:space="preserve"> –  by 0.2 percentage point. Whereas, </w:t>
      </w:r>
      <w:r w:rsidR="00537225" w:rsidRPr="00260A41">
        <w:rPr>
          <w:rFonts w:eastAsia="Times New Roman" w:cs="Times New Roman"/>
          <w:szCs w:val="19"/>
          <w:lang w:val="en-GB" w:eastAsia="pl-PL"/>
        </w:rPr>
        <w:t xml:space="preserve">the share of self-employed persons </w:t>
      </w:r>
      <w:r>
        <w:rPr>
          <w:rFonts w:eastAsia="Times New Roman" w:cs="Times New Roman"/>
          <w:szCs w:val="19"/>
          <w:lang w:val="en-GB" w:eastAsia="pl-PL"/>
        </w:rPr>
        <w:t>in</w:t>
      </w:r>
      <w:r w:rsidR="00537225" w:rsidRPr="00260A41">
        <w:rPr>
          <w:rFonts w:eastAsia="Times New Roman" w:cs="Times New Roman"/>
          <w:szCs w:val="19"/>
          <w:lang w:val="en-GB" w:eastAsia="pl-PL"/>
        </w:rPr>
        <w:t>creased</w:t>
      </w:r>
      <w:r>
        <w:rPr>
          <w:rFonts w:eastAsia="Times New Roman" w:cs="Times New Roman"/>
          <w:szCs w:val="19"/>
          <w:lang w:val="en-GB" w:eastAsia="pl-PL"/>
        </w:rPr>
        <w:t xml:space="preserve"> over the quarter as well as over the year: respectively by </w:t>
      </w:r>
      <w:r w:rsidR="00537225" w:rsidRPr="00260A41">
        <w:rPr>
          <w:rFonts w:eastAsia="Times New Roman" w:cs="Times New Roman"/>
          <w:szCs w:val="19"/>
          <w:lang w:val="en-GB" w:eastAsia="pl-PL"/>
        </w:rPr>
        <w:t>0.2 p</w:t>
      </w:r>
      <w:r>
        <w:rPr>
          <w:rFonts w:eastAsia="Times New Roman" w:cs="Times New Roman"/>
          <w:szCs w:val="19"/>
          <w:lang w:val="en-GB" w:eastAsia="pl-PL"/>
        </w:rPr>
        <w:t xml:space="preserve">ercentage point and 0.3 percentage point and </w:t>
      </w:r>
      <w:r w:rsidR="00640B7D">
        <w:rPr>
          <w:rFonts w:eastAsia="Times New Roman" w:cs="Times New Roman"/>
          <w:szCs w:val="19"/>
          <w:lang w:val="en-GB" w:eastAsia="pl-PL"/>
        </w:rPr>
        <w:t>it comprised</w:t>
      </w:r>
      <w:r>
        <w:rPr>
          <w:rFonts w:eastAsia="Times New Roman" w:cs="Times New Roman"/>
          <w:szCs w:val="19"/>
          <w:lang w:val="en-GB" w:eastAsia="pl-PL"/>
        </w:rPr>
        <w:t xml:space="preserve"> </w:t>
      </w:r>
      <w:r w:rsidR="00537225" w:rsidRPr="00260A41">
        <w:rPr>
          <w:rFonts w:eastAsia="Times New Roman" w:cs="Times New Roman"/>
          <w:szCs w:val="19"/>
          <w:lang w:val="en-GB" w:eastAsia="pl-PL"/>
        </w:rPr>
        <w:t>18.</w:t>
      </w:r>
      <w:r>
        <w:rPr>
          <w:rFonts w:eastAsia="Times New Roman" w:cs="Times New Roman"/>
          <w:szCs w:val="19"/>
          <w:lang w:val="en-GB" w:eastAsia="pl-PL"/>
        </w:rPr>
        <w:t>7</w:t>
      </w:r>
      <w:r w:rsidR="00537225" w:rsidRPr="00260A41">
        <w:rPr>
          <w:rFonts w:eastAsia="Times New Roman" w:cs="Times New Roman"/>
          <w:szCs w:val="19"/>
          <w:lang w:val="en-GB" w:eastAsia="pl-PL"/>
        </w:rPr>
        <w:t>% (31</w:t>
      </w:r>
      <w:r>
        <w:rPr>
          <w:rFonts w:eastAsia="Times New Roman" w:cs="Times New Roman"/>
          <w:szCs w:val="19"/>
          <w:lang w:val="en-GB" w:eastAsia="pl-PL"/>
        </w:rPr>
        <w:t>25</w:t>
      </w:r>
      <w:r w:rsidR="00537225" w:rsidRPr="00260A41">
        <w:rPr>
          <w:rFonts w:eastAsia="Times New Roman" w:cs="Times New Roman"/>
          <w:szCs w:val="19"/>
          <w:lang w:val="en-GB" w:eastAsia="pl-PL"/>
        </w:rPr>
        <w:t xml:space="preserve"> thousand</w:t>
      </w:r>
      <w:r>
        <w:rPr>
          <w:rFonts w:eastAsia="Times New Roman" w:cs="Times New Roman"/>
          <w:szCs w:val="19"/>
          <w:lang w:val="en-GB" w:eastAsia="pl-PL"/>
        </w:rPr>
        <w:t xml:space="preserve"> persons</w:t>
      </w:r>
      <w:r w:rsidR="00537225" w:rsidRPr="00260A41">
        <w:rPr>
          <w:rFonts w:eastAsia="Times New Roman" w:cs="Times New Roman"/>
          <w:szCs w:val="19"/>
          <w:lang w:val="en-GB" w:eastAsia="pl-PL"/>
        </w:rPr>
        <w:t xml:space="preserve">). The share of </w:t>
      </w:r>
      <w:r w:rsidR="00537225" w:rsidRPr="00260A41">
        <w:rPr>
          <w:shd w:val="clear" w:color="auto" w:fill="FFFFFF"/>
          <w:lang w:val="en-GB"/>
        </w:rPr>
        <w:t>contributing family workers stayed at the same level as in the previous quarter</w:t>
      </w:r>
      <w:r>
        <w:rPr>
          <w:shd w:val="clear" w:color="auto" w:fill="FFFFFF"/>
          <w:lang w:val="en-GB"/>
        </w:rPr>
        <w:t xml:space="preserve">, while it decreased (by 0.4 percentage point) compared with the first quarter of 2021 </w:t>
      </w:r>
      <w:r w:rsidR="00537225" w:rsidRPr="00260A41">
        <w:rPr>
          <w:shd w:val="clear" w:color="auto" w:fill="FFFFFF"/>
          <w:lang w:val="en-GB"/>
        </w:rPr>
        <w:t xml:space="preserve">and accounted for </w:t>
      </w:r>
      <w:r w:rsidR="00537225" w:rsidRPr="00260A41">
        <w:rPr>
          <w:rFonts w:eastAsia="Times New Roman" w:cs="Times New Roman"/>
          <w:szCs w:val="19"/>
          <w:lang w:val="en-GB" w:eastAsia="pl-PL"/>
        </w:rPr>
        <w:t xml:space="preserve">1.1% of the total number of the employed. </w:t>
      </w:r>
    </w:p>
    <w:p w14:paraId="157B3B46" w14:textId="6DDAAF0F" w:rsidR="00B9566B" w:rsidRPr="00F4773B" w:rsidRDefault="00B9566B" w:rsidP="00B9566B">
      <w:pPr>
        <w:spacing w:line="288" w:lineRule="auto"/>
        <w:rPr>
          <w:shd w:val="clear" w:color="auto" w:fill="FFFFFF"/>
          <w:lang w:val="en-GB"/>
        </w:rPr>
      </w:pPr>
      <w:r w:rsidRPr="00F4773B">
        <w:rPr>
          <w:shd w:val="clear" w:color="auto" w:fill="FFFFFF"/>
          <w:lang w:val="en-GB"/>
        </w:rPr>
        <w:t>A decided majority of employees employed in public compan</w:t>
      </w:r>
      <w:r>
        <w:rPr>
          <w:shd w:val="clear" w:color="auto" w:fill="FFFFFF"/>
          <w:lang w:val="en-GB"/>
        </w:rPr>
        <w:t>ies</w:t>
      </w:r>
      <w:r w:rsidRPr="00F4773B">
        <w:rPr>
          <w:shd w:val="clear" w:color="auto" w:fill="FFFFFF"/>
          <w:lang w:val="en-GB"/>
        </w:rPr>
        <w:t>/institution</w:t>
      </w:r>
      <w:r>
        <w:rPr>
          <w:shd w:val="clear" w:color="auto" w:fill="FFFFFF"/>
          <w:lang w:val="en-GB"/>
        </w:rPr>
        <w:t>s</w:t>
      </w:r>
      <w:r w:rsidRPr="00F4773B">
        <w:rPr>
          <w:shd w:val="clear" w:color="auto" w:fill="FFFFFF"/>
          <w:lang w:val="en-GB"/>
        </w:rPr>
        <w:t xml:space="preserve"> or by a private employer performed their work on the basis of a contract for unlimited duration (</w:t>
      </w:r>
      <w:r w:rsidRPr="00F4773B">
        <w:rPr>
          <w:rFonts w:eastAsia="Times New Roman" w:cs="Times New Roman"/>
          <w:szCs w:val="19"/>
          <w:lang w:val="en-GB" w:eastAsia="pl-PL"/>
        </w:rPr>
        <w:t>85.</w:t>
      </w:r>
      <w:r w:rsidR="00DB553A">
        <w:rPr>
          <w:rFonts w:eastAsia="Times New Roman" w:cs="Times New Roman"/>
          <w:szCs w:val="19"/>
          <w:lang w:val="en-GB" w:eastAsia="pl-PL"/>
        </w:rPr>
        <w:t>0</w:t>
      </w:r>
      <w:r w:rsidRPr="00F4773B" w:rsidDel="00CB3101">
        <w:rPr>
          <w:rFonts w:eastAsia="Times New Roman" w:cs="Times New Roman"/>
          <w:szCs w:val="19"/>
          <w:lang w:val="en-GB" w:eastAsia="pl-PL"/>
        </w:rPr>
        <w:t>%</w:t>
      </w:r>
      <w:r w:rsidRPr="00F4773B">
        <w:rPr>
          <w:rFonts w:eastAsia="Times New Roman" w:cs="Times New Roman"/>
          <w:szCs w:val="19"/>
          <w:lang w:val="en-GB" w:eastAsia="pl-PL"/>
        </w:rPr>
        <w:t>, i.e. 11</w:t>
      </w:r>
      <w:r w:rsidR="00DB553A">
        <w:rPr>
          <w:rFonts w:eastAsia="Times New Roman" w:cs="Times New Roman"/>
          <w:szCs w:val="19"/>
          <w:lang w:val="en-GB" w:eastAsia="pl-PL"/>
        </w:rPr>
        <w:t>395</w:t>
      </w:r>
      <w:r w:rsidRPr="00F4773B">
        <w:rPr>
          <w:rFonts w:eastAsia="Times New Roman" w:cs="Times New Roman"/>
          <w:szCs w:val="19"/>
          <w:lang w:val="en-GB" w:eastAsia="pl-PL"/>
        </w:rPr>
        <w:t xml:space="preserve"> </w:t>
      </w:r>
      <w:r w:rsidRPr="00F4773B">
        <w:rPr>
          <w:shd w:val="clear" w:color="auto" w:fill="FFFFFF"/>
          <w:lang w:val="en-GB"/>
        </w:rPr>
        <w:t>thousand). The share decreased over the quarter by</w:t>
      </w:r>
      <w:r w:rsidRPr="00F4773B">
        <w:rPr>
          <w:rFonts w:eastAsia="Times New Roman" w:cs="Times New Roman"/>
          <w:szCs w:val="19"/>
          <w:lang w:val="en-GB" w:eastAsia="pl-PL"/>
        </w:rPr>
        <w:t xml:space="preserve"> 0.</w:t>
      </w:r>
      <w:r w:rsidR="00DB553A">
        <w:rPr>
          <w:rFonts w:eastAsia="Times New Roman" w:cs="Times New Roman"/>
          <w:szCs w:val="19"/>
          <w:lang w:val="en-GB" w:eastAsia="pl-PL"/>
        </w:rPr>
        <w:t>4</w:t>
      </w:r>
      <w:r w:rsidRPr="00F4773B">
        <w:rPr>
          <w:rFonts w:eastAsia="Times New Roman" w:cs="Times New Roman"/>
          <w:szCs w:val="19"/>
          <w:lang w:val="en-GB" w:eastAsia="pl-PL"/>
        </w:rPr>
        <w:t xml:space="preserve"> percentage point</w:t>
      </w:r>
      <w:r>
        <w:rPr>
          <w:rFonts w:eastAsia="Times New Roman" w:cs="Times New Roman"/>
          <w:szCs w:val="19"/>
          <w:lang w:val="en-GB" w:eastAsia="pl-PL"/>
        </w:rPr>
        <w:t>, while over the year it increased by 1.2 percentage point.</w:t>
      </w:r>
    </w:p>
    <w:p w14:paraId="6E085C04" w14:textId="474F4B83" w:rsidR="00F476AE" w:rsidRDefault="003F341C" w:rsidP="00B60A52">
      <w:pPr>
        <w:spacing w:line="288" w:lineRule="auto"/>
        <w:rPr>
          <w:rFonts w:eastAsia="Times New Roman" w:cs="Times New Roman"/>
          <w:szCs w:val="19"/>
          <w:lang w:val="en-GB" w:eastAsia="pl-PL"/>
        </w:rPr>
      </w:pPr>
      <w:r w:rsidRPr="00B60A52">
        <w:rPr>
          <w:shd w:val="clear" w:color="auto" w:fill="FFFFFF"/>
          <w:lang w:val="en-GB"/>
        </w:rPr>
        <w:lastRenderedPageBreak/>
        <w:t>As regards the kind of activity of the main job</w:t>
      </w:r>
      <w:r w:rsidRPr="00B60A52">
        <w:rPr>
          <w:rFonts w:eastAsia="Times New Roman" w:cs="Times New Roman"/>
          <w:szCs w:val="19"/>
          <w:lang w:val="en-GB" w:eastAsia="pl-PL"/>
        </w:rPr>
        <w:t xml:space="preserve">, in the first quarter of 2022, the highest growth in the number of the employed compared with the previous quarter was observed in manufacturing (by 85 thousand),  human health and social work activities (by 55 thousand), and in financial and insurance activities (by </w:t>
      </w:r>
      <w:r w:rsidR="00B60A52">
        <w:rPr>
          <w:rFonts w:eastAsia="Times New Roman" w:cs="Times New Roman"/>
          <w:szCs w:val="19"/>
          <w:lang w:val="en-GB" w:eastAsia="pl-PL"/>
        </w:rPr>
        <w:t>24</w:t>
      </w:r>
      <w:r w:rsidRPr="00B60A52">
        <w:rPr>
          <w:rFonts w:eastAsia="Times New Roman" w:cs="Times New Roman"/>
          <w:szCs w:val="19"/>
          <w:lang w:val="en-GB" w:eastAsia="pl-PL"/>
        </w:rPr>
        <w:t xml:space="preserve"> thousand)</w:t>
      </w:r>
      <w:r w:rsidR="009A5F72" w:rsidRPr="00B60A52">
        <w:rPr>
          <w:rFonts w:eastAsia="Times New Roman" w:cs="Times New Roman"/>
          <w:szCs w:val="19"/>
          <w:lang w:val="en-GB" w:eastAsia="pl-PL"/>
        </w:rPr>
        <w:t xml:space="preserve">. The </w:t>
      </w:r>
      <w:r w:rsidRPr="00B60A52">
        <w:rPr>
          <w:rFonts w:eastAsia="Times New Roman" w:cs="Times New Roman"/>
          <w:szCs w:val="19"/>
          <w:lang w:val="en-GB" w:eastAsia="pl-PL"/>
        </w:rPr>
        <w:t xml:space="preserve">highest drop concerned the number of the employed in </w:t>
      </w:r>
      <w:r w:rsidR="003C1159" w:rsidRPr="00B60A52">
        <w:rPr>
          <w:rFonts w:eastAsia="Times New Roman" w:cs="Times New Roman"/>
          <w:szCs w:val="19"/>
          <w:lang w:val="en-GB" w:eastAsia="pl-PL"/>
        </w:rPr>
        <w:t>p</w:t>
      </w:r>
      <w:r w:rsidR="003C1159" w:rsidRPr="00B60A52">
        <w:rPr>
          <w:lang w:val="en-GB"/>
        </w:rPr>
        <w:t xml:space="preserve">ublic administration and defence; compulsory social security </w:t>
      </w:r>
      <w:r w:rsidR="003C1159" w:rsidRPr="00B60A52">
        <w:rPr>
          <w:rFonts w:eastAsia="Times New Roman" w:cs="Times New Roman"/>
          <w:szCs w:val="19"/>
          <w:lang w:val="en-GB" w:eastAsia="pl-PL"/>
        </w:rPr>
        <w:t>(by 72</w:t>
      </w:r>
      <w:r w:rsidR="00D93B6C">
        <w:rPr>
          <w:rFonts w:eastAsia="Times New Roman" w:cs="Times New Roman"/>
          <w:szCs w:val="19"/>
          <w:lang w:val="en-GB" w:eastAsia="pl-PL"/>
        </w:rPr>
        <w:t> </w:t>
      </w:r>
      <w:r w:rsidR="003C1159" w:rsidRPr="00B60A52">
        <w:rPr>
          <w:rFonts w:eastAsia="Times New Roman" w:cs="Times New Roman"/>
          <w:szCs w:val="19"/>
          <w:lang w:val="en-GB" w:eastAsia="pl-PL"/>
        </w:rPr>
        <w:t xml:space="preserve">thousand), education (by 53 thousand), and </w:t>
      </w:r>
      <w:r w:rsidRPr="00B60A52">
        <w:rPr>
          <w:shd w:val="clear" w:color="auto" w:fill="FFFFFF"/>
          <w:lang w:val="en-GB"/>
        </w:rPr>
        <w:t xml:space="preserve">wholesale and retail trade; repair of motor vehicles </w:t>
      </w:r>
      <w:r w:rsidR="007617E9">
        <w:rPr>
          <w:shd w:val="clear" w:color="auto" w:fill="FFFFFF"/>
          <w:lang w:val="en-GB"/>
        </w:rPr>
        <w:t>including</w:t>
      </w:r>
      <w:r w:rsidRPr="00B60A52">
        <w:rPr>
          <w:shd w:val="clear" w:color="auto" w:fill="FFFFFF"/>
          <w:lang w:val="en-GB"/>
        </w:rPr>
        <w:t xml:space="preserve"> motorcycles</w:t>
      </w:r>
      <w:r w:rsidRPr="00B60A52">
        <w:rPr>
          <w:rFonts w:eastAsia="Times New Roman" w:cs="Times New Roman"/>
          <w:szCs w:val="19"/>
          <w:lang w:val="en-GB" w:eastAsia="pl-PL"/>
        </w:rPr>
        <w:t xml:space="preserve"> (by </w:t>
      </w:r>
      <w:r w:rsidR="003C1159" w:rsidRPr="00B60A52">
        <w:rPr>
          <w:rFonts w:eastAsia="Times New Roman" w:cs="Times New Roman"/>
          <w:szCs w:val="19"/>
          <w:lang w:val="en-GB" w:eastAsia="pl-PL"/>
        </w:rPr>
        <w:t>36</w:t>
      </w:r>
      <w:r w:rsidRPr="00B60A52">
        <w:rPr>
          <w:rFonts w:eastAsia="Times New Roman" w:cs="Times New Roman"/>
          <w:szCs w:val="19"/>
          <w:lang w:val="en-GB" w:eastAsia="pl-PL"/>
        </w:rPr>
        <w:t xml:space="preserve"> thousand)</w:t>
      </w:r>
      <w:r w:rsidR="003C1159" w:rsidRPr="00B60A52">
        <w:rPr>
          <w:rFonts w:eastAsia="Times New Roman" w:cs="Times New Roman"/>
          <w:szCs w:val="19"/>
          <w:lang w:val="en-GB" w:eastAsia="pl-PL"/>
        </w:rPr>
        <w:t xml:space="preserve">. </w:t>
      </w:r>
    </w:p>
    <w:p w14:paraId="7A1787CF" w14:textId="61BA90D5" w:rsidR="00B60A52" w:rsidRPr="00B60A52" w:rsidRDefault="00F476AE" w:rsidP="00B60A52">
      <w:pPr>
        <w:spacing w:line="288" w:lineRule="auto"/>
        <w:rPr>
          <w:rFonts w:eastAsia="Times New Roman" w:cs="Times New Roman"/>
          <w:szCs w:val="19"/>
          <w:lang w:val="en-GB" w:eastAsia="pl-PL"/>
        </w:rPr>
      </w:pPr>
      <w:r>
        <w:rPr>
          <w:rFonts w:eastAsia="Times New Roman" w:cs="Times New Roman"/>
          <w:szCs w:val="19"/>
          <w:lang w:val="en-GB" w:eastAsia="pl-PL"/>
        </w:rPr>
        <w:t xml:space="preserve">Compared with the first quarter of 2021, </w:t>
      </w:r>
      <w:r w:rsidR="003C1159" w:rsidRPr="00B60A52">
        <w:rPr>
          <w:rFonts w:eastAsia="Times New Roman" w:cs="Times New Roman"/>
          <w:szCs w:val="19"/>
          <w:lang w:val="en-GB" w:eastAsia="pl-PL"/>
        </w:rPr>
        <w:t xml:space="preserve">the highest growth in the number of the employed occurred in manufacturing (by 95 thousand),  </w:t>
      </w:r>
      <w:r w:rsidR="00B60A52" w:rsidRPr="00B60A52">
        <w:rPr>
          <w:lang w:val="en-GB"/>
        </w:rPr>
        <w:t xml:space="preserve">accommodation and catering </w:t>
      </w:r>
      <w:r w:rsidR="00B60A52" w:rsidRPr="00B60A52">
        <w:rPr>
          <w:rFonts w:eastAsia="Times New Roman" w:cs="Times New Roman"/>
          <w:szCs w:val="19"/>
          <w:lang w:val="en-GB" w:eastAsia="pl-PL"/>
        </w:rPr>
        <w:t xml:space="preserve">(by  50 thousand), and in human health and social work activities (by 40 thousand), while the highest drop concerned </w:t>
      </w:r>
      <w:r w:rsidR="003F341C" w:rsidRPr="00B60A52">
        <w:rPr>
          <w:shd w:val="clear" w:color="auto" w:fill="FFFFFF"/>
          <w:lang w:val="en-GB"/>
        </w:rPr>
        <w:t xml:space="preserve">agriculture, forestry, hunting and fishing </w:t>
      </w:r>
      <w:r w:rsidR="003F341C" w:rsidRPr="00B60A52">
        <w:rPr>
          <w:rFonts w:eastAsia="Times New Roman" w:cs="Times New Roman"/>
          <w:szCs w:val="19"/>
          <w:lang w:val="en-GB" w:eastAsia="pl-PL"/>
        </w:rPr>
        <w:t>(</w:t>
      </w:r>
      <w:r w:rsidR="00B60A52" w:rsidRPr="00B60A52">
        <w:rPr>
          <w:rFonts w:eastAsia="Times New Roman" w:cs="Times New Roman"/>
          <w:szCs w:val="19"/>
          <w:lang w:val="en-GB" w:eastAsia="pl-PL"/>
        </w:rPr>
        <w:t>by 58 thousand</w:t>
      </w:r>
      <w:r w:rsidR="003F341C" w:rsidRPr="00B60A52">
        <w:rPr>
          <w:rFonts w:eastAsia="Times New Roman" w:cs="Times New Roman"/>
          <w:szCs w:val="19"/>
          <w:lang w:val="en-GB" w:eastAsia="pl-PL"/>
        </w:rPr>
        <w:t>)</w:t>
      </w:r>
      <w:r w:rsidR="00B60A52" w:rsidRPr="00B60A52">
        <w:rPr>
          <w:rFonts w:eastAsia="Times New Roman" w:cs="Times New Roman"/>
          <w:szCs w:val="19"/>
          <w:lang w:val="en-GB" w:eastAsia="pl-PL"/>
        </w:rPr>
        <w:t>, mining and quarrying (by  41  thousand), and education (by 32 thousand).</w:t>
      </w:r>
    </w:p>
    <w:p w14:paraId="000EA9B9" w14:textId="02DB27DC" w:rsidR="009A4F86" w:rsidRPr="001701E2" w:rsidRDefault="009A4F86" w:rsidP="009A4F86">
      <w:pPr>
        <w:spacing w:before="360"/>
        <w:ind w:left="851" w:hanging="851"/>
        <w:rPr>
          <w:b/>
          <w:shd w:val="clear" w:color="auto" w:fill="FFFFFF"/>
          <w:lang w:val="en-GB"/>
        </w:rPr>
      </w:pPr>
      <w:r>
        <w:rPr>
          <w:b/>
          <w:noProof/>
          <w:shd w:val="clear" w:color="auto" w:fill="FFFFFF"/>
          <w:lang w:eastAsia="pl-PL"/>
        </w:rPr>
        <w:drawing>
          <wp:anchor distT="0" distB="0" distL="114300" distR="114300" simplePos="0" relativeHeight="251795456" behindDoc="0" locked="0" layoutInCell="1" allowOverlap="1" wp14:anchorId="65952E11" wp14:editId="080F3DEA">
            <wp:simplePos x="0" y="0"/>
            <wp:positionH relativeFrom="margin">
              <wp:align>left</wp:align>
            </wp:positionH>
            <wp:positionV relativeFrom="paragraph">
              <wp:posOffset>469900</wp:posOffset>
            </wp:positionV>
            <wp:extent cx="5201285" cy="2257425"/>
            <wp:effectExtent l="0" t="0" r="0" b="0"/>
            <wp:wrapSquare wrapText="bothSides"/>
            <wp:docPr id="3" name="Obraz 3" descr="Chart presents the structure of employed women and men aged 15-89 years by employment status in the main job in the first quarter of 2022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6862" cy="2259760"/>
                    </a:xfrm>
                    <a:prstGeom prst="rect">
                      <a:avLst/>
                    </a:prstGeom>
                    <a:noFill/>
                  </pic:spPr>
                </pic:pic>
              </a:graphicData>
            </a:graphic>
            <wp14:sizeRelH relativeFrom="margin">
              <wp14:pctWidth>0</wp14:pctWidth>
            </wp14:sizeRelH>
            <wp14:sizeRelV relativeFrom="margin">
              <wp14:pctHeight>0</wp14:pctHeight>
            </wp14:sizeRelV>
          </wp:anchor>
        </w:drawing>
      </w:r>
      <w:r w:rsidR="003F341C" w:rsidRPr="00D958CD">
        <w:rPr>
          <w:b/>
          <w:shd w:val="clear" w:color="auto" w:fill="FFFFFF"/>
          <w:lang w:val="en-US"/>
        </w:rPr>
        <w:t>Chart</w:t>
      </w:r>
      <w:r w:rsidR="00B20C43" w:rsidRPr="00D958CD">
        <w:rPr>
          <w:b/>
          <w:shd w:val="clear" w:color="auto" w:fill="FFFFFF"/>
          <w:lang w:val="en-US"/>
        </w:rPr>
        <w:t xml:space="preserve"> 1.</w:t>
      </w:r>
      <w:r w:rsidR="00B20C43" w:rsidRPr="00D958CD">
        <w:rPr>
          <w:b/>
          <w:shd w:val="clear" w:color="auto" w:fill="FFFFFF"/>
          <w:lang w:val="en-US"/>
        </w:rPr>
        <w:tab/>
      </w:r>
      <w:r w:rsidR="001701E2" w:rsidRPr="001701E2">
        <w:rPr>
          <w:b/>
          <w:shd w:val="clear" w:color="auto" w:fill="FFFFFF"/>
          <w:lang w:val="en-GB"/>
        </w:rPr>
        <w:t>Structure of  employed women and men aged</w:t>
      </w:r>
      <w:r w:rsidR="00B20C43" w:rsidRPr="001701E2">
        <w:rPr>
          <w:b/>
          <w:shd w:val="clear" w:color="auto" w:fill="FFFFFF"/>
          <w:lang w:val="en-GB"/>
        </w:rPr>
        <w:t xml:space="preserve"> 15–89 </w:t>
      </w:r>
      <w:r w:rsidR="001701E2" w:rsidRPr="001701E2">
        <w:rPr>
          <w:b/>
          <w:shd w:val="clear" w:color="auto" w:fill="FFFFFF"/>
          <w:lang w:val="en-GB"/>
        </w:rPr>
        <w:t xml:space="preserve">years by </w:t>
      </w:r>
      <w:r w:rsidR="001701E2" w:rsidRPr="001701E2">
        <w:rPr>
          <w:b/>
          <w:szCs w:val="19"/>
          <w:shd w:val="clear" w:color="auto" w:fill="FFFFFF"/>
          <w:lang w:val="en-GB"/>
        </w:rPr>
        <w:t xml:space="preserve">employment status in the main job in </w:t>
      </w:r>
      <w:r w:rsidR="001701E2" w:rsidRPr="001701E2">
        <w:rPr>
          <w:b/>
          <w:shd w:val="clear" w:color="auto" w:fill="FFFFFF"/>
          <w:lang w:val="en-GB"/>
        </w:rPr>
        <w:t>the first quarter of 2022</w:t>
      </w:r>
      <w:r w:rsidR="00B20C43" w:rsidRPr="001701E2">
        <w:rPr>
          <w:b/>
          <w:shd w:val="clear" w:color="auto" w:fill="FFFFFF"/>
          <w:lang w:val="en-GB"/>
        </w:rPr>
        <w:t xml:space="preserve"> (</w:t>
      </w:r>
      <w:r w:rsidR="001701E2" w:rsidRPr="001701E2">
        <w:rPr>
          <w:b/>
          <w:shd w:val="clear" w:color="auto" w:fill="FFFFFF"/>
          <w:lang w:val="en-GB"/>
        </w:rPr>
        <w:t>in</w:t>
      </w:r>
      <w:r w:rsidR="00B20C43" w:rsidRPr="001701E2">
        <w:rPr>
          <w:b/>
          <w:shd w:val="clear" w:color="auto" w:fill="FFFFFF"/>
          <w:lang w:val="en-GB"/>
        </w:rPr>
        <w:t xml:space="preserve"> %)</w:t>
      </w:r>
    </w:p>
    <w:p w14:paraId="02E8CE8D" w14:textId="0D9283C3" w:rsidR="00563AD3" w:rsidRDefault="00563AD3" w:rsidP="009726B5">
      <w:pPr>
        <w:spacing w:before="240" w:line="288" w:lineRule="auto"/>
        <w:rPr>
          <w:lang w:val="en-GB"/>
        </w:rPr>
      </w:pPr>
      <w:r w:rsidRPr="00F4773B">
        <w:rPr>
          <w:rFonts w:eastAsia="Times New Roman" w:cs="Times New Roman"/>
          <w:szCs w:val="19"/>
          <w:lang w:val="en-GB" w:eastAsia="pl-PL"/>
        </w:rPr>
        <w:t>In the f</w:t>
      </w:r>
      <w:r>
        <w:rPr>
          <w:rFonts w:eastAsia="Times New Roman" w:cs="Times New Roman"/>
          <w:szCs w:val="19"/>
          <w:lang w:val="en-GB" w:eastAsia="pl-PL"/>
        </w:rPr>
        <w:t>irst</w:t>
      </w:r>
      <w:r w:rsidRPr="00F4773B">
        <w:rPr>
          <w:rFonts w:eastAsia="Times New Roman" w:cs="Times New Roman"/>
          <w:szCs w:val="19"/>
          <w:lang w:val="en-GB" w:eastAsia="pl-PL"/>
        </w:rPr>
        <w:t xml:space="preserve"> quarter of 202</w:t>
      </w:r>
      <w:r>
        <w:rPr>
          <w:rFonts w:eastAsia="Times New Roman" w:cs="Times New Roman"/>
          <w:szCs w:val="19"/>
          <w:lang w:val="en-GB" w:eastAsia="pl-PL"/>
        </w:rPr>
        <w:t>2</w:t>
      </w:r>
      <w:r w:rsidRPr="00F4773B">
        <w:rPr>
          <w:rFonts w:eastAsia="Times New Roman" w:cs="Times New Roman"/>
          <w:szCs w:val="19"/>
          <w:lang w:val="en-GB" w:eastAsia="pl-PL"/>
        </w:rPr>
        <w:t>, 8</w:t>
      </w:r>
      <w:r>
        <w:rPr>
          <w:rFonts w:eastAsia="Times New Roman" w:cs="Times New Roman"/>
          <w:szCs w:val="19"/>
          <w:lang w:val="en-GB" w:eastAsia="pl-PL"/>
        </w:rPr>
        <w:t>2</w:t>
      </w:r>
      <w:r w:rsidRPr="00F4773B">
        <w:rPr>
          <w:rFonts w:eastAsia="Times New Roman" w:cs="Times New Roman"/>
          <w:szCs w:val="19"/>
          <w:lang w:val="en-GB" w:eastAsia="pl-PL"/>
        </w:rPr>
        <w:t xml:space="preserve">2 </w:t>
      </w:r>
      <w:r w:rsidRPr="00F4773B">
        <w:rPr>
          <w:lang w:val="en-GB"/>
        </w:rPr>
        <w:t>thousand persons had a job</w:t>
      </w:r>
      <w:r>
        <w:rPr>
          <w:lang w:val="en-GB"/>
        </w:rPr>
        <w:t>,</w:t>
      </w:r>
      <w:r w:rsidRPr="00F4773B">
        <w:rPr>
          <w:lang w:val="en-GB"/>
        </w:rPr>
        <w:t xml:space="preserve"> but were not performing work in the reference week, which accounted for </w:t>
      </w:r>
      <w:r>
        <w:rPr>
          <w:lang w:val="en-GB"/>
        </w:rPr>
        <w:t>4</w:t>
      </w:r>
      <w:r w:rsidRPr="00F4773B">
        <w:rPr>
          <w:rFonts w:eastAsia="Times New Roman" w:cs="Times New Roman"/>
          <w:szCs w:val="19"/>
          <w:lang w:val="en-GB" w:eastAsia="pl-PL"/>
        </w:rPr>
        <w:t>.</w:t>
      </w:r>
      <w:r>
        <w:rPr>
          <w:rFonts w:eastAsia="Times New Roman" w:cs="Times New Roman"/>
          <w:szCs w:val="19"/>
          <w:lang w:val="en-GB" w:eastAsia="pl-PL"/>
        </w:rPr>
        <w:t>9</w:t>
      </w:r>
      <w:r w:rsidRPr="00F4773B">
        <w:rPr>
          <w:rFonts w:eastAsia="Times New Roman" w:cs="Times New Roman"/>
          <w:szCs w:val="19"/>
          <w:lang w:val="en-GB" w:eastAsia="pl-PL"/>
        </w:rPr>
        <w:t xml:space="preserve">% </w:t>
      </w:r>
      <w:r w:rsidRPr="00F4773B">
        <w:rPr>
          <w:lang w:val="en-GB"/>
        </w:rPr>
        <w:t xml:space="preserve">of the total number of the employed (the corresponding population in the previous quarter comprised </w:t>
      </w:r>
      <w:r>
        <w:rPr>
          <w:rFonts w:eastAsia="Times New Roman" w:cs="Times New Roman"/>
          <w:szCs w:val="19"/>
          <w:lang w:val="en-GB" w:eastAsia="pl-PL"/>
        </w:rPr>
        <w:t>872</w:t>
      </w:r>
      <w:r w:rsidRPr="00F4773B">
        <w:rPr>
          <w:rFonts w:eastAsia="Times New Roman" w:cs="Times New Roman"/>
          <w:szCs w:val="19"/>
          <w:lang w:val="en-GB" w:eastAsia="pl-PL"/>
        </w:rPr>
        <w:t xml:space="preserve"> thousand, i.e. </w:t>
      </w:r>
      <w:r>
        <w:rPr>
          <w:rFonts w:eastAsia="Times New Roman" w:cs="Times New Roman"/>
          <w:szCs w:val="19"/>
          <w:lang w:val="en-GB" w:eastAsia="pl-PL"/>
        </w:rPr>
        <w:t>5</w:t>
      </w:r>
      <w:r w:rsidRPr="00F4773B">
        <w:rPr>
          <w:rFonts w:eastAsia="Times New Roman" w:cs="Times New Roman"/>
          <w:szCs w:val="19"/>
          <w:lang w:val="en-GB" w:eastAsia="pl-PL"/>
        </w:rPr>
        <w:t>.</w:t>
      </w:r>
      <w:r>
        <w:rPr>
          <w:rFonts w:eastAsia="Times New Roman" w:cs="Times New Roman"/>
          <w:szCs w:val="19"/>
          <w:lang w:val="en-GB" w:eastAsia="pl-PL"/>
        </w:rPr>
        <w:t>2</w:t>
      </w:r>
      <w:r w:rsidRPr="00F4773B">
        <w:rPr>
          <w:rFonts w:eastAsia="Times New Roman" w:cs="Times New Roman"/>
          <w:szCs w:val="19"/>
          <w:lang w:val="en-GB" w:eastAsia="pl-PL"/>
        </w:rPr>
        <w:t>%</w:t>
      </w:r>
      <w:r>
        <w:rPr>
          <w:rFonts w:eastAsia="Times New Roman" w:cs="Times New Roman"/>
          <w:szCs w:val="19"/>
          <w:lang w:val="en-GB" w:eastAsia="pl-PL"/>
        </w:rPr>
        <w:t>, while a year ago it was 994 thousand, i.e. 6.0%</w:t>
      </w:r>
      <w:r w:rsidRPr="00F4773B">
        <w:rPr>
          <w:rFonts w:eastAsia="Times New Roman" w:cs="Times New Roman"/>
          <w:szCs w:val="19"/>
          <w:lang w:val="en-GB" w:eastAsia="pl-PL"/>
        </w:rPr>
        <w:t>)</w:t>
      </w:r>
      <w:r w:rsidRPr="00F4773B">
        <w:rPr>
          <w:lang w:val="en-GB"/>
        </w:rPr>
        <w:t xml:space="preserve">. Among these persons, </w:t>
      </w:r>
      <w:r>
        <w:rPr>
          <w:lang w:val="en-GB"/>
        </w:rPr>
        <w:t>6</w:t>
      </w:r>
      <w:r w:rsidRPr="00F4773B">
        <w:rPr>
          <w:lang w:val="en-GB"/>
        </w:rPr>
        <w:t>7 thousand (i.e. 8</w:t>
      </w:r>
      <w:r>
        <w:rPr>
          <w:lang w:val="en-GB"/>
        </w:rPr>
        <w:t>.2</w:t>
      </w:r>
      <w:r w:rsidRPr="00F4773B">
        <w:rPr>
          <w:lang w:val="en-GB"/>
        </w:rPr>
        <w:t xml:space="preserve">%) indicated that it was directly related to the COVID-19 pandemic (in the previous quarter it was </w:t>
      </w:r>
      <w:r>
        <w:rPr>
          <w:rFonts w:eastAsia="Times New Roman" w:cs="Times New Roman"/>
          <w:szCs w:val="19"/>
          <w:lang w:val="en-GB" w:eastAsia="pl-PL"/>
        </w:rPr>
        <w:t>77</w:t>
      </w:r>
      <w:r w:rsidR="00D93B6C">
        <w:rPr>
          <w:rFonts w:eastAsia="Times New Roman" w:cs="Times New Roman"/>
          <w:szCs w:val="19"/>
          <w:lang w:val="en-GB" w:eastAsia="pl-PL"/>
        </w:rPr>
        <w:t> </w:t>
      </w:r>
      <w:r w:rsidRPr="00F4773B">
        <w:rPr>
          <w:rFonts w:eastAsia="Times New Roman" w:cs="Times New Roman"/>
          <w:szCs w:val="19"/>
          <w:lang w:val="en-GB" w:eastAsia="pl-PL"/>
        </w:rPr>
        <w:t xml:space="preserve">thousand persons, which accounted for </w:t>
      </w:r>
      <w:r>
        <w:rPr>
          <w:rFonts w:eastAsia="Times New Roman" w:cs="Times New Roman"/>
          <w:szCs w:val="19"/>
          <w:lang w:val="en-GB" w:eastAsia="pl-PL"/>
        </w:rPr>
        <w:t>8</w:t>
      </w:r>
      <w:r w:rsidRPr="00F4773B">
        <w:rPr>
          <w:rFonts w:eastAsia="Times New Roman" w:cs="Times New Roman"/>
          <w:szCs w:val="19"/>
          <w:lang w:val="en-GB" w:eastAsia="pl-PL"/>
        </w:rPr>
        <w:t>.</w:t>
      </w:r>
      <w:r>
        <w:rPr>
          <w:rFonts w:eastAsia="Times New Roman" w:cs="Times New Roman"/>
          <w:szCs w:val="19"/>
          <w:lang w:val="en-GB" w:eastAsia="pl-PL"/>
        </w:rPr>
        <w:t>8</w:t>
      </w:r>
      <w:r w:rsidRPr="00F4773B">
        <w:rPr>
          <w:rFonts w:eastAsia="Times New Roman" w:cs="Times New Roman"/>
          <w:szCs w:val="19"/>
          <w:lang w:val="en-GB" w:eastAsia="pl-PL"/>
        </w:rPr>
        <w:t xml:space="preserve"> %</w:t>
      </w:r>
      <w:r>
        <w:rPr>
          <w:rFonts w:eastAsia="Times New Roman" w:cs="Times New Roman"/>
          <w:szCs w:val="19"/>
          <w:lang w:val="en-GB" w:eastAsia="pl-PL"/>
        </w:rPr>
        <w:t xml:space="preserve">, while in the </w:t>
      </w:r>
      <w:r w:rsidRPr="00FB6CF4">
        <w:rPr>
          <w:rFonts w:eastAsia="Times New Roman" w:cs="Times New Roman"/>
          <w:szCs w:val="19"/>
          <w:lang w:val="en-GB" w:eastAsia="pl-PL"/>
        </w:rPr>
        <w:t>first</w:t>
      </w:r>
      <w:r>
        <w:rPr>
          <w:rFonts w:eastAsia="Times New Roman" w:cs="Times New Roman"/>
          <w:szCs w:val="19"/>
          <w:lang w:val="en-GB" w:eastAsia="pl-PL"/>
        </w:rPr>
        <w:t xml:space="preserve"> quarter of 2021 it comprised 235 thousand, i.e. 23.6%</w:t>
      </w:r>
      <w:r w:rsidRPr="00F4773B">
        <w:rPr>
          <w:rFonts w:eastAsia="Times New Roman" w:cs="Times New Roman"/>
          <w:szCs w:val="19"/>
          <w:lang w:val="en-GB" w:eastAsia="pl-PL"/>
        </w:rPr>
        <w:t>)</w:t>
      </w:r>
      <w:r w:rsidRPr="00F4773B">
        <w:rPr>
          <w:lang w:val="en-GB"/>
        </w:rPr>
        <w:t xml:space="preserve">. </w:t>
      </w:r>
    </w:p>
    <w:p w14:paraId="399AE5C4" w14:textId="4104B8A4" w:rsidR="00AC2206" w:rsidRPr="00F4773B" w:rsidRDefault="00250B06" w:rsidP="00AC2206">
      <w:pPr>
        <w:spacing w:line="288" w:lineRule="auto"/>
        <w:rPr>
          <w:lang w:val="en-GB"/>
        </w:rPr>
      </w:pPr>
      <w:r w:rsidRPr="00993C0A">
        <w:rPr>
          <w:rFonts w:eastAsia="Times New Roman" w:cs="Times New Roman"/>
          <w:noProof/>
          <w:szCs w:val="19"/>
          <w:lang w:eastAsia="pl-PL"/>
        </w:rPr>
        <mc:AlternateContent>
          <mc:Choice Requires="wps">
            <w:drawing>
              <wp:anchor distT="45720" distB="45720" distL="114300" distR="114300" simplePos="0" relativeHeight="251765760" behindDoc="1" locked="0" layoutInCell="1" allowOverlap="1" wp14:anchorId="2D002133" wp14:editId="74E0495D">
                <wp:simplePos x="0" y="0"/>
                <wp:positionH relativeFrom="column">
                  <wp:posOffset>5305425</wp:posOffset>
                </wp:positionH>
                <wp:positionV relativeFrom="paragraph">
                  <wp:posOffset>1193165</wp:posOffset>
                </wp:positionV>
                <wp:extent cx="1630680" cy="981075"/>
                <wp:effectExtent l="0" t="0" r="0" b="0"/>
                <wp:wrapTight wrapText="bothSides">
                  <wp:wrapPolygon edited="0">
                    <wp:start x="757" y="0"/>
                    <wp:lineTo x="757" y="20971"/>
                    <wp:lineTo x="20692" y="20971"/>
                    <wp:lineTo x="20692" y="0"/>
                    <wp:lineTo x="757" y="0"/>
                  </wp:wrapPolygon>
                </wp:wrapTight>
                <wp:docPr id="30" name="Pole tekstowe 2" descr="9.4% of the employed worked in a form of remote work – for over 2/3 of them it was directly connected with the pandemic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981075"/>
                        </a:xfrm>
                        <a:prstGeom prst="rect">
                          <a:avLst/>
                        </a:prstGeom>
                        <a:noFill/>
                        <a:ln w="9525">
                          <a:noFill/>
                          <a:miter lim="800000"/>
                          <a:headEnd/>
                          <a:tailEnd/>
                        </a:ln>
                      </wps:spPr>
                      <wps:txbx>
                        <w:txbxContent>
                          <w:p w14:paraId="60056F9D" w14:textId="70EA4E4D" w:rsidR="00D16608" w:rsidRPr="00DC1D70" w:rsidRDefault="00087BB1" w:rsidP="00D16608">
                            <w:pPr>
                              <w:pStyle w:val="tekstzboku"/>
                              <w:rPr>
                                <w:lang w:val="en-GB"/>
                              </w:rPr>
                            </w:pPr>
                            <w:r>
                              <w:rPr>
                                <w:lang w:val="en-GB"/>
                              </w:rPr>
                              <w:t>9.4</w:t>
                            </w:r>
                            <w:r w:rsidR="00D16608" w:rsidRPr="00DC1D70">
                              <w:rPr>
                                <w:lang w:val="en-GB"/>
                              </w:rPr>
                              <w:t>% of the employed worked in a form of remote work – for over</w:t>
                            </w:r>
                            <w:r w:rsidR="00D16608">
                              <w:rPr>
                                <w:lang w:val="en-GB"/>
                              </w:rPr>
                              <w:t xml:space="preserve"> </w:t>
                            </w:r>
                            <w:r w:rsidR="00D16608" w:rsidRPr="00DC1D70">
                              <w:rPr>
                                <w:lang w:val="en-GB"/>
                              </w:rPr>
                              <w:t xml:space="preserve">2/3 of them it was directly connected with the pandemic </w:t>
                            </w:r>
                          </w:p>
                          <w:p w14:paraId="74B53E66" w14:textId="77777777" w:rsidR="00D12A51" w:rsidRPr="00D958CD" w:rsidRDefault="00D12A51" w:rsidP="00070561">
                            <w:pPr>
                              <w:pStyle w:val="tekstzboku"/>
                              <w:spacing w:before="0"/>
                              <w:rPr>
                                <w:bCs w:val="0"/>
                                <w:lang w:val="en-US"/>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02133" id="_x0000_s1032" type="#_x0000_t202" alt="9.4% of the employed worked in a form of remote work – for over 2/3 of them it was directly connected with the pandemic  " style="position:absolute;margin-left:417.75pt;margin-top:93.95pt;width:128.4pt;height:77.25pt;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" filled="f" stroked="f">
                <v:textbox inset=",0">
                  <w:txbxContent>
                    <w:p w14:paraId="60056F9D" w14:textId="70EA4E4D" w:rsidR="00D16608" w:rsidRPr="00DC1D70" w:rsidRDefault="00087BB1" w:rsidP="00D16608">
                      <w:pPr>
                        <w:pStyle w:val="tekstzboku"/>
                        <w:rPr>
                          <w:lang w:val="en-GB"/>
                        </w:rPr>
                      </w:pPr>
                      <w:r>
                        <w:rPr>
                          <w:lang w:val="en-GB"/>
                        </w:rPr>
                        <w:t>9.4</w:t>
                      </w:r>
                      <w:r w:rsidR="00D16608" w:rsidRPr="00DC1D70">
                        <w:rPr>
                          <w:lang w:val="en-GB"/>
                        </w:rPr>
                        <w:t>% of the employed worked in a form of remote work – for over</w:t>
                      </w:r>
                      <w:r w:rsidR="00D16608">
                        <w:rPr>
                          <w:lang w:val="en-GB"/>
                        </w:rPr>
                        <w:t xml:space="preserve"> </w:t>
                      </w:r>
                      <w:r w:rsidR="00D16608" w:rsidRPr="00DC1D70">
                        <w:rPr>
                          <w:lang w:val="en-GB"/>
                        </w:rPr>
                        <w:t xml:space="preserve">2/3 of them it was directly connected with the pandemic </w:t>
                      </w:r>
                    </w:p>
                    <w:p w14:paraId="74B53E66" w14:textId="77777777" w:rsidR="00D12A51" w:rsidRPr="00D958CD" w:rsidRDefault="00D12A51" w:rsidP="00070561">
                      <w:pPr>
                        <w:pStyle w:val="tekstzboku"/>
                        <w:spacing w:before="0"/>
                        <w:rPr>
                          <w:bCs w:val="0"/>
                          <w:lang w:val="en-US"/>
                        </w:rPr>
                      </w:pPr>
                    </w:p>
                  </w:txbxContent>
                </v:textbox>
                <w10:wrap type="tight"/>
              </v:shape>
            </w:pict>
          </mc:Fallback>
        </mc:AlternateContent>
      </w:r>
      <w:r w:rsidR="00AC2206" w:rsidRPr="00F4773B">
        <w:rPr>
          <w:lang w:val="en-GB"/>
        </w:rPr>
        <w:t>The impact of the COVID-19 pandemic was observed in the data regarding the place of performing work to a similar extent as in the previous quarter</w:t>
      </w:r>
      <w:r w:rsidR="00AC2206" w:rsidRPr="00F4773B">
        <w:rPr>
          <w:rFonts w:eastAsia="Times New Roman" w:cs="Times New Roman"/>
          <w:szCs w:val="19"/>
          <w:lang w:val="en-GB" w:eastAsia="pl-PL"/>
        </w:rPr>
        <w:t>. In the f</w:t>
      </w:r>
      <w:r w:rsidR="00AC2206">
        <w:rPr>
          <w:rFonts w:eastAsia="Times New Roman" w:cs="Times New Roman"/>
          <w:szCs w:val="19"/>
          <w:lang w:val="en-GB" w:eastAsia="pl-PL"/>
        </w:rPr>
        <w:t>irst</w:t>
      </w:r>
      <w:r w:rsidR="00AC2206" w:rsidRPr="00F4773B">
        <w:rPr>
          <w:rFonts w:eastAsia="Times New Roman" w:cs="Times New Roman"/>
          <w:szCs w:val="19"/>
          <w:lang w:val="en-GB" w:eastAsia="pl-PL"/>
        </w:rPr>
        <w:t xml:space="preserve"> quarter of 202</w:t>
      </w:r>
      <w:r w:rsidR="00AC2206">
        <w:rPr>
          <w:rFonts w:eastAsia="Times New Roman" w:cs="Times New Roman"/>
          <w:szCs w:val="19"/>
          <w:lang w:val="en-GB" w:eastAsia="pl-PL"/>
        </w:rPr>
        <w:t>2</w:t>
      </w:r>
      <w:r w:rsidR="00AC2206" w:rsidRPr="00F4773B">
        <w:rPr>
          <w:rFonts w:eastAsia="Times New Roman" w:cs="Times New Roman"/>
          <w:szCs w:val="19"/>
          <w:lang w:val="en-GB" w:eastAsia="pl-PL"/>
        </w:rPr>
        <w:t xml:space="preserve">, </w:t>
      </w:r>
      <w:r w:rsidR="00AC2206" w:rsidRPr="00F4773B">
        <w:rPr>
          <w:lang w:val="en-GB"/>
        </w:rPr>
        <w:t xml:space="preserve">the number of persons performing their work usually or sometimes at home comprised </w:t>
      </w:r>
      <w:r w:rsidR="00AC2206" w:rsidRPr="00F4773B">
        <w:rPr>
          <w:rFonts w:eastAsia="Times New Roman" w:cs="Times New Roman"/>
          <w:szCs w:val="19"/>
          <w:lang w:val="en-GB" w:eastAsia="pl-PL"/>
        </w:rPr>
        <w:t>2</w:t>
      </w:r>
      <w:r w:rsidR="00AC2206">
        <w:rPr>
          <w:rFonts w:eastAsia="Times New Roman" w:cs="Times New Roman"/>
          <w:szCs w:val="19"/>
          <w:lang w:val="en-GB" w:eastAsia="pl-PL"/>
        </w:rPr>
        <w:t>450</w:t>
      </w:r>
      <w:r w:rsidR="00D93B6C">
        <w:rPr>
          <w:lang w:val="en-GB"/>
        </w:rPr>
        <w:t> </w:t>
      </w:r>
      <w:r w:rsidR="00AC2206" w:rsidRPr="00F4773B">
        <w:rPr>
          <w:lang w:val="en-GB"/>
        </w:rPr>
        <w:t>thousand, which accounted for 1</w:t>
      </w:r>
      <w:r w:rsidR="00AC2206">
        <w:rPr>
          <w:lang w:val="en-GB"/>
        </w:rPr>
        <w:t>4</w:t>
      </w:r>
      <w:r w:rsidR="00AC2206" w:rsidRPr="00F4773B">
        <w:rPr>
          <w:lang w:val="en-GB"/>
        </w:rPr>
        <w:t>.</w:t>
      </w:r>
      <w:r w:rsidR="00AC2206">
        <w:rPr>
          <w:lang w:val="en-GB"/>
        </w:rPr>
        <w:t>7</w:t>
      </w:r>
      <w:r w:rsidR="00AC2206" w:rsidRPr="00F4773B">
        <w:rPr>
          <w:lang w:val="en-GB"/>
        </w:rPr>
        <w:t xml:space="preserve">% of the total number of the employed (in the </w:t>
      </w:r>
      <w:r w:rsidR="00AC2206">
        <w:rPr>
          <w:lang w:val="en-GB"/>
        </w:rPr>
        <w:t>fourth</w:t>
      </w:r>
      <w:r w:rsidR="00AC2206" w:rsidRPr="00F4773B">
        <w:rPr>
          <w:lang w:val="en-GB"/>
        </w:rPr>
        <w:t xml:space="preserve"> quarter of 2021, the respective figure was </w:t>
      </w:r>
      <w:r w:rsidR="00AC2206">
        <w:rPr>
          <w:rFonts w:eastAsia="Times New Roman" w:cs="Times New Roman"/>
          <w:szCs w:val="19"/>
          <w:lang w:val="en-GB" w:eastAsia="pl-PL"/>
        </w:rPr>
        <w:t>2206</w:t>
      </w:r>
      <w:r w:rsidR="00AC2206" w:rsidRPr="00F4773B">
        <w:rPr>
          <w:rFonts w:eastAsia="Times New Roman" w:cs="Times New Roman"/>
          <w:szCs w:val="19"/>
          <w:lang w:val="en-GB" w:eastAsia="pl-PL"/>
        </w:rPr>
        <w:t xml:space="preserve"> thousand, i.e. 1</w:t>
      </w:r>
      <w:r w:rsidR="00AC2206">
        <w:rPr>
          <w:rFonts w:eastAsia="Times New Roman" w:cs="Times New Roman"/>
          <w:szCs w:val="19"/>
          <w:lang w:val="en-GB" w:eastAsia="pl-PL"/>
        </w:rPr>
        <w:t>3</w:t>
      </w:r>
      <w:r w:rsidR="00AC2206" w:rsidRPr="00F4773B">
        <w:rPr>
          <w:rFonts w:eastAsia="Times New Roman" w:cs="Times New Roman"/>
          <w:szCs w:val="19"/>
          <w:lang w:val="en-GB" w:eastAsia="pl-PL"/>
        </w:rPr>
        <w:t>.</w:t>
      </w:r>
      <w:r w:rsidR="00AC2206">
        <w:rPr>
          <w:rFonts w:eastAsia="Times New Roman" w:cs="Times New Roman"/>
          <w:szCs w:val="19"/>
          <w:lang w:val="en-GB" w:eastAsia="pl-PL"/>
        </w:rPr>
        <w:t>1</w:t>
      </w:r>
      <w:r w:rsidR="00AC2206" w:rsidRPr="00F4773B">
        <w:rPr>
          <w:rFonts w:eastAsia="Times New Roman" w:cs="Times New Roman"/>
          <w:szCs w:val="19"/>
          <w:lang w:val="en-GB" w:eastAsia="pl-PL"/>
        </w:rPr>
        <w:t>%</w:t>
      </w:r>
      <w:r w:rsidR="00AC2206">
        <w:rPr>
          <w:rFonts w:eastAsia="Times New Roman" w:cs="Times New Roman"/>
          <w:szCs w:val="19"/>
          <w:lang w:val="en-GB" w:eastAsia="pl-PL"/>
        </w:rPr>
        <w:t>, while in the first quarter of 2021 it was 3224 thousand, i.e. 19.6%</w:t>
      </w:r>
      <w:r w:rsidR="00AC2206" w:rsidRPr="00F4773B">
        <w:rPr>
          <w:rFonts w:eastAsia="Times New Roman" w:cs="Times New Roman"/>
          <w:szCs w:val="19"/>
          <w:lang w:val="en-GB" w:eastAsia="pl-PL"/>
        </w:rPr>
        <w:t>)</w:t>
      </w:r>
      <w:r w:rsidR="00AC2206" w:rsidRPr="00F4773B">
        <w:rPr>
          <w:lang w:val="en-GB"/>
        </w:rPr>
        <w:t xml:space="preserve">. Among this population, </w:t>
      </w:r>
      <w:r w:rsidR="00AC2206">
        <w:rPr>
          <w:lang w:val="en-GB"/>
        </w:rPr>
        <w:t>9</w:t>
      </w:r>
      <w:r w:rsidR="00AC2206" w:rsidRPr="00F4773B">
        <w:rPr>
          <w:rFonts w:eastAsia="Times New Roman" w:cs="Times New Roman"/>
          <w:szCs w:val="19"/>
          <w:lang w:val="en-GB" w:eastAsia="pl-PL"/>
        </w:rPr>
        <w:t>75 thousand</w:t>
      </w:r>
      <w:r w:rsidR="00AC2206" w:rsidRPr="00F4773B">
        <w:rPr>
          <w:lang w:val="en-GB"/>
        </w:rPr>
        <w:t xml:space="preserve"> persons (i.e. </w:t>
      </w:r>
      <w:r w:rsidR="00AC2206" w:rsidRPr="00F4773B">
        <w:rPr>
          <w:rFonts w:eastAsia="Times New Roman" w:cs="Times New Roman"/>
          <w:szCs w:val="19"/>
          <w:lang w:val="en-GB" w:eastAsia="pl-PL"/>
        </w:rPr>
        <w:t>3</w:t>
      </w:r>
      <w:r w:rsidR="00AC2206">
        <w:rPr>
          <w:rFonts w:eastAsia="Times New Roman" w:cs="Times New Roman"/>
          <w:szCs w:val="19"/>
          <w:lang w:val="en-GB" w:eastAsia="pl-PL"/>
        </w:rPr>
        <w:t>9</w:t>
      </w:r>
      <w:r w:rsidR="00AC2206" w:rsidRPr="00F4773B">
        <w:rPr>
          <w:rFonts w:eastAsia="Times New Roman" w:cs="Times New Roman"/>
          <w:szCs w:val="19"/>
          <w:lang w:val="en-GB" w:eastAsia="pl-PL"/>
        </w:rPr>
        <w:t>.</w:t>
      </w:r>
      <w:r w:rsidR="00AC2206">
        <w:rPr>
          <w:rFonts w:eastAsia="Times New Roman" w:cs="Times New Roman"/>
          <w:szCs w:val="19"/>
          <w:lang w:val="en-GB" w:eastAsia="pl-PL"/>
        </w:rPr>
        <w:t>8</w:t>
      </w:r>
      <w:r w:rsidR="00AC2206" w:rsidRPr="00F4773B">
        <w:rPr>
          <w:lang w:val="en-GB"/>
        </w:rPr>
        <w:t xml:space="preserve">%) worked at home because of the situation connected to the COVID-19 pandemic (in the </w:t>
      </w:r>
      <w:r w:rsidR="00AC2206">
        <w:rPr>
          <w:lang w:val="en-GB"/>
        </w:rPr>
        <w:t>fourth</w:t>
      </w:r>
      <w:r w:rsidR="00AC2206" w:rsidRPr="00F4773B">
        <w:rPr>
          <w:lang w:val="en-GB"/>
        </w:rPr>
        <w:t xml:space="preserve"> quarter of 2021, it was </w:t>
      </w:r>
      <w:r w:rsidR="00AC2206">
        <w:rPr>
          <w:rFonts w:eastAsia="Times New Roman" w:cs="Times New Roman"/>
          <w:szCs w:val="19"/>
          <w:lang w:val="en-GB" w:eastAsia="pl-PL"/>
        </w:rPr>
        <w:t xml:space="preserve">755 </w:t>
      </w:r>
      <w:r w:rsidR="00AC2206" w:rsidRPr="00F4773B">
        <w:rPr>
          <w:rFonts w:eastAsia="Times New Roman" w:cs="Times New Roman"/>
          <w:szCs w:val="19"/>
          <w:lang w:val="en-GB" w:eastAsia="pl-PL"/>
        </w:rPr>
        <w:t xml:space="preserve">thousand, i.e. </w:t>
      </w:r>
      <w:r w:rsidR="00AC2206">
        <w:rPr>
          <w:rFonts w:eastAsia="Times New Roman" w:cs="Times New Roman"/>
          <w:szCs w:val="19"/>
          <w:lang w:val="en-GB" w:eastAsia="pl-PL"/>
        </w:rPr>
        <w:t>34</w:t>
      </w:r>
      <w:r w:rsidR="00AC2206" w:rsidRPr="00F4773B">
        <w:rPr>
          <w:rFonts w:eastAsia="Times New Roman" w:cs="Times New Roman"/>
          <w:szCs w:val="19"/>
          <w:lang w:val="en-GB" w:eastAsia="pl-PL"/>
        </w:rPr>
        <w:t>.</w:t>
      </w:r>
      <w:r w:rsidR="00AC2206">
        <w:rPr>
          <w:rFonts w:eastAsia="Times New Roman" w:cs="Times New Roman"/>
          <w:szCs w:val="19"/>
          <w:lang w:val="en-GB" w:eastAsia="pl-PL"/>
        </w:rPr>
        <w:t>2</w:t>
      </w:r>
      <w:r w:rsidR="00AC2206" w:rsidRPr="00F4773B">
        <w:rPr>
          <w:rFonts w:eastAsia="Times New Roman" w:cs="Times New Roman"/>
          <w:szCs w:val="19"/>
          <w:lang w:val="en-GB" w:eastAsia="pl-PL"/>
        </w:rPr>
        <w:t>%</w:t>
      </w:r>
      <w:r w:rsidR="00AC2206">
        <w:rPr>
          <w:rFonts w:eastAsia="Times New Roman" w:cs="Times New Roman"/>
          <w:szCs w:val="19"/>
          <w:lang w:val="en-GB" w:eastAsia="pl-PL"/>
        </w:rPr>
        <w:t xml:space="preserve">, while in the first quarter of 2021 – </w:t>
      </w:r>
      <w:r w:rsidR="00AB5DF2">
        <w:rPr>
          <w:rFonts w:eastAsia="Times New Roman" w:cs="Times New Roman"/>
          <w:szCs w:val="19"/>
          <w:lang w:val="en-GB" w:eastAsia="pl-PL"/>
        </w:rPr>
        <w:t>2</w:t>
      </w:r>
      <w:r w:rsidR="00AC2206">
        <w:rPr>
          <w:rFonts w:eastAsia="Times New Roman" w:cs="Times New Roman"/>
          <w:szCs w:val="19"/>
          <w:lang w:val="en-GB" w:eastAsia="pl-PL"/>
        </w:rPr>
        <w:t>003 thousand, i.e. 62.1%</w:t>
      </w:r>
      <w:r w:rsidR="00AC2206" w:rsidRPr="00F4773B">
        <w:rPr>
          <w:rFonts w:eastAsia="Times New Roman" w:cs="Times New Roman"/>
          <w:szCs w:val="19"/>
          <w:lang w:val="en-GB" w:eastAsia="pl-PL"/>
        </w:rPr>
        <w:t>).</w:t>
      </w:r>
      <w:r w:rsidR="00AC2206">
        <w:rPr>
          <w:rFonts w:eastAsia="Times New Roman" w:cs="Times New Roman"/>
          <w:szCs w:val="19"/>
          <w:lang w:val="en-GB" w:eastAsia="pl-PL"/>
        </w:rPr>
        <w:t xml:space="preserve"> </w:t>
      </w:r>
      <w:r w:rsidR="00AC2206" w:rsidRPr="00F4773B">
        <w:rPr>
          <w:rFonts w:eastAsia="Times New Roman" w:cs="Times New Roman"/>
          <w:szCs w:val="19"/>
          <w:lang w:val="en-GB" w:eastAsia="pl-PL"/>
        </w:rPr>
        <w:t>In the f</w:t>
      </w:r>
      <w:r w:rsidR="00AC2206">
        <w:rPr>
          <w:rFonts w:eastAsia="Times New Roman" w:cs="Times New Roman"/>
          <w:szCs w:val="19"/>
          <w:lang w:val="en-GB" w:eastAsia="pl-PL"/>
        </w:rPr>
        <w:t>irst</w:t>
      </w:r>
      <w:r w:rsidR="00AC2206" w:rsidRPr="00F4773B">
        <w:rPr>
          <w:rFonts w:eastAsia="Times New Roman" w:cs="Times New Roman"/>
          <w:szCs w:val="19"/>
          <w:lang w:val="en-GB" w:eastAsia="pl-PL"/>
        </w:rPr>
        <w:t xml:space="preserve"> quarter of 202</w:t>
      </w:r>
      <w:r w:rsidR="00AC2206">
        <w:rPr>
          <w:rFonts w:eastAsia="Times New Roman" w:cs="Times New Roman"/>
          <w:szCs w:val="19"/>
          <w:lang w:val="en-GB" w:eastAsia="pl-PL"/>
        </w:rPr>
        <w:t>2</w:t>
      </w:r>
      <w:r w:rsidR="00AC2206" w:rsidRPr="00F4773B">
        <w:rPr>
          <w:rFonts w:eastAsia="Times New Roman" w:cs="Times New Roman"/>
          <w:szCs w:val="19"/>
          <w:lang w:val="en-GB" w:eastAsia="pl-PL"/>
        </w:rPr>
        <w:t>, there were 1</w:t>
      </w:r>
      <w:r w:rsidR="00AC2206">
        <w:rPr>
          <w:rFonts w:eastAsia="Times New Roman" w:cs="Times New Roman"/>
          <w:szCs w:val="19"/>
          <w:lang w:val="en-GB" w:eastAsia="pl-PL"/>
        </w:rPr>
        <w:t>564</w:t>
      </w:r>
      <w:r w:rsidR="00AC2206" w:rsidRPr="00F4773B">
        <w:rPr>
          <w:rFonts w:eastAsia="Times New Roman" w:cs="Times New Roman"/>
          <w:szCs w:val="19"/>
          <w:lang w:val="en-GB" w:eastAsia="pl-PL"/>
        </w:rPr>
        <w:t xml:space="preserve"> thousand persons</w:t>
      </w:r>
      <w:r w:rsidR="00AC2206">
        <w:rPr>
          <w:rFonts w:eastAsia="Times New Roman" w:cs="Times New Roman"/>
          <w:szCs w:val="19"/>
          <w:lang w:val="en-GB" w:eastAsia="pl-PL"/>
        </w:rPr>
        <w:t xml:space="preserve"> </w:t>
      </w:r>
      <w:r w:rsidR="00AC2206" w:rsidRPr="00F4773B">
        <w:rPr>
          <w:rFonts w:eastAsia="Times New Roman" w:cs="Times New Roman"/>
          <w:szCs w:val="19"/>
          <w:lang w:val="en-GB" w:eastAsia="pl-PL"/>
        </w:rPr>
        <w:t xml:space="preserve">(which accounted for </w:t>
      </w:r>
      <w:r w:rsidR="00AC2206">
        <w:rPr>
          <w:rFonts w:eastAsia="Times New Roman" w:cs="Times New Roman"/>
          <w:szCs w:val="19"/>
          <w:lang w:val="en-GB" w:eastAsia="pl-PL"/>
        </w:rPr>
        <w:t>9</w:t>
      </w:r>
      <w:r w:rsidR="00AC2206" w:rsidRPr="00F4773B">
        <w:rPr>
          <w:rFonts w:eastAsia="Times New Roman" w:cs="Times New Roman"/>
          <w:szCs w:val="19"/>
          <w:lang w:val="en-GB" w:eastAsia="pl-PL"/>
        </w:rPr>
        <w:t>.</w:t>
      </w:r>
      <w:r w:rsidR="00AC2206">
        <w:rPr>
          <w:rFonts w:eastAsia="Times New Roman" w:cs="Times New Roman"/>
          <w:szCs w:val="19"/>
          <w:lang w:val="en-GB" w:eastAsia="pl-PL"/>
        </w:rPr>
        <w:t>4</w:t>
      </w:r>
      <w:r w:rsidR="00AC2206" w:rsidRPr="00F4773B">
        <w:rPr>
          <w:rFonts w:eastAsia="Times New Roman" w:cs="Times New Roman"/>
          <w:szCs w:val="19"/>
          <w:lang w:val="en-GB" w:eastAsia="pl-PL"/>
        </w:rPr>
        <w:t>% of the total number of the employed) who performed their work-related responsibilities in a form of remote work (</w:t>
      </w:r>
      <w:r w:rsidR="00AC2206" w:rsidRPr="00F4773B">
        <w:rPr>
          <w:lang w:val="en-GB"/>
        </w:rPr>
        <w:t>the place of performing work is not considered here</w:t>
      </w:r>
      <w:r w:rsidR="00AC2206" w:rsidRPr="00F4773B">
        <w:rPr>
          <w:rFonts w:eastAsia="Times New Roman" w:cs="Times New Roman"/>
          <w:szCs w:val="19"/>
          <w:lang w:val="en-GB" w:eastAsia="pl-PL"/>
        </w:rPr>
        <w:t xml:space="preserve">), among them </w:t>
      </w:r>
      <w:r w:rsidR="00AC2206">
        <w:rPr>
          <w:rFonts w:eastAsia="Times New Roman" w:cs="Times New Roman"/>
          <w:szCs w:val="19"/>
          <w:lang w:val="en-GB" w:eastAsia="pl-PL"/>
        </w:rPr>
        <w:t>70</w:t>
      </w:r>
      <w:r w:rsidR="00AC2206" w:rsidRPr="00F4773B">
        <w:rPr>
          <w:rFonts w:eastAsia="Times New Roman" w:cs="Times New Roman"/>
          <w:szCs w:val="19"/>
          <w:lang w:val="en-GB" w:eastAsia="pl-PL"/>
        </w:rPr>
        <w:t>.</w:t>
      </w:r>
      <w:r w:rsidR="00AC2206">
        <w:rPr>
          <w:rFonts w:eastAsia="Times New Roman" w:cs="Times New Roman"/>
          <w:szCs w:val="19"/>
          <w:lang w:val="en-GB" w:eastAsia="pl-PL"/>
        </w:rPr>
        <w:t>6</w:t>
      </w:r>
      <w:r w:rsidR="00AC2206" w:rsidRPr="00F4773B">
        <w:rPr>
          <w:rFonts w:eastAsia="Times New Roman" w:cs="Times New Roman"/>
          <w:szCs w:val="19"/>
          <w:lang w:val="en-GB" w:eastAsia="pl-PL"/>
        </w:rPr>
        <w:t>% performed work in this form due to the COVID-19</w:t>
      </w:r>
      <w:r w:rsidR="00AC2206">
        <w:rPr>
          <w:rFonts w:eastAsia="Times New Roman" w:cs="Times New Roman"/>
          <w:szCs w:val="19"/>
          <w:lang w:val="en-GB" w:eastAsia="pl-PL"/>
        </w:rPr>
        <w:t xml:space="preserve"> </w:t>
      </w:r>
      <w:r w:rsidR="00AC2206" w:rsidRPr="00F4773B">
        <w:rPr>
          <w:rFonts w:eastAsia="Times New Roman" w:cs="Times New Roman"/>
          <w:szCs w:val="19"/>
          <w:lang w:val="en-GB" w:eastAsia="pl-PL"/>
        </w:rPr>
        <w:t xml:space="preserve">pandemic (in the </w:t>
      </w:r>
      <w:r w:rsidR="00AC2206">
        <w:rPr>
          <w:rFonts w:eastAsia="Times New Roman" w:cs="Times New Roman"/>
          <w:szCs w:val="19"/>
          <w:lang w:val="en-GB" w:eastAsia="pl-PL"/>
        </w:rPr>
        <w:t>fourth</w:t>
      </w:r>
      <w:r w:rsidR="00AC2206" w:rsidRPr="00F4773B">
        <w:rPr>
          <w:rFonts w:eastAsia="Times New Roman" w:cs="Times New Roman"/>
          <w:szCs w:val="19"/>
          <w:lang w:val="en-GB" w:eastAsia="pl-PL"/>
        </w:rPr>
        <w:t xml:space="preserve"> quarter of 2021, </w:t>
      </w:r>
      <w:r>
        <w:rPr>
          <w:rFonts w:eastAsia="Times New Roman" w:cs="Times New Roman"/>
          <w:szCs w:val="19"/>
          <w:lang w:val="en-GB" w:eastAsia="pl-PL"/>
        </w:rPr>
        <w:t xml:space="preserve">remote work performed </w:t>
      </w:r>
      <w:r w:rsidR="00AC2206">
        <w:rPr>
          <w:rFonts w:eastAsia="Times New Roman" w:cs="Times New Roman"/>
          <w:szCs w:val="19"/>
          <w:lang w:val="en-GB" w:eastAsia="pl-PL"/>
        </w:rPr>
        <w:t>1139</w:t>
      </w:r>
      <w:r w:rsidR="00AC2206" w:rsidRPr="00F4773B">
        <w:rPr>
          <w:rFonts w:eastAsia="Times New Roman" w:cs="Times New Roman"/>
          <w:szCs w:val="19"/>
          <w:lang w:val="en-GB" w:eastAsia="pl-PL"/>
        </w:rPr>
        <w:t xml:space="preserve"> thousand, i.e. </w:t>
      </w:r>
      <w:r>
        <w:rPr>
          <w:rFonts w:eastAsia="Times New Roman" w:cs="Times New Roman"/>
          <w:szCs w:val="19"/>
          <w:lang w:val="en-GB" w:eastAsia="pl-PL"/>
        </w:rPr>
        <w:t>6</w:t>
      </w:r>
      <w:r w:rsidR="00AC2206" w:rsidRPr="00F4773B">
        <w:rPr>
          <w:rFonts w:eastAsia="Times New Roman" w:cs="Times New Roman"/>
          <w:szCs w:val="19"/>
          <w:lang w:val="en-GB" w:eastAsia="pl-PL"/>
        </w:rPr>
        <w:t>.</w:t>
      </w:r>
      <w:r>
        <w:rPr>
          <w:rFonts w:eastAsia="Times New Roman" w:cs="Times New Roman"/>
          <w:szCs w:val="19"/>
          <w:lang w:val="en-GB" w:eastAsia="pl-PL"/>
        </w:rPr>
        <w:t>8</w:t>
      </w:r>
      <w:r w:rsidR="00AC2206" w:rsidRPr="00F4773B">
        <w:rPr>
          <w:rFonts w:eastAsia="Times New Roman" w:cs="Times New Roman"/>
          <w:szCs w:val="19"/>
          <w:lang w:val="en-GB" w:eastAsia="pl-PL"/>
        </w:rPr>
        <w:t>% of the total number of the employed, among whom 6</w:t>
      </w:r>
      <w:r>
        <w:rPr>
          <w:rFonts w:eastAsia="Times New Roman" w:cs="Times New Roman"/>
          <w:szCs w:val="19"/>
          <w:lang w:val="en-GB" w:eastAsia="pl-PL"/>
        </w:rPr>
        <w:t>9</w:t>
      </w:r>
      <w:r w:rsidR="00AC2206" w:rsidRPr="00F4773B">
        <w:rPr>
          <w:rFonts w:eastAsia="Times New Roman" w:cs="Times New Roman"/>
          <w:szCs w:val="19"/>
          <w:lang w:val="en-GB" w:eastAsia="pl-PL"/>
        </w:rPr>
        <w:t>.2% - due to the pandemic</w:t>
      </w:r>
      <w:r>
        <w:rPr>
          <w:rFonts w:eastAsia="Times New Roman" w:cs="Times New Roman"/>
          <w:szCs w:val="19"/>
          <w:lang w:val="en-GB" w:eastAsia="pl-PL"/>
        </w:rPr>
        <w:t>, while in the first quarter of 2021 it was 2422 thousand, i.e. 14.7% of the total number of the employed, of which 89.7% - due to the pandemic</w:t>
      </w:r>
      <w:r w:rsidR="00AC2206" w:rsidRPr="00F4773B">
        <w:rPr>
          <w:rFonts w:eastAsia="Times New Roman" w:cs="Times New Roman"/>
          <w:szCs w:val="19"/>
          <w:lang w:val="en-GB" w:eastAsia="pl-PL"/>
        </w:rPr>
        <w:t>).</w:t>
      </w:r>
    </w:p>
    <w:p w14:paraId="713AF504" w14:textId="77777777" w:rsidR="00DF34C4" w:rsidRDefault="00DF34C4" w:rsidP="00215CC8">
      <w:pPr>
        <w:spacing w:after="240" w:line="288" w:lineRule="auto"/>
        <w:rPr>
          <w:b/>
          <w:lang w:val="en-GB"/>
        </w:rPr>
      </w:pPr>
    </w:p>
    <w:p w14:paraId="7E2B713C" w14:textId="72884212" w:rsidR="006F60AD" w:rsidRPr="00D958CD" w:rsidRDefault="00DF34C4" w:rsidP="00215CC8">
      <w:pPr>
        <w:spacing w:after="240" w:line="288" w:lineRule="auto"/>
        <w:rPr>
          <w:lang w:val="en-US"/>
        </w:rPr>
      </w:pPr>
      <w:r w:rsidRPr="003F341C">
        <w:rPr>
          <w:b/>
          <w:noProof/>
          <w:color w:val="001D77"/>
          <w:lang w:eastAsia="pl-PL"/>
        </w:rPr>
        <w:lastRenderedPageBreak/>
        <mc:AlternateContent>
          <mc:Choice Requires="wps">
            <w:drawing>
              <wp:anchor distT="45720" distB="45720" distL="114300" distR="114300" simplePos="0" relativeHeight="251767808" behindDoc="0" locked="0" layoutInCell="1" allowOverlap="1" wp14:anchorId="408264D0" wp14:editId="15BF76B3">
                <wp:simplePos x="0" y="0"/>
                <wp:positionH relativeFrom="margin">
                  <wp:align>left</wp:align>
                </wp:positionH>
                <wp:positionV relativeFrom="paragraph">
                  <wp:posOffset>6350</wp:posOffset>
                </wp:positionV>
                <wp:extent cx="2204085" cy="1371600"/>
                <wp:effectExtent l="0" t="0" r="5715" b="0"/>
                <wp:wrapSquare wrapText="bothSides"/>
                <wp:docPr id="18" name="Pole tekstowe 2" descr="Unemployment rate - 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371600"/>
                        </a:xfrm>
                        <a:prstGeom prst="roundRect">
                          <a:avLst/>
                        </a:prstGeom>
                        <a:solidFill>
                          <a:srgbClr val="001D77"/>
                        </a:solidFill>
                        <a:ln w="9525">
                          <a:noFill/>
                          <a:miter lim="800000"/>
                          <a:headEnd/>
                          <a:tailEnd/>
                        </a:ln>
                      </wps:spPr>
                      <wps:txbx>
                        <w:txbxContent>
                          <w:p w14:paraId="2A0DE0F8" w14:textId="1ED15932" w:rsidR="0014599A" w:rsidRPr="0014599A" w:rsidRDefault="00E716A0" w:rsidP="00AD1045">
                            <w:pPr>
                              <w:spacing w:after="0" w:line="240" w:lineRule="auto"/>
                              <w:jc w:val="center"/>
                              <w:rPr>
                                <w:rFonts w:ascii="Fira Sans SemiBold" w:hAnsi="Fira Sans SemiBold"/>
                                <w:color w:val="FFFFFF" w:themeColor="background1"/>
                                <w:sz w:val="72"/>
                              </w:rPr>
                            </w:pPr>
                            <w:r>
                              <w:rPr>
                                <w:rFonts w:ascii="Fira Sans SemiBold" w:hAnsi="Fira Sans SemiBold"/>
                                <w:color w:val="FFFFFF" w:themeColor="background1"/>
                                <w:sz w:val="72"/>
                              </w:rPr>
                              <w:t>3</w:t>
                            </w:r>
                            <w:r w:rsidR="0014599A" w:rsidRPr="0014599A">
                              <w:rPr>
                                <w:rFonts w:ascii="Fira Sans SemiBold" w:hAnsi="Fira Sans SemiBold"/>
                                <w:color w:val="FFFFFF" w:themeColor="background1"/>
                                <w:sz w:val="72"/>
                              </w:rPr>
                              <w:t>.</w:t>
                            </w:r>
                            <w:r>
                              <w:rPr>
                                <w:rFonts w:ascii="Fira Sans SemiBold" w:hAnsi="Fira Sans SemiBold"/>
                                <w:color w:val="FFFFFF" w:themeColor="background1"/>
                                <w:sz w:val="72"/>
                              </w:rPr>
                              <w:t>1</w:t>
                            </w:r>
                            <w:r w:rsidR="0014599A" w:rsidRPr="0014599A">
                              <w:rPr>
                                <w:rFonts w:ascii="Fira Sans SemiBold" w:hAnsi="Fira Sans SemiBold"/>
                                <w:color w:val="FFFFFF" w:themeColor="background1"/>
                                <w:sz w:val="72"/>
                              </w:rPr>
                              <w:t>%</w:t>
                            </w:r>
                          </w:p>
                          <w:p w14:paraId="5149F9A3" w14:textId="4E5CAFB2" w:rsidR="00D12A51" w:rsidRPr="00DF34C4" w:rsidRDefault="0014599A" w:rsidP="00AD1045">
                            <w:pPr>
                              <w:spacing w:after="0" w:line="240" w:lineRule="auto"/>
                              <w:jc w:val="center"/>
                              <w:rPr>
                                <w:color w:val="FFFFFF" w:themeColor="background1"/>
                                <w:sz w:val="20"/>
                                <w:szCs w:val="20"/>
                                <w:lang w:val="en-GB"/>
                              </w:rPr>
                            </w:pPr>
                            <w:r w:rsidRPr="00DF34C4">
                              <w:rPr>
                                <w:color w:val="FFFFFF" w:themeColor="background1"/>
                                <w:sz w:val="20"/>
                                <w:szCs w:val="20"/>
                                <w:lang w:val="en-GB"/>
                              </w:rPr>
                              <w:t>Unemployment 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3" alt="Unemployment rate - 3.1%&#10;" style="position:absolute;margin-left:0;margin-top:.5pt;width:173.55pt;height:108pt;z-index:251767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" fillcolor="#001d77" stroked="f">
                <v:stroke joinstyle="miter"/>
                <v:textbox>
                  <w:txbxContent>
                    <w:p w14:paraId="2A0DE0F8" w14:textId="1ED15932" w:rsidR="0014599A" w:rsidRPr="0014599A" w:rsidRDefault="00E716A0" w:rsidP="00AD1045">
                      <w:pPr>
                        <w:spacing w:after="0" w:line="240" w:lineRule="auto"/>
                        <w:jc w:val="center"/>
                        <w:rPr>
                          <w:rFonts w:ascii="Fira Sans SemiBold" w:hAnsi="Fira Sans SemiBold"/>
                          <w:color w:val="FFFFFF" w:themeColor="background1"/>
                          <w:sz w:val="72"/>
                        </w:rPr>
                      </w:pPr>
                      <w:r>
                        <w:rPr>
                          <w:rFonts w:ascii="Fira Sans SemiBold" w:hAnsi="Fira Sans SemiBold"/>
                          <w:color w:val="FFFFFF" w:themeColor="background1"/>
                          <w:sz w:val="72"/>
                        </w:rPr>
                        <w:t>3</w:t>
                      </w:r>
                      <w:r w:rsidR="0014599A" w:rsidRPr="0014599A">
                        <w:rPr>
                          <w:rFonts w:ascii="Fira Sans SemiBold" w:hAnsi="Fira Sans SemiBold"/>
                          <w:color w:val="FFFFFF" w:themeColor="background1"/>
                          <w:sz w:val="72"/>
                        </w:rPr>
                        <w:t>.</w:t>
                      </w:r>
                      <w:r>
                        <w:rPr>
                          <w:rFonts w:ascii="Fira Sans SemiBold" w:hAnsi="Fira Sans SemiBold"/>
                          <w:color w:val="FFFFFF" w:themeColor="background1"/>
                          <w:sz w:val="72"/>
                        </w:rPr>
                        <w:t>1</w:t>
                      </w:r>
                      <w:r w:rsidR="0014599A" w:rsidRPr="0014599A">
                        <w:rPr>
                          <w:rFonts w:ascii="Fira Sans SemiBold" w:hAnsi="Fira Sans SemiBold"/>
                          <w:color w:val="FFFFFF" w:themeColor="background1"/>
                          <w:sz w:val="72"/>
                        </w:rPr>
                        <w:t>%</w:t>
                      </w:r>
                    </w:p>
                    <w:p w14:paraId="5149F9A3" w14:textId="4E5CAFB2" w:rsidR="00D12A51" w:rsidRPr="00DF34C4" w:rsidRDefault="0014599A" w:rsidP="00AD1045">
                      <w:pPr>
                        <w:spacing w:after="0" w:line="240" w:lineRule="auto"/>
                        <w:jc w:val="center"/>
                        <w:rPr>
                          <w:color w:val="FFFFFF" w:themeColor="background1"/>
                          <w:sz w:val="20"/>
                          <w:szCs w:val="20"/>
                          <w:lang w:val="en-GB"/>
                        </w:rPr>
                      </w:pPr>
                      <w:r w:rsidRPr="00DF34C4">
                        <w:rPr>
                          <w:color w:val="FFFFFF" w:themeColor="background1"/>
                          <w:sz w:val="20"/>
                          <w:szCs w:val="20"/>
                          <w:lang w:val="en-GB"/>
                        </w:rPr>
                        <w:t>Unemployment rate</w:t>
                      </w:r>
                    </w:p>
                  </w:txbxContent>
                </v:textbox>
                <w10:wrap type="square" anchorx="margin"/>
              </v:roundrect>
            </w:pict>
          </mc:Fallback>
        </mc:AlternateContent>
      </w:r>
      <w:r w:rsidR="003418B2" w:rsidRPr="003418B2">
        <w:rPr>
          <w:b/>
          <w:lang w:val="en-GB"/>
        </w:rPr>
        <w:t>In the f</w:t>
      </w:r>
      <w:r w:rsidR="003418B2">
        <w:rPr>
          <w:b/>
          <w:lang w:val="en-GB"/>
        </w:rPr>
        <w:t xml:space="preserve">irst </w:t>
      </w:r>
      <w:r w:rsidR="003418B2" w:rsidRPr="003418B2">
        <w:rPr>
          <w:b/>
          <w:lang w:val="en-GB"/>
        </w:rPr>
        <w:t>quarter of 202</w:t>
      </w:r>
      <w:r w:rsidR="003418B2">
        <w:rPr>
          <w:b/>
          <w:lang w:val="en-GB"/>
        </w:rPr>
        <w:t>2</w:t>
      </w:r>
      <w:r w:rsidR="003418B2" w:rsidRPr="003418B2">
        <w:rPr>
          <w:b/>
          <w:lang w:val="en-GB"/>
        </w:rPr>
        <w:t xml:space="preserve">, unemployed persons accounted for </w:t>
      </w:r>
      <w:r w:rsidR="003418B2">
        <w:rPr>
          <w:b/>
          <w:lang w:val="en-GB"/>
        </w:rPr>
        <w:t>3</w:t>
      </w:r>
      <w:r w:rsidR="003418B2" w:rsidRPr="003418B2">
        <w:rPr>
          <w:b/>
          <w:lang w:val="en-GB"/>
        </w:rPr>
        <w:t>.</w:t>
      </w:r>
      <w:r w:rsidR="003418B2">
        <w:rPr>
          <w:b/>
          <w:lang w:val="en-GB"/>
        </w:rPr>
        <w:t>1</w:t>
      </w:r>
      <w:r w:rsidR="003418B2" w:rsidRPr="003418B2">
        <w:rPr>
          <w:b/>
          <w:lang w:val="en-GB"/>
        </w:rPr>
        <w:t>% of the economically active population aged</w:t>
      </w:r>
      <w:r w:rsidR="003418B2">
        <w:rPr>
          <w:b/>
          <w:lang w:val="en-GB"/>
        </w:rPr>
        <w:t xml:space="preserve"> 15–89. </w:t>
      </w:r>
      <w:r>
        <w:rPr>
          <w:b/>
          <w:lang w:val="en-GB"/>
        </w:rPr>
        <w:t>Compared with the fourth</w:t>
      </w:r>
      <w:r w:rsidR="00D93B6C">
        <w:rPr>
          <w:b/>
          <w:lang w:val="en-GB"/>
        </w:rPr>
        <w:t> </w:t>
      </w:r>
      <w:r>
        <w:rPr>
          <w:b/>
          <w:lang w:val="en-GB"/>
        </w:rPr>
        <w:t xml:space="preserve">quarter of 2021, unemployment rate increased by 0.2 pp., while compared with the same period of the last year it </w:t>
      </w:r>
      <w:r w:rsidR="00A867C5">
        <w:rPr>
          <w:b/>
          <w:lang w:val="en-GB"/>
        </w:rPr>
        <w:t xml:space="preserve">decreased </w:t>
      </w:r>
      <w:r>
        <w:rPr>
          <w:b/>
          <w:lang w:val="en-GB"/>
        </w:rPr>
        <w:t xml:space="preserve">by 0.9 pp. Its intensity was lower in female population than among men </w:t>
      </w:r>
      <w:r w:rsidR="003418B2" w:rsidRPr="003418B2">
        <w:rPr>
          <w:b/>
          <w:lang w:val="en-GB"/>
        </w:rPr>
        <w:t xml:space="preserve">(respectively </w:t>
      </w:r>
      <w:r w:rsidR="00D010F8">
        <w:rPr>
          <w:b/>
          <w:lang w:val="en-GB"/>
        </w:rPr>
        <w:t>3</w:t>
      </w:r>
      <w:r w:rsidR="003418B2" w:rsidRPr="003418B2">
        <w:rPr>
          <w:b/>
          <w:lang w:val="en-GB"/>
        </w:rPr>
        <w:t>.</w:t>
      </w:r>
      <w:r w:rsidR="00D010F8">
        <w:rPr>
          <w:b/>
          <w:lang w:val="en-GB"/>
        </w:rPr>
        <w:t>0</w:t>
      </w:r>
      <w:r w:rsidR="003418B2" w:rsidRPr="003418B2">
        <w:rPr>
          <w:b/>
          <w:lang w:val="en-GB"/>
        </w:rPr>
        <w:t>% vs. 3</w:t>
      </w:r>
      <w:r w:rsidR="00D010F8">
        <w:rPr>
          <w:b/>
          <w:lang w:val="en-GB"/>
        </w:rPr>
        <w:t>.2</w:t>
      </w:r>
      <w:r w:rsidR="003418B2" w:rsidRPr="003418B2">
        <w:rPr>
          <w:b/>
          <w:lang w:val="en-GB"/>
        </w:rPr>
        <w:t xml:space="preserve">%). </w:t>
      </w:r>
    </w:p>
    <w:p w14:paraId="6EACF820" w14:textId="24A37A94" w:rsidR="000A27DF" w:rsidRPr="000A27DF" w:rsidRDefault="00364D77" w:rsidP="000A27DF">
      <w:pPr>
        <w:pStyle w:val="Nagwek1"/>
        <w:spacing w:before="120"/>
        <w:rPr>
          <w:rFonts w:ascii="Fira Sans" w:hAnsi="Fira Sans"/>
          <w:b/>
          <w:szCs w:val="19"/>
          <w:lang w:val="en-GB"/>
        </w:rPr>
      </w:pPr>
      <w:r>
        <w:rPr>
          <w:rFonts w:ascii="Fira Sans" w:hAnsi="Fira Sans"/>
          <w:b/>
          <w:szCs w:val="19"/>
          <w:lang w:val="en-GB"/>
        </w:rPr>
        <w:t>Unemployed persons by the LFS</w:t>
      </w:r>
      <w:r w:rsidR="00680A8E" w:rsidRPr="00A873BD">
        <w:rPr>
          <w:b/>
          <w:noProof/>
          <w:szCs w:val="22"/>
        </w:rPr>
        <mc:AlternateContent>
          <mc:Choice Requires="wps">
            <w:drawing>
              <wp:anchor distT="45720" distB="45720" distL="114300" distR="114300" simplePos="0" relativeHeight="251783168" behindDoc="1" locked="0" layoutInCell="1" allowOverlap="1" wp14:anchorId="57A67772" wp14:editId="0B3646FA">
                <wp:simplePos x="0" y="0"/>
                <wp:positionH relativeFrom="column">
                  <wp:posOffset>5220326</wp:posOffset>
                </wp:positionH>
                <wp:positionV relativeFrom="paragraph">
                  <wp:posOffset>330418</wp:posOffset>
                </wp:positionV>
                <wp:extent cx="1602000" cy="763200"/>
                <wp:effectExtent l="0" t="0" r="0" b="0"/>
                <wp:wrapTight wrapText="bothSides">
                  <wp:wrapPolygon edited="0">
                    <wp:start x="771" y="0"/>
                    <wp:lineTo x="771" y="21042"/>
                    <wp:lineTo x="20812" y="21042"/>
                    <wp:lineTo x="20812" y="0"/>
                    <wp:lineTo x="771" y="0"/>
                  </wp:wrapPolygon>
                </wp:wrapTight>
                <wp:docPr id="13" name="Pole tekstowe 2" descr="Unemployment rate by the LFS in female population was lower than in mal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000" cy="763200"/>
                        </a:xfrm>
                        <a:prstGeom prst="rect">
                          <a:avLst/>
                        </a:prstGeom>
                        <a:noFill/>
                        <a:ln w="9525">
                          <a:noFill/>
                          <a:miter lim="800000"/>
                          <a:headEnd/>
                          <a:tailEnd/>
                        </a:ln>
                      </wps:spPr>
                      <wps:txbx>
                        <w:txbxContent>
                          <w:p w14:paraId="3957F416" w14:textId="27445AD7" w:rsidR="00D12A51" w:rsidRPr="00D16608" w:rsidRDefault="00D16608" w:rsidP="00EC542E">
                            <w:pPr>
                              <w:pStyle w:val="tekstzboku"/>
                              <w:rPr>
                                <w:lang w:val="en-GB"/>
                              </w:rPr>
                            </w:pPr>
                            <w:r w:rsidRPr="00D16608">
                              <w:rPr>
                                <w:lang w:val="en-GB"/>
                              </w:rPr>
                              <w:t>Unemployment rate by the LFS in female population was lower than in male population</w:t>
                            </w:r>
                          </w:p>
                          <w:p w14:paraId="0613D651" w14:textId="3231018F" w:rsidR="00D12A51" w:rsidRPr="00D958CD" w:rsidRDefault="00D12A51" w:rsidP="00D154A2">
                            <w:pPr>
                              <w:pStyle w:val="tekstzboku"/>
                              <w:rPr>
                                <w:lang w:val="en-US"/>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67772" id="_x0000_s1034" type="#_x0000_t202" alt="Unemployment rate by the LFS in female population was lower than in male population" style="position:absolute;margin-left:411.05pt;margin-top:26pt;width:126.15pt;height:60.1pt;z-index:-25153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" filled="f" stroked="f">
                <v:textbox inset=",0">
                  <w:txbxContent>
                    <w:p w14:paraId="3957F416" w14:textId="27445AD7" w:rsidR="00D12A51" w:rsidRPr="00D16608" w:rsidRDefault="00D16608" w:rsidP="00EC542E">
                      <w:pPr>
                        <w:pStyle w:val="tekstzboku"/>
                        <w:rPr>
                          <w:lang w:val="en-GB"/>
                        </w:rPr>
                      </w:pPr>
                      <w:r w:rsidRPr="00D16608">
                        <w:rPr>
                          <w:lang w:val="en-GB"/>
                        </w:rPr>
                        <w:t>Unemployment rate by the LFS in female population was lower than in male population</w:t>
                      </w:r>
                    </w:p>
                    <w:p w14:paraId="0613D651" w14:textId="3231018F" w:rsidR="00D12A51" w:rsidRPr="00D958CD" w:rsidRDefault="00D12A51" w:rsidP="00D154A2">
                      <w:pPr>
                        <w:pStyle w:val="tekstzboku"/>
                        <w:rPr>
                          <w:lang w:val="en-US"/>
                        </w:rPr>
                      </w:pPr>
                    </w:p>
                  </w:txbxContent>
                </v:textbox>
                <w10:wrap type="tight"/>
              </v:shape>
            </w:pict>
          </mc:Fallback>
        </mc:AlternateContent>
      </w:r>
      <w:r w:rsidR="005D1913" w:rsidRPr="00D958CD">
        <w:rPr>
          <w:rFonts w:ascii="Fira Sans" w:hAnsi="Fira Sans"/>
          <w:b/>
          <w:szCs w:val="19"/>
          <w:lang w:val="en-US"/>
        </w:rPr>
        <w:t xml:space="preserve"> </w:t>
      </w:r>
    </w:p>
    <w:p w14:paraId="78C4B358" w14:textId="3D9A85D1" w:rsidR="0002068A" w:rsidRPr="008C61CB" w:rsidRDefault="008816EF" w:rsidP="00271094">
      <w:pPr>
        <w:spacing w:line="288" w:lineRule="auto"/>
        <w:rPr>
          <w:rFonts w:eastAsia="Times New Roman" w:cs="Times New Roman"/>
          <w:szCs w:val="19"/>
          <w:lang w:val="en-GB" w:eastAsia="pl-PL"/>
        </w:rPr>
      </w:pPr>
      <w:r w:rsidRPr="008173BE">
        <w:rPr>
          <w:rFonts w:eastAsia="Times New Roman" w:cs="Times New Roman"/>
          <w:szCs w:val="19"/>
          <w:lang w:val="en-GB" w:eastAsia="pl-PL"/>
        </w:rPr>
        <w:t xml:space="preserve">In the first quarter of 2022, population of </w:t>
      </w:r>
      <w:r w:rsidR="00417F06" w:rsidRPr="008173BE">
        <w:rPr>
          <w:rFonts w:eastAsia="Times New Roman" w:cs="Times New Roman"/>
          <w:szCs w:val="19"/>
          <w:lang w:val="en-GB" w:eastAsia="pl-PL"/>
        </w:rPr>
        <w:t xml:space="preserve">the </w:t>
      </w:r>
      <w:r w:rsidRPr="008173BE">
        <w:rPr>
          <w:rFonts w:eastAsia="Times New Roman" w:cs="Times New Roman"/>
          <w:szCs w:val="19"/>
          <w:lang w:val="en-GB" w:eastAsia="pl-PL"/>
        </w:rPr>
        <w:t>unemployed aged 15–74 years comprised 536</w:t>
      </w:r>
      <w:r w:rsidR="00D93B6C">
        <w:rPr>
          <w:rFonts w:eastAsia="Times New Roman" w:cs="Times New Roman"/>
          <w:szCs w:val="19"/>
          <w:lang w:val="en-GB" w:eastAsia="pl-PL"/>
        </w:rPr>
        <w:t> </w:t>
      </w:r>
      <w:r w:rsidRPr="008173BE">
        <w:rPr>
          <w:rFonts w:eastAsia="Times New Roman" w:cs="Times New Roman"/>
          <w:szCs w:val="19"/>
          <w:lang w:val="en-GB" w:eastAsia="pl-PL"/>
        </w:rPr>
        <w:t xml:space="preserve">thousand </w:t>
      </w:r>
      <w:r w:rsidR="00417F06" w:rsidRPr="008173BE">
        <w:rPr>
          <w:rFonts w:eastAsia="Times New Roman" w:cs="Times New Roman"/>
          <w:szCs w:val="19"/>
          <w:lang w:val="en-GB" w:eastAsia="pl-PL"/>
        </w:rPr>
        <w:t xml:space="preserve">persons </w:t>
      </w:r>
      <w:r w:rsidRPr="008173BE">
        <w:rPr>
          <w:rFonts w:eastAsia="Times New Roman" w:cs="Times New Roman"/>
          <w:szCs w:val="19"/>
          <w:lang w:val="en-GB" w:eastAsia="pl-PL"/>
        </w:rPr>
        <w:t>and it increased compared with the fourth quarter of 2021 (by 39</w:t>
      </w:r>
      <w:r w:rsidR="00D93B6C">
        <w:rPr>
          <w:rFonts w:eastAsia="Times New Roman" w:cs="Times New Roman"/>
          <w:szCs w:val="19"/>
          <w:lang w:val="en-GB" w:eastAsia="pl-PL"/>
        </w:rPr>
        <w:t> </w:t>
      </w:r>
      <w:r w:rsidRPr="008173BE">
        <w:rPr>
          <w:rFonts w:eastAsia="Times New Roman" w:cs="Times New Roman"/>
          <w:szCs w:val="19"/>
          <w:lang w:val="en-GB" w:eastAsia="pl-PL"/>
        </w:rPr>
        <w:t>thousand, i.e. by 7.8%), while it decreased compared with the same period of 2021 (by 151</w:t>
      </w:r>
      <w:r w:rsidR="00D93B6C">
        <w:rPr>
          <w:rFonts w:eastAsia="Times New Roman" w:cs="Times New Roman"/>
          <w:szCs w:val="19"/>
          <w:lang w:val="en-GB" w:eastAsia="pl-PL"/>
        </w:rPr>
        <w:t> </w:t>
      </w:r>
      <w:r w:rsidRPr="008173BE">
        <w:rPr>
          <w:rFonts w:eastAsia="Times New Roman" w:cs="Times New Roman"/>
          <w:szCs w:val="19"/>
          <w:lang w:val="en-GB" w:eastAsia="pl-PL"/>
        </w:rPr>
        <w:t xml:space="preserve">thousand, i.e. by 22.0%).  The growth in the number of the unemployed compared with the previous quarter </w:t>
      </w:r>
      <w:r w:rsidR="00417F06" w:rsidRPr="008173BE">
        <w:rPr>
          <w:rFonts w:eastAsia="Times New Roman" w:cs="Times New Roman"/>
          <w:szCs w:val="19"/>
          <w:lang w:val="en-GB" w:eastAsia="pl-PL"/>
        </w:rPr>
        <w:t xml:space="preserve">occurred regardless of sex, while it was higher among men </w:t>
      </w:r>
      <w:r w:rsidR="00417F06" w:rsidRPr="008173BE">
        <w:rPr>
          <w:szCs w:val="19"/>
          <w:lang w:val="en-GB"/>
        </w:rPr>
        <w:t xml:space="preserve">(by 32 thousand, i.e. by 12.1%) than </w:t>
      </w:r>
      <w:r w:rsidR="000A27DF">
        <w:rPr>
          <w:szCs w:val="19"/>
          <w:lang w:val="en-GB"/>
        </w:rPr>
        <w:t xml:space="preserve">among </w:t>
      </w:r>
      <w:r w:rsidR="00417F06" w:rsidRPr="008173BE">
        <w:rPr>
          <w:szCs w:val="19"/>
          <w:lang w:val="en-GB"/>
        </w:rPr>
        <w:t>women (</w:t>
      </w:r>
      <w:r w:rsidR="008173BE" w:rsidRPr="008173BE">
        <w:rPr>
          <w:szCs w:val="19"/>
          <w:lang w:val="en-GB"/>
        </w:rPr>
        <w:t>by</w:t>
      </w:r>
      <w:r w:rsidR="00417F06" w:rsidRPr="008173BE">
        <w:rPr>
          <w:szCs w:val="19"/>
          <w:lang w:val="en-GB"/>
        </w:rPr>
        <w:t xml:space="preserve"> 6 t</w:t>
      </w:r>
      <w:r w:rsidR="008173BE" w:rsidRPr="008173BE">
        <w:rPr>
          <w:szCs w:val="19"/>
          <w:lang w:val="en-GB"/>
        </w:rPr>
        <w:t>housand</w:t>
      </w:r>
      <w:r w:rsidR="00417F06" w:rsidRPr="008173BE">
        <w:rPr>
          <w:szCs w:val="19"/>
          <w:lang w:val="en-GB"/>
        </w:rPr>
        <w:t xml:space="preserve">, </w:t>
      </w:r>
      <w:r w:rsidR="008173BE" w:rsidRPr="008173BE">
        <w:rPr>
          <w:szCs w:val="19"/>
          <w:lang w:val="en-GB"/>
        </w:rPr>
        <w:t>i.e</w:t>
      </w:r>
      <w:r w:rsidR="00417F06" w:rsidRPr="008173BE">
        <w:rPr>
          <w:szCs w:val="19"/>
          <w:lang w:val="en-GB"/>
        </w:rPr>
        <w:t xml:space="preserve">. </w:t>
      </w:r>
      <w:r w:rsidR="008173BE" w:rsidRPr="008173BE">
        <w:rPr>
          <w:szCs w:val="19"/>
          <w:lang w:val="en-GB"/>
        </w:rPr>
        <w:t>by</w:t>
      </w:r>
      <w:r w:rsidR="00417F06" w:rsidRPr="008173BE">
        <w:rPr>
          <w:szCs w:val="19"/>
          <w:lang w:val="en-GB"/>
        </w:rPr>
        <w:t xml:space="preserve"> 2.6%). </w:t>
      </w:r>
      <w:r w:rsidR="00417F06" w:rsidRPr="008173BE">
        <w:rPr>
          <w:rFonts w:eastAsia="Times New Roman" w:cs="Times New Roman"/>
          <w:szCs w:val="19"/>
          <w:lang w:val="en-GB" w:eastAsia="pl-PL"/>
        </w:rPr>
        <w:t xml:space="preserve"> </w:t>
      </w:r>
      <w:r w:rsidR="008173BE" w:rsidRPr="008173BE">
        <w:rPr>
          <w:rFonts w:eastAsia="Times New Roman" w:cs="Times New Roman"/>
          <w:szCs w:val="19"/>
          <w:lang w:val="en-GB" w:eastAsia="pl-PL"/>
        </w:rPr>
        <w:t>Regarding</w:t>
      </w:r>
      <w:r w:rsidR="008173BE">
        <w:rPr>
          <w:rFonts w:eastAsia="Times New Roman" w:cs="Times New Roman"/>
          <w:szCs w:val="19"/>
          <w:lang w:val="en-GB" w:eastAsia="pl-PL"/>
        </w:rPr>
        <w:t xml:space="preserve"> the place of residence, a higher increase was observed among urban residents </w:t>
      </w:r>
      <w:r w:rsidR="008173BE">
        <w:rPr>
          <w:szCs w:val="19"/>
          <w:lang w:val="en-GB"/>
        </w:rPr>
        <w:t xml:space="preserve">(by </w:t>
      </w:r>
      <w:bookmarkStart w:id="0" w:name="_Hlk103622788"/>
      <w:r w:rsidR="008173BE" w:rsidRPr="008173BE">
        <w:rPr>
          <w:szCs w:val="19"/>
          <w:lang w:val="en-GB"/>
        </w:rPr>
        <w:t xml:space="preserve">31 </w:t>
      </w:r>
      <w:r w:rsidR="008173BE">
        <w:rPr>
          <w:szCs w:val="19"/>
          <w:lang w:val="en-GB"/>
        </w:rPr>
        <w:t>thousand</w:t>
      </w:r>
      <w:r w:rsidR="008173BE" w:rsidRPr="008173BE">
        <w:rPr>
          <w:szCs w:val="19"/>
          <w:lang w:val="en-GB"/>
        </w:rPr>
        <w:t xml:space="preserve">, </w:t>
      </w:r>
      <w:r w:rsidR="008173BE">
        <w:rPr>
          <w:szCs w:val="19"/>
          <w:lang w:val="en-GB"/>
        </w:rPr>
        <w:t xml:space="preserve">i.e. by </w:t>
      </w:r>
      <w:r w:rsidR="008173BE" w:rsidRPr="008173BE">
        <w:rPr>
          <w:szCs w:val="19"/>
          <w:lang w:val="en-GB"/>
        </w:rPr>
        <w:t xml:space="preserve">11.2%), </w:t>
      </w:r>
      <w:bookmarkEnd w:id="0"/>
      <w:r w:rsidR="008173BE">
        <w:rPr>
          <w:szCs w:val="19"/>
          <w:lang w:val="en-GB"/>
        </w:rPr>
        <w:t xml:space="preserve">than among rural ones (by </w:t>
      </w:r>
      <w:r w:rsidR="008173BE" w:rsidRPr="008173BE">
        <w:rPr>
          <w:szCs w:val="19"/>
          <w:lang w:val="en-GB"/>
        </w:rPr>
        <w:t xml:space="preserve">6 </w:t>
      </w:r>
      <w:r w:rsidR="008173BE">
        <w:rPr>
          <w:szCs w:val="19"/>
          <w:lang w:val="en-GB"/>
        </w:rPr>
        <w:t>thousand</w:t>
      </w:r>
      <w:r w:rsidR="008173BE" w:rsidRPr="008173BE">
        <w:rPr>
          <w:szCs w:val="19"/>
          <w:lang w:val="en-GB"/>
        </w:rPr>
        <w:t xml:space="preserve">, </w:t>
      </w:r>
      <w:r w:rsidR="008173BE">
        <w:rPr>
          <w:szCs w:val="19"/>
          <w:lang w:val="en-GB"/>
        </w:rPr>
        <w:t xml:space="preserve">i.e. by </w:t>
      </w:r>
      <w:r w:rsidR="008173BE" w:rsidRPr="008173BE">
        <w:rPr>
          <w:szCs w:val="19"/>
          <w:lang w:val="en-GB"/>
        </w:rPr>
        <w:t xml:space="preserve">2.7%). </w:t>
      </w:r>
      <w:r w:rsidR="008173BE">
        <w:rPr>
          <w:szCs w:val="19"/>
          <w:lang w:val="en-GB"/>
        </w:rPr>
        <w:t xml:space="preserve">Over the year, declines in unemployment were observed in all analysed </w:t>
      </w:r>
      <w:r w:rsidR="008173BE" w:rsidRPr="008173BE">
        <w:rPr>
          <w:szCs w:val="19"/>
          <w:lang w:val="en-GB"/>
        </w:rPr>
        <w:t>subpopula</w:t>
      </w:r>
      <w:r w:rsidR="008173BE">
        <w:rPr>
          <w:szCs w:val="19"/>
          <w:lang w:val="en-GB"/>
        </w:rPr>
        <w:t xml:space="preserve">tions, </w:t>
      </w:r>
      <w:r w:rsidR="00A21F50">
        <w:rPr>
          <w:szCs w:val="19"/>
          <w:lang w:val="en-GB"/>
        </w:rPr>
        <w:t xml:space="preserve">while </w:t>
      </w:r>
      <w:r w:rsidR="008C61CB">
        <w:rPr>
          <w:szCs w:val="19"/>
          <w:lang w:val="en-GB"/>
        </w:rPr>
        <w:t>as regards</w:t>
      </w:r>
      <w:r w:rsidR="00A21F50">
        <w:rPr>
          <w:szCs w:val="19"/>
          <w:lang w:val="en-GB"/>
        </w:rPr>
        <w:t xml:space="preserve"> division by</w:t>
      </w:r>
      <w:r w:rsidR="008C61CB">
        <w:rPr>
          <w:szCs w:val="19"/>
          <w:lang w:val="en-GB"/>
        </w:rPr>
        <w:t xml:space="preserve"> sex</w:t>
      </w:r>
      <w:r w:rsidR="00A21F50">
        <w:rPr>
          <w:szCs w:val="19"/>
          <w:lang w:val="en-GB"/>
        </w:rPr>
        <w:t xml:space="preserve">, </w:t>
      </w:r>
      <w:r w:rsidR="008C61CB">
        <w:rPr>
          <w:szCs w:val="19"/>
          <w:lang w:val="en-GB"/>
        </w:rPr>
        <w:t>a</w:t>
      </w:r>
      <w:r w:rsidR="00D93B6C">
        <w:rPr>
          <w:szCs w:val="19"/>
          <w:lang w:val="en-GB"/>
        </w:rPr>
        <w:t> </w:t>
      </w:r>
      <w:r w:rsidR="008C61CB">
        <w:rPr>
          <w:szCs w:val="19"/>
          <w:lang w:val="en-GB"/>
        </w:rPr>
        <w:t xml:space="preserve">decrease was higher among men </w:t>
      </w:r>
      <w:r w:rsidR="008173BE" w:rsidRPr="008173BE">
        <w:rPr>
          <w:szCs w:val="19"/>
          <w:lang w:val="en-GB"/>
        </w:rPr>
        <w:t>(</w:t>
      </w:r>
      <w:r w:rsidR="008C61CB">
        <w:rPr>
          <w:szCs w:val="19"/>
          <w:lang w:val="en-GB"/>
        </w:rPr>
        <w:t xml:space="preserve">a drop by </w:t>
      </w:r>
      <w:r w:rsidR="008173BE" w:rsidRPr="008173BE">
        <w:rPr>
          <w:szCs w:val="19"/>
          <w:lang w:val="en-GB"/>
        </w:rPr>
        <w:t xml:space="preserve">86 </w:t>
      </w:r>
      <w:r w:rsidR="008173BE">
        <w:rPr>
          <w:szCs w:val="19"/>
          <w:lang w:val="en-GB"/>
        </w:rPr>
        <w:t>thousand</w:t>
      </w:r>
      <w:r w:rsidR="008173BE" w:rsidRPr="008173BE">
        <w:rPr>
          <w:szCs w:val="19"/>
          <w:lang w:val="en-GB"/>
        </w:rPr>
        <w:t xml:space="preserve">, </w:t>
      </w:r>
      <w:r w:rsidR="008173BE">
        <w:rPr>
          <w:szCs w:val="19"/>
          <w:lang w:val="en-GB"/>
        </w:rPr>
        <w:t xml:space="preserve">i.e. by </w:t>
      </w:r>
      <w:r w:rsidR="008173BE" w:rsidRPr="008173BE">
        <w:rPr>
          <w:szCs w:val="19"/>
          <w:lang w:val="en-GB"/>
        </w:rPr>
        <w:t xml:space="preserve">22.5%), </w:t>
      </w:r>
      <w:r w:rsidR="008C61CB">
        <w:rPr>
          <w:szCs w:val="19"/>
          <w:lang w:val="en-GB"/>
        </w:rPr>
        <w:t xml:space="preserve">while regarding the place of residence </w:t>
      </w:r>
      <w:r w:rsidR="008173BE" w:rsidRPr="008173BE">
        <w:rPr>
          <w:szCs w:val="19"/>
          <w:lang w:val="en-GB"/>
        </w:rPr>
        <w:t xml:space="preserve">– </w:t>
      </w:r>
      <w:r w:rsidR="008C61CB">
        <w:rPr>
          <w:szCs w:val="19"/>
          <w:lang w:val="en-GB"/>
        </w:rPr>
        <w:t xml:space="preserve">among urban residents </w:t>
      </w:r>
      <w:r w:rsidR="008173BE" w:rsidRPr="008173BE">
        <w:rPr>
          <w:szCs w:val="19"/>
          <w:lang w:val="en-GB"/>
        </w:rPr>
        <w:t>(</w:t>
      </w:r>
      <w:r w:rsidR="008C61CB">
        <w:rPr>
          <w:szCs w:val="19"/>
          <w:lang w:val="en-GB"/>
        </w:rPr>
        <w:t xml:space="preserve">a drop </w:t>
      </w:r>
      <w:r w:rsidR="008173BE">
        <w:rPr>
          <w:szCs w:val="19"/>
          <w:lang w:val="en-GB"/>
        </w:rPr>
        <w:t xml:space="preserve">by </w:t>
      </w:r>
      <w:r w:rsidR="008173BE" w:rsidRPr="008173BE">
        <w:rPr>
          <w:szCs w:val="19"/>
          <w:lang w:val="en-GB"/>
        </w:rPr>
        <w:t xml:space="preserve">102 </w:t>
      </w:r>
      <w:r w:rsidR="008173BE">
        <w:rPr>
          <w:szCs w:val="19"/>
          <w:lang w:val="en-GB"/>
        </w:rPr>
        <w:t>thousand</w:t>
      </w:r>
      <w:r w:rsidR="008173BE" w:rsidRPr="008173BE">
        <w:rPr>
          <w:szCs w:val="19"/>
          <w:lang w:val="en-GB"/>
        </w:rPr>
        <w:t xml:space="preserve">, </w:t>
      </w:r>
      <w:r w:rsidR="008173BE">
        <w:rPr>
          <w:szCs w:val="19"/>
          <w:lang w:val="en-GB"/>
        </w:rPr>
        <w:t xml:space="preserve">i.e. by </w:t>
      </w:r>
      <w:r w:rsidR="008173BE" w:rsidRPr="008173BE">
        <w:rPr>
          <w:szCs w:val="19"/>
          <w:lang w:val="en-GB"/>
        </w:rPr>
        <w:t>24.8%).</w:t>
      </w:r>
    </w:p>
    <w:p w14:paraId="6C480A64" w14:textId="6C15465E" w:rsidR="00417F06" w:rsidRPr="00F4773B" w:rsidRDefault="00417F06" w:rsidP="00417F06">
      <w:pPr>
        <w:spacing w:line="288" w:lineRule="auto"/>
        <w:rPr>
          <w:rFonts w:eastAsia="Times New Roman" w:cs="Times New Roman"/>
          <w:szCs w:val="19"/>
          <w:lang w:val="en-GB" w:eastAsia="pl-PL"/>
        </w:rPr>
      </w:pPr>
      <w:r>
        <w:rPr>
          <w:rFonts w:eastAsia="Times New Roman" w:cs="Times New Roman"/>
          <w:szCs w:val="19"/>
          <w:lang w:val="en-GB" w:eastAsia="pl-PL"/>
        </w:rPr>
        <w:t xml:space="preserve">The majority of the unemployed population constituted men </w:t>
      </w:r>
      <w:r w:rsidRPr="00F4773B">
        <w:rPr>
          <w:rFonts w:eastAsia="Times New Roman" w:cs="Times New Roman"/>
          <w:szCs w:val="19"/>
          <w:lang w:val="en-GB" w:eastAsia="pl-PL"/>
        </w:rPr>
        <w:t xml:space="preserve">– </w:t>
      </w:r>
      <w:r w:rsidRPr="00D958CD">
        <w:rPr>
          <w:rFonts w:eastAsia="Times New Roman" w:cs="Times New Roman"/>
          <w:szCs w:val="19"/>
          <w:lang w:val="en-US" w:eastAsia="pl-PL"/>
        </w:rPr>
        <w:t>55.4</w:t>
      </w:r>
      <w:r w:rsidRPr="00F4773B">
        <w:rPr>
          <w:rFonts w:eastAsia="Times New Roman" w:cs="Times New Roman"/>
          <w:szCs w:val="19"/>
          <w:lang w:val="en-GB" w:eastAsia="pl-PL"/>
        </w:rPr>
        <w:t xml:space="preserve">%, i.e. </w:t>
      </w:r>
      <w:r w:rsidRPr="00D958CD">
        <w:rPr>
          <w:rFonts w:eastAsia="Times New Roman" w:cs="Times New Roman"/>
          <w:szCs w:val="19"/>
          <w:lang w:val="en-US" w:eastAsia="pl-PL"/>
        </w:rPr>
        <w:t>297</w:t>
      </w:r>
      <w:r w:rsidRPr="00F4773B">
        <w:rPr>
          <w:rFonts w:eastAsia="Times New Roman" w:cs="Times New Roman"/>
          <w:szCs w:val="19"/>
          <w:lang w:val="en-GB" w:eastAsia="pl-PL"/>
        </w:rPr>
        <w:t xml:space="preserve"> thousand</w:t>
      </w:r>
      <w:r>
        <w:rPr>
          <w:rFonts w:eastAsia="Times New Roman" w:cs="Times New Roman"/>
          <w:szCs w:val="19"/>
          <w:lang w:val="en-GB" w:eastAsia="pl-PL"/>
        </w:rPr>
        <w:t xml:space="preserve">. As regards the place of residence, urban residents constituted </w:t>
      </w:r>
      <w:r w:rsidRPr="00D958CD">
        <w:rPr>
          <w:rFonts w:eastAsia="Times New Roman" w:cs="Times New Roman"/>
          <w:szCs w:val="19"/>
          <w:lang w:val="en-US" w:eastAsia="pl-PL"/>
        </w:rPr>
        <w:t>57.6</w:t>
      </w:r>
      <w:r w:rsidRPr="00F4773B">
        <w:rPr>
          <w:rFonts w:eastAsia="Times New Roman" w:cs="Times New Roman"/>
          <w:szCs w:val="19"/>
          <w:lang w:val="en-GB" w:eastAsia="pl-PL"/>
        </w:rPr>
        <w:t xml:space="preserve">%, i.e. </w:t>
      </w:r>
      <w:r w:rsidRPr="00D958CD">
        <w:rPr>
          <w:rFonts w:eastAsia="Times New Roman" w:cs="Times New Roman"/>
          <w:szCs w:val="19"/>
          <w:lang w:val="en-US" w:eastAsia="pl-PL"/>
        </w:rPr>
        <w:t>309</w:t>
      </w:r>
      <w:r w:rsidRPr="00F4773B" w:rsidDel="00035DD7">
        <w:rPr>
          <w:rFonts w:eastAsia="Times New Roman" w:cs="Times New Roman"/>
          <w:szCs w:val="19"/>
          <w:lang w:val="en-GB" w:eastAsia="pl-PL"/>
        </w:rPr>
        <w:t xml:space="preserve"> </w:t>
      </w:r>
      <w:r w:rsidRPr="00F4773B">
        <w:rPr>
          <w:rFonts w:eastAsia="Times New Roman" w:cs="Times New Roman"/>
          <w:szCs w:val="19"/>
          <w:lang w:val="en-GB" w:eastAsia="pl-PL"/>
        </w:rPr>
        <w:t>thousand</w:t>
      </w:r>
      <w:r>
        <w:rPr>
          <w:rFonts w:eastAsia="Times New Roman" w:cs="Times New Roman"/>
          <w:szCs w:val="19"/>
          <w:lang w:val="en-GB" w:eastAsia="pl-PL"/>
        </w:rPr>
        <w:t xml:space="preserve"> of this group</w:t>
      </w:r>
      <w:r w:rsidRPr="00F4773B">
        <w:rPr>
          <w:rFonts w:eastAsia="Times New Roman" w:cs="Times New Roman"/>
          <w:szCs w:val="19"/>
          <w:lang w:val="en-GB" w:eastAsia="pl-PL"/>
        </w:rPr>
        <w:t>.</w:t>
      </w:r>
    </w:p>
    <w:p w14:paraId="37BD4F1E" w14:textId="07397A3D" w:rsidR="00C922C3" w:rsidRPr="009B7CE7" w:rsidRDefault="00B50BC2" w:rsidP="00D62410">
      <w:pPr>
        <w:spacing w:line="288" w:lineRule="auto"/>
        <w:rPr>
          <w:rFonts w:eastAsia="Times New Roman" w:cs="Times New Roman"/>
          <w:szCs w:val="19"/>
          <w:lang w:val="en-GB" w:eastAsia="pl-PL"/>
        </w:rPr>
      </w:pPr>
      <w:r w:rsidRPr="00993C0A">
        <w:rPr>
          <w:rFonts w:eastAsia="Times New Roman" w:cs="Times New Roman"/>
          <w:noProof/>
          <w:szCs w:val="19"/>
          <w:lang w:eastAsia="pl-PL"/>
        </w:rPr>
        <mc:AlternateContent>
          <mc:Choice Requires="wps">
            <w:drawing>
              <wp:anchor distT="45720" distB="45720" distL="114300" distR="114300" simplePos="0" relativeHeight="251770880" behindDoc="1" locked="0" layoutInCell="1" allowOverlap="1" wp14:anchorId="732EB90F" wp14:editId="137ED58A">
                <wp:simplePos x="0" y="0"/>
                <wp:positionH relativeFrom="column">
                  <wp:posOffset>5276215</wp:posOffset>
                </wp:positionH>
                <wp:positionV relativeFrom="paragraph">
                  <wp:posOffset>11430</wp:posOffset>
                </wp:positionV>
                <wp:extent cx="1569085" cy="790575"/>
                <wp:effectExtent l="0" t="0" r="0" b="0"/>
                <wp:wrapTight wrapText="bothSides">
                  <wp:wrapPolygon edited="0">
                    <wp:start x="20813" y="21600"/>
                    <wp:lineTo x="20813" y="781"/>
                    <wp:lineTo x="883" y="781"/>
                    <wp:lineTo x="883" y="21600"/>
                    <wp:lineTo x="20813" y="21600"/>
                  </wp:wrapPolygon>
                </wp:wrapTight>
                <wp:docPr id="25" name="Pole tekstowe 2" descr="The highest intensity of unemployment is still observed among persons aged 15–24 ye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569085" cy="790575"/>
                        </a:xfrm>
                        <a:prstGeom prst="rect">
                          <a:avLst/>
                        </a:prstGeom>
                        <a:noFill/>
                        <a:ln w="9525">
                          <a:noFill/>
                          <a:miter lim="800000"/>
                          <a:headEnd/>
                          <a:tailEnd/>
                        </a:ln>
                      </wps:spPr>
                      <wps:txbx>
                        <w:txbxContent>
                          <w:p w14:paraId="41FA76C5" w14:textId="4EAF7CE9" w:rsidR="00D12A51" w:rsidRPr="00D958CD" w:rsidRDefault="00063681" w:rsidP="00EC542E">
                            <w:pPr>
                              <w:pStyle w:val="tekstzboku"/>
                              <w:rPr>
                                <w:lang w:val="en-US"/>
                              </w:rPr>
                            </w:pPr>
                            <w:r w:rsidRPr="00DC1D70">
                              <w:rPr>
                                <w:lang w:val="en-GB"/>
                              </w:rPr>
                              <w:t>The highest intensity of unemployment is still observed among persons</w:t>
                            </w:r>
                            <w:r>
                              <w:rPr>
                                <w:lang w:val="en-GB"/>
                              </w:rPr>
                              <w:t xml:space="preserve"> </w:t>
                            </w:r>
                            <w:r w:rsidRPr="00DC1D70">
                              <w:rPr>
                                <w:lang w:val="en-GB"/>
                              </w:rPr>
                              <w:t>aged 15–24 years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EB90F" id="_x0000_s1035" type="#_x0000_t202" alt="The highest intensity of unemployment is still observed among persons aged 15–24 years" style="position:absolute;margin-left:415.45pt;margin-top:.9pt;width:123.55pt;height:62.25pt;rotation:180;flip:y;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" filled="f" stroked="f">
                <v:textbox inset=",0">
                  <w:txbxContent>
                    <w:p w14:paraId="41FA76C5" w14:textId="4EAF7CE9" w:rsidR="00D12A51" w:rsidRPr="00D958CD" w:rsidRDefault="00063681" w:rsidP="00EC542E">
                      <w:pPr>
                        <w:pStyle w:val="tekstzboku"/>
                        <w:rPr>
                          <w:lang w:val="en-US"/>
                        </w:rPr>
                      </w:pPr>
                      <w:r w:rsidRPr="00DC1D70">
                        <w:rPr>
                          <w:lang w:val="en-GB"/>
                        </w:rPr>
                        <w:t>The highest intensity of unemployment is still observed among persons</w:t>
                      </w:r>
                      <w:r>
                        <w:rPr>
                          <w:lang w:val="en-GB"/>
                        </w:rPr>
                        <w:t xml:space="preserve"> </w:t>
                      </w:r>
                      <w:r w:rsidRPr="00DC1D70">
                        <w:rPr>
                          <w:lang w:val="en-GB"/>
                        </w:rPr>
                        <w:t>aged 15–24 years</w:t>
                      </w:r>
                    </w:p>
                  </w:txbxContent>
                </v:textbox>
                <w10:wrap type="tight"/>
              </v:shape>
            </w:pict>
          </mc:Fallback>
        </mc:AlternateContent>
      </w:r>
      <w:r w:rsidR="000E734C" w:rsidRPr="00E2751C">
        <w:rPr>
          <w:rFonts w:eastAsia="Times New Roman" w:cs="Times New Roman"/>
          <w:szCs w:val="19"/>
          <w:lang w:val="en-GB" w:eastAsia="pl-PL"/>
        </w:rPr>
        <w:t>Unemployment rate increased over the quarter in most of the analysed age groups, only among persons aged 25-</w:t>
      </w:r>
      <w:r w:rsidR="00D47E43">
        <w:rPr>
          <w:rFonts w:eastAsia="Times New Roman" w:cs="Times New Roman"/>
          <w:szCs w:val="19"/>
          <w:lang w:val="en-GB" w:eastAsia="pl-PL"/>
        </w:rPr>
        <w:t>3</w:t>
      </w:r>
      <w:r w:rsidR="000E734C" w:rsidRPr="00E2751C">
        <w:rPr>
          <w:rFonts w:eastAsia="Times New Roman" w:cs="Times New Roman"/>
          <w:szCs w:val="19"/>
          <w:lang w:val="en-GB" w:eastAsia="pl-PL"/>
        </w:rPr>
        <w:t>4 years</w:t>
      </w:r>
      <w:r w:rsidR="00D51E1C" w:rsidRPr="00E2751C">
        <w:rPr>
          <w:rFonts w:eastAsia="Times New Roman" w:cs="Times New Roman"/>
          <w:szCs w:val="19"/>
          <w:lang w:val="en-GB" w:eastAsia="pl-PL"/>
        </w:rPr>
        <w:t xml:space="preserve"> a minimal drop was observed</w:t>
      </w:r>
      <w:r w:rsidR="008173BE" w:rsidRPr="00E2751C">
        <w:rPr>
          <w:rFonts w:eastAsia="Times New Roman" w:cs="Times New Roman"/>
          <w:szCs w:val="19"/>
          <w:lang w:val="en-GB" w:eastAsia="pl-PL"/>
        </w:rPr>
        <w:t xml:space="preserve">. Compared with the first quarter of 2021, unemployment rate </w:t>
      </w:r>
      <w:r w:rsidR="00E2751C" w:rsidRPr="00E2751C">
        <w:rPr>
          <w:rFonts w:eastAsia="Times New Roman" w:cs="Times New Roman"/>
          <w:szCs w:val="19"/>
          <w:lang w:val="en-GB" w:eastAsia="pl-PL"/>
        </w:rPr>
        <w:t>decreased</w:t>
      </w:r>
      <w:r w:rsidR="008173BE" w:rsidRPr="00E2751C">
        <w:rPr>
          <w:rFonts w:eastAsia="Times New Roman" w:cs="Times New Roman"/>
          <w:szCs w:val="19"/>
          <w:lang w:val="en-GB" w:eastAsia="pl-PL"/>
        </w:rPr>
        <w:t xml:space="preserve"> in all age groups. S</w:t>
      </w:r>
      <w:r w:rsidR="000E734C" w:rsidRPr="00E2751C">
        <w:rPr>
          <w:rFonts w:eastAsia="Times New Roman" w:cs="Times New Roman"/>
          <w:szCs w:val="19"/>
          <w:lang w:val="en-GB" w:eastAsia="pl-PL"/>
        </w:rPr>
        <w:t xml:space="preserve">till the highest </w:t>
      </w:r>
      <w:r w:rsidR="008173BE" w:rsidRPr="00E2751C">
        <w:rPr>
          <w:rFonts w:eastAsia="Times New Roman" w:cs="Times New Roman"/>
          <w:szCs w:val="19"/>
          <w:lang w:val="en-GB" w:eastAsia="pl-PL"/>
        </w:rPr>
        <w:t>unemployment</w:t>
      </w:r>
      <w:r w:rsidR="000E734C" w:rsidRPr="00E2751C">
        <w:rPr>
          <w:rFonts w:eastAsia="Times New Roman" w:cs="Times New Roman"/>
          <w:szCs w:val="19"/>
          <w:lang w:val="en-GB" w:eastAsia="pl-PL"/>
        </w:rPr>
        <w:t xml:space="preserve"> was observed among </w:t>
      </w:r>
      <w:r w:rsidR="008173BE" w:rsidRPr="00E2751C">
        <w:rPr>
          <w:rFonts w:eastAsia="Times New Roman" w:cs="Times New Roman"/>
          <w:szCs w:val="19"/>
          <w:lang w:val="en-GB" w:eastAsia="pl-PL"/>
        </w:rPr>
        <w:t>youngest persons (aged 15-24 years)</w:t>
      </w:r>
      <w:r w:rsidR="000E734C" w:rsidRPr="00E2751C">
        <w:rPr>
          <w:rFonts w:eastAsia="Times New Roman" w:cs="Times New Roman"/>
          <w:szCs w:val="19"/>
          <w:lang w:val="en-GB" w:eastAsia="pl-PL"/>
        </w:rPr>
        <w:t xml:space="preserve"> </w:t>
      </w:r>
      <w:r w:rsidR="008173BE" w:rsidRPr="00E2751C">
        <w:rPr>
          <w:rFonts w:eastAsia="Times New Roman" w:cs="Times New Roman"/>
          <w:szCs w:val="19"/>
          <w:lang w:val="en-GB" w:eastAsia="pl-PL"/>
        </w:rPr>
        <w:t>for whom unemployment rate comprised 10.2%</w:t>
      </w:r>
      <w:r w:rsidR="000E734C" w:rsidRPr="00E2751C">
        <w:rPr>
          <w:rFonts w:eastAsia="Times New Roman" w:cs="Times New Roman"/>
          <w:szCs w:val="19"/>
          <w:lang w:val="en-GB" w:eastAsia="pl-PL"/>
        </w:rPr>
        <w:t>. Among persons aged 25</w:t>
      </w:r>
      <w:bookmarkStart w:id="1" w:name="_Hlk80374476"/>
      <w:r w:rsidR="000E734C" w:rsidRPr="00E2751C">
        <w:rPr>
          <w:rFonts w:eastAsia="Times New Roman" w:cs="Times New Roman"/>
          <w:szCs w:val="19"/>
          <w:lang w:val="en-GB" w:eastAsia="pl-PL"/>
        </w:rPr>
        <w:t>–</w:t>
      </w:r>
      <w:bookmarkEnd w:id="1"/>
      <w:r w:rsidR="000E734C" w:rsidRPr="00E2751C">
        <w:rPr>
          <w:rFonts w:eastAsia="Times New Roman" w:cs="Times New Roman"/>
          <w:szCs w:val="19"/>
          <w:lang w:val="en-GB" w:eastAsia="pl-PL"/>
        </w:rPr>
        <w:t>34 years</w:t>
      </w:r>
      <w:r w:rsidR="009B7CE7">
        <w:rPr>
          <w:rFonts w:eastAsia="Times New Roman" w:cs="Times New Roman"/>
          <w:szCs w:val="19"/>
          <w:lang w:val="en-GB" w:eastAsia="pl-PL"/>
        </w:rPr>
        <w:t xml:space="preserve"> </w:t>
      </w:r>
      <w:r w:rsidR="009B7CE7" w:rsidRPr="00E2751C">
        <w:rPr>
          <w:rFonts w:eastAsia="Times New Roman" w:cs="Times New Roman"/>
          <w:szCs w:val="19"/>
          <w:lang w:val="en-GB" w:eastAsia="pl-PL"/>
        </w:rPr>
        <w:t>unemployment intensit</w:t>
      </w:r>
      <w:r w:rsidR="009B7CE7">
        <w:rPr>
          <w:rFonts w:eastAsia="Times New Roman" w:cs="Times New Roman"/>
          <w:szCs w:val="19"/>
          <w:lang w:val="en-GB" w:eastAsia="pl-PL"/>
        </w:rPr>
        <w:t>y was at the level 3.6%</w:t>
      </w:r>
      <w:r w:rsidR="000E734C" w:rsidRPr="00E2751C">
        <w:rPr>
          <w:rFonts w:eastAsia="Times New Roman" w:cs="Times New Roman"/>
          <w:szCs w:val="19"/>
          <w:lang w:val="en-GB" w:eastAsia="pl-PL"/>
        </w:rPr>
        <w:t xml:space="preserve">, 35-44 years </w:t>
      </w:r>
      <w:r w:rsidR="009B7CE7">
        <w:rPr>
          <w:rFonts w:eastAsia="Times New Roman" w:cs="Times New Roman"/>
          <w:szCs w:val="19"/>
          <w:lang w:val="en-GB" w:eastAsia="pl-PL"/>
        </w:rPr>
        <w:t xml:space="preserve">- </w:t>
      </w:r>
      <w:r w:rsidR="009B7CE7" w:rsidRPr="00D958CD">
        <w:rPr>
          <w:rFonts w:eastAsia="Times New Roman" w:cs="Times New Roman"/>
          <w:szCs w:val="19"/>
          <w:lang w:val="en-US" w:eastAsia="pl-PL"/>
        </w:rPr>
        <w:t xml:space="preserve">2.6%, </w:t>
      </w:r>
      <w:r w:rsidR="000E734C" w:rsidRPr="00E2751C">
        <w:rPr>
          <w:rFonts w:eastAsia="Times New Roman" w:cs="Times New Roman"/>
          <w:szCs w:val="19"/>
          <w:lang w:val="en-GB" w:eastAsia="pl-PL"/>
        </w:rPr>
        <w:t>45-89 years</w:t>
      </w:r>
      <w:r w:rsidR="00A66919">
        <w:rPr>
          <w:rFonts w:eastAsia="Times New Roman" w:cs="Times New Roman"/>
          <w:szCs w:val="19"/>
          <w:lang w:val="en-GB" w:eastAsia="pl-PL"/>
        </w:rPr>
        <w:t xml:space="preserve"> </w:t>
      </w:r>
      <w:r w:rsidR="009B7CE7" w:rsidRPr="00D958CD">
        <w:rPr>
          <w:rFonts w:eastAsia="Times New Roman" w:cs="Times New Roman"/>
          <w:szCs w:val="19"/>
          <w:lang w:val="en-US" w:eastAsia="pl-PL"/>
        </w:rPr>
        <w:t>– 2.2 %.</w:t>
      </w:r>
      <w:r w:rsidR="009B7CE7">
        <w:rPr>
          <w:rFonts w:eastAsia="Times New Roman" w:cs="Times New Roman"/>
          <w:szCs w:val="19"/>
          <w:lang w:val="en-GB" w:eastAsia="pl-PL"/>
        </w:rPr>
        <w:t xml:space="preserve"> </w:t>
      </w:r>
      <w:r w:rsidR="000E734C" w:rsidRPr="00E2751C">
        <w:rPr>
          <w:rFonts w:eastAsia="Times New Roman" w:cs="Times New Roman"/>
          <w:szCs w:val="19"/>
          <w:lang w:val="en-GB" w:eastAsia="pl-PL"/>
        </w:rPr>
        <w:t>Among persons at the working age (18–</w:t>
      </w:r>
      <w:r w:rsidR="00D93B6C">
        <w:rPr>
          <w:rFonts w:eastAsia="Times New Roman" w:cs="Times New Roman"/>
          <w:szCs w:val="19"/>
          <w:lang w:val="en-GB" w:eastAsia="pl-PL"/>
        </w:rPr>
        <w:t> </w:t>
      </w:r>
      <w:r w:rsidR="000E734C" w:rsidRPr="00E2751C">
        <w:rPr>
          <w:rFonts w:eastAsia="Times New Roman" w:cs="Times New Roman"/>
          <w:szCs w:val="19"/>
          <w:lang w:val="en-GB" w:eastAsia="pl-PL"/>
        </w:rPr>
        <w:t>59/64 years)</w:t>
      </w:r>
      <w:r w:rsidR="00524015">
        <w:rPr>
          <w:rFonts w:eastAsia="Times New Roman" w:cs="Times New Roman"/>
          <w:szCs w:val="19"/>
          <w:lang w:val="en-GB" w:eastAsia="pl-PL"/>
        </w:rPr>
        <w:t xml:space="preserve"> </w:t>
      </w:r>
      <w:r w:rsidR="000E734C" w:rsidRPr="00E2751C">
        <w:rPr>
          <w:rFonts w:eastAsia="Times New Roman" w:cs="Times New Roman"/>
          <w:szCs w:val="19"/>
          <w:lang w:val="en-GB" w:eastAsia="pl-PL"/>
        </w:rPr>
        <w:t>unemployment rate comprised 3.</w:t>
      </w:r>
      <w:r w:rsidR="009B7CE7">
        <w:rPr>
          <w:rFonts w:eastAsia="Times New Roman" w:cs="Times New Roman"/>
          <w:szCs w:val="19"/>
          <w:lang w:val="en-GB" w:eastAsia="pl-PL"/>
        </w:rPr>
        <w:t>2</w:t>
      </w:r>
      <w:r w:rsidR="000E734C" w:rsidRPr="00E2751C">
        <w:rPr>
          <w:rFonts w:eastAsia="Times New Roman" w:cs="Times New Roman"/>
          <w:szCs w:val="19"/>
          <w:lang w:val="en-GB" w:eastAsia="pl-PL"/>
        </w:rPr>
        <w:t xml:space="preserve"> %.</w:t>
      </w:r>
    </w:p>
    <w:p w14:paraId="211F0BC5" w14:textId="59C112C7" w:rsidR="00ED13D3" w:rsidRPr="00B900C5" w:rsidRDefault="001874DA" w:rsidP="00ED13D3">
      <w:pPr>
        <w:spacing w:line="288" w:lineRule="auto"/>
        <w:rPr>
          <w:rFonts w:eastAsia="Times New Roman" w:cs="Times New Roman"/>
          <w:szCs w:val="19"/>
          <w:lang w:val="en-GB" w:eastAsia="pl-PL"/>
        </w:rPr>
      </w:pPr>
      <w:r w:rsidRPr="00993C0A">
        <w:rPr>
          <w:noProof/>
          <w:szCs w:val="19"/>
          <w:lang w:eastAsia="pl-PL"/>
        </w:rPr>
        <mc:AlternateContent>
          <mc:Choice Requires="wps">
            <w:drawing>
              <wp:anchor distT="45720" distB="45720" distL="114300" distR="114300" simplePos="0" relativeHeight="251769856" behindDoc="1" locked="0" layoutInCell="1" allowOverlap="1" wp14:anchorId="27BB62F0" wp14:editId="3E94A7FE">
                <wp:simplePos x="0" y="0"/>
                <wp:positionH relativeFrom="column">
                  <wp:posOffset>5362575</wp:posOffset>
                </wp:positionH>
                <wp:positionV relativeFrom="page">
                  <wp:posOffset>8140944</wp:posOffset>
                </wp:positionV>
                <wp:extent cx="1569085" cy="809625"/>
                <wp:effectExtent l="0" t="0" r="0" b="0"/>
                <wp:wrapTight wrapText="bothSides">
                  <wp:wrapPolygon edited="0">
                    <wp:start x="787" y="0"/>
                    <wp:lineTo x="787" y="20838"/>
                    <wp:lineTo x="20717" y="20838"/>
                    <wp:lineTo x="20717" y="0"/>
                    <wp:lineTo x="787" y="0"/>
                  </wp:wrapPolygon>
                </wp:wrapTight>
                <wp:docPr id="19"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809625"/>
                        </a:xfrm>
                        <a:prstGeom prst="rect">
                          <a:avLst/>
                        </a:prstGeom>
                        <a:noFill/>
                        <a:ln w="9525">
                          <a:noFill/>
                          <a:miter lim="800000"/>
                          <a:headEnd/>
                          <a:tailEnd/>
                        </a:ln>
                      </wps:spPr>
                      <wps:txbx>
                        <w:txbxContent>
                          <w:p w14:paraId="3C5F2B21" w14:textId="77777777" w:rsidR="00063681" w:rsidRPr="00BD3145" w:rsidRDefault="00063681" w:rsidP="00063681">
                            <w:pPr>
                              <w:pStyle w:val="tekstzboku"/>
                              <w:rPr>
                                <w:lang w:val="en-GB"/>
                              </w:rPr>
                            </w:pPr>
                            <w:r w:rsidRPr="00BD3145">
                              <w:rPr>
                                <w:lang w:val="en-GB"/>
                              </w:rPr>
                              <w:t>To the greatest extent, unemployment affected persons with the lowest level of education</w:t>
                            </w:r>
                          </w:p>
                          <w:p w14:paraId="0265A738" w14:textId="138A5157" w:rsidR="00D12A51" w:rsidRPr="00D958CD" w:rsidRDefault="00D12A51" w:rsidP="00EC542E">
                            <w:pPr>
                              <w:pStyle w:val="tekstzboku"/>
                              <w:rPr>
                                <w:lang w:val="en-US"/>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B62F0" id="_x0000_s1036" type="#_x0000_t202" alt="To the greatest extent, unemployment affected persons with the lowest level of education" style="position:absolute;margin-left:422.25pt;margin-top:641pt;width:123.55pt;height:63.75pt;z-index:-25154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" filled="f" stroked="f">
                <v:textbox inset=",0">
                  <w:txbxContent>
                    <w:p w14:paraId="3C5F2B21" w14:textId="77777777" w:rsidR="00063681" w:rsidRPr="00BD3145" w:rsidRDefault="00063681" w:rsidP="00063681">
                      <w:pPr>
                        <w:pStyle w:val="tekstzboku"/>
                        <w:rPr>
                          <w:lang w:val="en-GB"/>
                        </w:rPr>
                      </w:pPr>
                      <w:r w:rsidRPr="00BD3145">
                        <w:rPr>
                          <w:lang w:val="en-GB"/>
                        </w:rPr>
                        <w:t>To the greatest extent, unemployment affected persons with the lowest level of education</w:t>
                      </w:r>
                    </w:p>
                    <w:p w14:paraId="0265A738" w14:textId="138A5157" w:rsidR="00D12A51" w:rsidRPr="00D958CD" w:rsidRDefault="00D12A51" w:rsidP="00EC542E">
                      <w:pPr>
                        <w:pStyle w:val="tekstzboku"/>
                        <w:rPr>
                          <w:lang w:val="en-US"/>
                        </w:rPr>
                      </w:pPr>
                    </w:p>
                  </w:txbxContent>
                </v:textbox>
                <w10:wrap type="tight" anchory="page"/>
              </v:shape>
            </w:pict>
          </mc:Fallback>
        </mc:AlternateContent>
      </w:r>
      <w:r w:rsidR="00ED13D3" w:rsidRPr="00B900C5">
        <w:rPr>
          <w:rFonts w:eastAsia="Times New Roman" w:cs="Times New Roman"/>
          <w:szCs w:val="19"/>
          <w:lang w:val="en-GB" w:eastAsia="pl-PL"/>
        </w:rPr>
        <w:t xml:space="preserve">Compared with the fourth quarter of 2021, an increase in unemployment rate was observed for most groups specified according to the level of education: among persons with lower secondary, primary, incomplete primary and without school education (by 2.4 percentage points to 9.3%), post-secondary and vocational secondary (by 0.3 percentage point to </w:t>
      </w:r>
      <w:r w:rsidR="00B900C5" w:rsidRPr="00B900C5">
        <w:rPr>
          <w:rFonts w:eastAsia="Times New Roman" w:cs="Times New Roman"/>
          <w:szCs w:val="19"/>
          <w:lang w:val="en-GB" w:eastAsia="pl-PL"/>
        </w:rPr>
        <w:t>3</w:t>
      </w:r>
      <w:r w:rsidR="00ED13D3" w:rsidRPr="00B900C5">
        <w:rPr>
          <w:rFonts w:eastAsia="Times New Roman" w:cs="Times New Roman"/>
          <w:szCs w:val="19"/>
          <w:lang w:val="en-GB" w:eastAsia="pl-PL"/>
        </w:rPr>
        <w:t>.</w:t>
      </w:r>
      <w:r w:rsidR="00B900C5" w:rsidRPr="00B900C5">
        <w:rPr>
          <w:rFonts w:eastAsia="Times New Roman" w:cs="Times New Roman"/>
          <w:szCs w:val="19"/>
          <w:lang w:val="en-GB" w:eastAsia="pl-PL"/>
        </w:rPr>
        <w:t>1</w:t>
      </w:r>
      <w:r w:rsidR="00ED13D3" w:rsidRPr="00B900C5">
        <w:rPr>
          <w:rFonts w:eastAsia="Times New Roman" w:cs="Times New Roman"/>
          <w:szCs w:val="19"/>
          <w:lang w:val="en-GB" w:eastAsia="pl-PL"/>
        </w:rPr>
        <w:t>%), basic vocational/sectoral</w:t>
      </w:r>
      <w:r w:rsidR="00766901">
        <w:rPr>
          <w:rFonts w:eastAsia="Times New Roman" w:cs="Times New Roman"/>
          <w:szCs w:val="19"/>
          <w:lang w:val="en-GB" w:eastAsia="pl-PL"/>
        </w:rPr>
        <w:t xml:space="preserve"> </w:t>
      </w:r>
      <w:r w:rsidR="00B900C5" w:rsidRPr="00B900C5">
        <w:rPr>
          <w:rFonts w:eastAsia="Times New Roman" w:cs="Times New Roman"/>
          <w:szCs w:val="19"/>
          <w:lang w:val="en-GB" w:eastAsia="pl-PL"/>
        </w:rPr>
        <w:t>(by 0.</w:t>
      </w:r>
      <w:r w:rsidR="00766901">
        <w:rPr>
          <w:rFonts w:eastAsia="Times New Roman" w:cs="Times New Roman"/>
          <w:szCs w:val="19"/>
          <w:lang w:val="en-GB" w:eastAsia="pl-PL"/>
        </w:rPr>
        <w:t>2</w:t>
      </w:r>
      <w:r w:rsidR="00B900C5" w:rsidRPr="00B900C5">
        <w:rPr>
          <w:rFonts w:eastAsia="Times New Roman" w:cs="Times New Roman"/>
          <w:szCs w:val="19"/>
          <w:lang w:val="en-GB" w:eastAsia="pl-PL"/>
        </w:rPr>
        <w:t xml:space="preserve"> percentage point do </w:t>
      </w:r>
      <w:r w:rsidR="00766901">
        <w:rPr>
          <w:rFonts w:eastAsia="Times New Roman" w:cs="Times New Roman"/>
          <w:szCs w:val="19"/>
          <w:lang w:val="en-GB" w:eastAsia="pl-PL"/>
        </w:rPr>
        <w:t>3</w:t>
      </w:r>
      <w:r w:rsidR="00B900C5" w:rsidRPr="00B900C5">
        <w:rPr>
          <w:rFonts w:eastAsia="Times New Roman" w:cs="Times New Roman"/>
          <w:szCs w:val="19"/>
          <w:lang w:val="en-GB" w:eastAsia="pl-PL"/>
        </w:rPr>
        <w:t>.</w:t>
      </w:r>
      <w:r w:rsidR="00766901">
        <w:rPr>
          <w:rFonts w:eastAsia="Times New Roman" w:cs="Times New Roman"/>
          <w:szCs w:val="19"/>
          <w:lang w:val="en-GB" w:eastAsia="pl-PL"/>
        </w:rPr>
        <w:t>9</w:t>
      </w:r>
      <w:r w:rsidR="00B900C5" w:rsidRPr="00B900C5">
        <w:rPr>
          <w:rFonts w:eastAsia="Times New Roman" w:cs="Times New Roman"/>
          <w:szCs w:val="19"/>
          <w:lang w:val="en-GB" w:eastAsia="pl-PL"/>
        </w:rPr>
        <w:t>%),</w:t>
      </w:r>
      <w:r w:rsidR="00766901" w:rsidRPr="00766901">
        <w:rPr>
          <w:rFonts w:eastAsia="Times New Roman" w:cs="Times New Roman"/>
          <w:szCs w:val="19"/>
          <w:lang w:val="en-GB" w:eastAsia="pl-PL"/>
        </w:rPr>
        <w:t xml:space="preserve"> </w:t>
      </w:r>
      <w:r w:rsidR="00766901" w:rsidRPr="00B900C5">
        <w:rPr>
          <w:rFonts w:eastAsia="Times New Roman" w:cs="Times New Roman"/>
          <w:szCs w:val="19"/>
          <w:lang w:val="en-GB" w:eastAsia="pl-PL"/>
        </w:rPr>
        <w:t>tertiary (by 0.</w:t>
      </w:r>
      <w:r w:rsidR="00766901">
        <w:rPr>
          <w:rFonts w:eastAsia="Times New Roman" w:cs="Times New Roman"/>
          <w:szCs w:val="19"/>
          <w:lang w:val="en-GB" w:eastAsia="pl-PL"/>
        </w:rPr>
        <w:t>1</w:t>
      </w:r>
      <w:r w:rsidR="00766901" w:rsidRPr="00B900C5">
        <w:rPr>
          <w:rFonts w:eastAsia="Times New Roman" w:cs="Times New Roman"/>
          <w:szCs w:val="19"/>
          <w:lang w:val="en-GB" w:eastAsia="pl-PL"/>
        </w:rPr>
        <w:t xml:space="preserve"> percentage point to 1.</w:t>
      </w:r>
      <w:r w:rsidR="00766901">
        <w:rPr>
          <w:rFonts w:eastAsia="Times New Roman" w:cs="Times New Roman"/>
          <w:szCs w:val="19"/>
          <w:lang w:val="en-GB" w:eastAsia="pl-PL"/>
        </w:rPr>
        <w:t>5</w:t>
      </w:r>
      <w:r w:rsidR="00766901" w:rsidRPr="00B900C5">
        <w:rPr>
          <w:rFonts w:eastAsia="Times New Roman" w:cs="Times New Roman"/>
          <w:szCs w:val="19"/>
          <w:lang w:val="en-GB" w:eastAsia="pl-PL"/>
        </w:rPr>
        <w:t>%)</w:t>
      </w:r>
      <w:r w:rsidR="00766901">
        <w:rPr>
          <w:rFonts w:eastAsia="Times New Roman" w:cs="Times New Roman"/>
          <w:szCs w:val="19"/>
          <w:lang w:val="en-GB" w:eastAsia="pl-PL"/>
        </w:rPr>
        <w:t xml:space="preserve">. Only among persons with general secondary education unemployment rate stayed the same and comprised 4.4%. Over the year, a drop in </w:t>
      </w:r>
      <w:r w:rsidR="00ED13D3" w:rsidRPr="00B900C5">
        <w:rPr>
          <w:rFonts w:eastAsia="Times New Roman" w:cs="Times New Roman"/>
          <w:szCs w:val="19"/>
          <w:lang w:val="en-GB" w:eastAsia="pl-PL"/>
        </w:rPr>
        <w:t xml:space="preserve">unemployment rate </w:t>
      </w:r>
      <w:r w:rsidR="00766901">
        <w:rPr>
          <w:rFonts w:eastAsia="Times New Roman" w:cs="Times New Roman"/>
          <w:szCs w:val="19"/>
          <w:lang w:val="en-GB" w:eastAsia="pl-PL"/>
        </w:rPr>
        <w:t>was observed in all groups specified by level of education. The highest drop was recorded among persons with general secondary education and among persons with</w:t>
      </w:r>
      <w:r w:rsidR="00766901" w:rsidRPr="00B900C5">
        <w:rPr>
          <w:rFonts w:eastAsia="Times New Roman" w:cs="Times New Roman"/>
          <w:szCs w:val="19"/>
          <w:lang w:val="en-GB" w:eastAsia="pl-PL"/>
        </w:rPr>
        <w:t xml:space="preserve"> lower secondary, primary, incomplete primary and without school education</w:t>
      </w:r>
      <w:r w:rsidR="00ED13D3" w:rsidRPr="00B900C5">
        <w:rPr>
          <w:rFonts w:eastAsia="Times New Roman" w:cs="Times New Roman"/>
          <w:szCs w:val="19"/>
          <w:lang w:val="en-GB" w:eastAsia="pl-PL"/>
        </w:rPr>
        <w:t xml:space="preserve"> </w:t>
      </w:r>
      <w:r w:rsidR="00B900C5" w:rsidRPr="00B900C5">
        <w:rPr>
          <w:rFonts w:eastAsia="Times New Roman" w:cs="Times New Roman"/>
          <w:szCs w:val="19"/>
          <w:lang w:val="en-GB" w:eastAsia="pl-PL"/>
        </w:rPr>
        <w:t>(</w:t>
      </w:r>
      <w:r w:rsidR="00766901">
        <w:rPr>
          <w:rFonts w:eastAsia="Times New Roman" w:cs="Times New Roman"/>
          <w:szCs w:val="19"/>
          <w:lang w:val="en-GB" w:eastAsia="pl-PL"/>
        </w:rPr>
        <w:t>respectively by 1</w:t>
      </w:r>
      <w:r w:rsidR="00B900C5" w:rsidRPr="00B900C5">
        <w:rPr>
          <w:rFonts w:eastAsia="Times New Roman" w:cs="Times New Roman"/>
          <w:szCs w:val="19"/>
          <w:lang w:val="en-GB" w:eastAsia="pl-PL"/>
        </w:rPr>
        <w:t>.</w:t>
      </w:r>
      <w:r w:rsidR="00766901">
        <w:rPr>
          <w:rFonts w:eastAsia="Times New Roman" w:cs="Times New Roman"/>
          <w:szCs w:val="19"/>
          <w:lang w:val="en-GB" w:eastAsia="pl-PL"/>
        </w:rPr>
        <w:t>8</w:t>
      </w:r>
      <w:r w:rsidR="00B900C5" w:rsidRPr="00B900C5">
        <w:rPr>
          <w:rFonts w:eastAsia="Times New Roman" w:cs="Times New Roman"/>
          <w:szCs w:val="19"/>
          <w:lang w:val="en-GB" w:eastAsia="pl-PL"/>
        </w:rPr>
        <w:t xml:space="preserve"> percentage point </w:t>
      </w:r>
      <w:r w:rsidR="00766901">
        <w:rPr>
          <w:rFonts w:eastAsia="Times New Roman" w:cs="Times New Roman"/>
          <w:szCs w:val="19"/>
          <w:lang w:val="en-GB" w:eastAsia="pl-PL"/>
        </w:rPr>
        <w:t>and</w:t>
      </w:r>
      <w:r w:rsidR="00B900C5" w:rsidRPr="00B900C5">
        <w:rPr>
          <w:rFonts w:eastAsia="Times New Roman" w:cs="Times New Roman"/>
          <w:szCs w:val="19"/>
          <w:lang w:val="en-GB" w:eastAsia="pl-PL"/>
        </w:rPr>
        <w:t xml:space="preserve"> </w:t>
      </w:r>
      <w:r w:rsidR="00766901">
        <w:rPr>
          <w:rFonts w:eastAsia="Times New Roman" w:cs="Times New Roman"/>
          <w:szCs w:val="19"/>
          <w:lang w:val="en-GB" w:eastAsia="pl-PL"/>
        </w:rPr>
        <w:t>1</w:t>
      </w:r>
      <w:r w:rsidR="00B900C5" w:rsidRPr="00B900C5">
        <w:rPr>
          <w:rFonts w:eastAsia="Times New Roman" w:cs="Times New Roman"/>
          <w:szCs w:val="19"/>
          <w:lang w:val="en-GB" w:eastAsia="pl-PL"/>
        </w:rPr>
        <w:t>.</w:t>
      </w:r>
      <w:r w:rsidR="00766901">
        <w:rPr>
          <w:rFonts w:eastAsia="Times New Roman" w:cs="Times New Roman"/>
          <w:szCs w:val="19"/>
          <w:lang w:val="en-GB" w:eastAsia="pl-PL"/>
        </w:rPr>
        <w:t>2</w:t>
      </w:r>
      <w:r w:rsidR="00D93B6C">
        <w:rPr>
          <w:rFonts w:eastAsia="Times New Roman" w:cs="Times New Roman"/>
          <w:szCs w:val="19"/>
          <w:lang w:val="en-GB" w:eastAsia="pl-PL"/>
        </w:rPr>
        <w:t> </w:t>
      </w:r>
      <w:r w:rsidR="00766901">
        <w:rPr>
          <w:rFonts w:eastAsia="Times New Roman" w:cs="Times New Roman"/>
          <w:szCs w:val="19"/>
          <w:lang w:val="en-GB" w:eastAsia="pl-PL"/>
        </w:rPr>
        <w:t>percentage point).</w:t>
      </w:r>
    </w:p>
    <w:p w14:paraId="31FCEDC9" w14:textId="5025BE80" w:rsidR="002208FE" w:rsidRPr="00F4773B" w:rsidRDefault="002208FE" w:rsidP="002208FE">
      <w:pPr>
        <w:spacing w:line="288" w:lineRule="auto"/>
        <w:rPr>
          <w:rFonts w:eastAsia="Times New Roman" w:cs="Times New Roman"/>
          <w:szCs w:val="19"/>
          <w:lang w:val="en-GB" w:eastAsia="pl-PL"/>
        </w:rPr>
      </w:pPr>
      <w:r>
        <w:rPr>
          <w:rFonts w:eastAsia="Times New Roman" w:cs="Times New Roman"/>
          <w:szCs w:val="19"/>
          <w:lang w:val="en-GB" w:eastAsia="pl-PL"/>
        </w:rPr>
        <w:t xml:space="preserve">The largest population of the unemployed constituted persons who lost a job </w:t>
      </w:r>
      <w:r w:rsidRPr="00F4773B">
        <w:rPr>
          <w:rFonts w:eastAsia="Times New Roman" w:cs="Times New Roman"/>
          <w:szCs w:val="19"/>
          <w:lang w:val="en-GB" w:eastAsia="pl-PL"/>
        </w:rPr>
        <w:t>(</w:t>
      </w:r>
      <w:r w:rsidRPr="00D958CD">
        <w:rPr>
          <w:rFonts w:eastAsia="Times New Roman" w:cs="Times New Roman"/>
          <w:szCs w:val="19"/>
          <w:lang w:val="en-US" w:eastAsia="pl-PL"/>
        </w:rPr>
        <w:t>45.3%, i.e. 243</w:t>
      </w:r>
      <w:r w:rsidR="00D93B6C">
        <w:rPr>
          <w:rFonts w:eastAsia="Times New Roman" w:cs="Times New Roman"/>
          <w:szCs w:val="19"/>
          <w:lang w:val="en-US" w:eastAsia="pl-PL"/>
        </w:rPr>
        <w:t> </w:t>
      </w:r>
      <w:r w:rsidRPr="00F4773B">
        <w:rPr>
          <w:rFonts w:eastAsia="Times New Roman" w:cs="Times New Roman"/>
          <w:szCs w:val="19"/>
          <w:lang w:val="en-GB" w:eastAsia="pl-PL"/>
        </w:rPr>
        <w:t xml:space="preserve">thousand). </w:t>
      </w:r>
      <w:r>
        <w:rPr>
          <w:rFonts w:eastAsia="Times New Roman" w:cs="Times New Roman"/>
          <w:szCs w:val="19"/>
          <w:lang w:val="en-GB" w:eastAsia="pl-PL"/>
        </w:rPr>
        <w:t xml:space="preserve">The share of persons re-entering work after a break accounted for </w:t>
      </w:r>
      <w:r w:rsidRPr="00F4773B">
        <w:rPr>
          <w:rFonts w:eastAsia="Times New Roman" w:cs="Times New Roman"/>
          <w:szCs w:val="19"/>
          <w:lang w:val="en-GB" w:eastAsia="pl-PL"/>
        </w:rPr>
        <w:t>2</w:t>
      </w:r>
      <w:r w:rsidR="006D171A">
        <w:rPr>
          <w:rFonts w:eastAsia="Times New Roman" w:cs="Times New Roman"/>
          <w:szCs w:val="19"/>
          <w:lang w:val="en-GB" w:eastAsia="pl-PL"/>
        </w:rPr>
        <w:t>7</w:t>
      </w:r>
      <w:r w:rsidRPr="00F4773B">
        <w:rPr>
          <w:rFonts w:eastAsia="Times New Roman" w:cs="Times New Roman"/>
          <w:szCs w:val="19"/>
          <w:lang w:val="en-GB" w:eastAsia="pl-PL"/>
        </w:rPr>
        <w:t>.</w:t>
      </w:r>
      <w:r w:rsidR="006D171A">
        <w:rPr>
          <w:rFonts w:eastAsia="Times New Roman" w:cs="Times New Roman"/>
          <w:szCs w:val="19"/>
          <w:lang w:val="en-GB" w:eastAsia="pl-PL"/>
        </w:rPr>
        <w:t>4</w:t>
      </w:r>
      <w:r w:rsidRPr="00F4773B">
        <w:rPr>
          <w:rFonts w:eastAsia="Times New Roman" w:cs="Times New Roman"/>
          <w:szCs w:val="19"/>
          <w:lang w:val="en-GB" w:eastAsia="pl-PL"/>
        </w:rPr>
        <w:t>% (14</w:t>
      </w:r>
      <w:r w:rsidR="006D171A">
        <w:rPr>
          <w:rFonts w:eastAsia="Times New Roman" w:cs="Times New Roman"/>
          <w:szCs w:val="19"/>
          <w:lang w:val="en-GB" w:eastAsia="pl-PL"/>
        </w:rPr>
        <w:t>7</w:t>
      </w:r>
      <w:r w:rsidR="00D93B6C">
        <w:rPr>
          <w:rFonts w:eastAsia="Times New Roman" w:cs="Times New Roman"/>
          <w:szCs w:val="19"/>
          <w:lang w:val="en-GB" w:eastAsia="pl-PL"/>
        </w:rPr>
        <w:t> </w:t>
      </w:r>
      <w:r w:rsidRPr="00F4773B">
        <w:rPr>
          <w:rFonts w:eastAsia="Times New Roman" w:cs="Times New Roman"/>
          <w:szCs w:val="19"/>
          <w:lang w:val="en-GB" w:eastAsia="pl-PL"/>
        </w:rPr>
        <w:t>thousand),</w:t>
      </w:r>
      <w:r>
        <w:rPr>
          <w:rFonts w:eastAsia="Times New Roman" w:cs="Times New Roman"/>
          <w:szCs w:val="19"/>
          <w:lang w:val="en-GB" w:eastAsia="pl-PL"/>
        </w:rPr>
        <w:t xml:space="preserve"> </w:t>
      </w:r>
      <w:r>
        <w:rPr>
          <w:shd w:val="clear" w:color="auto" w:fill="FFFFFF"/>
          <w:lang w:val="en-GB"/>
        </w:rPr>
        <w:t xml:space="preserve">the share of persons taking up their first job accounted for </w:t>
      </w:r>
      <w:r w:rsidR="006D171A" w:rsidRPr="00D958CD">
        <w:rPr>
          <w:rFonts w:eastAsia="Times New Roman" w:cs="Times New Roman"/>
          <w:szCs w:val="19"/>
          <w:lang w:val="en-US" w:eastAsia="pl-PL"/>
        </w:rPr>
        <w:t>14</w:t>
      </w:r>
      <w:r w:rsidR="00B3457F" w:rsidRPr="00D958CD">
        <w:rPr>
          <w:rFonts w:eastAsia="Times New Roman" w:cs="Times New Roman"/>
          <w:szCs w:val="19"/>
          <w:lang w:val="en-US" w:eastAsia="pl-PL"/>
        </w:rPr>
        <w:t>.</w:t>
      </w:r>
      <w:r w:rsidR="006D171A" w:rsidRPr="00D958CD">
        <w:rPr>
          <w:rFonts w:eastAsia="Times New Roman" w:cs="Times New Roman"/>
          <w:szCs w:val="19"/>
          <w:lang w:val="en-US" w:eastAsia="pl-PL"/>
        </w:rPr>
        <w:t>2</w:t>
      </w:r>
      <w:r w:rsidR="00B3457F" w:rsidRPr="00D958CD">
        <w:rPr>
          <w:rFonts w:eastAsia="Times New Roman" w:cs="Times New Roman"/>
          <w:szCs w:val="19"/>
          <w:lang w:val="en-US" w:eastAsia="pl-PL"/>
        </w:rPr>
        <w:t>% (</w:t>
      </w:r>
      <w:r w:rsidR="006D171A" w:rsidRPr="00D958CD">
        <w:rPr>
          <w:rFonts w:eastAsia="Times New Roman" w:cs="Times New Roman"/>
          <w:szCs w:val="19"/>
          <w:lang w:val="en-US" w:eastAsia="pl-PL"/>
        </w:rPr>
        <w:t>76</w:t>
      </w:r>
      <w:r w:rsidR="00B3457F" w:rsidRPr="00D958CD">
        <w:rPr>
          <w:rFonts w:eastAsia="Times New Roman" w:cs="Times New Roman"/>
          <w:szCs w:val="19"/>
          <w:lang w:val="en-US" w:eastAsia="pl-PL"/>
        </w:rPr>
        <w:t xml:space="preserve"> </w:t>
      </w:r>
      <w:r w:rsidRPr="00F4773B">
        <w:rPr>
          <w:rFonts w:eastAsia="Times New Roman" w:cs="Times New Roman"/>
          <w:szCs w:val="19"/>
          <w:lang w:val="en-GB" w:eastAsia="pl-PL"/>
        </w:rPr>
        <w:t xml:space="preserve">thousand), </w:t>
      </w:r>
      <w:r>
        <w:rPr>
          <w:rFonts w:eastAsia="Times New Roman" w:cs="Times New Roman"/>
          <w:szCs w:val="19"/>
          <w:lang w:val="en-GB" w:eastAsia="pl-PL"/>
        </w:rPr>
        <w:t>while the</w:t>
      </w:r>
      <w:r>
        <w:rPr>
          <w:shd w:val="clear" w:color="auto" w:fill="FFFFFF"/>
          <w:lang w:val="en-GB"/>
        </w:rPr>
        <w:t xml:space="preserve"> </w:t>
      </w:r>
      <w:r w:rsidR="006D171A">
        <w:rPr>
          <w:shd w:val="clear" w:color="auto" w:fill="FFFFFF"/>
          <w:lang w:val="en-GB"/>
        </w:rPr>
        <w:t>share</w:t>
      </w:r>
      <w:r>
        <w:rPr>
          <w:shd w:val="clear" w:color="auto" w:fill="FFFFFF"/>
          <w:lang w:val="en-GB"/>
        </w:rPr>
        <w:t xml:space="preserve"> of persons who resigned from work was the lowest</w:t>
      </w:r>
      <w:r>
        <w:rPr>
          <w:rFonts w:eastAsia="Times New Roman" w:cs="Times New Roman"/>
          <w:szCs w:val="19"/>
          <w:lang w:val="en-GB" w:eastAsia="pl-PL"/>
        </w:rPr>
        <w:t xml:space="preserve"> </w:t>
      </w:r>
      <w:r w:rsidRPr="00F4773B">
        <w:rPr>
          <w:rFonts w:eastAsia="Times New Roman" w:cs="Times New Roman"/>
          <w:szCs w:val="19"/>
          <w:lang w:val="en-GB" w:eastAsia="pl-PL"/>
        </w:rPr>
        <w:t>– </w:t>
      </w:r>
      <w:r w:rsidR="001E6E6B" w:rsidRPr="00D958CD">
        <w:rPr>
          <w:rFonts w:eastAsia="Times New Roman" w:cs="Times New Roman"/>
          <w:szCs w:val="19"/>
          <w:lang w:val="en-US" w:eastAsia="pl-PL"/>
        </w:rPr>
        <w:t xml:space="preserve">13.1% (70 </w:t>
      </w:r>
      <w:r w:rsidRPr="00F4773B">
        <w:rPr>
          <w:rFonts w:eastAsia="Times New Roman" w:cs="Times New Roman"/>
          <w:szCs w:val="19"/>
          <w:lang w:val="en-GB" w:eastAsia="pl-PL"/>
        </w:rPr>
        <w:t>thousand).</w:t>
      </w:r>
    </w:p>
    <w:p w14:paraId="10C6DFCF" w14:textId="77777777" w:rsidR="009A4F86" w:rsidRPr="00D958CD" w:rsidRDefault="009A4F86" w:rsidP="00BF1F06">
      <w:pPr>
        <w:spacing w:before="360"/>
        <w:ind w:left="851" w:hanging="851"/>
        <w:rPr>
          <w:b/>
          <w:noProof/>
          <w:shd w:val="clear" w:color="auto" w:fill="FFFFFF"/>
          <w:lang w:val="en-US" w:eastAsia="pl-PL"/>
        </w:rPr>
      </w:pPr>
      <w:bookmarkStart w:id="2" w:name="_Hlk74913153"/>
    </w:p>
    <w:p w14:paraId="5AC6E37D" w14:textId="77777777" w:rsidR="009A4F86" w:rsidRPr="00D958CD" w:rsidRDefault="009A4F86" w:rsidP="00BF1F06">
      <w:pPr>
        <w:spacing w:before="360"/>
        <w:ind w:left="851" w:hanging="851"/>
        <w:rPr>
          <w:b/>
          <w:lang w:val="en-US"/>
        </w:rPr>
      </w:pPr>
    </w:p>
    <w:p w14:paraId="190D30EA" w14:textId="5A6EE46F" w:rsidR="00D62410" w:rsidRDefault="009A4F86" w:rsidP="00BF1F06">
      <w:pPr>
        <w:spacing w:before="360"/>
        <w:ind w:left="851" w:hanging="851"/>
        <w:rPr>
          <w:b/>
          <w:shd w:val="clear" w:color="auto" w:fill="FFFFFF"/>
          <w:lang w:val="en-GB"/>
        </w:rPr>
      </w:pPr>
      <w:r>
        <w:rPr>
          <w:b/>
          <w:noProof/>
          <w:shd w:val="clear" w:color="auto" w:fill="FFFFFF"/>
          <w:lang w:eastAsia="pl-PL"/>
        </w:rPr>
        <w:lastRenderedPageBreak/>
        <w:drawing>
          <wp:anchor distT="0" distB="0" distL="114300" distR="114300" simplePos="0" relativeHeight="251796480" behindDoc="0" locked="0" layoutInCell="1" allowOverlap="1" wp14:anchorId="49247D9B" wp14:editId="34A9C497">
            <wp:simplePos x="0" y="0"/>
            <wp:positionH relativeFrom="margin">
              <wp:align>right</wp:align>
            </wp:positionH>
            <wp:positionV relativeFrom="paragraph">
              <wp:posOffset>342900</wp:posOffset>
            </wp:positionV>
            <wp:extent cx="5124450" cy="2303145"/>
            <wp:effectExtent l="0" t="0" r="0" b="1905"/>
            <wp:wrapSquare wrapText="bothSides"/>
            <wp:docPr id="17" name="Obraz 17" descr="Chart presents the structure of unemployed persons by the source of inflow to unemployment and sex in the first quarter of 2022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50" cy="2303145"/>
                    </a:xfrm>
                    <a:prstGeom prst="rect">
                      <a:avLst/>
                    </a:prstGeom>
                    <a:noFill/>
                  </pic:spPr>
                </pic:pic>
              </a:graphicData>
            </a:graphic>
            <wp14:sizeRelH relativeFrom="margin">
              <wp14:pctWidth>0</wp14:pctWidth>
            </wp14:sizeRelH>
            <wp14:sizeRelV relativeFrom="margin">
              <wp14:pctHeight>0</wp14:pctHeight>
            </wp14:sizeRelV>
          </wp:anchor>
        </w:drawing>
      </w:r>
      <w:r w:rsidR="003F341C" w:rsidRPr="00D958CD">
        <w:rPr>
          <w:b/>
          <w:lang w:val="en-US"/>
        </w:rPr>
        <w:t>Chart</w:t>
      </w:r>
      <w:r w:rsidR="00D62410" w:rsidRPr="00D958CD">
        <w:rPr>
          <w:b/>
          <w:lang w:val="en-US"/>
        </w:rPr>
        <w:t xml:space="preserve"> 2.</w:t>
      </w:r>
      <w:r w:rsidR="00D62410" w:rsidRPr="00D958CD">
        <w:rPr>
          <w:shd w:val="clear" w:color="auto" w:fill="FFFFFF"/>
          <w:lang w:val="en-US"/>
        </w:rPr>
        <w:tab/>
      </w:r>
      <w:r w:rsidR="00D46BC5" w:rsidRPr="00D46BC5">
        <w:rPr>
          <w:b/>
          <w:shd w:val="clear" w:color="auto" w:fill="FFFFFF"/>
          <w:lang w:val="en-GB"/>
        </w:rPr>
        <w:t>Structure of unemployed persons by the source of unemployment and sex in the f</w:t>
      </w:r>
      <w:r w:rsidR="00D46BC5">
        <w:rPr>
          <w:b/>
          <w:shd w:val="clear" w:color="auto" w:fill="FFFFFF"/>
          <w:lang w:val="en-GB"/>
        </w:rPr>
        <w:t>irst</w:t>
      </w:r>
      <w:r w:rsidR="00D46BC5" w:rsidRPr="00D46BC5">
        <w:rPr>
          <w:b/>
          <w:shd w:val="clear" w:color="auto" w:fill="FFFFFF"/>
          <w:lang w:val="en-GB"/>
        </w:rPr>
        <w:t xml:space="preserve"> quarter of 202</w:t>
      </w:r>
      <w:r w:rsidR="00D46BC5">
        <w:rPr>
          <w:b/>
          <w:shd w:val="clear" w:color="auto" w:fill="FFFFFF"/>
          <w:lang w:val="en-GB"/>
        </w:rPr>
        <w:t>2</w:t>
      </w:r>
      <w:r w:rsidR="00D46BC5" w:rsidRPr="00D46BC5">
        <w:rPr>
          <w:b/>
          <w:shd w:val="clear" w:color="auto" w:fill="FFFFFF"/>
          <w:lang w:val="en-GB"/>
        </w:rPr>
        <w:t xml:space="preserve"> (in %) </w:t>
      </w:r>
      <w:bookmarkEnd w:id="2"/>
    </w:p>
    <w:p w14:paraId="6F607D3B" w14:textId="6B3E6943" w:rsidR="002C7522" w:rsidRPr="00F4773B" w:rsidRDefault="00E716A0" w:rsidP="002C7522">
      <w:pPr>
        <w:spacing w:line="288" w:lineRule="auto"/>
        <w:rPr>
          <w:rFonts w:eastAsia="Times New Roman" w:cs="Times New Roman"/>
          <w:szCs w:val="19"/>
          <w:lang w:val="en-GB" w:eastAsia="pl-PL"/>
        </w:rPr>
      </w:pPr>
      <w:r w:rsidRPr="00EE0E7D">
        <w:rPr>
          <w:b/>
          <w:noProof/>
          <w:lang w:eastAsia="pl-PL"/>
        </w:rPr>
        <mc:AlternateContent>
          <mc:Choice Requires="wps">
            <w:drawing>
              <wp:anchor distT="45720" distB="45720" distL="114300" distR="114300" simplePos="0" relativeHeight="251772928" behindDoc="1" locked="0" layoutInCell="1" allowOverlap="1" wp14:anchorId="2B45104B" wp14:editId="314EA327">
                <wp:simplePos x="0" y="0"/>
                <wp:positionH relativeFrom="column">
                  <wp:posOffset>5286375</wp:posOffset>
                </wp:positionH>
                <wp:positionV relativeFrom="paragraph">
                  <wp:posOffset>2273300</wp:posOffset>
                </wp:positionV>
                <wp:extent cx="1533525" cy="1114425"/>
                <wp:effectExtent l="0" t="0" r="0" b="0"/>
                <wp:wrapTight wrapText="bothSides">
                  <wp:wrapPolygon edited="0">
                    <wp:start x="805" y="0"/>
                    <wp:lineTo x="805" y="21046"/>
                    <wp:lineTo x="20661" y="21046"/>
                    <wp:lineTo x="20661" y="0"/>
                    <wp:lineTo x="805" y="0"/>
                  </wp:wrapPolygon>
                </wp:wrapTight>
                <wp:docPr id="20" name="Pole tekstowe 2" descr="Every twentieth person previously employed indicated the loss or termination of work due to the pandem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114425"/>
                        </a:xfrm>
                        <a:prstGeom prst="rect">
                          <a:avLst/>
                        </a:prstGeom>
                        <a:noFill/>
                        <a:ln w="9525">
                          <a:noFill/>
                          <a:miter lim="800000"/>
                          <a:headEnd/>
                          <a:tailEnd/>
                        </a:ln>
                      </wps:spPr>
                      <wps:txbx>
                        <w:txbxContent>
                          <w:p w14:paraId="77CC8557" w14:textId="295248F2" w:rsidR="00D12A51" w:rsidRPr="00E716A0" w:rsidRDefault="00D12A51" w:rsidP="00E716A0">
                            <w:pPr>
                              <w:pStyle w:val="tekstzboku"/>
                              <w:rPr>
                                <w:lang w:val="en-GB"/>
                              </w:rPr>
                            </w:pPr>
                            <w:r>
                              <w:rPr>
                                <w:lang w:val="en-GB"/>
                              </w:rPr>
                              <w:t>E</w:t>
                            </w:r>
                            <w:r w:rsidRPr="003E76AA">
                              <w:rPr>
                                <w:lang w:val="en-GB"/>
                              </w:rPr>
                              <w:t xml:space="preserve">very </w:t>
                            </w:r>
                            <w:r>
                              <w:rPr>
                                <w:lang w:val="en-GB"/>
                              </w:rPr>
                              <w:t>twentie</w:t>
                            </w:r>
                            <w:r w:rsidRPr="003E76AA">
                              <w:rPr>
                                <w:lang w:val="en-GB"/>
                              </w:rPr>
                              <w:t>th person previously employed indicated</w:t>
                            </w:r>
                            <w:r>
                              <w:rPr>
                                <w:lang w:val="en-GB"/>
                              </w:rPr>
                              <w:t xml:space="preserve"> the loss or t</w:t>
                            </w:r>
                            <w:r w:rsidRPr="003E76AA">
                              <w:rPr>
                                <w:lang w:val="en-GB"/>
                              </w:rPr>
                              <w:t>ermination of work due</w:t>
                            </w:r>
                            <w:r>
                              <w:rPr>
                                <w:lang w:val="en-GB"/>
                              </w:rPr>
                              <w:t xml:space="preserve"> </w:t>
                            </w:r>
                            <w:r w:rsidRPr="003E76AA">
                              <w:rPr>
                                <w:lang w:val="en-GB"/>
                              </w:rPr>
                              <w:t>to the pandemic</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5104B" id="_x0000_s1037" type="#_x0000_t202" alt="Every twentieth person previously employed indicated the loss or termination of work due to the pandemic" style="position:absolute;margin-left:416.25pt;margin-top:179pt;width:120.75pt;height:87.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" filled="f" stroked="f">
                <v:textbox inset=",0">
                  <w:txbxContent>
                    <w:p w14:paraId="77CC8557" w14:textId="295248F2" w:rsidR="00D12A51" w:rsidRPr="00E716A0" w:rsidRDefault="00D12A51" w:rsidP="00E716A0">
                      <w:pPr>
                        <w:pStyle w:val="tekstzboku"/>
                        <w:rPr>
                          <w:lang w:val="en-GB"/>
                        </w:rPr>
                      </w:pPr>
                      <w:r>
                        <w:rPr>
                          <w:lang w:val="en-GB"/>
                        </w:rPr>
                        <w:t>E</w:t>
                      </w:r>
                      <w:r w:rsidRPr="003E76AA">
                        <w:rPr>
                          <w:lang w:val="en-GB"/>
                        </w:rPr>
                        <w:t xml:space="preserve">very </w:t>
                      </w:r>
                      <w:r>
                        <w:rPr>
                          <w:lang w:val="en-GB"/>
                        </w:rPr>
                        <w:t>twentie</w:t>
                      </w:r>
                      <w:r w:rsidRPr="003E76AA">
                        <w:rPr>
                          <w:lang w:val="en-GB"/>
                        </w:rPr>
                        <w:t>th person previously employed indicated</w:t>
                      </w:r>
                      <w:r>
                        <w:rPr>
                          <w:lang w:val="en-GB"/>
                        </w:rPr>
                        <w:t xml:space="preserve"> the loss or t</w:t>
                      </w:r>
                      <w:r w:rsidRPr="003E76AA">
                        <w:rPr>
                          <w:lang w:val="en-GB"/>
                        </w:rPr>
                        <w:t>ermination of work due</w:t>
                      </w:r>
                      <w:r>
                        <w:rPr>
                          <w:lang w:val="en-GB"/>
                        </w:rPr>
                        <w:t xml:space="preserve"> </w:t>
                      </w:r>
                      <w:r w:rsidRPr="003E76AA">
                        <w:rPr>
                          <w:lang w:val="en-GB"/>
                        </w:rPr>
                        <w:t>to the pandemic</w:t>
                      </w:r>
                    </w:p>
                  </w:txbxContent>
                </v:textbox>
                <w10:wrap type="tight"/>
              </v:shape>
            </w:pict>
          </mc:Fallback>
        </mc:AlternateContent>
      </w:r>
      <w:r w:rsidR="002C7522" w:rsidRPr="00F4773B">
        <w:rPr>
          <w:rFonts w:eastAsia="Times New Roman" w:cs="Times New Roman"/>
          <w:szCs w:val="19"/>
          <w:lang w:val="en-GB" w:eastAsia="pl-PL"/>
        </w:rPr>
        <w:t>In the f</w:t>
      </w:r>
      <w:r w:rsidR="002C7522">
        <w:rPr>
          <w:rFonts w:eastAsia="Times New Roman" w:cs="Times New Roman"/>
          <w:szCs w:val="19"/>
          <w:lang w:val="en-GB" w:eastAsia="pl-PL"/>
        </w:rPr>
        <w:t xml:space="preserve">irst </w:t>
      </w:r>
      <w:r w:rsidR="002C7522" w:rsidRPr="00F4773B">
        <w:rPr>
          <w:rFonts w:eastAsia="Times New Roman" w:cs="Times New Roman"/>
          <w:szCs w:val="19"/>
          <w:lang w:val="en-GB" w:eastAsia="pl-PL"/>
        </w:rPr>
        <w:t>quarter of 202</w:t>
      </w:r>
      <w:r w:rsidR="002C7522">
        <w:rPr>
          <w:rFonts w:eastAsia="Times New Roman" w:cs="Times New Roman"/>
          <w:szCs w:val="19"/>
          <w:lang w:val="en-GB" w:eastAsia="pl-PL"/>
        </w:rPr>
        <w:t>2</w:t>
      </w:r>
      <w:r w:rsidR="002C7522" w:rsidRPr="00F4773B">
        <w:rPr>
          <w:rFonts w:eastAsia="Times New Roman" w:cs="Times New Roman"/>
          <w:szCs w:val="19"/>
          <w:lang w:val="en-GB" w:eastAsia="pl-PL"/>
        </w:rPr>
        <w:t>,</w:t>
      </w:r>
      <w:r w:rsidR="002C7522">
        <w:rPr>
          <w:rFonts w:eastAsia="Times New Roman" w:cs="Times New Roman"/>
          <w:szCs w:val="19"/>
          <w:lang w:val="en-GB" w:eastAsia="pl-PL"/>
        </w:rPr>
        <w:t xml:space="preserve"> </w:t>
      </w:r>
      <w:r w:rsidR="002C7522" w:rsidRPr="00F4773B">
        <w:rPr>
          <w:rFonts w:eastAsia="Times New Roman" w:cs="Times New Roman"/>
          <w:szCs w:val="19"/>
          <w:lang w:val="en-GB" w:eastAsia="pl-PL"/>
        </w:rPr>
        <w:t xml:space="preserve">among </w:t>
      </w:r>
      <w:r w:rsidR="002C7522">
        <w:rPr>
          <w:rFonts w:eastAsia="Times New Roman" w:cs="Times New Roman"/>
          <w:szCs w:val="19"/>
          <w:lang w:val="en-GB" w:eastAsia="pl-PL"/>
        </w:rPr>
        <w:t>402</w:t>
      </w:r>
      <w:r w:rsidR="002C7522" w:rsidRPr="00F4773B">
        <w:rPr>
          <w:rFonts w:eastAsia="Times New Roman" w:cs="Times New Roman"/>
          <w:szCs w:val="19"/>
          <w:lang w:val="en-GB" w:eastAsia="pl-PL"/>
        </w:rPr>
        <w:t xml:space="preserve"> thousand unemployed persons previously employed, </w:t>
      </w:r>
      <w:r w:rsidR="002C7522">
        <w:rPr>
          <w:rFonts w:eastAsia="Times New Roman" w:cs="Times New Roman"/>
          <w:szCs w:val="19"/>
          <w:lang w:val="en-GB" w:eastAsia="pl-PL"/>
        </w:rPr>
        <w:t>20</w:t>
      </w:r>
      <w:r w:rsidR="002C7522" w:rsidRPr="00F4773B">
        <w:rPr>
          <w:rFonts w:eastAsia="Times New Roman" w:cs="Times New Roman"/>
          <w:szCs w:val="19"/>
          <w:lang w:val="en-GB" w:eastAsia="pl-PL"/>
        </w:rPr>
        <w:t xml:space="preserve"> thousand persons (</w:t>
      </w:r>
      <w:r w:rsidR="002C7522">
        <w:rPr>
          <w:rFonts w:eastAsia="Times New Roman" w:cs="Times New Roman"/>
          <w:szCs w:val="19"/>
          <w:lang w:val="en-GB" w:eastAsia="pl-PL"/>
        </w:rPr>
        <w:t>5.0</w:t>
      </w:r>
      <w:r w:rsidR="002C7522" w:rsidRPr="00F4773B">
        <w:rPr>
          <w:rFonts w:eastAsia="Times New Roman" w:cs="Times New Roman"/>
          <w:szCs w:val="19"/>
          <w:lang w:val="en-GB" w:eastAsia="pl-PL"/>
        </w:rPr>
        <w:t>%) declared the situation caused by the</w:t>
      </w:r>
      <w:r w:rsidR="002C7522">
        <w:rPr>
          <w:rFonts w:eastAsia="Times New Roman" w:cs="Times New Roman"/>
          <w:szCs w:val="19"/>
          <w:lang w:val="en-GB" w:eastAsia="pl-PL"/>
        </w:rPr>
        <w:t xml:space="preserve"> </w:t>
      </w:r>
      <w:r w:rsidR="002C7522" w:rsidRPr="00F4773B">
        <w:rPr>
          <w:rFonts w:eastAsia="Times New Roman" w:cs="Times New Roman"/>
          <w:szCs w:val="19"/>
          <w:lang w:val="en-GB" w:eastAsia="pl-PL"/>
        </w:rPr>
        <w:t>COVID-19 pandemic as the reason for</w:t>
      </w:r>
      <w:r w:rsidR="002C7522">
        <w:rPr>
          <w:rFonts w:eastAsia="Times New Roman" w:cs="Times New Roman"/>
          <w:szCs w:val="19"/>
          <w:lang w:val="en-GB" w:eastAsia="pl-PL"/>
        </w:rPr>
        <w:t xml:space="preserve"> termination of the last performed work </w:t>
      </w:r>
      <w:r w:rsidR="002C7522" w:rsidRPr="00F4773B">
        <w:rPr>
          <w:rFonts w:eastAsia="Times New Roman" w:cs="Times New Roman"/>
          <w:szCs w:val="19"/>
          <w:lang w:val="en-GB" w:eastAsia="pl-PL"/>
        </w:rPr>
        <w:t>(in the previous quarter it was 6</w:t>
      </w:r>
      <w:r w:rsidR="002C7522">
        <w:rPr>
          <w:rFonts w:eastAsia="Times New Roman" w:cs="Times New Roman"/>
          <w:szCs w:val="19"/>
          <w:lang w:val="en-GB" w:eastAsia="pl-PL"/>
        </w:rPr>
        <w:t>8</w:t>
      </w:r>
      <w:r w:rsidR="002C7522" w:rsidRPr="00F4773B">
        <w:rPr>
          <w:rFonts w:eastAsia="Times New Roman" w:cs="Times New Roman"/>
          <w:szCs w:val="19"/>
          <w:lang w:val="en-GB" w:eastAsia="pl-PL"/>
        </w:rPr>
        <w:t xml:space="preserve"> thousand persons, i.e. 1</w:t>
      </w:r>
      <w:r w:rsidR="002C7522">
        <w:rPr>
          <w:rFonts w:eastAsia="Times New Roman" w:cs="Times New Roman"/>
          <w:szCs w:val="19"/>
          <w:lang w:val="en-GB" w:eastAsia="pl-PL"/>
        </w:rPr>
        <w:t>8</w:t>
      </w:r>
      <w:r w:rsidR="002C7522" w:rsidRPr="00F4773B">
        <w:rPr>
          <w:rFonts w:eastAsia="Times New Roman" w:cs="Times New Roman"/>
          <w:szCs w:val="19"/>
          <w:lang w:val="en-GB" w:eastAsia="pl-PL"/>
        </w:rPr>
        <w:t>.</w:t>
      </w:r>
      <w:r w:rsidR="002C7522">
        <w:rPr>
          <w:rFonts w:eastAsia="Times New Roman" w:cs="Times New Roman"/>
          <w:szCs w:val="19"/>
          <w:lang w:val="en-GB" w:eastAsia="pl-PL"/>
        </w:rPr>
        <w:t>1</w:t>
      </w:r>
      <w:r w:rsidR="002C7522" w:rsidRPr="00F4773B">
        <w:rPr>
          <w:rFonts w:eastAsia="Times New Roman" w:cs="Times New Roman"/>
          <w:szCs w:val="19"/>
          <w:lang w:val="en-GB" w:eastAsia="pl-PL"/>
        </w:rPr>
        <w:t>%</w:t>
      </w:r>
      <w:r w:rsidR="002C7522">
        <w:rPr>
          <w:rFonts w:eastAsia="Times New Roman" w:cs="Times New Roman"/>
          <w:szCs w:val="19"/>
          <w:lang w:val="en-GB" w:eastAsia="pl-PL"/>
        </w:rPr>
        <w:t>, while a year ago – 142 thousand persons, i.e. 27.3%</w:t>
      </w:r>
      <w:r w:rsidR="002C7522" w:rsidRPr="00F4773B">
        <w:rPr>
          <w:rFonts w:eastAsia="Times New Roman" w:cs="Times New Roman"/>
          <w:szCs w:val="19"/>
          <w:lang w:val="en-GB" w:eastAsia="pl-PL"/>
        </w:rPr>
        <w:t xml:space="preserve">). Among this group, </w:t>
      </w:r>
      <w:r w:rsidR="002C7522">
        <w:rPr>
          <w:rFonts w:eastAsia="Times New Roman" w:cs="Times New Roman"/>
          <w:szCs w:val="19"/>
          <w:lang w:val="en-GB" w:eastAsia="pl-PL"/>
        </w:rPr>
        <w:t>15</w:t>
      </w:r>
      <w:r w:rsidR="002C7522" w:rsidRPr="00F4773B">
        <w:rPr>
          <w:rFonts w:eastAsia="Times New Roman" w:cs="Times New Roman"/>
          <w:szCs w:val="19"/>
          <w:lang w:val="en-GB" w:eastAsia="pl-PL"/>
        </w:rPr>
        <w:t xml:space="preserve"> thousand persons (i.e. </w:t>
      </w:r>
      <w:r w:rsidR="002C7522">
        <w:rPr>
          <w:rFonts w:eastAsia="Times New Roman" w:cs="Times New Roman"/>
          <w:szCs w:val="19"/>
          <w:lang w:val="en-GB" w:eastAsia="pl-PL"/>
        </w:rPr>
        <w:t>75</w:t>
      </w:r>
      <w:r w:rsidR="002C7522" w:rsidRPr="00F4773B">
        <w:rPr>
          <w:rFonts w:eastAsia="Times New Roman" w:cs="Times New Roman"/>
          <w:szCs w:val="19"/>
          <w:lang w:val="en-GB" w:eastAsia="pl-PL"/>
        </w:rPr>
        <w:t>.</w:t>
      </w:r>
      <w:r w:rsidR="002C7522">
        <w:rPr>
          <w:rFonts w:eastAsia="Times New Roman" w:cs="Times New Roman"/>
          <w:szCs w:val="19"/>
          <w:lang w:val="en-GB" w:eastAsia="pl-PL"/>
        </w:rPr>
        <w:t>0</w:t>
      </w:r>
      <w:r w:rsidR="002C7522" w:rsidRPr="00F4773B">
        <w:rPr>
          <w:rFonts w:eastAsia="Times New Roman" w:cs="Times New Roman"/>
          <w:szCs w:val="19"/>
          <w:lang w:val="en-GB" w:eastAsia="pl-PL"/>
        </w:rPr>
        <w:t>%) indicated li</w:t>
      </w:r>
      <w:r w:rsidR="002C7522">
        <w:rPr>
          <w:rFonts w:eastAsia="Times New Roman" w:cs="Times New Roman"/>
          <w:szCs w:val="19"/>
          <w:lang w:val="en-GB" w:eastAsia="pl-PL"/>
        </w:rPr>
        <w:t xml:space="preserve">quidation of </w:t>
      </w:r>
      <w:r w:rsidR="002C7522">
        <w:rPr>
          <w:lang w:val="en-GB"/>
        </w:rPr>
        <w:t>an establishment or a work position</w:t>
      </w:r>
      <w:r w:rsidR="002C7522" w:rsidRPr="002C7522">
        <w:rPr>
          <w:rFonts w:eastAsia="Times New Roman" w:cs="Times New Roman"/>
          <w:szCs w:val="19"/>
          <w:lang w:val="en-GB" w:eastAsia="pl-PL"/>
        </w:rPr>
        <w:t xml:space="preserve"> </w:t>
      </w:r>
      <w:r w:rsidR="002C7522">
        <w:rPr>
          <w:rFonts w:eastAsia="Times New Roman" w:cs="Times New Roman"/>
          <w:szCs w:val="19"/>
          <w:lang w:val="en-GB" w:eastAsia="pl-PL"/>
        </w:rPr>
        <w:t xml:space="preserve">as a direct reason </w:t>
      </w:r>
      <w:r w:rsidR="002C7522" w:rsidRPr="00F4773B">
        <w:rPr>
          <w:rFonts w:eastAsia="Times New Roman" w:cs="Times New Roman"/>
          <w:szCs w:val="19"/>
          <w:lang w:val="en-GB" w:eastAsia="pl-PL"/>
        </w:rPr>
        <w:t>for</w:t>
      </w:r>
      <w:r w:rsidR="002C7522">
        <w:rPr>
          <w:rFonts w:eastAsia="Times New Roman" w:cs="Times New Roman"/>
          <w:szCs w:val="19"/>
          <w:lang w:val="en-GB" w:eastAsia="pl-PL"/>
        </w:rPr>
        <w:t xml:space="preserve"> termination of the last performed work</w:t>
      </w:r>
      <w:r w:rsidR="002C7522" w:rsidRPr="00F4773B">
        <w:rPr>
          <w:rFonts w:eastAsia="Times New Roman" w:cs="Times New Roman"/>
          <w:szCs w:val="19"/>
          <w:lang w:val="en-GB" w:eastAsia="pl-PL"/>
        </w:rPr>
        <w:t>.</w:t>
      </w:r>
    </w:p>
    <w:p w14:paraId="0A53B3E7" w14:textId="10616BCD" w:rsidR="008B09BC" w:rsidRDefault="008B09BC" w:rsidP="008B09BC">
      <w:pPr>
        <w:spacing w:line="288" w:lineRule="auto"/>
        <w:rPr>
          <w:shd w:val="clear" w:color="auto" w:fill="FFFFFF"/>
          <w:lang w:val="en-GB"/>
        </w:rPr>
      </w:pPr>
      <w:r w:rsidRPr="00F4773B">
        <w:rPr>
          <w:lang w:val="en-GB" w:eastAsia="pl-PL"/>
        </w:rPr>
        <w:t xml:space="preserve">In the analysed period, the average duration of a job search </w:t>
      </w:r>
      <w:r w:rsidRPr="00F4773B">
        <w:rPr>
          <w:shd w:val="clear" w:color="auto" w:fill="FFFFFF"/>
          <w:lang w:val="en-GB"/>
        </w:rPr>
        <w:t xml:space="preserve">comprised </w:t>
      </w:r>
      <w:r w:rsidRPr="00F4773B">
        <w:rPr>
          <w:rFonts w:eastAsia="Times New Roman" w:cs="Times New Roman"/>
          <w:szCs w:val="19"/>
          <w:lang w:val="en-GB" w:eastAsia="pl-PL"/>
        </w:rPr>
        <w:t>8.</w:t>
      </w:r>
      <w:r>
        <w:rPr>
          <w:rFonts w:eastAsia="Times New Roman" w:cs="Times New Roman"/>
          <w:szCs w:val="19"/>
          <w:lang w:val="en-GB" w:eastAsia="pl-PL"/>
        </w:rPr>
        <w:t>2</w:t>
      </w:r>
      <w:r w:rsidRPr="00F4773B">
        <w:rPr>
          <w:rFonts w:eastAsia="Times New Roman" w:cs="Times New Roman"/>
          <w:szCs w:val="19"/>
          <w:lang w:val="en-GB" w:eastAsia="pl-PL"/>
        </w:rPr>
        <w:t xml:space="preserve"> </w:t>
      </w:r>
      <w:r>
        <w:rPr>
          <w:shd w:val="clear" w:color="auto" w:fill="FFFFFF"/>
          <w:lang w:val="en-GB"/>
        </w:rPr>
        <w:t>months (</w:t>
      </w:r>
      <w:r w:rsidRPr="00F4773B">
        <w:rPr>
          <w:shd w:val="clear" w:color="auto" w:fill="FFFFFF"/>
          <w:lang w:val="en-GB"/>
        </w:rPr>
        <w:t>in the previous quarter</w:t>
      </w:r>
      <w:r>
        <w:rPr>
          <w:shd w:val="clear" w:color="auto" w:fill="FFFFFF"/>
          <w:lang w:val="en-GB"/>
        </w:rPr>
        <w:t xml:space="preserve"> it was 8.3 months, while a year ago – 7.4 months</w:t>
      </w:r>
      <w:r w:rsidRPr="00F4773B">
        <w:rPr>
          <w:shd w:val="clear" w:color="auto" w:fill="FFFFFF"/>
          <w:lang w:val="en-GB"/>
        </w:rPr>
        <w:t xml:space="preserve">). Persons who were seeking a job for the longest </w:t>
      </w:r>
      <w:r w:rsidR="004E6D6B">
        <w:rPr>
          <w:shd w:val="clear" w:color="auto" w:fill="FFFFFF"/>
          <w:lang w:val="en-GB"/>
        </w:rPr>
        <w:t>duration</w:t>
      </w:r>
      <w:r w:rsidRPr="00F4773B">
        <w:rPr>
          <w:shd w:val="clear" w:color="auto" w:fill="FFFFFF"/>
          <w:lang w:val="en-GB"/>
        </w:rPr>
        <w:t xml:space="preserve"> were the ones aged </w:t>
      </w:r>
      <w:r>
        <w:rPr>
          <w:shd w:val="clear" w:color="auto" w:fill="FFFFFF"/>
          <w:lang w:val="en-GB"/>
        </w:rPr>
        <w:t>5</w:t>
      </w:r>
      <w:r w:rsidRPr="00F4773B">
        <w:rPr>
          <w:shd w:val="clear" w:color="auto" w:fill="FFFFFF"/>
          <w:lang w:val="en-GB"/>
        </w:rPr>
        <w:t>5–</w:t>
      </w:r>
      <w:r>
        <w:rPr>
          <w:shd w:val="clear" w:color="auto" w:fill="FFFFFF"/>
          <w:lang w:val="en-GB"/>
        </w:rPr>
        <w:t>7</w:t>
      </w:r>
      <w:r w:rsidRPr="00F4773B">
        <w:rPr>
          <w:shd w:val="clear" w:color="auto" w:fill="FFFFFF"/>
          <w:lang w:val="en-GB"/>
        </w:rPr>
        <w:t>4 years (10.0 months),</w:t>
      </w:r>
      <w:r>
        <w:rPr>
          <w:shd w:val="clear" w:color="auto" w:fill="FFFFFF"/>
          <w:lang w:val="en-GB"/>
        </w:rPr>
        <w:t xml:space="preserve"> </w:t>
      </w:r>
      <w:r w:rsidRPr="00F4773B">
        <w:rPr>
          <w:shd w:val="clear" w:color="auto" w:fill="FFFFFF"/>
          <w:lang w:val="en-GB"/>
        </w:rPr>
        <w:t xml:space="preserve">aged </w:t>
      </w:r>
      <w:r>
        <w:rPr>
          <w:shd w:val="clear" w:color="auto" w:fill="FFFFFF"/>
          <w:lang w:val="en-GB"/>
        </w:rPr>
        <w:t>3</w:t>
      </w:r>
      <w:r w:rsidRPr="00F4773B">
        <w:rPr>
          <w:rFonts w:eastAsia="Times New Roman" w:cs="Times New Roman"/>
          <w:szCs w:val="19"/>
          <w:lang w:val="en-GB" w:eastAsia="pl-PL"/>
        </w:rPr>
        <w:t>5–</w:t>
      </w:r>
      <w:r w:rsidR="00D47E43">
        <w:rPr>
          <w:rFonts w:eastAsia="Times New Roman" w:cs="Times New Roman"/>
          <w:szCs w:val="19"/>
          <w:lang w:val="en-GB" w:eastAsia="pl-PL"/>
        </w:rPr>
        <w:t> </w:t>
      </w:r>
      <w:r>
        <w:rPr>
          <w:rFonts w:eastAsia="Times New Roman" w:cs="Times New Roman"/>
          <w:szCs w:val="19"/>
          <w:lang w:val="en-GB" w:eastAsia="pl-PL"/>
        </w:rPr>
        <w:t>4</w:t>
      </w:r>
      <w:r w:rsidRPr="00F4773B">
        <w:rPr>
          <w:rFonts w:eastAsia="Times New Roman" w:cs="Times New Roman"/>
          <w:szCs w:val="19"/>
          <w:lang w:val="en-GB" w:eastAsia="pl-PL"/>
        </w:rPr>
        <w:t>4</w:t>
      </w:r>
      <w:r w:rsidR="00D93B6C">
        <w:rPr>
          <w:rFonts w:eastAsia="Times New Roman" w:cs="Times New Roman"/>
          <w:szCs w:val="19"/>
          <w:lang w:val="en-GB" w:eastAsia="pl-PL"/>
        </w:rPr>
        <w:t> </w:t>
      </w:r>
      <w:r w:rsidRPr="00F4773B">
        <w:rPr>
          <w:rFonts w:eastAsia="Times New Roman" w:cs="Times New Roman"/>
          <w:szCs w:val="19"/>
          <w:lang w:val="en-GB" w:eastAsia="pl-PL"/>
        </w:rPr>
        <w:t xml:space="preserve">years </w:t>
      </w:r>
      <w:r w:rsidRPr="00F4773B">
        <w:rPr>
          <w:shd w:val="clear" w:color="auto" w:fill="FFFFFF"/>
          <w:lang w:val="en-GB"/>
        </w:rPr>
        <w:t xml:space="preserve">and 45–54 years </w:t>
      </w:r>
      <w:r w:rsidRPr="00F4773B">
        <w:rPr>
          <w:rFonts w:eastAsia="Times New Roman" w:cs="Times New Roman"/>
          <w:szCs w:val="19"/>
          <w:lang w:val="en-GB" w:eastAsia="pl-PL"/>
        </w:rPr>
        <w:t>(</w:t>
      </w:r>
      <w:r w:rsidR="008878FE">
        <w:rPr>
          <w:rFonts w:eastAsia="Times New Roman" w:cs="Times New Roman"/>
          <w:szCs w:val="19"/>
          <w:lang w:val="en-GB" w:eastAsia="pl-PL"/>
        </w:rPr>
        <w:t>8</w:t>
      </w:r>
      <w:r w:rsidRPr="00F4773B">
        <w:rPr>
          <w:rFonts w:eastAsia="Times New Roman" w:cs="Times New Roman"/>
          <w:szCs w:val="19"/>
          <w:lang w:val="en-GB" w:eastAsia="pl-PL"/>
        </w:rPr>
        <w:t>.7 months</w:t>
      </w:r>
      <w:r>
        <w:rPr>
          <w:rFonts w:eastAsia="Times New Roman" w:cs="Times New Roman"/>
          <w:szCs w:val="19"/>
          <w:lang w:val="en-GB" w:eastAsia="pl-PL"/>
        </w:rPr>
        <w:t xml:space="preserve"> each</w:t>
      </w:r>
      <w:r w:rsidRPr="00F4773B">
        <w:rPr>
          <w:rFonts w:eastAsia="Times New Roman" w:cs="Times New Roman"/>
          <w:szCs w:val="19"/>
          <w:lang w:val="en-GB" w:eastAsia="pl-PL"/>
        </w:rPr>
        <w:t>),</w:t>
      </w:r>
      <w:r w:rsidRPr="00F4773B">
        <w:rPr>
          <w:shd w:val="clear" w:color="auto" w:fill="FFFFFF"/>
          <w:lang w:val="en-GB"/>
        </w:rPr>
        <w:t xml:space="preserve"> </w:t>
      </w:r>
      <w:r>
        <w:rPr>
          <w:shd w:val="clear" w:color="auto" w:fill="FFFFFF"/>
          <w:lang w:val="en-GB"/>
        </w:rPr>
        <w:t>while</w:t>
      </w:r>
      <w:r w:rsidRPr="00F4773B">
        <w:rPr>
          <w:shd w:val="clear" w:color="auto" w:fill="FFFFFF"/>
          <w:lang w:val="en-GB"/>
        </w:rPr>
        <w:t xml:space="preserve"> the shortest job search duration was observed for the youngest persons, in the age group 15–19 years (5.</w:t>
      </w:r>
      <w:r>
        <w:rPr>
          <w:shd w:val="clear" w:color="auto" w:fill="FFFFFF"/>
          <w:lang w:val="en-GB"/>
        </w:rPr>
        <w:t>0 months).</w:t>
      </w:r>
    </w:p>
    <w:p w14:paraId="4B528988" w14:textId="77777777" w:rsidR="00D958CD" w:rsidRDefault="00D958CD" w:rsidP="008B09BC">
      <w:pPr>
        <w:spacing w:line="288" w:lineRule="auto"/>
        <w:rPr>
          <w:shd w:val="clear" w:color="auto" w:fill="FFFFFF"/>
          <w:lang w:val="en-GB"/>
        </w:rPr>
      </w:pPr>
    </w:p>
    <w:p w14:paraId="38730378" w14:textId="77777777" w:rsidR="00D958CD" w:rsidRPr="00F4773B" w:rsidRDefault="00D958CD" w:rsidP="008B09BC">
      <w:pPr>
        <w:spacing w:line="288" w:lineRule="auto"/>
        <w:rPr>
          <w:lang w:val="en-GB"/>
        </w:rPr>
      </w:pPr>
    </w:p>
    <w:p w14:paraId="4F97E1F2" w14:textId="19ED7BE5" w:rsidR="00E260E4" w:rsidRPr="00D958CD" w:rsidRDefault="009E6566" w:rsidP="00E260E4">
      <w:pPr>
        <w:pStyle w:val="Lead"/>
        <w:rPr>
          <w:lang w:val="en-US"/>
        </w:rPr>
      </w:pPr>
      <w:r w:rsidRPr="00D66BE3">
        <mc:AlternateContent>
          <mc:Choice Requires="wps">
            <w:drawing>
              <wp:anchor distT="45720" distB="45720" distL="114300" distR="114300" simplePos="0" relativeHeight="251776000" behindDoc="0" locked="0" layoutInCell="1" allowOverlap="1" wp14:anchorId="10C3D9B5" wp14:editId="50161BA1">
                <wp:simplePos x="0" y="0"/>
                <wp:positionH relativeFrom="margin">
                  <wp:align>left</wp:align>
                </wp:positionH>
                <wp:positionV relativeFrom="paragraph">
                  <wp:posOffset>6350</wp:posOffset>
                </wp:positionV>
                <wp:extent cx="2247900" cy="1333500"/>
                <wp:effectExtent l="0" t="0" r="0" b="0"/>
                <wp:wrapSquare wrapText="bothSides"/>
                <wp:docPr id="26" name="Pole tekstowe 2" descr="The share of economically inactive persons in the total number of the population aged 15–89  -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333500"/>
                        </a:xfrm>
                        <a:prstGeom prst="roundRect">
                          <a:avLst/>
                        </a:prstGeom>
                        <a:solidFill>
                          <a:srgbClr val="001D77"/>
                        </a:solidFill>
                        <a:ln w="9525">
                          <a:noFill/>
                          <a:miter lim="800000"/>
                          <a:headEnd/>
                          <a:tailEnd/>
                        </a:ln>
                      </wps:spPr>
                      <wps:txbx>
                        <w:txbxContent>
                          <w:p w14:paraId="1D35E725" w14:textId="7AEE57B2" w:rsidR="009E6566" w:rsidRPr="009E6566" w:rsidRDefault="009E6566"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42.</w:t>
                            </w:r>
                            <w:r>
                              <w:rPr>
                                <w:rFonts w:ascii="Fira Sans SemiBold" w:hAnsi="Fira Sans SemiBold"/>
                                <w:color w:val="FFFFFF" w:themeColor="background1"/>
                                <w:sz w:val="72"/>
                                <w:lang w:val="en-GB"/>
                              </w:rPr>
                              <w:t>0</w:t>
                            </w:r>
                            <w:r w:rsidRPr="009E6566">
                              <w:rPr>
                                <w:rFonts w:ascii="Fira Sans SemiBold" w:hAnsi="Fira Sans SemiBold"/>
                                <w:color w:val="FFFFFF" w:themeColor="background1"/>
                                <w:sz w:val="72"/>
                                <w:lang w:val="en-GB"/>
                              </w:rPr>
                              <w:t>%</w:t>
                            </w:r>
                          </w:p>
                          <w:p w14:paraId="37F12F63" w14:textId="54CD305B" w:rsidR="009E6566" w:rsidRPr="00DE4993" w:rsidRDefault="009E6566"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The share of economically inactive persons in the total number of the population</w:t>
                            </w:r>
                            <w:r w:rsidRPr="00DE4993">
                              <w:rPr>
                                <w:color w:val="FFFFFF" w:themeColor="background1"/>
                                <w:sz w:val="20"/>
                                <w:szCs w:val="20"/>
                                <w:lang w:val="en-GB"/>
                              </w:rPr>
                              <w:t xml:space="preserve"> aged 15–89 years</w:t>
                            </w:r>
                          </w:p>
                          <w:p w14:paraId="55F4EE59" w14:textId="29437D98" w:rsidR="00D12A51" w:rsidRPr="00D958CD" w:rsidRDefault="00D12A51"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8" alt="The share of economically inactive persons in the total number of the population aged 15–89  - 42.0%" style="position:absolute;margin-left:0;margin-top:.5pt;width:177pt;height:105pt;z-index:251776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" fillcolor="#001d77" stroked="f">
                <v:stroke joinstyle="miter"/>
                <v:textbox>
                  <w:txbxContent>
                    <w:p w14:paraId="1D35E725" w14:textId="7AEE57B2" w:rsidR="009E6566" w:rsidRPr="009E6566" w:rsidRDefault="009E6566"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42.</w:t>
                      </w:r>
                      <w:r>
                        <w:rPr>
                          <w:rFonts w:ascii="Fira Sans SemiBold" w:hAnsi="Fira Sans SemiBold"/>
                          <w:color w:val="FFFFFF" w:themeColor="background1"/>
                          <w:sz w:val="72"/>
                          <w:lang w:val="en-GB"/>
                        </w:rPr>
                        <w:t>0</w:t>
                      </w:r>
                      <w:r w:rsidRPr="009E6566">
                        <w:rPr>
                          <w:rFonts w:ascii="Fira Sans SemiBold" w:hAnsi="Fira Sans SemiBold"/>
                          <w:color w:val="FFFFFF" w:themeColor="background1"/>
                          <w:sz w:val="72"/>
                          <w:lang w:val="en-GB"/>
                        </w:rPr>
                        <w:t>%</w:t>
                      </w:r>
                    </w:p>
                    <w:p w14:paraId="37F12F63" w14:textId="54CD305B" w:rsidR="009E6566" w:rsidRPr="00DE4993" w:rsidRDefault="009E6566"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The share of economically inactive persons in the total number of the population</w:t>
                      </w:r>
                      <w:r w:rsidRPr="00DE4993">
                        <w:rPr>
                          <w:color w:val="FFFFFF" w:themeColor="background1"/>
                          <w:sz w:val="20"/>
                          <w:szCs w:val="20"/>
                          <w:lang w:val="en-GB"/>
                        </w:rPr>
                        <w:t xml:space="preserve"> aged 15–89 years</w:t>
                      </w:r>
                    </w:p>
                    <w:p w14:paraId="55F4EE59" w14:textId="29437D98" w:rsidR="00D12A51" w:rsidRPr="00D958CD" w:rsidRDefault="00D12A51" w:rsidP="00993C0A">
                      <w:pPr>
                        <w:pStyle w:val="Opiswskanika"/>
                        <w:rPr>
                          <w:sz w:val="18"/>
                          <w:szCs w:val="20"/>
                          <w:lang w:val="en-US"/>
                        </w:rPr>
                      </w:pPr>
                    </w:p>
                  </w:txbxContent>
                </v:textbox>
                <w10:wrap type="square" anchorx="margin"/>
              </v:roundrect>
            </w:pict>
          </mc:Fallback>
        </mc:AlternateContent>
      </w:r>
      <w:r w:rsidR="002C7522" w:rsidRPr="00F4773B">
        <w:rPr>
          <w:noProof w:val="0"/>
          <w:lang w:val="en-GB"/>
        </w:rPr>
        <w:t>In the f</w:t>
      </w:r>
      <w:r w:rsidR="002C7522">
        <w:rPr>
          <w:noProof w:val="0"/>
          <w:lang w:val="en-GB"/>
        </w:rPr>
        <w:t xml:space="preserve">irst </w:t>
      </w:r>
      <w:r w:rsidR="002C7522" w:rsidRPr="00F4773B">
        <w:rPr>
          <w:noProof w:val="0"/>
          <w:lang w:val="en-GB"/>
        </w:rPr>
        <w:t>quarter of 202</w:t>
      </w:r>
      <w:r w:rsidR="002C7522">
        <w:rPr>
          <w:noProof w:val="0"/>
          <w:lang w:val="en-GB"/>
        </w:rPr>
        <w:t>2</w:t>
      </w:r>
      <w:r w:rsidR="002C7522" w:rsidRPr="00F4773B">
        <w:rPr>
          <w:noProof w:val="0"/>
          <w:lang w:val="en-GB"/>
        </w:rPr>
        <w:t xml:space="preserve">, economically inactive persons accounted for 42.0 % of the total number of the populating aged 15–89 </w:t>
      </w:r>
      <w:r w:rsidR="002C7522">
        <w:rPr>
          <w:noProof w:val="0"/>
          <w:lang w:val="en-GB"/>
        </w:rPr>
        <w:t xml:space="preserve">years. The percentage stayed at the same level compared to the previous quarter, while it decreased over the  year (a drop by </w:t>
      </w:r>
      <w:r w:rsidR="00580A28" w:rsidRPr="00D958CD">
        <w:rPr>
          <w:lang w:val="en-US"/>
        </w:rPr>
        <w:t>0</w:t>
      </w:r>
      <w:r w:rsidR="00BD5C9F" w:rsidRPr="00D958CD">
        <w:rPr>
          <w:lang w:val="en-US"/>
        </w:rPr>
        <w:t>.7</w:t>
      </w:r>
      <w:r w:rsidR="00580A28" w:rsidRPr="00D958CD">
        <w:rPr>
          <w:lang w:val="en-US"/>
        </w:rPr>
        <w:t xml:space="preserve">%). </w:t>
      </w:r>
    </w:p>
    <w:p w14:paraId="7F7087C8" w14:textId="77777777" w:rsidR="00AD50F9" w:rsidRPr="00D958CD" w:rsidRDefault="00AD50F9" w:rsidP="00524007">
      <w:pPr>
        <w:pStyle w:val="Nagwek1"/>
        <w:rPr>
          <w:rFonts w:ascii="Fira Sans" w:hAnsi="Fira Sans"/>
          <w:b/>
          <w:szCs w:val="19"/>
          <w:lang w:val="en-US"/>
        </w:rPr>
      </w:pPr>
      <w:bookmarkStart w:id="3" w:name="_GoBack"/>
      <w:bookmarkEnd w:id="3"/>
    </w:p>
    <w:p w14:paraId="56AD36AE" w14:textId="4E54448D" w:rsidR="00524007" w:rsidRPr="00D958CD" w:rsidRDefault="00247A50" w:rsidP="00BD5836">
      <w:pPr>
        <w:pStyle w:val="Nagwek1"/>
        <w:rPr>
          <w:rFonts w:ascii="Fira Sans" w:hAnsi="Fira Sans"/>
          <w:b/>
          <w:szCs w:val="19"/>
          <w:lang w:val="en-US"/>
        </w:rPr>
      </w:pPr>
      <w:r w:rsidRPr="00F4773B">
        <w:rPr>
          <w:rFonts w:ascii="Fira Sans" w:hAnsi="Fira Sans"/>
          <w:b/>
          <w:szCs w:val="19"/>
          <w:lang w:val="en-GB"/>
        </w:rPr>
        <w:t>Economically inactive persons aged 15–89 by the LFS</w:t>
      </w:r>
      <w:r w:rsidRPr="00D958CD">
        <w:rPr>
          <w:rFonts w:ascii="Fira Sans" w:hAnsi="Fira Sans"/>
          <w:b/>
          <w:szCs w:val="19"/>
          <w:lang w:val="en-US"/>
        </w:rPr>
        <w:t xml:space="preserve"> </w:t>
      </w:r>
    </w:p>
    <w:p w14:paraId="246DC6F3" w14:textId="04715418" w:rsidR="004817C2" w:rsidRPr="00555D68" w:rsidRDefault="00486607" w:rsidP="00524007">
      <w:pPr>
        <w:spacing w:line="288" w:lineRule="auto"/>
        <w:rPr>
          <w:rFonts w:eastAsia="Times New Roman" w:cs="Times New Roman"/>
          <w:szCs w:val="19"/>
          <w:lang w:val="en-GB" w:eastAsia="pl-PL"/>
        </w:rPr>
      </w:pPr>
      <w:r w:rsidRPr="00555D68">
        <w:rPr>
          <w:rFonts w:eastAsia="Times New Roman" w:cs="Times New Roman"/>
          <w:szCs w:val="19"/>
          <w:lang w:val="en-GB" w:eastAsia="pl-PL"/>
        </w:rPr>
        <w:t>In the first quarter of 2022, the population of economically inactive persons aged 15-89 years comprised 12511 thousand</w:t>
      </w:r>
      <w:r w:rsidR="004817C2" w:rsidRPr="00555D68">
        <w:rPr>
          <w:rFonts w:eastAsia="Times New Roman" w:cs="Times New Roman"/>
          <w:szCs w:val="19"/>
          <w:lang w:val="en-GB" w:eastAsia="pl-PL"/>
        </w:rPr>
        <w:t>. It r</w:t>
      </w:r>
      <w:r w:rsidRPr="00555D68">
        <w:rPr>
          <w:rFonts w:eastAsia="Times New Roman" w:cs="Times New Roman"/>
          <w:szCs w:val="19"/>
          <w:lang w:val="en-GB" w:eastAsia="pl-PL"/>
        </w:rPr>
        <w:t xml:space="preserve">eached </w:t>
      </w:r>
      <w:r w:rsidR="004817C2" w:rsidRPr="00555D68">
        <w:rPr>
          <w:rFonts w:eastAsia="Times New Roman" w:cs="Times New Roman"/>
          <w:szCs w:val="19"/>
          <w:lang w:val="en-GB" w:eastAsia="pl-PL"/>
        </w:rPr>
        <w:t xml:space="preserve">a slightly lower </w:t>
      </w:r>
      <w:r w:rsidRPr="00555D68">
        <w:rPr>
          <w:rFonts w:eastAsia="Times New Roman" w:cs="Times New Roman"/>
          <w:szCs w:val="19"/>
          <w:lang w:val="en-GB" w:eastAsia="pl-PL"/>
        </w:rPr>
        <w:t xml:space="preserve">level compared with the </w:t>
      </w:r>
      <w:r w:rsidR="004817C2" w:rsidRPr="00555D68">
        <w:rPr>
          <w:rFonts w:eastAsia="Times New Roman" w:cs="Times New Roman"/>
          <w:szCs w:val="19"/>
          <w:lang w:val="en-GB" w:eastAsia="pl-PL"/>
        </w:rPr>
        <w:t>fourth</w:t>
      </w:r>
      <w:r w:rsidRPr="00555D68">
        <w:rPr>
          <w:rFonts w:eastAsia="Times New Roman" w:cs="Times New Roman"/>
          <w:szCs w:val="19"/>
          <w:lang w:val="en-GB" w:eastAsia="pl-PL"/>
        </w:rPr>
        <w:t xml:space="preserve"> quarter of 2021 (by </w:t>
      </w:r>
      <w:r w:rsidR="004817C2" w:rsidRPr="00555D68">
        <w:rPr>
          <w:rFonts w:eastAsia="Times New Roman" w:cs="Times New Roman"/>
          <w:szCs w:val="19"/>
          <w:lang w:val="en-GB" w:eastAsia="pl-PL"/>
        </w:rPr>
        <w:t>18</w:t>
      </w:r>
      <w:r w:rsidRPr="00555D68">
        <w:rPr>
          <w:rFonts w:eastAsia="Times New Roman" w:cs="Times New Roman"/>
          <w:szCs w:val="19"/>
          <w:lang w:val="en-GB" w:eastAsia="pl-PL"/>
        </w:rPr>
        <w:t xml:space="preserve"> thousand, i.e. by 0.</w:t>
      </w:r>
      <w:r w:rsidR="004817C2" w:rsidRPr="00555D68">
        <w:rPr>
          <w:rFonts w:eastAsia="Times New Roman" w:cs="Times New Roman"/>
          <w:szCs w:val="19"/>
          <w:lang w:val="en-GB" w:eastAsia="pl-PL"/>
        </w:rPr>
        <w:t>1</w:t>
      </w:r>
      <w:r w:rsidRPr="00555D68">
        <w:rPr>
          <w:rFonts w:eastAsia="Times New Roman" w:cs="Times New Roman"/>
          <w:szCs w:val="19"/>
          <w:lang w:val="en-GB" w:eastAsia="pl-PL"/>
        </w:rPr>
        <w:t>%)</w:t>
      </w:r>
      <w:r w:rsidR="004817C2" w:rsidRPr="00555D68">
        <w:rPr>
          <w:rFonts w:eastAsia="Times New Roman" w:cs="Times New Roman"/>
          <w:szCs w:val="19"/>
          <w:lang w:val="en-GB" w:eastAsia="pl-PL"/>
        </w:rPr>
        <w:t xml:space="preserve">, </w:t>
      </w:r>
      <w:r w:rsidR="008763EA">
        <w:rPr>
          <w:rFonts w:eastAsia="Times New Roman" w:cs="Times New Roman"/>
          <w:szCs w:val="19"/>
          <w:lang w:val="en-GB" w:eastAsia="pl-PL"/>
        </w:rPr>
        <w:t xml:space="preserve">whereas </w:t>
      </w:r>
      <w:r w:rsidR="004817C2" w:rsidRPr="00555D68">
        <w:rPr>
          <w:rFonts w:eastAsia="Times New Roman" w:cs="Times New Roman"/>
          <w:szCs w:val="19"/>
          <w:lang w:val="en-GB" w:eastAsia="pl-PL"/>
        </w:rPr>
        <w:t>compared with the first quarter of 2021, a much higher decline in the number of this population was observed (by 267 thousand, i.e. by 2.1%).</w:t>
      </w:r>
      <w:r w:rsidRPr="00555D68">
        <w:rPr>
          <w:rFonts w:eastAsia="Times New Roman" w:cs="Times New Roman"/>
          <w:szCs w:val="19"/>
          <w:lang w:val="en-GB" w:eastAsia="pl-PL"/>
        </w:rPr>
        <w:t xml:space="preserve"> </w:t>
      </w:r>
    </w:p>
    <w:p w14:paraId="32C2FDF6" w14:textId="78CECD06" w:rsidR="00524007" w:rsidRPr="00555D68" w:rsidRDefault="00E9145B" w:rsidP="00524007">
      <w:pPr>
        <w:spacing w:line="288" w:lineRule="auto"/>
        <w:rPr>
          <w:rFonts w:eastAsia="Times New Roman" w:cs="Times New Roman"/>
          <w:szCs w:val="19"/>
          <w:lang w:val="en-GB" w:eastAsia="pl-PL"/>
        </w:rPr>
      </w:pPr>
      <w:r w:rsidRPr="00555D68">
        <w:rPr>
          <w:rFonts w:eastAsia="Times New Roman" w:cs="Times New Roman"/>
          <w:noProof/>
          <w:szCs w:val="19"/>
          <w:lang w:eastAsia="pl-PL"/>
        </w:rPr>
        <mc:AlternateContent>
          <mc:Choice Requires="wps">
            <w:drawing>
              <wp:anchor distT="45720" distB="45720" distL="114300" distR="114300" simplePos="0" relativeHeight="251778048" behindDoc="1" locked="0" layoutInCell="1" allowOverlap="1" wp14:anchorId="33095530" wp14:editId="1A088AA4">
                <wp:simplePos x="0" y="0"/>
                <wp:positionH relativeFrom="column">
                  <wp:posOffset>5372100</wp:posOffset>
                </wp:positionH>
                <wp:positionV relativeFrom="paragraph">
                  <wp:posOffset>647065</wp:posOffset>
                </wp:positionV>
                <wp:extent cx="1609090" cy="638175"/>
                <wp:effectExtent l="0" t="0" r="0" b="0"/>
                <wp:wrapTight wrapText="bothSides">
                  <wp:wrapPolygon edited="0">
                    <wp:start x="767" y="0"/>
                    <wp:lineTo x="767" y="20633"/>
                    <wp:lineTo x="20713" y="20633"/>
                    <wp:lineTo x="20713" y="0"/>
                    <wp:lineTo x="767" y="0"/>
                  </wp:wrapPolygon>
                </wp:wrapTight>
                <wp:docPr id="27" name="Pole tekstowe 2" descr="Women still constitute the majority of the economically inactive popula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38175"/>
                        </a:xfrm>
                        <a:prstGeom prst="rect">
                          <a:avLst/>
                        </a:prstGeom>
                        <a:noFill/>
                        <a:ln w="9525">
                          <a:noFill/>
                          <a:miter lim="800000"/>
                          <a:headEnd/>
                          <a:tailEnd/>
                        </a:ln>
                      </wps:spPr>
                      <wps:txbx>
                        <w:txbxContent>
                          <w:p w14:paraId="74CC4126" w14:textId="46D2DB04" w:rsidR="00D12A51" w:rsidRPr="00D958CD" w:rsidRDefault="00D12A51" w:rsidP="00EC542E">
                            <w:pPr>
                              <w:pStyle w:val="tekstzboku"/>
                              <w:rPr>
                                <w:lang w:val="en-US"/>
                              </w:rPr>
                            </w:pPr>
                            <w:r w:rsidRPr="002C7522">
                              <w:rPr>
                                <w:lang w:val="en-GB"/>
                              </w:rPr>
                              <w:t>Women still constitute the majority</w:t>
                            </w:r>
                            <w:r w:rsidRPr="00DC1D70">
                              <w:rPr>
                                <w:lang w:val="en-GB"/>
                              </w:rPr>
                              <w:t xml:space="preserve"> of the economically inactive population</w:t>
                            </w:r>
                            <w:r w:rsidRPr="00D958CD">
                              <w:rPr>
                                <w:lang w:val="en-US"/>
                              </w:rPr>
                              <w:t xml:space="preserve">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95530" id="_x0000_s1039" type="#_x0000_t202" alt="Women still constitute the majority of the economically inactive population " style="position:absolute;margin-left:423pt;margin-top:50.95pt;width:126.7pt;height:50.25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" filled="f" stroked="f">
                <v:textbox inset=",0">
                  <w:txbxContent>
                    <w:p w14:paraId="74CC4126" w14:textId="46D2DB04" w:rsidR="00D12A51" w:rsidRPr="00D958CD" w:rsidRDefault="00D12A51" w:rsidP="00EC542E">
                      <w:pPr>
                        <w:pStyle w:val="tekstzboku"/>
                        <w:rPr>
                          <w:lang w:val="en-US"/>
                        </w:rPr>
                      </w:pPr>
                      <w:r w:rsidRPr="002C7522">
                        <w:rPr>
                          <w:lang w:val="en-GB"/>
                        </w:rPr>
                        <w:t>Women still constitute the majority</w:t>
                      </w:r>
                      <w:r w:rsidRPr="00DC1D70">
                        <w:rPr>
                          <w:lang w:val="en-GB"/>
                        </w:rPr>
                        <w:t xml:space="preserve"> of the economically inactive population</w:t>
                      </w:r>
                      <w:r w:rsidRPr="00D958CD">
                        <w:rPr>
                          <w:lang w:val="en-US"/>
                        </w:rPr>
                        <w:t xml:space="preserve"> </w:t>
                      </w:r>
                    </w:p>
                  </w:txbxContent>
                </v:textbox>
                <w10:wrap type="tight"/>
              </v:shape>
            </w:pict>
          </mc:Fallback>
        </mc:AlternateContent>
      </w:r>
      <w:r w:rsidR="00555D68">
        <w:rPr>
          <w:rFonts w:eastAsia="Times New Roman" w:cs="Times New Roman"/>
          <w:szCs w:val="19"/>
          <w:lang w:val="en-GB" w:eastAsia="pl-PL"/>
        </w:rPr>
        <w:t>A significant decrease in the number of the population</w:t>
      </w:r>
      <w:r w:rsidR="00555D68" w:rsidRPr="00555D68">
        <w:rPr>
          <w:rFonts w:eastAsia="Times New Roman" w:cs="Times New Roman"/>
          <w:szCs w:val="19"/>
          <w:lang w:val="en-GB" w:eastAsia="pl-PL"/>
        </w:rPr>
        <w:t xml:space="preserve"> </w:t>
      </w:r>
      <w:r w:rsidR="00555D68">
        <w:rPr>
          <w:rFonts w:eastAsia="Times New Roman" w:cs="Times New Roman"/>
          <w:szCs w:val="19"/>
          <w:lang w:val="en-GB" w:eastAsia="pl-PL"/>
        </w:rPr>
        <w:t>o</w:t>
      </w:r>
      <w:r w:rsidR="00555D68" w:rsidRPr="00555D68">
        <w:rPr>
          <w:rFonts w:eastAsia="Times New Roman" w:cs="Times New Roman"/>
          <w:szCs w:val="19"/>
          <w:lang w:val="en-GB" w:eastAsia="pl-PL"/>
        </w:rPr>
        <w:t xml:space="preserve">bserved </w:t>
      </w:r>
      <w:r w:rsidR="00555D68">
        <w:rPr>
          <w:rFonts w:eastAsia="Times New Roman" w:cs="Times New Roman"/>
          <w:szCs w:val="19"/>
          <w:lang w:val="en-GB" w:eastAsia="pl-PL"/>
        </w:rPr>
        <w:t xml:space="preserve">over the year was irrespective </w:t>
      </w:r>
      <w:r w:rsidR="009C6974">
        <w:rPr>
          <w:rFonts w:eastAsia="Times New Roman" w:cs="Times New Roman"/>
          <w:szCs w:val="19"/>
          <w:lang w:val="en-GB" w:eastAsia="pl-PL"/>
        </w:rPr>
        <w:t>of both:</w:t>
      </w:r>
      <w:r w:rsidR="00F32A8B">
        <w:rPr>
          <w:rFonts w:eastAsia="Times New Roman" w:cs="Times New Roman"/>
          <w:szCs w:val="19"/>
          <w:lang w:val="en-GB" w:eastAsia="pl-PL"/>
        </w:rPr>
        <w:t xml:space="preserve"> sex and the place of residence </w:t>
      </w:r>
      <w:r w:rsidR="0028724E" w:rsidRPr="00555D68">
        <w:rPr>
          <w:rFonts w:eastAsia="Times New Roman" w:cs="Times New Roman"/>
          <w:szCs w:val="19"/>
          <w:lang w:val="en-GB" w:eastAsia="pl-PL"/>
        </w:rPr>
        <w:t>(</w:t>
      </w:r>
      <w:r w:rsidR="00F32A8B">
        <w:rPr>
          <w:rFonts w:eastAsia="Times New Roman" w:cs="Times New Roman"/>
          <w:szCs w:val="19"/>
          <w:lang w:val="en-GB" w:eastAsia="pl-PL"/>
        </w:rPr>
        <w:t xml:space="preserve">the highest drop </w:t>
      </w:r>
      <w:r w:rsidR="0028724E" w:rsidRPr="00555D68">
        <w:rPr>
          <w:rFonts w:eastAsia="Times New Roman" w:cs="Times New Roman"/>
          <w:szCs w:val="19"/>
          <w:lang w:val="en-GB" w:eastAsia="pl-PL"/>
        </w:rPr>
        <w:t xml:space="preserve">– </w:t>
      </w:r>
      <w:r w:rsidR="00F32A8B">
        <w:rPr>
          <w:rFonts w:eastAsia="Times New Roman" w:cs="Times New Roman"/>
          <w:szCs w:val="19"/>
          <w:lang w:val="en-GB" w:eastAsia="pl-PL"/>
        </w:rPr>
        <w:t>by</w:t>
      </w:r>
      <w:r w:rsidR="0028724E" w:rsidRPr="00555D68">
        <w:rPr>
          <w:rFonts w:eastAsia="Times New Roman" w:cs="Times New Roman"/>
          <w:szCs w:val="19"/>
          <w:lang w:val="en-GB" w:eastAsia="pl-PL"/>
        </w:rPr>
        <w:t xml:space="preserve"> 2</w:t>
      </w:r>
      <w:r w:rsidR="00BD5C9F" w:rsidRPr="00555D68">
        <w:rPr>
          <w:rFonts w:eastAsia="Times New Roman" w:cs="Times New Roman"/>
          <w:szCs w:val="19"/>
          <w:lang w:val="en-GB" w:eastAsia="pl-PL"/>
        </w:rPr>
        <w:t>.5</w:t>
      </w:r>
      <w:r w:rsidR="0028724E" w:rsidRPr="00555D68">
        <w:rPr>
          <w:rFonts w:eastAsia="Times New Roman" w:cs="Times New Roman"/>
          <w:szCs w:val="19"/>
          <w:lang w:val="en-GB" w:eastAsia="pl-PL"/>
        </w:rPr>
        <w:t xml:space="preserve"> p</w:t>
      </w:r>
      <w:r w:rsidR="00F32A8B">
        <w:rPr>
          <w:rFonts w:eastAsia="Times New Roman" w:cs="Times New Roman"/>
          <w:szCs w:val="19"/>
          <w:lang w:val="en-GB" w:eastAsia="pl-PL"/>
        </w:rPr>
        <w:t>ercentage points</w:t>
      </w:r>
      <w:r w:rsidR="0028724E" w:rsidRPr="00555D68">
        <w:rPr>
          <w:rFonts w:eastAsia="Times New Roman" w:cs="Times New Roman"/>
          <w:szCs w:val="19"/>
          <w:lang w:val="en-GB" w:eastAsia="pl-PL"/>
        </w:rPr>
        <w:t xml:space="preserve"> </w:t>
      </w:r>
      <w:r w:rsidR="00F32A8B">
        <w:rPr>
          <w:rFonts w:eastAsia="Times New Roman" w:cs="Times New Roman"/>
          <w:szCs w:val="19"/>
          <w:lang w:val="en-GB" w:eastAsia="pl-PL"/>
        </w:rPr>
        <w:t xml:space="preserve">was observed among women, while regarding the place of residence </w:t>
      </w:r>
      <w:r w:rsidR="0028724E" w:rsidRPr="00555D68">
        <w:rPr>
          <w:rFonts w:eastAsia="Times New Roman" w:cs="Times New Roman"/>
          <w:szCs w:val="19"/>
          <w:lang w:val="en-GB" w:eastAsia="pl-PL"/>
        </w:rPr>
        <w:t xml:space="preserve">– </w:t>
      </w:r>
      <w:r w:rsidR="00F32A8B">
        <w:rPr>
          <w:rFonts w:eastAsia="Times New Roman" w:cs="Times New Roman"/>
          <w:szCs w:val="19"/>
          <w:lang w:val="en-GB" w:eastAsia="pl-PL"/>
        </w:rPr>
        <w:t xml:space="preserve">in urban areas </w:t>
      </w:r>
      <w:r w:rsidR="00F14C14" w:rsidRPr="00555D68">
        <w:rPr>
          <w:rFonts w:eastAsia="Times New Roman" w:cs="Times New Roman"/>
          <w:szCs w:val="19"/>
          <w:lang w:val="en-GB" w:eastAsia="pl-PL"/>
        </w:rPr>
        <w:t xml:space="preserve">– </w:t>
      </w:r>
      <w:r w:rsidR="008173BE">
        <w:rPr>
          <w:rFonts w:eastAsia="Times New Roman" w:cs="Times New Roman"/>
          <w:szCs w:val="19"/>
          <w:lang w:val="en-GB" w:eastAsia="pl-PL"/>
        </w:rPr>
        <w:t xml:space="preserve"> by </w:t>
      </w:r>
      <w:r w:rsidR="0028724E" w:rsidRPr="00555D68">
        <w:rPr>
          <w:rFonts w:eastAsia="Times New Roman" w:cs="Times New Roman"/>
          <w:szCs w:val="19"/>
          <w:lang w:val="en-GB" w:eastAsia="pl-PL"/>
        </w:rPr>
        <w:t>2</w:t>
      </w:r>
      <w:r w:rsidR="00BD5C9F" w:rsidRPr="00555D68">
        <w:rPr>
          <w:rFonts w:eastAsia="Times New Roman" w:cs="Times New Roman"/>
          <w:szCs w:val="19"/>
          <w:lang w:val="en-GB" w:eastAsia="pl-PL"/>
        </w:rPr>
        <w:t>.3</w:t>
      </w:r>
      <w:r w:rsidR="00D93B6C">
        <w:rPr>
          <w:rFonts w:eastAsia="Times New Roman" w:cs="Times New Roman"/>
          <w:szCs w:val="19"/>
          <w:lang w:val="en-GB" w:eastAsia="pl-PL"/>
        </w:rPr>
        <w:t> </w:t>
      </w:r>
      <w:r w:rsidR="00F32A8B">
        <w:rPr>
          <w:rFonts w:eastAsia="Times New Roman" w:cs="Times New Roman"/>
          <w:szCs w:val="19"/>
          <w:lang w:val="en-GB" w:eastAsia="pl-PL"/>
        </w:rPr>
        <w:t>percentage points</w:t>
      </w:r>
      <w:r w:rsidR="0028724E" w:rsidRPr="00555D68">
        <w:rPr>
          <w:rFonts w:eastAsia="Times New Roman" w:cs="Times New Roman"/>
          <w:szCs w:val="19"/>
          <w:lang w:val="en-GB" w:eastAsia="pl-PL"/>
        </w:rPr>
        <w:t>).</w:t>
      </w:r>
    </w:p>
    <w:p w14:paraId="7DCF6D23" w14:textId="6398413C" w:rsidR="00247A50" w:rsidRPr="00555D68" w:rsidRDefault="00486607" w:rsidP="00247A50">
      <w:pPr>
        <w:spacing w:line="288" w:lineRule="auto"/>
        <w:rPr>
          <w:rFonts w:eastAsia="Times New Roman" w:cs="Times New Roman"/>
          <w:szCs w:val="19"/>
          <w:lang w:val="en-GB" w:eastAsia="pl-PL"/>
        </w:rPr>
      </w:pPr>
      <w:r w:rsidRPr="00555D68">
        <w:rPr>
          <w:rFonts w:eastAsia="Times New Roman" w:cs="Times New Roman"/>
          <w:szCs w:val="19"/>
          <w:lang w:val="en-GB" w:eastAsia="pl-PL"/>
        </w:rPr>
        <w:t>Over a half of economically inactive persons constituted women – 61.4%, i.e. 76</w:t>
      </w:r>
      <w:r w:rsidR="00F32A8B">
        <w:rPr>
          <w:rFonts w:eastAsia="Times New Roman" w:cs="Times New Roman"/>
          <w:szCs w:val="19"/>
          <w:lang w:val="en-GB" w:eastAsia="pl-PL"/>
        </w:rPr>
        <w:t>83</w:t>
      </w:r>
      <w:r w:rsidRPr="00555D68">
        <w:rPr>
          <w:rFonts w:eastAsia="Times New Roman" w:cs="Times New Roman"/>
          <w:szCs w:val="19"/>
          <w:lang w:val="en-GB" w:eastAsia="pl-PL"/>
        </w:rPr>
        <w:t xml:space="preserve"> thousand</w:t>
      </w:r>
      <w:r w:rsidR="00247A50">
        <w:rPr>
          <w:rFonts w:eastAsia="Times New Roman" w:cs="Times New Roman"/>
          <w:szCs w:val="19"/>
          <w:lang w:val="en-GB" w:eastAsia="pl-PL"/>
        </w:rPr>
        <w:t>.</w:t>
      </w:r>
      <w:r w:rsidRPr="00555D68">
        <w:rPr>
          <w:rFonts w:eastAsia="Times New Roman" w:cs="Times New Roman"/>
          <w:szCs w:val="19"/>
          <w:lang w:val="en-GB" w:eastAsia="pl-PL"/>
        </w:rPr>
        <w:t xml:space="preserve"> </w:t>
      </w:r>
      <w:r w:rsidR="00247A50" w:rsidRPr="00555D68">
        <w:rPr>
          <w:rFonts w:eastAsia="Times New Roman" w:cs="Times New Roman"/>
          <w:szCs w:val="19"/>
          <w:lang w:val="en-GB" w:eastAsia="pl-PL"/>
        </w:rPr>
        <w:t xml:space="preserve">As regards the place of residence, </w:t>
      </w:r>
      <w:r w:rsidR="00247A50">
        <w:rPr>
          <w:rFonts w:eastAsia="Times New Roman" w:cs="Times New Roman"/>
          <w:szCs w:val="19"/>
          <w:lang w:val="en-GB" w:eastAsia="pl-PL"/>
        </w:rPr>
        <w:t>urban</w:t>
      </w:r>
      <w:r w:rsidR="00247A50" w:rsidRPr="00555D68">
        <w:rPr>
          <w:rFonts w:eastAsia="Times New Roman" w:cs="Times New Roman"/>
          <w:szCs w:val="19"/>
          <w:lang w:val="en-GB" w:eastAsia="pl-PL"/>
        </w:rPr>
        <w:t xml:space="preserve"> residents constituted 59.</w:t>
      </w:r>
      <w:r w:rsidR="00247A50">
        <w:rPr>
          <w:rFonts w:eastAsia="Times New Roman" w:cs="Times New Roman"/>
          <w:szCs w:val="19"/>
          <w:lang w:val="en-GB" w:eastAsia="pl-PL"/>
        </w:rPr>
        <w:t>4</w:t>
      </w:r>
      <w:r w:rsidR="00247A50" w:rsidRPr="00555D68">
        <w:rPr>
          <w:rFonts w:eastAsia="Times New Roman" w:cs="Times New Roman"/>
          <w:szCs w:val="19"/>
          <w:lang w:val="en-GB" w:eastAsia="pl-PL"/>
        </w:rPr>
        <w:t>% of this population (i.e.</w:t>
      </w:r>
      <w:r w:rsidR="00D93B6C">
        <w:rPr>
          <w:rFonts w:eastAsia="Times New Roman" w:cs="Times New Roman"/>
          <w:szCs w:val="19"/>
          <w:lang w:val="en-GB" w:eastAsia="pl-PL"/>
        </w:rPr>
        <w:t> </w:t>
      </w:r>
      <w:r w:rsidR="00247A50" w:rsidRPr="00555D68">
        <w:rPr>
          <w:rFonts w:eastAsia="Times New Roman" w:cs="Times New Roman"/>
          <w:szCs w:val="19"/>
          <w:lang w:val="en-GB" w:eastAsia="pl-PL"/>
        </w:rPr>
        <w:t>743</w:t>
      </w:r>
      <w:r w:rsidR="00247A50">
        <w:rPr>
          <w:rFonts w:eastAsia="Times New Roman" w:cs="Times New Roman"/>
          <w:szCs w:val="19"/>
          <w:lang w:val="en-GB" w:eastAsia="pl-PL"/>
        </w:rPr>
        <w:t>6</w:t>
      </w:r>
      <w:r w:rsidR="00247A50" w:rsidRPr="00555D68">
        <w:rPr>
          <w:rFonts w:eastAsia="Times New Roman" w:cs="Times New Roman"/>
          <w:szCs w:val="19"/>
          <w:lang w:val="en-GB" w:eastAsia="pl-PL"/>
        </w:rPr>
        <w:t xml:space="preserve"> thousand</w:t>
      </w:r>
      <w:r w:rsidR="00D93B6C">
        <w:rPr>
          <w:rFonts w:eastAsia="Times New Roman" w:cs="Times New Roman"/>
          <w:szCs w:val="19"/>
          <w:lang w:val="en-GB" w:eastAsia="pl-PL"/>
        </w:rPr>
        <w:t>)</w:t>
      </w:r>
      <w:r w:rsidR="00247A50">
        <w:rPr>
          <w:rFonts w:eastAsia="Times New Roman" w:cs="Times New Roman"/>
          <w:szCs w:val="19"/>
          <w:lang w:val="en-GB" w:eastAsia="pl-PL"/>
        </w:rPr>
        <w:t>.</w:t>
      </w:r>
    </w:p>
    <w:p w14:paraId="48692E2C" w14:textId="77777777" w:rsidR="00A00270" w:rsidRPr="00555D68" w:rsidRDefault="00A00270" w:rsidP="00A00270">
      <w:pPr>
        <w:spacing w:line="288" w:lineRule="auto"/>
        <w:rPr>
          <w:lang w:val="en-GB"/>
        </w:rPr>
      </w:pPr>
      <w:r w:rsidRPr="00555D68">
        <w:rPr>
          <w:lang w:val="en-GB"/>
        </w:rPr>
        <w:lastRenderedPageBreak/>
        <w:t>The economically inactive population is a specific one in respect to the labour market resources, as its scope includes persons who have not entered the labour market yet (including the majority of the youth still participating in education), persons who have definitely left the labour market or will never enter the labour market (some retirees, pensioners, persons maintaining themselves from other sources than work), but also persons who entered the labour market, then partially deactivated and who will want to re-enter the labour market after a break.</w:t>
      </w:r>
    </w:p>
    <w:p w14:paraId="55536D82" w14:textId="33E284F6" w:rsidR="00A00270" w:rsidRPr="00555D68" w:rsidRDefault="00A00270" w:rsidP="00A00270">
      <w:pPr>
        <w:spacing w:line="288" w:lineRule="auto"/>
        <w:rPr>
          <w:lang w:val="en-GB"/>
        </w:rPr>
      </w:pPr>
      <w:r w:rsidRPr="00555D68">
        <w:rPr>
          <w:rFonts w:eastAsia="Times New Roman" w:cs="Times New Roman"/>
          <w:szCs w:val="19"/>
          <w:lang w:val="en-GB" w:eastAsia="pl-PL"/>
        </w:rPr>
        <w:t xml:space="preserve">In the first quarter of 2022, </w:t>
      </w:r>
      <w:r w:rsidR="009A194E" w:rsidRPr="00555D68">
        <w:rPr>
          <w:lang w:val="en-GB"/>
        </w:rPr>
        <w:t>over</w:t>
      </w:r>
      <w:r w:rsidRPr="00555D68">
        <w:rPr>
          <w:lang w:val="en-GB"/>
        </w:rPr>
        <w:t xml:space="preserve"> a half of the economically inactive persons aged 15-74 years comprising </w:t>
      </w:r>
      <w:r w:rsidRPr="00555D68">
        <w:rPr>
          <w:rFonts w:eastAsia="Times New Roman" w:cs="Times New Roman"/>
          <w:szCs w:val="19"/>
          <w:lang w:val="en-GB" w:eastAsia="pl-PL"/>
        </w:rPr>
        <w:t>103</w:t>
      </w:r>
      <w:r w:rsidR="009A194E" w:rsidRPr="00555D68">
        <w:rPr>
          <w:rFonts w:eastAsia="Times New Roman" w:cs="Times New Roman"/>
          <w:szCs w:val="19"/>
          <w:lang w:val="en-GB" w:eastAsia="pl-PL"/>
        </w:rPr>
        <w:t>31</w:t>
      </w:r>
      <w:r w:rsidRPr="00555D68">
        <w:rPr>
          <w:lang w:val="en-GB"/>
        </w:rPr>
        <w:t xml:space="preserve"> thousand (the reason for inactivity was determined for this age group) constituted retirees (</w:t>
      </w:r>
      <w:r w:rsidRPr="00555D68">
        <w:rPr>
          <w:rFonts w:eastAsia="Times New Roman" w:cs="Times New Roman"/>
          <w:szCs w:val="19"/>
          <w:lang w:val="en-GB" w:eastAsia="pl-PL"/>
        </w:rPr>
        <w:t>51.</w:t>
      </w:r>
      <w:r w:rsidR="009A194E" w:rsidRPr="00555D68">
        <w:rPr>
          <w:rFonts w:eastAsia="Times New Roman" w:cs="Times New Roman"/>
          <w:szCs w:val="19"/>
          <w:lang w:val="en-GB" w:eastAsia="pl-PL"/>
        </w:rPr>
        <w:t>5</w:t>
      </w:r>
      <w:r w:rsidRPr="00555D68">
        <w:rPr>
          <w:rFonts w:eastAsia="Times New Roman" w:cs="Times New Roman"/>
          <w:szCs w:val="19"/>
          <w:lang w:val="en-GB" w:eastAsia="pl-PL"/>
        </w:rPr>
        <w:t>%</w:t>
      </w:r>
      <w:r w:rsidRPr="00555D68">
        <w:rPr>
          <w:lang w:val="en-GB"/>
        </w:rPr>
        <w:t>), while the second largest group were students (21.</w:t>
      </w:r>
      <w:r w:rsidR="009A194E" w:rsidRPr="00555D68">
        <w:rPr>
          <w:lang w:val="en-GB"/>
        </w:rPr>
        <w:t>6</w:t>
      </w:r>
      <w:r w:rsidRPr="00555D68">
        <w:rPr>
          <w:lang w:val="en-GB"/>
        </w:rPr>
        <w:t>%). Whereas, in the case of economically inactive persons at the working age (</w:t>
      </w:r>
      <w:r w:rsidRPr="00555D68">
        <w:rPr>
          <w:rFonts w:eastAsia="Times New Roman" w:cs="Times New Roman"/>
          <w:szCs w:val="19"/>
          <w:lang w:val="en-GB" w:eastAsia="pl-PL"/>
        </w:rPr>
        <w:t>413</w:t>
      </w:r>
      <w:r w:rsidR="009A194E" w:rsidRPr="00555D68">
        <w:rPr>
          <w:rFonts w:eastAsia="Times New Roman" w:cs="Times New Roman"/>
          <w:szCs w:val="19"/>
          <w:lang w:val="en-GB" w:eastAsia="pl-PL"/>
        </w:rPr>
        <w:t>2</w:t>
      </w:r>
      <w:r w:rsidRPr="00555D68">
        <w:rPr>
          <w:lang w:val="en-GB"/>
        </w:rPr>
        <w:t xml:space="preserve"> thousand), the most often reasons for inactivity were: education and training (29.</w:t>
      </w:r>
      <w:r w:rsidR="009A194E" w:rsidRPr="00555D68">
        <w:rPr>
          <w:lang w:val="en-GB"/>
        </w:rPr>
        <w:t>8</w:t>
      </w:r>
      <w:r w:rsidRPr="00555D68">
        <w:rPr>
          <w:lang w:val="en-GB"/>
        </w:rPr>
        <w:t>%), illness and disability (2</w:t>
      </w:r>
      <w:r w:rsidR="009A194E" w:rsidRPr="00555D68">
        <w:rPr>
          <w:lang w:val="en-GB"/>
        </w:rPr>
        <w:t>4</w:t>
      </w:r>
      <w:r w:rsidRPr="00555D68">
        <w:rPr>
          <w:lang w:val="en-GB"/>
        </w:rPr>
        <w:t>.</w:t>
      </w:r>
      <w:r w:rsidR="009A194E" w:rsidRPr="00555D68">
        <w:rPr>
          <w:lang w:val="en-GB"/>
        </w:rPr>
        <w:t>3</w:t>
      </w:r>
      <w:r w:rsidRPr="00555D68">
        <w:rPr>
          <w:lang w:val="en-GB"/>
        </w:rPr>
        <w:t>%), family responsibilities (</w:t>
      </w:r>
      <w:r w:rsidRPr="00555D68">
        <w:rPr>
          <w:rFonts w:eastAsia="Times New Roman" w:cs="Times New Roman"/>
          <w:szCs w:val="19"/>
          <w:lang w:val="en-GB" w:eastAsia="pl-PL"/>
        </w:rPr>
        <w:t>19.</w:t>
      </w:r>
      <w:r w:rsidR="009A194E" w:rsidRPr="00555D68">
        <w:rPr>
          <w:rFonts w:eastAsia="Times New Roman" w:cs="Times New Roman"/>
          <w:szCs w:val="19"/>
          <w:lang w:val="en-GB" w:eastAsia="pl-PL"/>
        </w:rPr>
        <w:t>2</w:t>
      </w:r>
      <w:r w:rsidRPr="00555D68">
        <w:rPr>
          <w:rFonts w:eastAsia="Times New Roman" w:cs="Times New Roman"/>
          <w:szCs w:val="19"/>
          <w:lang w:val="en-GB" w:eastAsia="pl-PL"/>
        </w:rPr>
        <w:t>%</w:t>
      </w:r>
      <w:r w:rsidRPr="00555D68">
        <w:rPr>
          <w:lang w:val="en-GB"/>
        </w:rPr>
        <w:t>)</w:t>
      </w:r>
      <w:r w:rsidR="009A194E" w:rsidRPr="00555D68">
        <w:rPr>
          <w:lang w:val="en-GB"/>
        </w:rPr>
        <w:t>, discouragement with unsuccessful job search</w:t>
      </w:r>
      <w:r w:rsidR="0089605F" w:rsidRPr="00555D68">
        <w:rPr>
          <w:lang w:val="en-GB"/>
        </w:rPr>
        <w:t xml:space="preserve"> (1.4%),</w:t>
      </w:r>
      <w:r w:rsidRPr="00555D68">
        <w:rPr>
          <w:lang w:val="en-GB"/>
        </w:rPr>
        <w:t xml:space="preserve"> and retirement (9.</w:t>
      </w:r>
      <w:r w:rsidR="00D93B6C">
        <w:rPr>
          <w:lang w:val="en-GB"/>
        </w:rPr>
        <w:t>9</w:t>
      </w:r>
      <w:r w:rsidRPr="00555D68">
        <w:rPr>
          <w:lang w:val="en-GB"/>
        </w:rPr>
        <w:t>%).</w:t>
      </w:r>
      <w:r w:rsidRPr="00555D68">
        <w:rPr>
          <w:rFonts w:eastAsia="Times New Roman" w:cs="Times New Roman"/>
          <w:szCs w:val="19"/>
          <w:lang w:val="en-GB" w:eastAsia="pl-PL"/>
        </w:rPr>
        <w:t xml:space="preserve"> </w:t>
      </w:r>
    </w:p>
    <w:p w14:paraId="06BC615C" w14:textId="6C7F3241" w:rsidR="00524007" w:rsidRPr="00D958CD" w:rsidRDefault="003F341C" w:rsidP="00524007">
      <w:pPr>
        <w:spacing w:before="360" w:line="259" w:lineRule="auto"/>
        <w:ind w:left="851" w:hanging="851"/>
        <w:rPr>
          <w:b/>
          <w:shd w:val="clear" w:color="auto" w:fill="FFFFFF"/>
          <w:lang w:val="en-US"/>
        </w:rPr>
      </w:pPr>
      <w:r w:rsidRPr="00D958CD">
        <w:rPr>
          <w:b/>
          <w:lang w:val="en-US"/>
        </w:rPr>
        <w:t>Chart</w:t>
      </w:r>
      <w:r w:rsidR="00524007" w:rsidRPr="00D958CD">
        <w:rPr>
          <w:b/>
          <w:lang w:val="en-US"/>
        </w:rPr>
        <w:t xml:space="preserve"> 3.</w:t>
      </w:r>
      <w:r w:rsidR="00524007" w:rsidRPr="00D958CD">
        <w:rPr>
          <w:shd w:val="clear" w:color="auto" w:fill="FFFFFF"/>
          <w:lang w:val="en-US"/>
        </w:rPr>
        <w:tab/>
      </w:r>
      <w:r w:rsidR="00247A50" w:rsidRPr="00FB4116">
        <w:rPr>
          <w:b/>
          <w:shd w:val="clear" w:color="auto" w:fill="FFFFFF"/>
          <w:lang w:val="en-GB"/>
        </w:rPr>
        <w:t>Stru</w:t>
      </w:r>
      <w:r w:rsidR="00247A50">
        <w:rPr>
          <w:b/>
          <w:shd w:val="clear" w:color="auto" w:fill="FFFFFF"/>
          <w:lang w:val="en-GB"/>
        </w:rPr>
        <w:t>c</w:t>
      </w:r>
      <w:r w:rsidR="00247A50" w:rsidRPr="00FB4116">
        <w:rPr>
          <w:b/>
          <w:shd w:val="clear" w:color="auto" w:fill="FFFFFF"/>
          <w:lang w:val="en-GB"/>
        </w:rPr>
        <w:t>tur</w:t>
      </w:r>
      <w:r w:rsidR="00247A50">
        <w:rPr>
          <w:b/>
          <w:shd w:val="clear" w:color="auto" w:fill="FFFFFF"/>
          <w:lang w:val="en-GB"/>
        </w:rPr>
        <w:t xml:space="preserve">e of economically inactive </w:t>
      </w:r>
      <w:r w:rsidR="00247A50" w:rsidRPr="00FA5478">
        <w:rPr>
          <w:b/>
          <w:shd w:val="clear" w:color="auto" w:fill="FFFFFF"/>
          <w:lang w:val="en-GB"/>
        </w:rPr>
        <w:t>persons</w:t>
      </w:r>
      <w:r w:rsidR="00247A50">
        <w:rPr>
          <w:b/>
          <w:shd w:val="clear" w:color="auto" w:fill="FFFFFF"/>
          <w:lang w:val="en-GB"/>
        </w:rPr>
        <w:t xml:space="preserve"> aged </w:t>
      </w:r>
      <w:r w:rsidR="00247A50" w:rsidRPr="00FB4116">
        <w:rPr>
          <w:b/>
          <w:shd w:val="clear" w:color="auto" w:fill="FFFFFF"/>
          <w:lang w:val="en-GB"/>
        </w:rPr>
        <w:t xml:space="preserve">15-74 </w:t>
      </w:r>
      <w:r w:rsidR="00247A50">
        <w:rPr>
          <w:b/>
          <w:shd w:val="clear" w:color="auto" w:fill="FFFFFF"/>
          <w:lang w:val="en-GB"/>
        </w:rPr>
        <w:t xml:space="preserve">years by sex and reasons for inactivity </w:t>
      </w:r>
      <w:r w:rsidR="00247A50" w:rsidRPr="00FB4116">
        <w:rPr>
          <w:b/>
          <w:shd w:val="clear" w:color="auto" w:fill="FFFFFF"/>
          <w:lang w:val="en-GB"/>
        </w:rPr>
        <w:t>in the f</w:t>
      </w:r>
      <w:r w:rsidR="00247A50">
        <w:rPr>
          <w:b/>
          <w:shd w:val="clear" w:color="auto" w:fill="FFFFFF"/>
          <w:lang w:val="en-GB"/>
        </w:rPr>
        <w:t xml:space="preserve">irst </w:t>
      </w:r>
      <w:r w:rsidR="00247A50" w:rsidRPr="00FB4116">
        <w:rPr>
          <w:b/>
          <w:shd w:val="clear" w:color="auto" w:fill="FFFFFF"/>
          <w:lang w:val="en-GB"/>
        </w:rPr>
        <w:t>quarter of 202</w:t>
      </w:r>
      <w:r w:rsidR="00247A50">
        <w:rPr>
          <w:b/>
          <w:shd w:val="clear" w:color="auto" w:fill="FFFFFF"/>
          <w:lang w:val="en-GB"/>
        </w:rPr>
        <w:t xml:space="preserve">2 </w:t>
      </w:r>
      <w:r w:rsidR="00247A50" w:rsidRPr="00F4773B">
        <w:rPr>
          <w:b/>
          <w:shd w:val="clear" w:color="auto" w:fill="FFFFFF"/>
          <w:lang w:val="en-GB"/>
        </w:rPr>
        <w:t>(</w:t>
      </w:r>
      <w:r w:rsidR="00247A50">
        <w:rPr>
          <w:b/>
          <w:shd w:val="clear" w:color="auto" w:fill="FFFFFF"/>
          <w:lang w:val="en-GB"/>
        </w:rPr>
        <w:t>in</w:t>
      </w:r>
      <w:r w:rsidR="00247A50" w:rsidRPr="00F4773B">
        <w:rPr>
          <w:b/>
          <w:shd w:val="clear" w:color="auto" w:fill="FFFFFF"/>
          <w:lang w:val="en-GB"/>
        </w:rPr>
        <w:t xml:space="preserve"> %)</w:t>
      </w:r>
    </w:p>
    <w:p w14:paraId="03EFB6FB" w14:textId="3509F2EC" w:rsidR="00524007" w:rsidRPr="00524007" w:rsidRDefault="00665E46" w:rsidP="00524007">
      <w:pPr>
        <w:spacing w:before="0" w:after="160" w:line="259" w:lineRule="auto"/>
        <w:jc w:val="center"/>
      </w:pPr>
      <w:r>
        <w:rPr>
          <w:noProof/>
        </w:rPr>
        <w:drawing>
          <wp:inline distT="0" distB="0" distL="0" distR="0" wp14:anchorId="59B90C38" wp14:editId="7B82A3C6">
            <wp:extent cx="5087418" cy="2331244"/>
            <wp:effectExtent l="0" t="0" r="0" b="0"/>
            <wp:docPr id="1" name="Wykres 1" descr="Chart presents the structure of economically inactive persons aged 15-74 years by sex and reasons for inactivity in the first quarter of 2022 (in %)">
              <a:extLst xmlns:a="http://schemas.openxmlformats.org/drawingml/2006/main">
                <a:ext uri="{FF2B5EF4-FFF2-40B4-BE49-F238E27FC236}">
                  <a16:creationId xmlns:a16="http://schemas.microsoft.com/office/drawing/2014/main" id="{0FC85F8B-A73F-479C-B1FA-4873E64C44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222B0C" w14:textId="2FB65A11" w:rsidR="00DA331D" w:rsidRPr="00001C5B" w:rsidRDefault="00DA331D" w:rsidP="00DA331D">
      <w:pPr>
        <w:spacing w:before="360"/>
        <w:rPr>
          <w:sz w:val="18"/>
        </w:rPr>
        <w:sectPr w:rsidR="00DA331D" w:rsidRPr="00001C5B"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215CC8" w14:paraId="1061D63F" w14:textId="77777777" w:rsidTr="002B38CA">
        <w:trPr>
          <w:trHeight w:val="1626"/>
        </w:trPr>
        <w:tc>
          <w:tcPr>
            <w:tcW w:w="4926" w:type="dxa"/>
          </w:tcPr>
          <w:p w14:paraId="15D9A887" w14:textId="77777777" w:rsidR="00215CC8" w:rsidRPr="00A00CDF" w:rsidRDefault="00215CC8" w:rsidP="002B38CA">
            <w:pPr>
              <w:spacing w:before="0" w:after="0" w:line="276" w:lineRule="auto"/>
              <w:rPr>
                <w:rFonts w:cs="Arial"/>
                <w:sz w:val="20"/>
                <w:lang w:val="en-GB"/>
              </w:rPr>
            </w:pPr>
            <w:r w:rsidRPr="00A00CDF">
              <w:rPr>
                <w:rFonts w:cs="Arial"/>
                <w:sz w:val="20"/>
                <w:lang w:val="en-GB"/>
              </w:rPr>
              <w:lastRenderedPageBreak/>
              <w:t>Prepared by:</w:t>
            </w:r>
          </w:p>
          <w:p w14:paraId="5A230534" w14:textId="77777777" w:rsidR="00215CC8" w:rsidRPr="00A00CDF" w:rsidRDefault="00215CC8" w:rsidP="002B38CA">
            <w:pPr>
              <w:spacing w:before="0" w:line="276" w:lineRule="auto"/>
              <w:rPr>
                <w:rFonts w:cs="Arial"/>
                <w:b/>
                <w:color w:val="000000" w:themeColor="text1"/>
                <w:sz w:val="20"/>
                <w:lang w:val="en-GB"/>
              </w:rPr>
            </w:pPr>
            <w:r w:rsidRPr="00A00CDF">
              <w:rPr>
                <w:rFonts w:cs="Arial"/>
                <w:b/>
                <w:color w:val="000000" w:themeColor="text1"/>
                <w:sz w:val="20"/>
                <w:lang w:val="en-GB"/>
              </w:rPr>
              <w:t>Labour Market Department</w:t>
            </w:r>
          </w:p>
          <w:p w14:paraId="0C8B84A5" w14:textId="77777777" w:rsidR="00215CC8" w:rsidRPr="00DE2400" w:rsidRDefault="00215CC8" w:rsidP="002B38CA">
            <w:pPr>
              <w:spacing w:before="0" w:after="0" w:line="276" w:lineRule="auto"/>
              <w:rPr>
                <w:b/>
                <w:lang w:val="fi-FI"/>
              </w:rPr>
            </w:pPr>
            <w:r w:rsidRPr="00DE2400">
              <w:rPr>
                <w:b/>
                <w:lang w:val="fi-FI"/>
              </w:rPr>
              <w:t>D</w:t>
            </w:r>
            <w:r>
              <w:rPr>
                <w:b/>
                <w:lang w:val="fi-FI"/>
              </w:rPr>
              <w:t>irector</w:t>
            </w:r>
            <w:r w:rsidRPr="00DE2400">
              <w:rPr>
                <w:b/>
                <w:lang w:val="fi-FI"/>
              </w:rPr>
              <w:t xml:space="preserve"> </w:t>
            </w:r>
            <w:r>
              <w:rPr>
                <w:b/>
                <w:lang w:val="fi-FI"/>
              </w:rPr>
              <w:t>Agnieszka Zgierska</w:t>
            </w:r>
          </w:p>
          <w:p w14:paraId="5F6C5EDE" w14:textId="77777777" w:rsidR="00215CC8" w:rsidRPr="00AB24E4" w:rsidRDefault="00215CC8" w:rsidP="002B38CA">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 608 30 15</w:t>
            </w:r>
          </w:p>
        </w:tc>
        <w:tc>
          <w:tcPr>
            <w:tcW w:w="4927" w:type="dxa"/>
          </w:tcPr>
          <w:p w14:paraId="5B805BF0" w14:textId="77777777" w:rsidR="00215CC8" w:rsidRPr="00A00CDF" w:rsidRDefault="00215CC8" w:rsidP="002B38CA">
            <w:pPr>
              <w:spacing w:before="0" w:line="276" w:lineRule="auto"/>
              <w:rPr>
                <w:rFonts w:cs="Arial"/>
                <w:b/>
                <w:sz w:val="20"/>
                <w:lang w:val="en-GB"/>
              </w:rPr>
            </w:pPr>
            <w:r w:rsidRPr="00A00CDF">
              <w:rPr>
                <w:rFonts w:cs="Arial"/>
                <w:sz w:val="20"/>
                <w:lang w:val="en-GB"/>
              </w:rPr>
              <w:t>Issued by:</w:t>
            </w:r>
            <w:r w:rsidRPr="00A00CDF">
              <w:rPr>
                <w:rFonts w:cs="Arial"/>
                <w:sz w:val="20"/>
                <w:lang w:val="en-GB"/>
              </w:rPr>
              <w:br/>
            </w:r>
            <w:r w:rsidRPr="00A00CDF">
              <w:rPr>
                <w:rFonts w:cs="Arial"/>
                <w:b/>
                <w:sz w:val="20"/>
                <w:lang w:val="en-GB"/>
              </w:rPr>
              <w:t xml:space="preserve">The Spokesperson for the President </w:t>
            </w:r>
            <w:r w:rsidRPr="00A00CDF">
              <w:rPr>
                <w:rFonts w:cs="Arial"/>
                <w:b/>
                <w:sz w:val="20"/>
                <w:lang w:val="en-GB"/>
              </w:rPr>
              <w:br/>
              <w:t>of Statistics Poland</w:t>
            </w:r>
          </w:p>
          <w:p w14:paraId="6653F89A" w14:textId="77777777" w:rsidR="00215CC8" w:rsidRPr="004A1D19" w:rsidRDefault="00215CC8" w:rsidP="002B38CA">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3E7513CC" w14:textId="77777777" w:rsidR="00215CC8" w:rsidRPr="004A1D19" w:rsidRDefault="00215CC8" w:rsidP="002B38CA">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Pr="004A1D19">
              <w:rPr>
                <w:rFonts w:ascii="Fira Sans" w:hAnsi="Fira Sans" w:cs="Arial"/>
                <w:color w:val="auto"/>
                <w:sz w:val="20"/>
                <w:lang w:val="fi-FI"/>
              </w:rPr>
              <w:t xml:space="preserve">: </w:t>
            </w:r>
            <w:r>
              <w:rPr>
                <w:rFonts w:ascii="Fira Sans" w:hAnsi="Fira Sans" w:cs="Arial"/>
                <w:color w:val="auto"/>
                <w:sz w:val="20"/>
                <w:lang w:val="fi-FI"/>
              </w:rPr>
              <w:t xml:space="preserve">(+48) </w:t>
            </w:r>
            <w:r w:rsidRPr="004A1D19">
              <w:rPr>
                <w:rFonts w:ascii="Fira Sans" w:hAnsi="Fira Sans" w:cs="Arial"/>
                <w:color w:val="auto"/>
                <w:sz w:val="20"/>
                <w:lang w:val="fi-FI"/>
              </w:rPr>
              <w:t>695 255</w:t>
            </w:r>
            <w:r>
              <w:rPr>
                <w:rFonts w:ascii="Fira Sans" w:hAnsi="Fira Sans" w:cs="Arial"/>
                <w:color w:val="auto"/>
                <w:sz w:val="20"/>
                <w:lang w:val="fi-FI"/>
              </w:rPr>
              <w:t> </w:t>
            </w:r>
            <w:r w:rsidRPr="004A1D19">
              <w:rPr>
                <w:rFonts w:ascii="Fira Sans" w:hAnsi="Fira Sans" w:cs="Arial"/>
                <w:color w:val="auto"/>
                <w:sz w:val="20"/>
                <w:lang w:val="fi-FI"/>
              </w:rPr>
              <w:t>011</w:t>
            </w:r>
          </w:p>
          <w:p w14:paraId="2C854982" w14:textId="77777777" w:rsidR="00215CC8" w:rsidRDefault="00215CC8" w:rsidP="002B38CA">
            <w:pPr>
              <w:rPr>
                <w:sz w:val="18"/>
              </w:rPr>
            </w:pPr>
          </w:p>
        </w:tc>
      </w:tr>
      <w:tr w:rsidR="00215CC8" w:rsidRPr="00D958CD" w14:paraId="00460CE8" w14:textId="77777777" w:rsidTr="002B38CA">
        <w:trPr>
          <w:trHeight w:val="418"/>
        </w:trPr>
        <w:tc>
          <w:tcPr>
            <w:tcW w:w="4926" w:type="dxa"/>
            <w:vMerge w:val="restart"/>
          </w:tcPr>
          <w:p w14:paraId="1464F672" w14:textId="77777777" w:rsidR="00215CC8" w:rsidRPr="00A00CDF" w:rsidRDefault="00215CC8" w:rsidP="002B38CA">
            <w:pPr>
              <w:rPr>
                <w:b/>
                <w:sz w:val="20"/>
                <w:lang w:val="en-GB"/>
              </w:rPr>
            </w:pPr>
            <w:r w:rsidRPr="00A00CDF">
              <w:rPr>
                <w:b/>
                <w:sz w:val="20"/>
                <w:lang w:val="en-GB"/>
              </w:rPr>
              <w:t>Press Office</w:t>
            </w:r>
          </w:p>
          <w:p w14:paraId="004F38CD" w14:textId="77777777" w:rsidR="00215CC8" w:rsidRPr="00A00CDF" w:rsidRDefault="00215CC8" w:rsidP="002B38CA">
            <w:pPr>
              <w:rPr>
                <w:sz w:val="20"/>
                <w:lang w:val="en-GB"/>
              </w:rPr>
            </w:pPr>
            <w:r w:rsidRPr="00A00CDF">
              <w:rPr>
                <w:sz w:val="20"/>
                <w:lang w:val="en-GB"/>
              </w:rPr>
              <w:t>Phone: (</w:t>
            </w:r>
            <w:r>
              <w:rPr>
                <w:sz w:val="20"/>
                <w:lang w:val="en-GB"/>
              </w:rPr>
              <w:t>+</w:t>
            </w:r>
            <w:r w:rsidRPr="00A00CDF">
              <w:rPr>
                <w:sz w:val="20"/>
                <w:lang w:val="en-GB"/>
              </w:rPr>
              <w:t xml:space="preserve">48 22) 608 38 04 </w:t>
            </w:r>
          </w:p>
          <w:p w14:paraId="7A42CB96" w14:textId="77777777" w:rsidR="00215CC8" w:rsidRPr="00F05FC7" w:rsidRDefault="00215CC8" w:rsidP="002B38CA">
            <w:pPr>
              <w:rPr>
                <w:sz w:val="18"/>
                <w:lang w:val="en-US"/>
              </w:rPr>
            </w:pPr>
            <w:r w:rsidRPr="00A82D31">
              <w:rPr>
                <w:b/>
                <w:sz w:val="20"/>
                <w:lang w:val="en-GB"/>
              </w:rPr>
              <w:t>e-mail:</w:t>
            </w:r>
            <w:r w:rsidRPr="00A82D31">
              <w:rPr>
                <w:sz w:val="20"/>
                <w:lang w:val="en-GB"/>
              </w:rPr>
              <w:t xml:space="preserve"> </w:t>
            </w:r>
            <w:hyperlink r:id="rId17"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6F8945C2" w14:textId="77777777" w:rsidR="00215CC8" w:rsidRPr="00A00CDF" w:rsidRDefault="00215CC8" w:rsidP="002B38CA">
            <w:pPr>
              <w:ind w:firstLine="680"/>
              <w:rPr>
                <w:sz w:val="18"/>
                <w:lang w:val="en-US"/>
              </w:rPr>
            </w:pPr>
            <w:r w:rsidRPr="00B36D21">
              <w:rPr>
                <w:noProof/>
                <w:sz w:val="20"/>
                <w:lang w:eastAsia="pl-PL"/>
              </w:rPr>
              <w:drawing>
                <wp:anchor distT="0" distB="0" distL="114300" distR="114300" simplePos="0" relativeHeight="251798528" behindDoc="0" locked="0" layoutInCell="1" allowOverlap="1" wp14:anchorId="0945A13F" wp14:editId="4F47B3C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19" w:history="1">
              <w:r w:rsidRPr="00A00CDF">
                <w:rPr>
                  <w:rStyle w:val="Hipercze"/>
                  <w:rFonts w:cstheme="minorBidi"/>
                  <w:color w:val="auto"/>
                  <w:sz w:val="20"/>
                  <w:u w:val="none"/>
                  <w:lang w:val="en-US"/>
                </w:rPr>
                <w:t>www.stat.gov.pl/en/</w:t>
              </w:r>
            </w:hyperlink>
          </w:p>
        </w:tc>
      </w:tr>
      <w:tr w:rsidR="00215CC8" w14:paraId="377D189E" w14:textId="77777777" w:rsidTr="002B38CA">
        <w:trPr>
          <w:trHeight w:val="418"/>
        </w:trPr>
        <w:tc>
          <w:tcPr>
            <w:tcW w:w="4926" w:type="dxa"/>
            <w:vMerge/>
          </w:tcPr>
          <w:p w14:paraId="1A69C346" w14:textId="77777777" w:rsidR="00215CC8" w:rsidRPr="00A00CDF" w:rsidRDefault="00215CC8" w:rsidP="002B38CA">
            <w:pPr>
              <w:rPr>
                <w:b/>
                <w:sz w:val="20"/>
                <w:lang w:val="en-US"/>
              </w:rPr>
            </w:pPr>
          </w:p>
        </w:tc>
        <w:tc>
          <w:tcPr>
            <w:tcW w:w="4927" w:type="dxa"/>
            <w:vAlign w:val="center"/>
          </w:tcPr>
          <w:p w14:paraId="66752799" w14:textId="77777777" w:rsidR="00215CC8" w:rsidRDefault="00215CC8" w:rsidP="002B38CA">
            <w:pPr>
              <w:ind w:firstLine="680"/>
              <w:rPr>
                <w:sz w:val="18"/>
              </w:rPr>
            </w:pPr>
            <w:r>
              <w:rPr>
                <w:noProof/>
                <w:sz w:val="20"/>
                <w:lang w:eastAsia="pl-PL"/>
              </w:rPr>
              <w:drawing>
                <wp:anchor distT="0" distB="0" distL="114300" distR="114300" simplePos="0" relativeHeight="251799552" behindDoc="0" locked="0" layoutInCell="1" allowOverlap="1" wp14:anchorId="0CC95EA5" wp14:editId="2440A900">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Pr>
                <w:sz w:val="20"/>
              </w:rPr>
              <w:t>StatPoland</w:t>
            </w:r>
            <w:proofErr w:type="spellEnd"/>
          </w:p>
        </w:tc>
      </w:tr>
      <w:tr w:rsidR="00215CC8" w14:paraId="74CCA58A" w14:textId="77777777" w:rsidTr="002B38CA">
        <w:trPr>
          <w:trHeight w:val="476"/>
        </w:trPr>
        <w:tc>
          <w:tcPr>
            <w:tcW w:w="4926" w:type="dxa"/>
            <w:vMerge/>
          </w:tcPr>
          <w:p w14:paraId="55263100" w14:textId="77777777" w:rsidR="00215CC8" w:rsidRPr="00C91687" w:rsidRDefault="00215CC8" w:rsidP="002B38CA">
            <w:pPr>
              <w:rPr>
                <w:b/>
                <w:sz w:val="20"/>
              </w:rPr>
            </w:pPr>
          </w:p>
        </w:tc>
        <w:tc>
          <w:tcPr>
            <w:tcW w:w="4927" w:type="dxa"/>
          </w:tcPr>
          <w:p w14:paraId="3532B168" w14:textId="77777777" w:rsidR="00215CC8" w:rsidRDefault="00215CC8" w:rsidP="002B38CA">
            <w:pPr>
              <w:ind w:firstLine="680"/>
              <w:rPr>
                <w:sz w:val="18"/>
              </w:rPr>
            </w:pPr>
            <w:r>
              <w:rPr>
                <w:noProof/>
                <w:sz w:val="20"/>
                <w:lang w:eastAsia="pl-PL"/>
              </w:rPr>
              <w:drawing>
                <wp:anchor distT="0" distB="0" distL="114300" distR="114300" simplePos="0" relativeHeight="251800576" behindDoc="0" locked="0" layoutInCell="1" allowOverlap="1" wp14:anchorId="5FA01C4C" wp14:editId="1C6A6B66">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215CC8" w14:paraId="04CB6400" w14:textId="77777777" w:rsidTr="002B38CA">
        <w:trPr>
          <w:trHeight w:val="426"/>
        </w:trPr>
        <w:tc>
          <w:tcPr>
            <w:tcW w:w="4926" w:type="dxa"/>
          </w:tcPr>
          <w:p w14:paraId="69F79944" w14:textId="77777777" w:rsidR="00215CC8" w:rsidRPr="00C91687" w:rsidRDefault="00215CC8" w:rsidP="002B38CA">
            <w:pPr>
              <w:rPr>
                <w:b/>
                <w:sz w:val="20"/>
              </w:rPr>
            </w:pPr>
          </w:p>
        </w:tc>
        <w:tc>
          <w:tcPr>
            <w:tcW w:w="4927" w:type="dxa"/>
          </w:tcPr>
          <w:p w14:paraId="5ABFA28A" w14:textId="77777777" w:rsidR="00215CC8" w:rsidRDefault="00215CC8" w:rsidP="002B38CA">
            <w:pPr>
              <w:ind w:firstLine="680"/>
              <w:rPr>
                <w:noProof/>
                <w:sz w:val="20"/>
                <w:lang w:eastAsia="pl-PL"/>
              </w:rPr>
            </w:pPr>
            <w:r>
              <w:rPr>
                <w:noProof/>
                <w:sz w:val="20"/>
                <w:lang w:eastAsia="pl-PL"/>
              </w:rPr>
              <w:drawing>
                <wp:anchor distT="0" distB="0" distL="114300" distR="114300" simplePos="0" relativeHeight="251801600" behindDoc="0" locked="0" layoutInCell="1" allowOverlap="1" wp14:anchorId="39A6EF16" wp14:editId="542F0053">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215CC8" w14:paraId="17F822F1" w14:textId="77777777" w:rsidTr="002B38CA">
        <w:trPr>
          <w:trHeight w:val="504"/>
        </w:trPr>
        <w:tc>
          <w:tcPr>
            <w:tcW w:w="4926" w:type="dxa"/>
          </w:tcPr>
          <w:p w14:paraId="09C7FBA4" w14:textId="77777777" w:rsidR="00215CC8" w:rsidRPr="00C91687" w:rsidRDefault="00215CC8" w:rsidP="002B38CA">
            <w:pPr>
              <w:rPr>
                <w:b/>
                <w:sz w:val="20"/>
              </w:rPr>
            </w:pPr>
          </w:p>
        </w:tc>
        <w:tc>
          <w:tcPr>
            <w:tcW w:w="4927" w:type="dxa"/>
          </w:tcPr>
          <w:p w14:paraId="580D796D" w14:textId="77777777" w:rsidR="00215CC8" w:rsidRDefault="00215CC8" w:rsidP="002B38CA">
            <w:pPr>
              <w:ind w:firstLine="680"/>
              <w:rPr>
                <w:noProof/>
                <w:sz w:val="20"/>
                <w:lang w:eastAsia="pl-PL"/>
              </w:rPr>
            </w:pPr>
            <w:r>
              <w:rPr>
                <w:noProof/>
                <w:sz w:val="20"/>
                <w:lang w:eastAsia="pl-PL"/>
              </w:rPr>
              <w:drawing>
                <wp:anchor distT="0" distB="0" distL="114300" distR="114300" simplePos="0" relativeHeight="251802624" behindDoc="0" locked="0" layoutInCell="1" allowOverlap="1" wp14:anchorId="2A2C481F" wp14:editId="7FD78A2D">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215CC8" w14:paraId="30D72DBC" w14:textId="77777777" w:rsidTr="002B38CA">
        <w:trPr>
          <w:trHeight w:val="1546"/>
        </w:trPr>
        <w:tc>
          <w:tcPr>
            <w:tcW w:w="4926" w:type="dxa"/>
          </w:tcPr>
          <w:p w14:paraId="256130F3" w14:textId="77777777" w:rsidR="00215CC8" w:rsidRPr="00C91687" w:rsidRDefault="00215CC8" w:rsidP="002B38CA">
            <w:pPr>
              <w:rPr>
                <w:b/>
                <w:sz w:val="20"/>
              </w:rPr>
            </w:pPr>
          </w:p>
        </w:tc>
        <w:tc>
          <w:tcPr>
            <w:tcW w:w="4927" w:type="dxa"/>
          </w:tcPr>
          <w:p w14:paraId="1C9F9300" w14:textId="77777777" w:rsidR="00215CC8" w:rsidRDefault="00215CC8" w:rsidP="002B38CA">
            <w:pPr>
              <w:ind w:firstLine="680"/>
              <w:rPr>
                <w:noProof/>
                <w:sz w:val="20"/>
                <w:lang w:eastAsia="pl-PL"/>
              </w:rPr>
            </w:pPr>
            <w:r w:rsidRPr="00531873">
              <w:rPr>
                <w:noProof/>
                <w:sz w:val="20"/>
                <w:lang w:eastAsia="pl-PL"/>
              </w:rPr>
              <w:t>glownyurzadstatystyczny</w:t>
            </w:r>
            <w:r>
              <w:rPr>
                <w:noProof/>
                <w:sz w:val="20"/>
                <w:lang w:eastAsia="pl-PL"/>
              </w:rPr>
              <w:drawing>
                <wp:anchor distT="0" distB="0" distL="114300" distR="114300" simplePos="0" relativeHeight="251803648" behindDoc="0" locked="0" layoutInCell="1" allowOverlap="1" wp14:anchorId="0ADCD40A" wp14:editId="54BF487E">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215CC8" w14:paraId="6A2ADBF8" w14:textId="77777777" w:rsidTr="002B38CA">
        <w:trPr>
          <w:trHeight w:val="4114"/>
        </w:trPr>
        <w:tc>
          <w:tcPr>
            <w:tcW w:w="9853" w:type="dxa"/>
            <w:gridSpan w:val="2"/>
            <w:shd w:val="clear" w:color="auto" w:fill="D9D9D9" w:themeFill="background1" w:themeFillShade="D9"/>
          </w:tcPr>
          <w:p w14:paraId="4A024AC1" w14:textId="77777777" w:rsidR="00215CC8" w:rsidRPr="00A00CDF" w:rsidRDefault="00215CC8" w:rsidP="002B38CA">
            <w:pPr>
              <w:shd w:val="clear" w:color="auto" w:fill="D9D9D9" w:themeFill="background1" w:themeFillShade="D9"/>
              <w:rPr>
                <w:b/>
                <w:lang w:val="en-GB"/>
              </w:rPr>
            </w:pPr>
            <w:r w:rsidRPr="00A00CDF">
              <w:rPr>
                <w:b/>
                <w:lang w:val="en-GB"/>
              </w:rPr>
              <w:t>Related information</w:t>
            </w:r>
          </w:p>
          <w:p w14:paraId="54FAB690" w14:textId="77777777" w:rsidR="00215CC8" w:rsidRPr="00A00CDF" w:rsidRDefault="00172FB9" w:rsidP="002B38CA">
            <w:pPr>
              <w:rPr>
                <w:rStyle w:val="Hipercze"/>
                <w:lang w:val="en-GB"/>
              </w:rPr>
            </w:pPr>
            <w:hyperlink r:id="rId25" w:history="1">
              <w:r w:rsidR="00215CC8" w:rsidRPr="00A00CDF">
                <w:rPr>
                  <w:rStyle w:val="Hipercze"/>
                  <w:lang w:val="en-GB"/>
                </w:rPr>
                <w:t>Methodological report. Labour Force Survey (the methodology valid until the end of 2020)</w:t>
              </w:r>
            </w:hyperlink>
            <w:r w:rsidR="00215CC8">
              <w:rPr>
                <w:rFonts w:cs="Times New Roman"/>
              </w:rPr>
              <w:fldChar w:fldCharType="begin"/>
            </w:r>
            <w:r w:rsidR="00215CC8" w:rsidRPr="00A00CDF">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215CC8">
              <w:rPr>
                <w:rFonts w:cs="Times New Roman"/>
              </w:rPr>
              <w:fldChar w:fldCharType="separate"/>
            </w:r>
          </w:p>
          <w:p w14:paraId="313A9418" w14:textId="1B140194" w:rsidR="00215CC8" w:rsidRPr="00A00CDF" w:rsidRDefault="00215CC8" w:rsidP="002B38CA">
            <w:pPr>
              <w:rPr>
                <w:rFonts w:cs="Times New Roman"/>
                <w:lang w:val="en-GB"/>
              </w:rPr>
            </w:pPr>
            <w:r>
              <w:rPr>
                <w:rFonts w:cs="Times New Roman"/>
              </w:rPr>
              <w:fldChar w:fldCharType="end"/>
            </w:r>
            <w:hyperlink r:id="rId26" w:history="1">
              <w:r w:rsidRPr="00A00CDF">
                <w:rPr>
                  <w:rStyle w:val="Hipercze"/>
                  <w:lang w:val="en-GB"/>
                </w:rPr>
                <w:t>Labour Force Survey in Poland</w:t>
              </w:r>
            </w:hyperlink>
          </w:p>
          <w:p w14:paraId="2F503822" w14:textId="77777777" w:rsidR="00215CC8" w:rsidRPr="00A00CDF" w:rsidRDefault="00215CC8" w:rsidP="002B38CA">
            <w:pPr>
              <w:rPr>
                <w:rStyle w:val="Hipercze"/>
                <w:lang w:val="en-GB"/>
              </w:rPr>
            </w:pPr>
            <w:r>
              <w:rPr>
                <w:rFonts w:cs="Times New Roman"/>
              </w:rPr>
              <w:fldChar w:fldCharType="begin"/>
            </w:r>
            <w:r w:rsidRPr="00A00CDF">
              <w:rPr>
                <w:rFonts w:cs="Times New Roman"/>
                <w:lang w:val="en-GB"/>
              </w:rPr>
              <w:instrText xml:space="preserve"> HYPERLINK "https://stat.gov.pl/en/topics/labour-market/working-unemployed-economically-inactive-by-lfs/" </w:instrText>
            </w:r>
            <w:r>
              <w:rPr>
                <w:rFonts w:cs="Times New Roman"/>
              </w:rPr>
              <w:fldChar w:fldCharType="separate"/>
            </w:r>
            <w:r w:rsidRPr="00A00CDF">
              <w:rPr>
                <w:rStyle w:val="Hipercze"/>
                <w:lang w:val="en-GB"/>
              </w:rPr>
              <w:t xml:space="preserve">Other publications containing the results of LFS and its module surveys  </w:t>
            </w:r>
          </w:p>
          <w:p w14:paraId="33863AE8" w14:textId="77777777" w:rsidR="00215CC8" w:rsidRPr="00A00CDF" w:rsidRDefault="00215CC8" w:rsidP="002B38CA">
            <w:pPr>
              <w:rPr>
                <w:rFonts w:cs="Times New Roman"/>
                <w:lang w:val="en-GB"/>
              </w:rPr>
            </w:pPr>
            <w:r w:rsidRPr="00A00CDF">
              <w:rPr>
                <w:rStyle w:val="Hipercze"/>
                <w:lang w:val="en-GB"/>
              </w:rPr>
              <w:t>stat.gov.pl → Topics → Labour Market</w:t>
            </w:r>
            <w:r>
              <w:rPr>
                <w:rFonts w:cs="Times New Roman"/>
              </w:rPr>
              <w:fldChar w:fldCharType="end"/>
            </w:r>
          </w:p>
          <w:p w14:paraId="3F8EA5DB" w14:textId="77777777" w:rsidR="00215CC8" w:rsidRPr="00A00CDF" w:rsidRDefault="00215CC8" w:rsidP="002B38CA">
            <w:pPr>
              <w:shd w:val="clear" w:color="auto" w:fill="D9D9D9" w:themeFill="background1" w:themeFillShade="D9"/>
              <w:spacing w:before="360"/>
              <w:rPr>
                <w:b/>
                <w:color w:val="000000" w:themeColor="text1"/>
                <w:szCs w:val="24"/>
                <w:lang w:val="en-GB"/>
              </w:rPr>
            </w:pPr>
            <w:r w:rsidRPr="00A00CDF">
              <w:rPr>
                <w:b/>
                <w:color w:val="000000" w:themeColor="text1"/>
                <w:szCs w:val="24"/>
                <w:lang w:val="en-GB"/>
              </w:rPr>
              <w:t>Data available in databases</w:t>
            </w:r>
          </w:p>
          <w:p w14:paraId="5E7D98A6" w14:textId="77777777" w:rsidR="00215CC8" w:rsidRPr="00A00CDF" w:rsidRDefault="00172FB9" w:rsidP="002B38CA">
            <w:pPr>
              <w:rPr>
                <w:lang w:val="en-GB"/>
              </w:rPr>
            </w:pPr>
            <w:hyperlink r:id="rId27" w:anchor="/" w:history="1">
              <w:proofErr w:type="spellStart"/>
              <w:r w:rsidR="00215CC8" w:rsidRPr="00A00CDF">
                <w:rPr>
                  <w:rStyle w:val="Hipercze"/>
                  <w:rFonts w:cstheme="minorBidi"/>
                  <w:lang w:val="en-GB"/>
                </w:rPr>
                <w:t>Strateg</w:t>
              </w:r>
              <w:proofErr w:type="spellEnd"/>
              <w:r w:rsidR="00215CC8" w:rsidRPr="00A00CDF">
                <w:rPr>
                  <w:rStyle w:val="Hipercze"/>
                  <w:rFonts w:cstheme="minorBidi"/>
                  <w:lang w:val="en-GB"/>
                </w:rPr>
                <w:t xml:space="preserve"> → Topics → Labour Market</w:t>
              </w:r>
            </w:hyperlink>
          </w:p>
          <w:p w14:paraId="13560D32" w14:textId="77777777" w:rsidR="00215CC8" w:rsidRPr="00A00CDF" w:rsidRDefault="00172FB9" w:rsidP="002B38CA">
            <w:pPr>
              <w:rPr>
                <w:rStyle w:val="Hipercze"/>
                <w:rFonts w:cstheme="minorBidi"/>
                <w:lang w:val="en-GB"/>
              </w:rPr>
            </w:pPr>
            <w:hyperlink r:id="rId28" w:history="1">
              <w:r w:rsidR="00215CC8" w:rsidRPr="00A00CDF">
                <w:rPr>
                  <w:rStyle w:val="Hipercze"/>
                  <w:lang w:val="en-GB"/>
                </w:rPr>
                <w:t>Local Data Bank → labour Market</w:t>
              </w:r>
            </w:hyperlink>
            <w:r w:rsidR="00215CC8" w:rsidRPr="00A00CDF">
              <w:rPr>
                <w:rFonts w:cs="Times New Roman"/>
                <w:lang w:val="en-GB"/>
              </w:rPr>
              <w:t xml:space="preserve"> </w:t>
            </w:r>
            <w:r w:rsidR="00215CC8">
              <w:rPr>
                <w:rFonts w:cs="Times New Roman"/>
              </w:rPr>
              <w:fldChar w:fldCharType="begin"/>
            </w:r>
            <w:r w:rsidR="00215CC8" w:rsidRPr="00A00CDF">
              <w:rPr>
                <w:rFonts w:cs="Times New Roman"/>
                <w:lang w:val="en-GB"/>
              </w:rPr>
              <w:instrText>HYPERLINK "https://bdl.stat.gov.pl/bdl/dane/podgrup/temat" \o "Link do danych w bazie Banku Danych Lokalnych"</w:instrText>
            </w:r>
            <w:r w:rsidR="00215CC8">
              <w:rPr>
                <w:rFonts w:cs="Times New Roman"/>
              </w:rPr>
              <w:fldChar w:fldCharType="separate"/>
            </w:r>
          </w:p>
          <w:p w14:paraId="6744F86D" w14:textId="77777777" w:rsidR="00215CC8" w:rsidRPr="00A00CDF" w:rsidRDefault="00215CC8" w:rsidP="002B38CA">
            <w:pPr>
              <w:shd w:val="clear" w:color="auto" w:fill="D9D9D9" w:themeFill="background1" w:themeFillShade="D9"/>
              <w:spacing w:before="360"/>
              <w:rPr>
                <w:b/>
                <w:color w:val="000000" w:themeColor="text1"/>
                <w:szCs w:val="24"/>
                <w:lang w:val="en-GB"/>
              </w:rPr>
            </w:pPr>
            <w:r>
              <w:rPr>
                <w:rFonts w:cs="Times New Roman"/>
              </w:rPr>
              <w:fldChar w:fldCharType="end"/>
            </w:r>
            <w:r w:rsidRPr="00A00CDF">
              <w:rPr>
                <w:b/>
                <w:color w:val="000000" w:themeColor="text1"/>
                <w:szCs w:val="24"/>
                <w:lang w:val="en-GB"/>
              </w:rPr>
              <w:t>Terms used in official statistics</w:t>
            </w:r>
          </w:p>
          <w:p w14:paraId="5BFB4F74" w14:textId="77777777" w:rsidR="00215CC8" w:rsidRPr="00A00CDF" w:rsidRDefault="00172FB9" w:rsidP="002B38CA">
            <w:pPr>
              <w:rPr>
                <w:rStyle w:val="Hipercze"/>
                <w:lang w:val="en-GB"/>
              </w:rPr>
            </w:pPr>
            <w:hyperlink r:id="rId29" w:history="1">
              <w:r w:rsidR="00215CC8" w:rsidRPr="00A00CDF">
                <w:rPr>
                  <w:rStyle w:val="Hipercze"/>
                  <w:lang w:val="en-GB"/>
                </w:rPr>
                <w:t>Economic activity by LFS</w:t>
              </w:r>
            </w:hyperlink>
            <w:r w:rsidR="00215CC8" w:rsidRPr="00A00CDF">
              <w:rPr>
                <w:rStyle w:val="Hipercze"/>
                <w:lang w:val="en-GB"/>
              </w:rPr>
              <w:t xml:space="preserve"> </w:t>
            </w:r>
            <w:r w:rsidR="00215CC8" w:rsidRPr="004E7FE4">
              <w:rPr>
                <w:rStyle w:val="Hipercze"/>
              </w:rPr>
              <w:fldChar w:fldCharType="begin"/>
            </w:r>
            <w:r w:rsidR="00215CC8" w:rsidRPr="00A00CDF">
              <w:rPr>
                <w:rStyle w:val="Hipercze"/>
                <w:lang w:val="en-GB"/>
              </w:rPr>
              <w:instrText xml:space="preserve"> HYPERLINK "https://stat.gov.pl/metainformacje/slownik-pojec/pojecia-stosowane-w-statystyce-publicznej/4562,pojecie.html" \o "Link do słownika pojęć" </w:instrText>
            </w:r>
            <w:r w:rsidR="00215CC8" w:rsidRPr="004E7FE4">
              <w:rPr>
                <w:rStyle w:val="Hipercze"/>
              </w:rPr>
              <w:fldChar w:fldCharType="separate"/>
            </w:r>
          </w:p>
          <w:p w14:paraId="5323F785" w14:textId="77777777" w:rsidR="00215CC8" w:rsidRPr="00A00CDF" w:rsidRDefault="00215CC8" w:rsidP="002B38CA">
            <w:pPr>
              <w:rPr>
                <w:rStyle w:val="Hipercze"/>
                <w:lang w:val="en-GB"/>
              </w:rPr>
            </w:pPr>
            <w:r w:rsidRPr="004E7FE4">
              <w:rPr>
                <w:rStyle w:val="Hipercze"/>
              </w:rPr>
              <w:fldChar w:fldCharType="end"/>
            </w:r>
            <w:hyperlink r:id="rId30" w:history="1">
              <w:r w:rsidRPr="00A00CDF">
                <w:rPr>
                  <w:rStyle w:val="Hipercze"/>
                  <w:lang w:val="en-GB"/>
                </w:rPr>
                <w:t>Economically active population by LFS</w:t>
              </w:r>
            </w:hyperlink>
            <w:r w:rsidRPr="00A00CDF">
              <w:rPr>
                <w:rStyle w:val="Hipercze"/>
                <w:lang w:val="en-GB"/>
              </w:rPr>
              <w:t xml:space="preserve">  </w:t>
            </w:r>
          </w:p>
          <w:p w14:paraId="25DB961D" w14:textId="77777777" w:rsidR="00215CC8" w:rsidRPr="00A00CDF" w:rsidRDefault="00172FB9" w:rsidP="002B38CA">
            <w:pPr>
              <w:rPr>
                <w:rStyle w:val="Hipercze"/>
                <w:lang w:val="en-GB"/>
              </w:rPr>
            </w:pPr>
            <w:hyperlink r:id="rId31" w:history="1">
              <w:r w:rsidR="00215CC8" w:rsidRPr="00A00CDF">
                <w:rPr>
                  <w:rStyle w:val="Hipercze"/>
                  <w:lang w:val="en-GB"/>
                </w:rPr>
                <w:t>Employed persons by LFS</w:t>
              </w:r>
            </w:hyperlink>
            <w:r w:rsidR="00215CC8" w:rsidRPr="00A00CDF">
              <w:rPr>
                <w:rFonts w:cs="Times New Roman"/>
                <w:lang w:val="en-GB"/>
              </w:rPr>
              <w:t xml:space="preserve"> </w:t>
            </w:r>
            <w:r w:rsidR="00215CC8" w:rsidRPr="00A00CDF">
              <w:rPr>
                <w:rStyle w:val="Hipercze"/>
                <w:lang w:val="en-GB"/>
              </w:rPr>
              <w:t xml:space="preserve"> </w:t>
            </w:r>
          </w:p>
          <w:p w14:paraId="741AA67B" w14:textId="77777777" w:rsidR="00215CC8" w:rsidRPr="00A00CDF" w:rsidRDefault="00172FB9" w:rsidP="002B38CA">
            <w:pPr>
              <w:rPr>
                <w:rStyle w:val="Hipercze"/>
                <w:lang w:val="en-GB"/>
              </w:rPr>
            </w:pPr>
            <w:hyperlink r:id="rId32" w:history="1">
              <w:r w:rsidR="00215CC8" w:rsidRPr="00A00CDF">
                <w:rPr>
                  <w:rStyle w:val="Hipercze"/>
                  <w:rFonts w:cstheme="minorBidi"/>
                  <w:lang w:val="en-GB"/>
                </w:rPr>
                <w:t>Unemployed persons by LFS</w:t>
              </w:r>
            </w:hyperlink>
            <w:r w:rsidR="00215CC8" w:rsidRPr="00A00CDF">
              <w:rPr>
                <w:rStyle w:val="Hipercze"/>
                <w:lang w:val="en-GB"/>
              </w:rPr>
              <w:t xml:space="preserve">  </w:t>
            </w:r>
          </w:p>
          <w:p w14:paraId="3D71B59E" w14:textId="77777777" w:rsidR="00215CC8" w:rsidRPr="00A00CDF" w:rsidRDefault="00172FB9" w:rsidP="002B38CA">
            <w:pPr>
              <w:rPr>
                <w:rStyle w:val="Hipercze"/>
                <w:lang w:val="en-GB"/>
              </w:rPr>
            </w:pPr>
            <w:hyperlink r:id="rId33" w:history="1">
              <w:r w:rsidR="00215CC8" w:rsidRPr="00A00CDF">
                <w:rPr>
                  <w:rStyle w:val="Hipercze"/>
                  <w:rFonts w:cstheme="minorBidi"/>
                  <w:lang w:val="en-GB"/>
                </w:rPr>
                <w:t>Economically inactive population according to the LFS</w:t>
              </w:r>
            </w:hyperlink>
          </w:p>
          <w:p w14:paraId="4E514ED5" w14:textId="77777777" w:rsidR="00215CC8" w:rsidRPr="00A00CDF" w:rsidRDefault="00172FB9" w:rsidP="002B38CA">
            <w:pPr>
              <w:pStyle w:val="Nagwek4"/>
              <w:spacing w:before="120" w:after="120"/>
              <w:outlineLvl w:val="3"/>
              <w:rPr>
                <w:rFonts w:ascii="Fira Sans" w:hAnsi="Fira Sans" w:cs="Arial"/>
                <w:i w:val="0"/>
                <w:color w:val="222222"/>
                <w:szCs w:val="19"/>
                <w:lang w:val="en-GB"/>
              </w:rPr>
            </w:pPr>
            <w:hyperlink r:id="rId34" w:history="1">
              <w:r w:rsidR="00215CC8" w:rsidRPr="00A00CDF">
                <w:rPr>
                  <w:rStyle w:val="Hipercze"/>
                  <w:rFonts w:ascii="Fira Sans" w:hAnsi="Fira Sans" w:cs="Arial"/>
                  <w:bCs/>
                  <w:i w:val="0"/>
                  <w:szCs w:val="19"/>
                  <w:lang w:val="en-GB"/>
                </w:rPr>
                <w:t>Activity rate by LFS</w:t>
              </w:r>
            </w:hyperlink>
          </w:p>
          <w:p w14:paraId="204A1274" w14:textId="77777777" w:rsidR="00215CC8" w:rsidRPr="00A00CDF" w:rsidRDefault="00172FB9" w:rsidP="002B38CA">
            <w:pPr>
              <w:rPr>
                <w:rStyle w:val="Hipercze"/>
                <w:lang w:val="en-GB"/>
              </w:rPr>
            </w:pPr>
            <w:hyperlink r:id="rId35" w:history="1">
              <w:r w:rsidR="00215CC8" w:rsidRPr="00A00CDF">
                <w:rPr>
                  <w:rStyle w:val="Hipercze"/>
                  <w:rFonts w:cstheme="minorBidi"/>
                  <w:lang w:val="en-GB"/>
                </w:rPr>
                <w:t>Employment rate by LFS</w:t>
              </w:r>
            </w:hyperlink>
            <w:r w:rsidR="00215CC8" w:rsidRPr="00A00CDF">
              <w:rPr>
                <w:rStyle w:val="Hipercze"/>
                <w:lang w:val="en-GB"/>
              </w:rPr>
              <w:t xml:space="preserve"> </w:t>
            </w:r>
          </w:p>
          <w:p w14:paraId="54B2B425" w14:textId="77777777" w:rsidR="00215CC8" w:rsidRPr="004E7FE4" w:rsidRDefault="00172FB9" w:rsidP="002B38CA">
            <w:pPr>
              <w:rPr>
                <w:rStyle w:val="Hipercze"/>
              </w:rPr>
            </w:pPr>
            <w:hyperlink r:id="rId36" w:history="1">
              <w:proofErr w:type="spellStart"/>
              <w:r w:rsidR="00215CC8" w:rsidRPr="00FB7DA5">
                <w:rPr>
                  <w:rStyle w:val="Hipercze"/>
                  <w:rFonts w:cstheme="minorBidi"/>
                </w:rPr>
                <w:t>Unemployment</w:t>
              </w:r>
              <w:proofErr w:type="spellEnd"/>
              <w:r w:rsidR="00215CC8" w:rsidRPr="00FB7DA5">
                <w:rPr>
                  <w:rStyle w:val="Hipercze"/>
                  <w:rFonts w:cstheme="minorBidi"/>
                </w:rPr>
                <w:t xml:space="preserve"> </w:t>
              </w:r>
              <w:proofErr w:type="spellStart"/>
              <w:r w:rsidR="00215CC8" w:rsidRPr="00FB7DA5">
                <w:rPr>
                  <w:rStyle w:val="Hipercze"/>
                  <w:rFonts w:cstheme="minorBidi"/>
                </w:rPr>
                <w:t>rate</w:t>
              </w:r>
              <w:proofErr w:type="spellEnd"/>
              <w:r w:rsidR="00215CC8" w:rsidRPr="00FB7DA5">
                <w:rPr>
                  <w:rStyle w:val="Hipercze"/>
                  <w:rFonts w:cstheme="minorBidi"/>
                </w:rPr>
                <w:t xml:space="preserve"> by LFS</w:t>
              </w:r>
            </w:hyperlink>
            <w:r w:rsidR="00215CC8">
              <w:rPr>
                <w:rStyle w:val="Hipercze"/>
              </w:rPr>
              <w:t xml:space="preserve"> </w:t>
            </w:r>
          </w:p>
          <w:p w14:paraId="66B5DEA2" w14:textId="77777777" w:rsidR="00215CC8" w:rsidRPr="008C5B89" w:rsidRDefault="00215CC8" w:rsidP="002B38CA">
            <w:pPr>
              <w:rPr>
                <w:b/>
                <w:color w:val="000000" w:themeColor="text1"/>
                <w:szCs w:val="24"/>
              </w:rPr>
            </w:pPr>
          </w:p>
        </w:tc>
      </w:tr>
    </w:tbl>
    <w:p w14:paraId="7C19EFAE" w14:textId="21B9399A" w:rsidR="00D261A2" w:rsidRPr="00001C5B" w:rsidRDefault="00D261A2" w:rsidP="00AB458A">
      <w:pPr>
        <w:rPr>
          <w:sz w:val="18"/>
        </w:rPr>
      </w:pPr>
    </w:p>
    <w:sectPr w:rsidR="00D261A2" w:rsidRPr="00001C5B" w:rsidSect="003B18B6">
      <w:headerReference w:type="default" r:id="rId37"/>
      <w:footerReference w:type="default" r:id="rId3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099E2" w14:textId="77777777" w:rsidR="00172FB9" w:rsidRDefault="00172FB9" w:rsidP="000662E2">
      <w:pPr>
        <w:spacing w:after="0" w:line="240" w:lineRule="auto"/>
      </w:pPr>
      <w:r>
        <w:separator/>
      </w:r>
    </w:p>
  </w:endnote>
  <w:endnote w:type="continuationSeparator" w:id="0">
    <w:p w14:paraId="24015439" w14:textId="77777777" w:rsidR="00172FB9" w:rsidRDefault="00172FB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57263B0F" w:rsidR="00D12A51" w:rsidRDefault="00D12A51" w:rsidP="003B18B6">
        <w:pPr>
          <w:pStyle w:val="Stopka"/>
          <w:jc w:val="center"/>
        </w:pPr>
        <w:r>
          <w:fldChar w:fldCharType="begin"/>
        </w:r>
        <w:r>
          <w:instrText>PAGE   \* MERGEFORMAT</w:instrText>
        </w:r>
        <w:r>
          <w:fldChar w:fldCharType="separate"/>
        </w:r>
        <w:r w:rsidR="00626B92">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345C9626" w:rsidR="00D12A51" w:rsidRDefault="00D12A51" w:rsidP="003B18B6">
        <w:pPr>
          <w:pStyle w:val="Stopka"/>
          <w:jc w:val="center"/>
        </w:pPr>
        <w:r>
          <w:fldChar w:fldCharType="begin"/>
        </w:r>
        <w:r>
          <w:instrText>PAGE   \* MERGEFORMAT</w:instrText>
        </w:r>
        <w:r>
          <w:fldChar w:fldCharType="separate"/>
        </w:r>
        <w:r w:rsidR="00626B9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4E5BE889" w:rsidR="00D12A51" w:rsidRDefault="00D12A51" w:rsidP="003B18B6">
        <w:pPr>
          <w:pStyle w:val="Stopka"/>
          <w:jc w:val="center"/>
        </w:pPr>
        <w:r>
          <w:fldChar w:fldCharType="begin"/>
        </w:r>
        <w:r>
          <w:instrText>PAGE   \* MERGEFORMAT</w:instrText>
        </w:r>
        <w:r>
          <w:fldChar w:fldCharType="separate"/>
        </w:r>
        <w:r w:rsidR="00626B92">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E6811" w14:textId="77777777" w:rsidR="00172FB9" w:rsidRDefault="00172FB9" w:rsidP="000662E2">
      <w:pPr>
        <w:spacing w:after="0" w:line="240" w:lineRule="auto"/>
      </w:pPr>
      <w:r>
        <w:separator/>
      </w:r>
    </w:p>
  </w:footnote>
  <w:footnote w:type="continuationSeparator" w:id="0">
    <w:p w14:paraId="57D4791F" w14:textId="77777777" w:rsidR="00172FB9" w:rsidRDefault="00172FB9" w:rsidP="000662E2">
      <w:pPr>
        <w:spacing w:after="0" w:line="240" w:lineRule="auto"/>
      </w:pPr>
      <w:r>
        <w:continuationSeparator/>
      </w:r>
    </w:p>
  </w:footnote>
  <w:footnote w:id="1">
    <w:p w14:paraId="15512F18" w14:textId="7DE66B20" w:rsidR="00D12A51" w:rsidRPr="005D6D8C" w:rsidRDefault="00D12A51" w:rsidP="00A453CD">
      <w:pPr>
        <w:autoSpaceDE w:val="0"/>
        <w:autoSpaceDN w:val="0"/>
        <w:adjustRightInd w:val="0"/>
        <w:spacing w:before="0" w:after="0" w:line="240" w:lineRule="auto"/>
        <w:rPr>
          <w:u w:val="single"/>
          <w:lang w:val="en-GB"/>
        </w:rPr>
      </w:pPr>
      <w:r w:rsidRPr="00BB7ECA">
        <w:rPr>
          <w:rStyle w:val="Odwoanieprzypisudolnego"/>
          <w:szCs w:val="19"/>
        </w:rPr>
        <w:footnoteRef/>
      </w:r>
      <w:r w:rsidRPr="00D958CD">
        <w:rPr>
          <w:szCs w:val="19"/>
          <w:lang w:val="en-US"/>
        </w:rPr>
        <w:t xml:space="preserve"> </w:t>
      </w:r>
      <w:r w:rsidR="005D6D8C" w:rsidRPr="005D6D8C">
        <w:rPr>
          <w:szCs w:val="19"/>
          <w:lang w:val="en-GB"/>
        </w:rPr>
        <w:t>The LFS result</w:t>
      </w:r>
      <w:r w:rsidR="0072059D">
        <w:rPr>
          <w:szCs w:val="19"/>
          <w:lang w:val="en-GB"/>
        </w:rPr>
        <w:t>s</w:t>
      </w:r>
      <w:r w:rsidR="005D6D8C" w:rsidRPr="005D6D8C">
        <w:rPr>
          <w:szCs w:val="19"/>
          <w:lang w:val="en-GB"/>
        </w:rPr>
        <w:t xml:space="preserve"> concern the population staying or planning to stay in the country’s territory fo</w:t>
      </w:r>
      <w:r w:rsidR="005D6D8C">
        <w:rPr>
          <w:szCs w:val="19"/>
          <w:lang w:val="en-GB"/>
        </w:rPr>
        <w:t>r</w:t>
      </w:r>
      <w:r w:rsidR="005D6D8C" w:rsidRPr="005D6D8C">
        <w:rPr>
          <w:szCs w:val="19"/>
          <w:lang w:val="en-GB"/>
        </w:rPr>
        <w:t xml:space="preserve"> at least 12 months, living in private households.</w:t>
      </w:r>
      <w:r w:rsidRPr="005D6D8C">
        <w:rPr>
          <w:rStyle w:val="Hipercze"/>
          <w:rFonts w:cstheme="minorBidi"/>
          <w:color w:val="auto"/>
          <w:szCs w:val="19"/>
          <w:u w:val="none"/>
          <w:lang w:val="en-GB"/>
        </w:rPr>
        <w:t xml:space="preserve"> </w:t>
      </w:r>
      <w:r w:rsidRPr="005D6D8C">
        <w:rPr>
          <w:lang w:val="en-GB"/>
        </w:rPr>
        <w:t xml:space="preserve">The main information concerning the population covered by the survey and applied definitions </w:t>
      </w:r>
      <w:r w:rsidRPr="005D6D8C">
        <w:rPr>
          <w:rStyle w:val="Hipercze"/>
          <w:rFonts w:cstheme="minorBidi"/>
          <w:color w:val="auto"/>
          <w:szCs w:val="19"/>
          <w:u w:val="none"/>
          <w:lang w:val="en-GB"/>
        </w:rPr>
        <w:t xml:space="preserve">is available in the quarterly publication </w:t>
      </w:r>
      <w:hyperlink r:id="rId1" w:history="1">
        <w:r w:rsidRPr="005D6D8C">
          <w:rPr>
            <w:rStyle w:val="Hipercze"/>
            <w:rFonts w:eastAsia="Times New Roman"/>
            <w:bCs/>
            <w:szCs w:val="19"/>
            <w:lang w:val="en-GB" w:eastAsia="pl-PL"/>
          </w:rPr>
          <w:t>Labour Force Survey in Poland</w:t>
        </w:r>
      </w:hyperlink>
    </w:p>
    <w:p w14:paraId="2A625CF4" w14:textId="58D2EDEE" w:rsidR="00D12A51" w:rsidRPr="00D958CD" w:rsidRDefault="00D12A51">
      <w:pPr>
        <w:pStyle w:val="Tekstprzypisudolnego"/>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D12A51" w:rsidRDefault="00D12A51">
    <w:pPr>
      <w:pStyle w:val="Nagwek"/>
    </w:pPr>
    <w:r>
      <w:rPr>
        <w:noProof/>
        <w:lang w:eastAsia="pl-PL"/>
      </w:rPr>
      <mc:AlternateContent>
        <mc:Choice Requires="wps">
          <w:drawing>
            <wp:anchor distT="0" distB="0" distL="114300" distR="114300" simplePos="0" relativeHeight="251673600"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F659D7D"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D12A51" w:rsidRDefault="00D12A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06CE4BC9" w:rsidR="00D12A51" w:rsidRDefault="00DE4993">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39BCBEE3" wp14:editId="23A53794">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D12A51" w:rsidRPr="003C6C8D" w:rsidRDefault="00D12A51"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0" alt="News releases" style="position:absolute;margin-left:396.75pt;margin-top:15.8pt;width:155.25pt;height:30.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D12A51" w:rsidRPr="003C6C8D" w:rsidRDefault="00D12A51"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sidR="00067C48">
      <w:rPr>
        <w:noProof/>
        <w:shd w:val="clear" w:color="auto" w:fill="FFFFFF"/>
        <w:lang w:eastAsia="pl-PL"/>
      </w:rPr>
      <w:drawing>
        <wp:anchor distT="0" distB="0" distL="114300" distR="114300" simplePos="0" relativeHeight="251675648" behindDoc="0" locked="0" layoutInCell="1" allowOverlap="1" wp14:anchorId="2E638C15" wp14:editId="2C83850E">
          <wp:simplePos x="0" y="0"/>
          <wp:positionH relativeFrom="margin">
            <wp:align>left</wp:align>
          </wp:positionH>
          <wp:positionV relativeFrom="paragraph">
            <wp:posOffset>219710</wp:posOffset>
          </wp:positionV>
          <wp:extent cx="1838325" cy="600075"/>
          <wp:effectExtent l="0" t="0" r="0"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2A51">
      <w:rPr>
        <w:noProof/>
        <w:lang w:eastAsia="pl-PL"/>
      </w:rPr>
      <mc:AlternateContent>
        <mc:Choice Requires="wps">
          <w:drawing>
            <wp:anchor distT="0" distB="0" distL="114300" distR="114300" simplePos="0" relativeHeight="251666432"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74FC42"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D12A51">
      <w:rPr>
        <w:noProof/>
        <w:lang w:eastAsia="pl-PL"/>
      </w:rPr>
      <w:t xml:space="preserve"> </w:t>
    </w:r>
    <w:r w:rsidR="00D12A51" w:rsidRPr="00540C5C">
      <w:rPr>
        <w:noProof/>
      </w:rPr>
      <w:t xml:space="preserve"> </w:t>
    </w:r>
  </w:p>
  <w:p w14:paraId="5DF2C6CE" w14:textId="57EF9372" w:rsidR="00D12A51" w:rsidRDefault="00D12A51">
    <w:pPr>
      <w:pStyle w:val="Nagwek"/>
      <w:rPr>
        <w:noProof/>
        <w:lang w:eastAsia="pl-PL"/>
      </w:rPr>
    </w:pPr>
  </w:p>
  <w:p w14:paraId="45C1A999" w14:textId="77777777" w:rsidR="00D12A51" w:rsidRDefault="00D12A51">
    <w:pPr>
      <w:pStyle w:val="Nagwek"/>
      <w:rPr>
        <w:noProof/>
        <w:lang w:eastAsia="pl-PL"/>
      </w:rPr>
    </w:pPr>
  </w:p>
  <w:p w14:paraId="3194277A" w14:textId="5E6F66AE" w:rsidR="00D12A51" w:rsidRDefault="00D12A51">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5476D37" wp14:editId="426A3B2A">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 25.05.2022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1BDBB6B5" w:rsidR="00D12A51" w:rsidRPr="00A01B40" w:rsidRDefault="00D12A51" w:rsidP="00F049AB">
                          <w:pPr>
                            <w:pStyle w:val="Datainformacjisygnalnej"/>
                          </w:pPr>
                          <w:r>
                            <w:t>25.05.2022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41" type="#_x0000_t202" alt="Data publikacji informacji sygnalnej: 25.05.2022 r."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" filled="f" stroked="f">
              <v:textbox>
                <w:txbxContent>
                  <w:p w14:paraId="71967FEA" w14:textId="1BDBB6B5" w:rsidR="00D12A51" w:rsidRPr="00A01B40" w:rsidRDefault="00D12A51" w:rsidP="00F049AB">
                    <w:pPr>
                      <w:pStyle w:val="Datainformacjisygnalnej"/>
                    </w:pPr>
                    <w:r>
                      <w:t>25.05.2022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D12A51" w:rsidRDefault="00D12A51">
    <w:pPr>
      <w:pStyle w:val="Nagwek"/>
    </w:pPr>
  </w:p>
  <w:p w14:paraId="0738E4E9" w14:textId="77777777" w:rsidR="00D12A51" w:rsidRDefault="00D12A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95pt;height:125.2pt;visibility:visible;mso-wrap-style:square" o:bullet="t">
        <v:imagedata r:id="rId1" o:title=""/>
      </v:shape>
    </w:pict>
  </w:numPicBullet>
  <w:numPicBullet w:numPicBulletId="1">
    <w:pict>
      <v:shape id="_x0000_i1029" type="#_x0000_t75" style="width:123.95pt;height:125.2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965"/>
    <w:rsid w:val="00001C5B"/>
    <w:rsid w:val="00002397"/>
    <w:rsid w:val="00003437"/>
    <w:rsid w:val="00004776"/>
    <w:rsid w:val="00004F8C"/>
    <w:rsid w:val="0000709F"/>
    <w:rsid w:val="000108B8"/>
    <w:rsid w:val="0001490B"/>
    <w:rsid w:val="000152F5"/>
    <w:rsid w:val="0002068A"/>
    <w:rsid w:val="00025184"/>
    <w:rsid w:val="00031C1A"/>
    <w:rsid w:val="00035E77"/>
    <w:rsid w:val="0004233E"/>
    <w:rsid w:val="0004582E"/>
    <w:rsid w:val="000462F6"/>
    <w:rsid w:val="000470AA"/>
    <w:rsid w:val="00053422"/>
    <w:rsid w:val="00057CA1"/>
    <w:rsid w:val="00061467"/>
    <w:rsid w:val="00063681"/>
    <w:rsid w:val="000647A9"/>
    <w:rsid w:val="000652DC"/>
    <w:rsid w:val="000662E2"/>
    <w:rsid w:val="00066883"/>
    <w:rsid w:val="00067C48"/>
    <w:rsid w:val="00070561"/>
    <w:rsid w:val="00070E64"/>
    <w:rsid w:val="00071B39"/>
    <w:rsid w:val="00072989"/>
    <w:rsid w:val="00074116"/>
    <w:rsid w:val="00074DD8"/>
    <w:rsid w:val="00074FE9"/>
    <w:rsid w:val="00075759"/>
    <w:rsid w:val="000806F7"/>
    <w:rsid w:val="00084B97"/>
    <w:rsid w:val="000858EC"/>
    <w:rsid w:val="00087BB1"/>
    <w:rsid w:val="0009015B"/>
    <w:rsid w:val="00090630"/>
    <w:rsid w:val="00093281"/>
    <w:rsid w:val="00097840"/>
    <w:rsid w:val="00097E6F"/>
    <w:rsid w:val="000A27DF"/>
    <w:rsid w:val="000B0727"/>
    <w:rsid w:val="000B17E3"/>
    <w:rsid w:val="000C03EE"/>
    <w:rsid w:val="000C135D"/>
    <w:rsid w:val="000C1FEE"/>
    <w:rsid w:val="000C68D1"/>
    <w:rsid w:val="000D1B3A"/>
    <w:rsid w:val="000D1D43"/>
    <w:rsid w:val="000D225C"/>
    <w:rsid w:val="000D2A5C"/>
    <w:rsid w:val="000D2DE5"/>
    <w:rsid w:val="000D334B"/>
    <w:rsid w:val="000D39F0"/>
    <w:rsid w:val="000D62E8"/>
    <w:rsid w:val="000D72E5"/>
    <w:rsid w:val="000E0437"/>
    <w:rsid w:val="000E06E3"/>
    <w:rsid w:val="000E0918"/>
    <w:rsid w:val="000E734C"/>
    <w:rsid w:val="000E79A9"/>
    <w:rsid w:val="000E7E60"/>
    <w:rsid w:val="000F31FF"/>
    <w:rsid w:val="000F7A50"/>
    <w:rsid w:val="00100DAE"/>
    <w:rsid w:val="001011C3"/>
    <w:rsid w:val="0010294C"/>
    <w:rsid w:val="0010480C"/>
    <w:rsid w:val="00104C92"/>
    <w:rsid w:val="00106DA3"/>
    <w:rsid w:val="00110214"/>
    <w:rsid w:val="001102E8"/>
    <w:rsid w:val="00110C32"/>
    <w:rsid w:val="00110D87"/>
    <w:rsid w:val="00111983"/>
    <w:rsid w:val="00112399"/>
    <w:rsid w:val="00114DB9"/>
    <w:rsid w:val="00116087"/>
    <w:rsid w:val="001165A1"/>
    <w:rsid w:val="00117711"/>
    <w:rsid w:val="00120493"/>
    <w:rsid w:val="00123B77"/>
    <w:rsid w:val="00126349"/>
    <w:rsid w:val="00126E49"/>
    <w:rsid w:val="00130296"/>
    <w:rsid w:val="00132541"/>
    <w:rsid w:val="00134145"/>
    <w:rsid w:val="00136736"/>
    <w:rsid w:val="00136740"/>
    <w:rsid w:val="00136D67"/>
    <w:rsid w:val="001407B4"/>
    <w:rsid w:val="00140D81"/>
    <w:rsid w:val="001423B6"/>
    <w:rsid w:val="001448A7"/>
    <w:rsid w:val="0014599A"/>
    <w:rsid w:val="00146621"/>
    <w:rsid w:val="00147A33"/>
    <w:rsid w:val="00155865"/>
    <w:rsid w:val="001617E3"/>
    <w:rsid w:val="00162325"/>
    <w:rsid w:val="001701E2"/>
    <w:rsid w:val="00172BD2"/>
    <w:rsid w:val="00172FB9"/>
    <w:rsid w:val="00181141"/>
    <w:rsid w:val="001864AA"/>
    <w:rsid w:val="001874DA"/>
    <w:rsid w:val="00187721"/>
    <w:rsid w:val="00194121"/>
    <w:rsid w:val="001951DA"/>
    <w:rsid w:val="001A24B3"/>
    <w:rsid w:val="001A320F"/>
    <w:rsid w:val="001A55BF"/>
    <w:rsid w:val="001B053D"/>
    <w:rsid w:val="001B1ACF"/>
    <w:rsid w:val="001B1F02"/>
    <w:rsid w:val="001C3269"/>
    <w:rsid w:val="001D19B6"/>
    <w:rsid w:val="001D1DB4"/>
    <w:rsid w:val="001D23F1"/>
    <w:rsid w:val="001D25F9"/>
    <w:rsid w:val="001D61ED"/>
    <w:rsid w:val="001E5B2D"/>
    <w:rsid w:val="001E5B54"/>
    <w:rsid w:val="001E6E6B"/>
    <w:rsid w:val="001F4146"/>
    <w:rsid w:val="001F6E28"/>
    <w:rsid w:val="0020156C"/>
    <w:rsid w:val="0020288C"/>
    <w:rsid w:val="00203FA4"/>
    <w:rsid w:val="0020455E"/>
    <w:rsid w:val="00214C1A"/>
    <w:rsid w:val="00215412"/>
    <w:rsid w:val="00215CC8"/>
    <w:rsid w:val="00216634"/>
    <w:rsid w:val="00216DE2"/>
    <w:rsid w:val="002208FE"/>
    <w:rsid w:val="00222549"/>
    <w:rsid w:val="00225852"/>
    <w:rsid w:val="002265BB"/>
    <w:rsid w:val="00242D31"/>
    <w:rsid w:val="00247467"/>
    <w:rsid w:val="00247A50"/>
    <w:rsid w:val="00247AB1"/>
    <w:rsid w:val="00250B06"/>
    <w:rsid w:val="00250C8A"/>
    <w:rsid w:val="0025437C"/>
    <w:rsid w:val="0025481E"/>
    <w:rsid w:val="00257043"/>
    <w:rsid w:val="002574F9"/>
    <w:rsid w:val="00260A41"/>
    <w:rsid w:val="00262B61"/>
    <w:rsid w:val="00262CC6"/>
    <w:rsid w:val="00262DF1"/>
    <w:rsid w:val="00263E08"/>
    <w:rsid w:val="00266C1C"/>
    <w:rsid w:val="00271094"/>
    <w:rsid w:val="00271B2F"/>
    <w:rsid w:val="0027367C"/>
    <w:rsid w:val="00275DB0"/>
    <w:rsid w:val="00276811"/>
    <w:rsid w:val="0027700B"/>
    <w:rsid w:val="00280129"/>
    <w:rsid w:val="00282699"/>
    <w:rsid w:val="002848AC"/>
    <w:rsid w:val="00284C08"/>
    <w:rsid w:val="0028724E"/>
    <w:rsid w:val="0029193A"/>
    <w:rsid w:val="002919DE"/>
    <w:rsid w:val="002926DF"/>
    <w:rsid w:val="00292E9A"/>
    <w:rsid w:val="00296697"/>
    <w:rsid w:val="00296931"/>
    <w:rsid w:val="002A3141"/>
    <w:rsid w:val="002A3EB0"/>
    <w:rsid w:val="002B0472"/>
    <w:rsid w:val="002B4D65"/>
    <w:rsid w:val="002B616B"/>
    <w:rsid w:val="002B6B12"/>
    <w:rsid w:val="002C21F0"/>
    <w:rsid w:val="002C5D28"/>
    <w:rsid w:val="002C7522"/>
    <w:rsid w:val="002D01DF"/>
    <w:rsid w:val="002D0FC5"/>
    <w:rsid w:val="002E2A7A"/>
    <w:rsid w:val="002E3EB3"/>
    <w:rsid w:val="002E6140"/>
    <w:rsid w:val="002E6164"/>
    <w:rsid w:val="002E6985"/>
    <w:rsid w:val="002E71B6"/>
    <w:rsid w:val="002E7FCF"/>
    <w:rsid w:val="002F2BC9"/>
    <w:rsid w:val="002F35F6"/>
    <w:rsid w:val="002F77C8"/>
    <w:rsid w:val="00302114"/>
    <w:rsid w:val="00304F22"/>
    <w:rsid w:val="00305489"/>
    <w:rsid w:val="003055C0"/>
    <w:rsid w:val="00306C7C"/>
    <w:rsid w:val="003136EE"/>
    <w:rsid w:val="003140C2"/>
    <w:rsid w:val="0031456B"/>
    <w:rsid w:val="00314CC7"/>
    <w:rsid w:val="00314F86"/>
    <w:rsid w:val="00315B02"/>
    <w:rsid w:val="00316ABE"/>
    <w:rsid w:val="00317F4D"/>
    <w:rsid w:val="00321CA2"/>
    <w:rsid w:val="00322EDD"/>
    <w:rsid w:val="00324BB0"/>
    <w:rsid w:val="00325D34"/>
    <w:rsid w:val="00327482"/>
    <w:rsid w:val="003309FA"/>
    <w:rsid w:val="00331DB3"/>
    <w:rsid w:val="00332320"/>
    <w:rsid w:val="00335F39"/>
    <w:rsid w:val="003418B2"/>
    <w:rsid w:val="00344A05"/>
    <w:rsid w:val="00347D72"/>
    <w:rsid w:val="00352CA8"/>
    <w:rsid w:val="00353F45"/>
    <w:rsid w:val="00357611"/>
    <w:rsid w:val="0036432A"/>
    <w:rsid w:val="00364AF9"/>
    <w:rsid w:val="00364D77"/>
    <w:rsid w:val="00367237"/>
    <w:rsid w:val="0037077F"/>
    <w:rsid w:val="00372411"/>
    <w:rsid w:val="003735F2"/>
    <w:rsid w:val="00373882"/>
    <w:rsid w:val="00373E99"/>
    <w:rsid w:val="003843DB"/>
    <w:rsid w:val="00386849"/>
    <w:rsid w:val="00386996"/>
    <w:rsid w:val="00393761"/>
    <w:rsid w:val="0039405A"/>
    <w:rsid w:val="00394E26"/>
    <w:rsid w:val="00394E5E"/>
    <w:rsid w:val="00396082"/>
    <w:rsid w:val="00396691"/>
    <w:rsid w:val="00397D18"/>
    <w:rsid w:val="003A10ED"/>
    <w:rsid w:val="003A17D8"/>
    <w:rsid w:val="003A1B36"/>
    <w:rsid w:val="003A57A8"/>
    <w:rsid w:val="003B1454"/>
    <w:rsid w:val="003B18B6"/>
    <w:rsid w:val="003B5E9B"/>
    <w:rsid w:val="003B733E"/>
    <w:rsid w:val="003B787B"/>
    <w:rsid w:val="003C0867"/>
    <w:rsid w:val="003C1159"/>
    <w:rsid w:val="003C1451"/>
    <w:rsid w:val="003C161B"/>
    <w:rsid w:val="003C59E0"/>
    <w:rsid w:val="003C6C8D"/>
    <w:rsid w:val="003D0E1E"/>
    <w:rsid w:val="003D2656"/>
    <w:rsid w:val="003D4F95"/>
    <w:rsid w:val="003D5F42"/>
    <w:rsid w:val="003D60A9"/>
    <w:rsid w:val="003E026A"/>
    <w:rsid w:val="003E4367"/>
    <w:rsid w:val="003E580A"/>
    <w:rsid w:val="003F0E56"/>
    <w:rsid w:val="003F341C"/>
    <w:rsid w:val="003F4C97"/>
    <w:rsid w:val="003F65C7"/>
    <w:rsid w:val="003F666D"/>
    <w:rsid w:val="003F7FE6"/>
    <w:rsid w:val="00400193"/>
    <w:rsid w:val="00405E74"/>
    <w:rsid w:val="00406880"/>
    <w:rsid w:val="00416680"/>
    <w:rsid w:val="00416A89"/>
    <w:rsid w:val="00416EAF"/>
    <w:rsid w:val="00417F06"/>
    <w:rsid w:val="004212E7"/>
    <w:rsid w:val="0042329A"/>
    <w:rsid w:val="00423C88"/>
    <w:rsid w:val="0042446D"/>
    <w:rsid w:val="004256BB"/>
    <w:rsid w:val="00427BF8"/>
    <w:rsid w:val="00431C02"/>
    <w:rsid w:val="004359CC"/>
    <w:rsid w:val="00437395"/>
    <w:rsid w:val="00437B78"/>
    <w:rsid w:val="00440489"/>
    <w:rsid w:val="00442E36"/>
    <w:rsid w:val="00445047"/>
    <w:rsid w:val="00446749"/>
    <w:rsid w:val="00453EB7"/>
    <w:rsid w:val="00463E39"/>
    <w:rsid w:val="00463E78"/>
    <w:rsid w:val="004641B3"/>
    <w:rsid w:val="00464497"/>
    <w:rsid w:val="004657FC"/>
    <w:rsid w:val="004661EE"/>
    <w:rsid w:val="00466CAE"/>
    <w:rsid w:val="00471894"/>
    <w:rsid w:val="004733F6"/>
    <w:rsid w:val="004738CF"/>
    <w:rsid w:val="00474E69"/>
    <w:rsid w:val="004817C2"/>
    <w:rsid w:val="00481E63"/>
    <w:rsid w:val="00483E9F"/>
    <w:rsid w:val="004851E9"/>
    <w:rsid w:val="00485A2C"/>
    <w:rsid w:val="00486607"/>
    <w:rsid w:val="00492C15"/>
    <w:rsid w:val="0049621B"/>
    <w:rsid w:val="00497C05"/>
    <w:rsid w:val="004A1D19"/>
    <w:rsid w:val="004A45D2"/>
    <w:rsid w:val="004A65BA"/>
    <w:rsid w:val="004A6886"/>
    <w:rsid w:val="004B01BA"/>
    <w:rsid w:val="004B06E0"/>
    <w:rsid w:val="004B7C2A"/>
    <w:rsid w:val="004C1895"/>
    <w:rsid w:val="004C3389"/>
    <w:rsid w:val="004C3E60"/>
    <w:rsid w:val="004C56E3"/>
    <w:rsid w:val="004C6D40"/>
    <w:rsid w:val="004D1421"/>
    <w:rsid w:val="004D1B39"/>
    <w:rsid w:val="004D3259"/>
    <w:rsid w:val="004D634E"/>
    <w:rsid w:val="004E6AA8"/>
    <w:rsid w:val="004E6D6B"/>
    <w:rsid w:val="004E706E"/>
    <w:rsid w:val="004E7FE4"/>
    <w:rsid w:val="004F0C3C"/>
    <w:rsid w:val="004F0EC4"/>
    <w:rsid w:val="004F1FEA"/>
    <w:rsid w:val="004F2280"/>
    <w:rsid w:val="004F23BB"/>
    <w:rsid w:val="004F4A42"/>
    <w:rsid w:val="004F566A"/>
    <w:rsid w:val="004F63FC"/>
    <w:rsid w:val="0050225D"/>
    <w:rsid w:val="00504397"/>
    <w:rsid w:val="00505A92"/>
    <w:rsid w:val="0050735C"/>
    <w:rsid w:val="00513C30"/>
    <w:rsid w:val="0051499C"/>
    <w:rsid w:val="005203F1"/>
    <w:rsid w:val="00521BC3"/>
    <w:rsid w:val="00523C25"/>
    <w:rsid w:val="00524007"/>
    <w:rsid w:val="00524015"/>
    <w:rsid w:val="00527382"/>
    <w:rsid w:val="0053139F"/>
    <w:rsid w:val="00531873"/>
    <w:rsid w:val="00533421"/>
    <w:rsid w:val="00533632"/>
    <w:rsid w:val="00534013"/>
    <w:rsid w:val="00536E74"/>
    <w:rsid w:val="00537225"/>
    <w:rsid w:val="00540C5C"/>
    <w:rsid w:val="00541E6E"/>
    <w:rsid w:val="00542400"/>
    <w:rsid w:val="0054251F"/>
    <w:rsid w:val="00542D2A"/>
    <w:rsid w:val="00543B1E"/>
    <w:rsid w:val="00544CA9"/>
    <w:rsid w:val="00545FCE"/>
    <w:rsid w:val="00546847"/>
    <w:rsid w:val="005505B6"/>
    <w:rsid w:val="005520D8"/>
    <w:rsid w:val="00555CFB"/>
    <w:rsid w:val="00555D68"/>
    <w:rsid w:val="00556ADB"/>
    <w:rsid w:val="00556CF1"/>
    <w:rsid w:val="00562913"/>
    <w:rsid w:val="00563AD3"/>
    <w:rsid w:val="00565B83"/>
    <w:rsid w:val="00567365"/>
    <w:rsid w:val="00572B3E"/>
    <w:rsid w:val="005731DF"/>
    <w:rsid w:val="0057545D"/>
    <w:rsid w:val="005762A7"/>
    <w:rsid w:val="0057679A"/>
    <w:rsid w:val="00580A28"/>
    <w:rsid w:val="00584432"/>
    <w:rsid w:val="005849BA"/>
    <w:rsid w:val="00587836"/>
    <w:rsid w:val="00587CEE"/>
    <w:rsid w:val="005916D7"/>
    <w:rsid w:val="005920A4"/>
    <w:rsid w:val="0059427F"/>
    <w:rsid w:val="005A6925"/>
    <w:rsid w:val="005A698C"/>
    <w:rsid w:val="005A7B1D"/>
    <w:rsid w:val="005B01EB"/>
    <w:rsid w:val="005B5526"/>
    <w:rsid w:val="005C0CAC"/>
    <w:rsid w:val="005C1738"/>
    <w:rsid w:val="005D02F6"/>
    <w:rsid w:val="005D062E"/>
    <w:rsid w:val="005D15BE"/>
    <w:rsid w:val="005D1913"/>
    <w:rsid w:val="005D1DA0"/>
    <w:rsid w:val="005D2F6B"/>
    <w:rsid w:val="005D3B27"/>
    <w:rsid w:val="005D53C4"/>
    <w:rsid w:val="005D62BF"/>
    <w:rsid w:val="005D6D8C"/>
    <w:rsid w:val="005E0799"/>
    <w:rsid w:val="005E10F9"/>
    <w:rsid w:val="005E1200"/>
    <w:rsid w:val="005E4203"/>
    <w:rsid w:val="005E48C1"/>
    <w:rsid w:val="005F3E9B"/>
    <w:rsid w:val="005F45EE"/>
    <w:rsid w:val="005F5A1C"/>
    <w:rsid w:val="005F5A80"/>
    <w:rsid w:val="005F6A47"/>
    <w:rsid w:val="00602A96"/>
    <w:rsid w:val="006044FF"/>
    <w:rsid w:val="00605509"/>
    <w:rsid w:val="00605C77"/>
    <w:rsid w:val="00607CC5"/>
    <w:rsid w:val="0061179B"/>
    <w:rsid w:val="006120CB"/>
    <w:rsid w:val="006125F9"/>
    <w:rsid w:val="00621B2C"/>
    <w:rsid w:val="00622DFF"/>
    <w:rsid w:val="00626B92"/>
    <w:rsid w:val="00633014"/>
    <w:rsid w:val="0063437B"/>
    <w:rsid w:val="00634CF9"/>
    <w:rsid w:val="0063545D"/>
    <w:rsid w:val="006354E7"/>
    <w:rsid w:val="00636A2C"/>
    <w:rsid w:val="0064017E"/>
    <w:rsid w:val="00640B7D"/>
    <w:rsid w:val="00650411"/>
    <w:rsid w:val="006531BC"/>
    <w:rsid w:val="00654BB6"/>
    <w:rsid w:val="00665E46"/>
    <w:rsid w:val="006673CA"/>
    <w:rsid w:val="00673C26"/>
    <w:rsid w:val="00674DE5"/>
    <w:rsid w:val="00677ACA"/>
    <w:rsid w:val="00680A8E"/>
    <w:rsid w:val="006812AF"/>
    <w:rsid w:val="0068327D"/>
    <w:rsid w:val="00685BC5"/>
    <w:rsid w:val="00691534"/>
    <w:rsid w:val="00693880"/>
    <w:rsid w:val="00694AF0"/>
    <w:rsid w:val="00695BDD"/>
    <w:rsid w:val="00697495"/>
    <w:rsid w:val="00697DD7"/>
    <w:rsid w:val="006A4686"/>
    <w:rsid w:val="006A4691"/>
    <w:rsid w:val="006B0E9E"/>
    <w:rsid w:val="006B41AB"/>
    <w:rsid w:val="006B486D"/>
    <w:rsid w:val="006B5AE4"/>
    <w:rsid w:val="006C050E"/>
    <w:rsid w:val="006C2D4C"/>
    <w:rsid w:val="006C34AD"/>
    <w:rsid w:val="006D1507"/>
    <w:rsid w:val="006D171A"/>
    <w:rsid w:val="006D252F"/>
    <w:rsid w:val="006D3954"/>
    <w:rsid w:val="006D4054"/>
    <w:rsid w:val="006D481A"/>
    <w:rsid w:val="006D6F41"/>
    <w:rsid w:val="006E02EC"/>
    <w:rsid w:val="006E32E8"/>
    <w:rsid w:val="006E3C4F"/>
    <w:rsid w:val="006E3F9F"/>
    <w:rsid w:val="006E58C7"/>
    <w:rsid w:val="006E5B7C"/>
    <w:rsid w:val="006E5F77"/>
    <w:rsid w:val="006E6F41"/>
    <w:rsid w:val="006E73E6"/>
    <w:rsid w:val="006F1BAC"/>
    <w:rsid w:val="006F3D50"/>
    <w:rsid w:val="006F60AD"/>
    <w:rsid w:val="00704878"/>
    <w:rsid w:val="00705190"/>
    <w:rsid w:val="00713DC3"/>
    <w:rsid w:val="0071652E"/>
    <w:rsid w:val="0072059D"/>
    <w:rsid w:val="007211B1"/>
    <w:rsid w:val="00722FB9"/>
    <w:rsid w:val="007277DA"/>
    <w:rsid w:val="00731D27"/>
    <w:rsid w:val="00737D55"/>
    <w:rsid w:val="00740957"/>
    <w:rsid w:val="00746187"/>
    <w:rsid w:val="00752194"/>
    <w:rsid w:val="007617E9"/>
    <w:rsid w:val="0076254F"/>
    <w:rsid w:val="00763634"/>
    <w:rsid w:val="00766836"/>
    <w:rsid w:val="00766901"/>
    <w:rsid w:val="00766DD4"/>
    <w:rsid w:val="00777534"/>
    <w:rsid w:val="00777A4F"/>
    <w:rsid w:val="007801F5"/>
    <w:rsid w:val="00780A9E"/>
    <w:rsid w:val="00783CA4"/>
    <w:rsid w:val="007842FB"/>
    <w:rsid w:val="00784E1E"/>
    <w:rsid w:val="00784EC6"/>
    <w:rsid w:val="00786124"/>
    <w:rsid w:val="007877CB"/>
    <w:rsid w:val="0079514B"/>
    <w:rsid w:val="00795252"/>
    <w:rsid w:val="00797FA4"/>
    <w:rsid w:val="007A2DC1"/>
    <w:rsid w:val="007A2F1A"/>
    <w:rsid w:val="007A40DE"/>
    <w:rsid w:val="007A4440"/>
    <w:rsid w:val="007A5391"/>
    <w:rsid w:val="007B0396"/>
    <w:rsid w:val="007B3282"/>
    <w:rsid w:val="007C3336"/>
    <w:rsid w:val="007C3873"/>
    <w:rsid w:val="007C7D79"/>
    <w:rsid w:val="007D05D6"/>
    <w:rsid w:val="007D0869"/>
    <w:rsid w:val="007D14C4"/>
    <w:rsid w:val="007D310D"/>
    <w:rsid w:val="007D3319"/>
    <w:rsid w:val="007D335D"/>
    <w:rsid w:val="007D5CDE"/>
    <w:rsid w:val="007D605C"/>
    <w:rsid w:val="007D7785"/>
    <w:rsid w:val="007E252C"/>
    <w:rsid w:val="007E3314"/>
    <w:rsid w:val="007E3514"/>
    <w:rsid w:val="007E4B03"/>
    <w:rsid w:val="007E5566"/>
    <w:rsid w:val="007E556F"/>
    <w:rsid w:val="007F0D60"/>
    <w:rsid w:val="007F1CED"/>
    <w:rsid w:val="007F324B"/>
    <w:rsid w:val="007F5322"/>
    <w:rsid w:val="0080031D"/>
    <w:rsid w:val="0080317E"/>
    <w:rsid w:val="0080553C"/>
    <w:rsid w:val="00805B46"/>
    <w:rsid w:val="00805DB4"/>
    <w:rsid w:val="00806F0F"/>
    <w:rsid w:val="008124C7"/>
    <w:rsid w:val="008173BE"/>
    <w:rsid w:val="00823593"/>
    <w:rsid w:val="00824C98"/>
    <w:rsid w:val="00825DC2"/>
    <w:rsid w:val="008270B1"/>
    <w:rsid w:val="00830961"/>
    <w:rsid w:val="00833BB1"/>
    <w:rsid w:val="008346F5"/>
    <w:rsid w:val="00834AD3"/>
    <w:rsid w:val="008411B3"/>
    <w:rsid w:val="00843795"/>
    <w:rsid w:val="00847F0F"/>
    <w:rsid w:val="00852448"/>
    <w:rsid w:val="00852487"/>
    <w:rsid w:val="00857C9E"/>
    <w:rsid w:val="00860004"/>
    <w:rsid w:val="00865DC0"/>
    <w:rsid w:val="00866F4C"/>
    <w:rsid w:val="00872983"/>
    <w:rsid w:val="00873D50"/>
    <w:rsid w:val="00875D4F"/>
    <w:rsid w:val="008763EA"/>
    <w:rsid w:val="0087671E"/>
    <w:rsid w:val="00877F6C"/>
    <w:rsid w:val="008816EF"/>
    <w:rsid w:val="0088258A"/>
    <w:rsid w:val="008842FA"/>
    <w:rsid w:val="00885C3A"/>
    <w:rsid w:val="00886332"/>
    <w:rsid w:val="008878FE"/>
    <w:rsid w:val="00887B2E"/>
    <w:rsid w:val="00890A2F"/>
    <w:rsid w:val="008925F0"/>
    <w:rsid w:val="0089448A"/>
    <w:rsid w:val="0089605F"/>
    <w:rsid w:val="00897877"/>
    <w:rsid w:val="008A0037"/>
    <w:rsid w:val="008A065D"/>
    <w:rsid w:val="008A167B"/>
    <w:rsid w:val="008A210C"/>
    <w:rsid w:val="008A2170"/>
    <w:rsid w:val="008A26D9"/>
    <w:rsid w:val="008A33F2"/>
    <w:rsid w:val="008A647E"/>
    <w:rsid w:val="008A7B5B"/>
    <w:rsid w:val="008B09BC"/>
    <w:rsid w:val="008B0A34"/>
    <w:rsid w:val="008B12D2"/>
    <w:rsid w:val="008C0C29"/>
    <w:rsid w:val="008C2E01"/>
    <w:rsid w:val="008C5081"/>
    <w:rsid w:val="008C5B89"/>
    <w:rsid w:val="008C61CB"/>
    <w:rsid w:val="008C79ED"/>
    <w:rsid w:val="008D02DA"/>
    <w:rsid w:val="008D0470"/>
    <w:rsid w:val="008D11F9"/>
    <w:rsid w:val="008D7305"/>
    <w:rsid w:val="008D76BC"/>
    <w:rsid w:val="008E2BF9"/>
    <w:rsid w:val="008E38DB"/>
    <w:rsid w:val="008E46CD"/>
    <w:rsid w:val="008E65F1"/>
    <w:rsid w:val="008E7DBA"/>
    <w:rsid w:val="008F0829"/>
    <w:rsid w:val="008F0ACB"/>
    <w:rsid w:val="008F23CC"/>
    <w:rsid w:val="008F3638"/>
    <w:rsid w:val="008F4441"/>
    <w:rsid w:val="008F659A"/>
    <w:rsid w:val="008F6B20"/>
    <w:rsid w:val="008F6F31"/>
    <w:rsid w:val="008F74DF"/>
    <w:rsid w:val="00901731"/>
    <w:rsid w:val="00902274"/>
    <w:rsid w:val="009035C7"/>
    <w:rsid w:val="009045B8"/>
    <w:rsid w:val="009117CC"/>
    <w:rsid w:val="009127BA"/>
    <w:rsid w:val="00913516"/>
    <w:rsid w:val="00920AAE"/>
    <w:rsid w:val="00921FC4"/>
    <w:rsid w:val="009227A6"/>
    <w:rsid w:val="00926299"/>
    <w:rsid w:val="00933EC1"/>
    <w:rsid w:val="0093432F"/>
    <w:rsid w:val="00937E0E"/>
    <w:rsid w:val="009446AD"/>
    <w:rsid w:val="00945581"/>
    <w:rsid w:val="009530DB"/>
    <w:rsid w:val="0095338A"/>
    <w:rsid w:val="00953676"/>
    <w:rsid w:val="00956F30"/>
    <w:rsid w:val="00960634"/>
    <w:rsid w:val="00960A7E"/>
    <w:rsid w:val="009625FE"/>
    <w:rsid w:val="00962DC8"/>
    <w:rsid w:val="00963D0F"/>
    <w:rsid w:val="00966C9A"/>
    <w:rsid w:val="009705EE"/>
    <w:rsid w:val="009726B5"/>
    <w:rsid w:val="0097604D"/>
    <w:rsid w:val="00977873"/>
    <w:rsid w:val="00977927"/>
    <w:rsid w:val="00980318"/>
    <w:rsid w:val="009803E2"/>
    <w:rsid w:val="0098135C"/>
    <w:rsid w:val="0098156A"/>
    <w:rsid w:val="009849EF"/>
    <w:rsid w:val="009860DD"/>
    <w:rsid w:val="00991BAC"/>
    <w:rsid w:val="00991CD1"/>
    <w:rsid w:val="009925B4"/>
    <w:rsid w:val="00993C0A"/>
    <w:rsid w:val="0099757D"/>
    <w:rsid w:val="009A194E"/>
    <w:rsid w:val="009A4F86"/>
    <w:rsid w:val="009A5F72"/>
    <w:rsid w:val="009A6EA0"/>
    <w:rsid w:val="009A6EFF"/>
    <w:rsid w:val="009B03BC"/>
    <w:rsid w:val="009B65A1"/>
    <w:rsid w:val="009B6BA6"/>
    <w:rsid w:val="009B6CC8"/>
    <w:rsid w:val="009B7CE7"/>
    <w:rsid w:val="009B7D55"/>
    <w:rsid w:val="009C1335"/>
    <w:rsid w:val="009C18DA"/>
    <w:rsid w:val="009C1AB2"/>
    <w:rsid w:val="009C6974"/>
    <w:rsid w:val="009C7251"/>
    <w:rsid w:val="009C725F"/>
    <w:rsid w:val="009D0901"/>
    <w:rsid w:val="009D555D"/>
    <w:rsid w:val="009E2E91"/>
    <w:rsid w:val="009E6566"/>
    <w:rsid w:val="009E7512"/>
    <w:rsid w:val="009F6606"/>
    <w:rsid w:val="00A00270"/>
    <w:rsid w:val="00A008DE"/>
    <w:rsid w:val="00A0117D"/>
    <w:rsid w:val="00A01B40"/>
    <w:rsid w:val="00A12FF1"/>
    <w:rsid w:val="00A139F5"/>
    <w:rsid w:val="00A17549"/>
    <w:rsid w:val="00A210D1"/>
    <w:rsid w:val="00A21F50"/>
    <w:rsid w:val="00A23FF1"/>
    <w:rsid w:val="00A3217A"/>
    <w:rsid w:val="00A32E16"/>
    <w:rsid w:val="00A36274"/>
    <w:rsid w:val="00A365F4"/>
    <w:rsid w:val="00A37764"/>
    <w:rsid w:val="00A416DE"/>
    <w:rsid w:val="00A453CD"/>
    <w:rsid w:val="00A462EA"/>
    <w:rsid w:val="00A4720D"/>
    <w:rsid w:val="00A47D80"/>
    <w:rsid w:val="00A50825"/>
    <w:rsid w:val="00A51507"/>
    <w:rsid w:val="00A51AD9"/>
    <w:rsid w:val="00A53132"/>
    <w:rsid w:val="00A55017"/>
    <w:rsid w:val="00A55A98"/>
    <w:rsid w:val="00A563F2"/>
    <w:rsid w:val="00A566E8"/>
    <w:rsid w:val="00A57663"/>
    <w:rsid w:val="00A57F29"/>
    <w:rsid w:val="00A6139F"/>
    <w:rsid w:val="00A66347"/>
    <w:rsid w:val="00A66919"/>
    <w:rsid w:val="00A709A4"/>
    <w:rsid w:val="00A75105"/>
    <w:rsid w:val="00A810F9"/>
    <w:rsid w:val="00A82D31"/>
    <w:rsid w:val="00A835F1"/>
    <w:rsid w:val="00A859CC"/>
    <w:rsid w:val="00A85AD5"/>
    <w:rsid w:val="00A85E7E"/>
    <w:rsid w:val="00A867C5"/>
    <w:rsid w:val="00A86E70"/>
    <w:rsid w:val="00A86ECC"/>
    <w:rsid w:val="00A86FCC"/>
    <w:rsid w:val="00A873BD"/>
    <w:rsid w:val="00A90A6D"/>
    <w:rsid w:val="00A92009"/>
    <w:rsid w:val="00A95DF2"/>
    <w:rsid w:val="00A971E5"/>
    <w:rsid w:val="00AA055D"/>
    <w:rsid w:val="00AA710D"/>
    <w:rsid w:val="00AB0091"/>
    <w:rsid w:val="00AB2042"/>
    <w:rsid w:val="00AB458A"/>
    <w:rsid w:val="00AB5C8B"/>
    <w:rsid w:val="00AB5DF2"/>
    <w:rsid w:val="00AB64F3"/>
    <w:rsid w:val="00AB6917"/>
    <w:rsid w:val="00AB6D25"/>
    <w:rsid w:val="00AB6ECF"/>
    <w:rsid w:val="00AC185F"/>
    <w:rsid w:val="00AC2206"/>
    <w:rsid w:val="00AD026A"/>
    <w:rsid w:val="00AD0AD9"/>
    <w:rsid w:val="00AD0E56"/>
    <w:rsid w:val="00AD1045"/>
    <w:rsid w:val="00AD1FD7"/>
    <w:rsid w:val="00AD393A"/>
    <w:rsid w:val="00AD5020"/>
    <w:rsid w:val="00AD50F9"/>
    <w:rsid w:val="00AD791E"/>
    <w:rsid w:val="00AE229B"/>
    <w:rsid w:val="00AE238B"/>
    <w:rsid w:val="00AE2D4B"/>
    <w:rsid w:val="00AE3AC3"/>
    <w:rsid w:val="00AE4F99"/>
    <w:rsid w:val="00AF3AAC"/>
    <w:rsid w:val="00AF5B24"/>
    <w:rsid w:val="00AF7F9B"/>
    <w:rsid w:val="00B00EA1"/>
    <w:rsid w:val="00B0220C"/>
    <w:rsid w:val="00B10D1B"/>
    <w:rsid w:val="00B11B69"/>
    <w:rsid w:val="00B1438D"/>
    <w:rsid w:val="00B14952"/>
    <w:rsid w:val="00B1589E"/>
    <w:rsid w:val="00B15F36"/>
    <w:rsid w:val="00B16102"/>
    <w:rsid w:val="00B16871"/>
    <w:rsid w:val="00B20C43"/>
    <w:rsid w:val="00B23D94"/>
    <w:rsid w:val="00B25B45"/>
    <w:rsid w:val="00B31E5A"/>
    <w:rsid w:val="00B32B01"/>
    <w:rsid w:val="00B3376A"/>
    <w:rsid w:val="00B3457F"/>
    <w:rsid w:val="00B405D7"/>
    <w:rsid w:val="00B4400E"/>
    <w:rsid w:val="00B47359"/>
    <w:rsid w:val="00B50BC2"/>
    <w:rsid w:val="00B60A52"/>
    <w:rsid w:val="00B6158A"/>
    <w:rsid w:val="00B653AB"/>
    <w:rsid w:val="00B65F9E"/>
    <w:rsid w:val="00B66B19"/>
    <w:rsid w:val="00B7386E"/>
    <w:rsid w:val="00B75FE5"/>
    <w:rsid w:val="00B774B8"/>
    <w:rsid w:val="00B81793"/>
    <w:rsid w:val="00B82CFF"/>
    <w:rsid w:val="00B84C43"/>
    <w:rsid w:val="00B84D98"/>
    <w:rsid w:val="00B900C5"/>
    <w:rsid w:val="00B914E9"/>
    <w:rsid w:val="00B92F1D"/>
    <w:rsid w:val="00B9566B"/>
    <w:rsid w:val="00B956EE"/>
    <w:rsid w:val="00B97D19"/>
    <w:rsid w:val="00BA25E9"/>
    <w:rsid w:val="00BA2BA1"/>
    <w:rsid w:val="00BA3447"/>
    <w:rsid w:val="00BA3562"/>
    <w:rsid w:val="00BA5003"/>
    <w:rsid w:val="00BA5961"/>
    <w:rsid w:val="00BB4F09"/>
    <w:rsid w:val="00BB54B5"/>
    <w:rsid w:val="00BB6872"/>
    <w:rsid w:val="00BB7ECA"/>
    <w:rsid w:val="00BC3917"/>
    <w:rsid w:val="00BC4484"/>
    <w:rsid w:val="00BD056B"/>
    <w:rsid w:val="00BD1ACA"/>
    <w:rsid w:val="00BD4E33"/>
    <w:rsid w:val="00BD5836"/>
    <w:rsid w:val="00BD5C9F"/>
    <w:rsid w:val="00BD691A"/>
    <w:rsid w:val="00BE04E3"/>
    <w:rsid w:val="00BF088E"/>
    <w:rsid w:val="00BF1F06"/>
    <w:rsid w:val="00BF301C"/>
    <w:rsid w:val="00BF3217"/>
    <w:rsid w:val="00BF4921"/>
    <w:rsid w:val="00C030DE"/>
    <w:rsid w:val="00C047DB"/>
    <w:rsid w:val="00C051A8"/>
    <w:rsid w:val="00C05C2A"/>
    <w:rsid w:val="00C1500D"/>
    <w:rsid w:val="00C17830"/>
    <w:rsid w:val="00C17A11"/>
    <w:rsid w:val="00C22105"/>
    <w:rsid w:val="00C2366D"/>
    <w:rsid w:val="00C244B6"/>
    <w:rsid w:val="00C27BD3"/>
    <w:rsid w:val="00C27BF1"/>
    <w:rsid w:val="00C34636"/>
    <w:rsid w:val="00C35233"/>
    <w:rsid w:val="00C3702F"/>
    <w:rsid w:val="00C4500A"/>
    <w:rsid w:val="00C45AFC"/>
    <w:rsid w:val="00C55406"/>
    <w:rsid w:val="00C57E86"/>
    <w:rsid w:val="00C62238"/>
    <w:rsid w:val="00C64A37"/>
    <w:rsid w:val="00C66664"/>
    <w:rsid w:val="00C67595"/>
    <w:rsid w:val="00C7158E"/>
    <w:rsid w:val="00C7250B"/>
    <w:rsid w:val="00C72A6F"/>
    <w:rsid w:val="00C7346B"/>
    <w:rsid w:val="00C76967"/>
    <w:rsid w:val="00C77C0E"/>
    <w:rsid w:val="00C865B5"/>
    <w:rsid w:val="00C90D70"/>
    <w:rsid w:val="00C9135C"/>
    <w:rsid w:val="00C91454"/>
    <w:rsid w:val="00C91687"/>
    <w:rsid w:val="00C91D6C"/>
    <w:rsid w:val="00C922C3"/>
    <w:rsid w:val="00C924A8"/>
    <w:rsid w:val="00C945FE"/>
    <w:rsid w:val="00C96FAA"/>
    <w:rsid w:val="00C97A04"/>
    <w:rsid w:val="00CA107B"/>
    <w:rsid w:val="00CA216A"/>
    <w:rsid w:val="00CA24F2"/>
    <w:rsid w:val="00CA33B9"/>
    <w:rsid w:val="00CA3E0F"/>
    <w:rsid w:val="00CA484D"/>
    <w:rsid w:val="00CA4FB6"/>
    <w:rsid w:val="00CB011D"/>
    <w:rsid w:val="00CB2F90"/>
    <w:rsid w:val="00CB655C"/>
    <w:rsid w:val="00CB6AD4"/>
    <w:rsid w:val="00CC739E"/>
    <w:rsid w:val="00CC73E0"/>
    <w:rsid w:val="00CC7C7E"/>
    <w:rsid w:val="00CD0DDF"/>
    <w:rsid w:val="00CD1EBB"/>
    <w:rsid w:val="00CD28CF"/>
    <w:rsid w:val="00CD3EE5"/>
    <w:rsid w:val="00CD54AF"/>
    <w:rsid w:val="00CD58B7"/>
    <w:rsid w:val="00CD7967"/>
    <w:rsid w:val="00CE4779"/>
    <w:rsid w:val="00CF106E"/>
    <w:rsid w:val="00CF18EE"/>
    <w:rsid w:val="00CF2229"/>
    <w:rsid w:val="00CF30BD"/>
    <w:rsid w:val="00CF4099"/>
    <w:rsid w:val="00CF4486"/>
    <w:rsid w:val="00CF6813"/>
    <w:rsid w:val="00D00796"/>
    <w:rsid w:val="00D010F8"/>
    <w:rsid w:val="00D12A51"/>
    <w:rsid w:val="00D13895"/>
    <w:rsid w:val="00D14143"/>
    <w:rsid w:val="00D154A2"/>
    <w:rsid w:val="00D16486"/>
    <w:rsid w:val="00D16608"/>
    <w:rsid w:val="00D2277E"/>
    <w:rsid w:val="00D2480C"/>
    <w:rsid w:val="00D261A2"/>
    <w:rsid w:val="00D3038A"/>
    <w:rsid w:val="00D46BC5"/>
    <w:rsid w:val="00D47151"/>
    <w:rsid w:val="00D475C5"/>
    <w:rsid w:val="00D47E3E"/>
    <w:rsid w:val="00D47E43"/>
    <w:rsid w:val="00D50CAE"/>
    <w:rsid w:val="00D50FA3"/>
    <w:rsid w:val="00D51E1C"/>
    <w:rsid w:val="00D5361B"/>
    <w:rsid w:val="00D5579D"/>
    <w:rsid w:val="00D6004A"/>
    <w:rsid w:val="00D616D2"/>
    <w:rsid w:val="00D61EB5"/>
    <w:rsid w:val="00D62108"/>
    <w:rsid w:val="00D62410"/>
    <w:rsid w:val="00D62D4A"/>
    <w:rsid w:val="00D63B5F"/>
    <w:rsid w:val="00D64104"/>
    <w:rsid w:val="00D65DF6"/>
    <w:rsid w:val="00D66BE3"/>
    <w:rsid w:val="00D67D6F"/>
    <w:rsid w:val="00D70EF7"/>
    <w:rsid w:val="00D76BCB"/>
    <w:rsid w:val="00D81F07"/>
    <w:rsid w:val="00D82FB0"/>
    <w:rsid w:val="00D8397C"/>
    <w:rsid w:val="00D8478C"/>
    <w:rsid w:val="00D856FF"/>
    <w:rsid w:val="00D85715"/>
    <w:rsid w:val="00D858F0"/>
    <w:rsid w:val="00D907DF"/>
    <w:rsid w:val="00D93B6C"/>
    <w:rsid w:val="00D94EED"/>
    <w:rsid w:val="00D958CD"/>
    <w:rsid w:val="00D96026"/>
    <w:rsid w:val="00D972F6"/>
    <w:rsid w:val="00DA331D"/>
    <w:rsid w:val="00DA5246"/>
    <w:rsid w:val="00DA7C1C"/>
    <w:rsid w:val="00DB147A"/>
    <w:rsid w:val="00DB1B7A"/>
    <w:rsid w:val="00DB553A"/>
    <w:rsid w:val="00DB706E"/>
    <w:rsid w:val="00DC0A22"/>
    <w:rsid w:val="00DC1A37"/>
    <w:rsid w:val="00DC2F2A"/>
    <w:rsid w:val="00DC6708"/>
    <w:rsid w:val="00DD011A"/>
    <w:rsid w:val="00DD127E"/>
    <w:rsid w:val="00DE115A"/>
    <w:rsid w:val="00DE2400"/>
    <w:rsid w:val="00DE4993"/>
    <w:rsid w:val="00DE58F1"/>
    <w:rsid w:val="00DE6B58"/>
    <w:rsid w:val="00DF34C4"/>
    <w:rsid w:val="00DF5E32"/>
    <w:rsid w:val="00DF60E6"/>
    <w:rsid w:val="00DF711C"/>
    <w:rsid w:val="00E01436"/>
    <w:rsid w:val="00E01D55"/>
    <w:rsid w:val="00E03E79"/>
    <w:rsid w:val="00E045BD"/>
    <w:rsid w:val="00E04D6C"/>
    <w:rsid w:val="00E17B77"/>
    <w:rsid w:val="00E231AB"/>
    <w:rsid w:val="00E23337"/>
    <w:rsid w:val="00E25327"/>
    <w:rsid w:val="00E259EA"/>
    <w:rsid w:val="00E25D33"/>
    <w:rsid w:val="00E260E4"/>
    <w:rsid w:val="00E2751C"/>
    <w:rsid w:val="00E32061"/>
    <w:rsid w:val="00E326D4"/>
    <w:rsid w:val="00E33087"/>
    <w:rsid w:val="00E33917"/>
    <w:rsid w:val="00E33F48"/>
    <w:rsid w:val="00E413AC"/>
    <w:rsid w:val="00E4203B"/>
    <w:rsid w:val="00E42FF9"/>
    <w:rsid w:val="00E44790"/>
    <w:rsid w:val="00E4714C"/>
    <w:rsid w:val="00E5178D"/>
    <w:rsid w:val="00E51AEB"/>
    <w:rsid w:val="00E522A7"/>
    <w:rsid w:val="00E52DA4"/>
    <w:rsid w:val="00E5349E"/>
    <w:rsid w:val="00E54452"/>
    <w:rsid w:val="00E63B0C"/>
    <w:rsid w:val="00E65377"/>
    <w:rsid w:val="00E664C5"/>
    <w:rsid w:val="00E671A2"/>
    <w:rsid w:val="00E701E7"/>
    <w:rsid w:val="00E716A0"/>
    <w:rsid w:val="00E75897"/>
    <w:rsid w:val="00E75BFA"/>
    <w:rsid w:val="00E76D26"/>
    <w:rsid w:val="00E76EE5"/>
    <w:rsid w:val="00E7786E"/>
    <w:rsid w:val="00E9145B"/>
    <w:rsid w:val="00E92B59"/>
    <w:rsid w:val="00E93150"/>
    <w:rsid w:val="00E95036"/>
    <w:rsid w:val="00E95643"/>
    <w:rsid w:val="00E95B8E"/>
    <w:rsid w:val="00E97AE1"/>
    <w:rsid w:val="00EA22D0"/>
    <w:rsid w:val="00EA3288"/>
    <w:rsid w:val="00EB1390"/>
    <w:rsid w:val="00EB2C71"/>
    <w:rsid w:val="00EB309B"/>
    <w:rsid w:val="00EB3333"/>
    <w:rsid w:val="00EB4340"/>
    <w:rsid w:val="00EB4E03"/>
    <w:rsid w:val="00EB556D"/>
    <w:rsid w:val="00EB5A7D"/>
    <w:rsid w:val="00EC2FE9"/>
    <w:rsid w:val="00EC542E"/>
    <w:rsid w:val="00ED11E6"/>
    <w:rsid w:val="00ED13D3"/>
    <w:rsid w:val="00ED1761"/>
    <w:rsid w:val="00ED55C0"/>
    <w:rsid w:val="00ED64D0"/>
    <w:rsid w:val="00ED682B"/>
    <w:rsid w:val="00EE026F"/>
    <w:rsid w:val="00EE0E7D"/>
    <w:rsid w:val="00EE41D5"/>
    <w:rsid w:val="00EF2D6D"/>
    <w:rsid w:val="00EF4BA6"/>
    <w:rsid w:val="00EF5825"/>
    <w:rsid w:val="00F0166F"/>
    <w:rsid w:val="00F02824"/>
    <w:rsid w:val="00F037A4"/>
    <w:rsid w:val="00F049AB"/>
    <w:rsid w:val="00F064B6"/>
    <w:rsid w:val="00F07B08"/>
    <w:rsid w:val="00F104FC"/>
    <w:rsid w:val="00F13E6A"/>
    <w:rsid w:val="00F142DB"/>
    <w:rsid w:val="00F14C14"/>
    <w:rsid w:val="00F22DA5"/>
    <w:rsid w:val="00F253B3"/>
    <w:rsid w:val="00F255DF"/>
    <w:rsid w:val="00F27C8F"/>
    <w:rsid w:val="00F32749"/>
    <w:rsid w:val="00F32A8B"/>
    <w:rsid w:val="00F32BB6"/>
    <w:rsid w:val="00F37172"/>
    <w:rsid w:val="00F373E9"/>
    <w:rsid w:val="00F37B98"/>
    <w:rsid w:val="00F43314"/>
    <w:rsid w:val="00F44429"/>
    <w:rsid w:val="00F4477E"/>
    <w:rsid w:val="00F449B9"/>
    <w:rsid w:val="00F46269"/>
    <w:rsid w:val="00F476AE"/>
    <w:rsid w:val="00F60BA8"/>
    <w:rsid w:val="00F64C46"/>
    <w:rsid w:val="00F67D8F"/>
    <w:rsid w:val="00F770BB"/>
    <w:rsid w:val="00F802BE"/>
    <w:rsid w:val="00F80863"/>
    <w:rsid w:val="00F80E93"/>
    <w:rsid w:val="00F849EE"/>
    <w:rsid w:val="00F84EE7"/>
    <w:rsid w:val="00F86015"/>
    <w:rsid w:val="00F86024"/>
    <w:rsid w:val="00F8611A"/>
    <w:rsid w:val="00F92BC8"/>
    <w:rsid w:val="00F94B76"/>
    <w:rsid w:val="00FA2274"/>
    <w:rsid w:val="00FA33C2"/>
    <w:rsid w:val="00FA35ED"/>
    <w:rsid w:val="00FA5128"/>
    <w:rsid w:val="00FA60EF"/>
    <w:rsid w:val="00FB31BF"/>
    <w:rsid w:val="00FB39A9"/>
    <w:rsid w:val="00FB42D4"/>
    <w:rsid w:val="00FB5906"/>
    <w:rsid w:val="00FB6CF4"/>
    <w:rsid w:val="00FB762F"/>
    <w:rsid w:val="00FC186E"/>
    <w:rsid w:val="00FC2AED"/>
    <w:rsid w:val="00FC5CD0"/>
    <w:rsid w:val="00FD060A"/>
    <w:rsid w:val="00FD08AE"/>
    <w:rsid w:val="00FD15AF"/>
    <w:rsid w:val="00FD5EA7"/>
    <w:rsid w:val="00FE101A"/>
    <w:rsid w:val="00FE36CF"/>
    <w:rsid w:val="00FE4CC0"/>
    <w:rsid w:val="00FE5570"/>
    <w:rsid w:val="00FE572F"/>
    <w:rsid w:val="00FF0246"/>
    <w:rsid w:val="00FF1362"/>
    <w:rsid w:val="00FF7A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hyperlink" Target="https://stat.gov.pl/en/topics/labour-market/working-unemployed-economically-inactive-by-lfs/labour-force-survey-in-poland-quarter-42021,2,44.html"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yperlink" Target="https://stat.gov.pl/en/metainformation/glossary/terms-used-in-official-statistics/4573,term.html" TargetMode="Externa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hyperlink" Target="mailto:obslugaprasowa@stat.gov.pl" TargetMode="External"/><Relationship Id="rId25" Type="http://schemas.openxmlformats.org/officeDocument/2006/relationships/hyperlink" Target="https://stat.gov.pl/en/topics/labour-market/yearbook-of-labour/methodological-report-labour-force-survey,8,1.html" TargetMode="External"/><Relationship Id="rId33" Type="http://schemas.openxmlformats.org/officeDocument/2006/relationships/hyperlink" Target="https://stat.gov.pl/en/metainformation/glossary/terms-used-in-official-statistics/4561,term.html"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hyperlink" Target="https://stat.gov.pl/en/metainformation/glossary/terms-used-in-official-statistics/4562,term.html"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hyperlink" Target="https://stat.gov.pl/en/metainformation/glossary/terms-used-in-official-statistics/4560,term.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0.png"/><Relationship Id="rId28" Type="http://schemas.openxmlformats.org/officeDocument/2006/relationships/hyperlink" Target="https://bdl.stat.gov.pl/BDL/start" TargetMode="External"/><Relationship Id="rId36" Type="http://schemas.openxmlformats.org/officeDocument/2006/relationships/hyperlink" Target="https://stat.gov.pl/en/metainformation/glossary/terms-used-in-official-statistics/4572,term.html" TargetMode="External"/><Relationship Id="rId10" Type="http://schemas.openxmlformats.org/officeDocument/2006/relationships/image" Target="media/image3.png"/><Relationship Id="rId19" Type="http://schemas.openxmlformats.org/officeDocument/2006/relationships/hyperlink" Target="http://www.stat.gov.pl/en/" TargetMode="External"/><Relationship Id="rId31" Type="http://schemas.openxmlformats.org/officeDocument/2006/relationships/hyperlink" Target="https://stat.gov.pl/en/metainformation/glossary/terms-used-in-official-statistics/4563,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hyperlink" Target="https://strateg.stat.gov.pl/?lang=en-GB" TargetMode="External"/><Relationship Id="rId30" Type="http://schemas.openxmlformats.org/officeDocument/2006/relationships/hyperlink" Target="https://stat.gov.pl/en/metainformation/glossary/terms-used-in-official-statistics/4565,term.html" TargetMode="External"/><Relationship Id="rId35" Type="http://schemas.openxmlformats.org/officeDocument/2006/relationships/hyperlink" Target="https://stat.gov.pl/en/metainformation/glossary/terms-used-in-official-statistics/4575,term.html" TargetMode="Externa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tat.gov.pl/en/topics/labour-market/working-unemployed-economically-inactive-by-lfs/labour-force-survey-in-poland-quarter-42021,2,44.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Dysk%20D\A%20WA&#379;NE\R&#243;&#380;ne\ROK%202018\MONITORING\1%20kw.2022%20r\Wykresy%20do%20monitoringu_I%20kw.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8718668938314"/>
          <c:y val="4.3978004072293922E-2"/>
          <c:w val="0.81884504203056485"/>
          <c:h val="0.50084933897628514"/>
        </c:manualLayout>
      </c:layout>
      <c:barChart>
        <c:barDir val="bar"/>
        <c:grouping val="stacked"/>
        <c:varyColors val="0"/>
        <c:ser>
          <c:idx val="4"/>
          <c:order val="0"/>
          <c:tx>
            <c:strRef>
              <c:f>'I kw. 2022'!$A$110</c:f>
              <c:strCache>
                <c:ptCount val="1"/>
                <c:pt idx="0">
                  <c:v>Retirement</c:v>
                </c:pt>
              </c:strCache>
            </c:strRef>
          </c:tx>
          <c:spPr>
            <a:solidFill>
              <a:srgbClr val="001D77"/>
            </a:solidFill>
            <a:ln>
              <a:noFill/>
            </a:ln>
            <a:effectLst/>
          </c:spPr>
          <c:invertIfNegative val="0"/>
          <c:dLbls>
            <c:dLbl>
              <c:idx val="0"/>
              <c:tx>
                <c:rich>
                  <a:bodyPr/>
                  <a:lstStyle/>
                  <a:p>
                    <a:r>
                      <a:rPr lang="en-US"/>
                      <a:t>53.0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E8-49BB-BEC8-EC60D829DD5D}"/>
                </c:ext>
              </c:extLst>
            </c:dLbl>
            <c:dLbl>
              <c:idx val="1"/>
              <c:tx>
                <c:rich>
                  <a:bodyPr/>
                  <a:lstStyle/>
                  <a:p>
                    <a:r>
                      <a:rPr lang="en-US"/>
                      <a:t>49.1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E8-49BB-BEC8-EC60D829DD5D}"/>
                </c:ext>
              </c:extLst>
            </c:dLbl>
            <c:dLbl>
              <c:idx val="2"/>
              <c:tx>
                <c:rich>
                  <a:bodyPr/>
                  <a:lstStyle/>
                  <a:p>
                    <a:r>
                      <a:rPr lang="en-US"/>
                      <a:t>51.5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E8-49BB-BEC8-EC60D829DD5D}"/>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 kw. 2022'!$B$106:$D$106</c:f>
              <c:strCache>
                <c:ptCount val="3"/>
                <c:pt idx="0">
                  <c:v>Women</c:v>
                </c:pt>
                <c:pt idx="1">
                  <c:v>Men</c:v>
                </c:pt>
                <c:pt idx="2">
                  <c:v>Total</c:v>
                </c:pt>
              </c:strCache>
            </c:strRef>
          </c:cat>
          <c:val>
            <c:numRef>
              <c:f>'I kw. 2022'!$B$110:$D$110</c:f>
              <c:numCache>
                <c:formatCode>General</c:formatCode>
                <c:ptCount val="3"/>
                <c:pt idx="0" formatCode="0.0">
                  <c:v>53</c:v>
                </c:pt>
                <c:pt idx="1">
                  <c:v>49.1</c:v>
                </c:pt>
                <c:pt idx="2">
                  <c:v>51.5</c:v>
                </c:pt>
              </c:numCache>
            </c:numRef>
          </c:val>
          <c:extLst>
            <c:ext xmlns:c16="http://schemas.microsoft.com/office/drawing/2014/chart" uri="{C3380CC4-5D6E-409C-BE32-E72D297353CC}">
              <c16:uniqueId val="{00000003-4DE8-49BB-BEC8-EC60D829DD5D}"/>
            </c:ext>
          </c:extLst>
        </c:ser>
        <c:ser>
          <c:idx val="1"/>
          <c:order val="1"/>
          <c:tx>
            <c:strRef>
              <c:f>'I kw. 2022'!$A$108</c:f>
              <c:strCache>
                <c:ptCount val="1"/>
                <c:pt idx="0">
                  <c:v>Education, training</c:v>
                </c:pt>
              </c:strCache>
            </c:strRef>
          </c:tx>
          <c:spPr>
            <a:solidFill>
              <a:srgbClr val="334A92"/>
            </a:solidFill>
            <a:ln>
              <a:noFill/>
            </a:ln>
            <a:effectLst/>
          </c:spPr>
          <c:invertIfNegative val="0"/>
          <c:dLbls>
            <c:dLbl>
              <c:idx val="0"/>
              <c:tx>
                <c:rich>
                  <a:bodyPr/>
                  <a:lstStyle/>
                  <a:p>
                    <a:r>
                      <a:rPr lang="en-US"/>
                      <a:t>18.5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E8-49BB-BEC8-EC60D829DD5D}"/>
                </c:ext>
              </c:extLst>
            </c:dLbl>
            <c:dLbl>
              <c:idx val="1"/>
              <c:tx>
                <c:rich>
                  <a:bodyPr/>
                  <a:lstStyle/>
                  <a:p>
                    <a:r>
                      <a:rPr lang="en-US"/>
                      <a:t>26.6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E8-49BB-BEC8-EC60D829DD5D}"/>
                </c:ext>
              </c:extLst>
            </c:dLbl>
            <c:dLbl>
              <c:idx val="2"/>
              <c:tx>
                <c:rich>
                  <a:bodyPr/>
                  <a:lstStyle/>
                  <a:p>
                    <a:r>
                      <a:rPr lang="en-US"/>
                      <a:t>21.6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E8-49BB-BEC8-EC60D829DD5D}"/>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 kw. 2022'!$B$106:$D$106</c:f>
              <c:strCache>
                <c:ptCount val="3"/>
                <c:pt idx="0">
                  <c:v>Women</c:v>
                </c:pt>
                <c:pt idx="1">
                  <c:v>Men</c:v>
                </c:pt>
                <c:pt idx="2">
                  <c:v>Total</c:v>
                </c:pt>
              </c:strCache>
            </c:strRef>
          </c:cat>
          <c:val>
            <c:numRef>
              <c:f>'I kw. 2022'!$B$108:$D$108</c:f>
              <c:numCache>
                <c:formatCode>General</c:formatCode>
                <c:ptCount val="3"/>
                <c:pt idx="0">
                  <c:v>18.5</c:v>
                </c:pt>
                <c:pt idx="1">
                  <c:v>26.6</c:v>
                </c:pt>
                <c:pt idx="2">
                  <c:v>21.6</c:v>
                </c:pt>
              </c:numCache>
            </c:numRef>
          </c:val>
          <c:extLst>
            <c:ext xmlns:c16="http://schemas.microsoft.com/office/drawing/2014/chart" uri="{C3380CC4-5D6E-409C-BE32-E72D297353CC}">
              <c16:uniqueId val="{00000007-4DE8-49BB-BEC8-EC60D829DD5D}"/>
            </c:ext>
          </c:extLst>
        </c:ser>
        <c:ser>
          <c:idx val="0"/>
          <c:order val="2"/>
          <c:tx>
            <c:strRef>
              <c:f>'I kw. 2022'!$A$111</c:f>
              <c:strCache>
                <c:ptCount val="1"/>
                <c:pt idx="0">
                  <c:v>Illness, disability</c:v>
                </c:pt>
              </c:strCache>
            </c:strRef>
          </c:tx>
          <c:spPr>
            <a:solidFill>
              <a:srgbClr val="6677AD"/>
            </a:solidFill>
            <a:ln>
              <a:noFill/>
            </a:ln>
            <a:effectLst/>
          </c:spPr>
          <c:invertIfNegative val="0"/>
          <c:dLbls>
            <c:dLbl>
              <c:idx val="0"/>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DE8-49BB-BEC8-EC60D829DD5D}"/>
                </c:ext>
              </c:extLst>
            </c:dLbl>
            <c:dLbl>
              <c:idx val="1"/>
              <c:tx>
                <c:rich>
                  <a:bodyPr/>
                  <a:lstStyle/>
                  <a:p>
                    <a:r>
                      <a:rPr lang="en-US"/>
                      <a:t>16.8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E8-49BB-BEC8-EC60D829DD5D}"/>
                </c:ext>
              </c:extLst>
            </c:dLbl>
            <c:dLbl>
              <c:idx val="2"/>
              <c:tx>
                <c:rich>
                  <a:bodyPr/>
                  <a:lstStyle/>
                  <a:p>
                    <a:r>
                      <a:rPr lang="en-US"/>
                      <a:t>11.3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E8-49BB-BEC8-EC60D829DD5D}"/>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 kw. 2022'!$B$106:$D$106</c:f>
              <c:strCache>
                <c:ptCount val="3"/>
                <c:pt idx="0">
                  <c:v>Women</c:v>
                </c:pt>
                <c:pt idx="1">
                  <c:v>Men</c:v>
                </c:pt>
                <c:pt idx="2">
                  <c:v>Total</c:v>
                </c:pt>
              </c:strCache>
            </c:strRef>
          </c:cat>
          <c:val>
            <c:numRef>
              <c:f>'I kw. 2022'!$B$111:$D$111</c:f>
              <c:numCache>
                <c:formatCode>General</c:formatCode>
                <c:ptCount val="3"/>
                <c:pt idx="0">
                  <c:v>7.7</c:v>
                </c:pt>
                <c:pt idx="1">
                  <c:v>16.8</c:v>
                </c:pt>
                <c:pt idx="2">
                  <c:v>11.3</c:v>
                </c:pt>
              </c:numCache>
            </c:numRef>
          </c:val>
          <c:extLst>
            <c:ext xmlns:c16="http://schemas.microsoft.com/office/drawing/2014/chart" uri="{C3380CC4-5D6E-409C-BE32-E72D297353CC}">
              <c16:uniqueId val="{0000000B-4DE8-49BB-BEC8-EC60D829DD5D}"/>
            </c:ext>
          </c:extLst>
        </c:ser>
        <c:ser>
          <c:idx val="5"/>
          <c:order val="3"/>
          <c:tx>
            <c:strRef>
              <c:f>'I kw. 2022'!$A$109</c:f>
              <c:strCache>
                <c:ptCount val="1"/>
                <c:pt idx="0">
                  <c:v>Family and household responsibilities</c:v>
                </c:pt>
              </c:strCache>
            </c:strRef>
          </c:tx>
          <c:spPr>
            <a:solidFill>
              <a:srgbClr val="99A4C8"/>
            </a:solidFill>
            <a:ln>
              <a:noFill/>
            </a:ln>
            <a:effectLst/>
          </c:spPr>
          <c:invertIfNegative val="0"/>
          <c:dLbls>
            <c:dLbl>
              <c:idx val="0"/>
              <c:tx>
                <c:rich>
                  <a:bodyPr/>
                  <a:lstStyle/>
                  <a:p>
                    <a:r>
                      <a:rPr lang="en-US"/>
                      <a:t>12.2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DE8-49BB-BEC8-EC60D829DD5D}"/>
                </c:ext>
              </c:extLst>
            </c:dLbl>
            <c:dLbl>
              <c:idx val="1"/>
              <c:layout>
                <c:manualLayout>
                  <c:x val="-1.5593689835370118E-2"/>
                  <c:y val="0"/>
                </c:manualLayout>
              </c:layout>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DE8-49BB-BEC8-EC60D829DD5D}"/>
                </c:ext>
              </c:extLst>
            </c:dLbl>
            <c:dLbl>
              <c:idx val="2"/>
              <c:tx>
                <c:rich>
                  <a:bodyPr/>
                  <a:lstStyle/>
                  <a:p>
                    <a:r>
                      <a:rPr lang="en-US"/>
                      <a:t>8.0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DE8-49BB-BEC8-EC60D829DD5D}"/>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 kw. 2022'!$B$106:$D$106</c:f>
              <c:strCache>
                <c:ptCount val="3"/>
                <c:pt idx="0">
                  <c:v>Women</c:v>
                </c:pt>
                <c:pt idx="1">
                  <c:v>Men</c:v>
                </c:pt>
                <c:pt idx="2">
                  <c:v>Total</c:v>
                </c:pt>
              </c:strCache>
            </c:strRef>
          </c:cat>
          <c:val>
            <c:numRef>
              <c:f>'I kw. 2022'!$B$109:$D$109</c:f>
              <c:numCache>
                <c:formatCode>General</c:formatCode>
                <c:ptCount val="3"/>
                <c:pt idx="0" formatCode="0.0">
                  <c:v>12.2</c:v>
                </c:pt>
                <c:pt idx="1">
                  <c:v>1.4</c:v>
                </c:pt>
                <c:pt idx="2" formatCode="0.0">
                  <c:v>8</c:v>
                </c:pt>
              </c:numCache>
            </c:numRef>
          </c:val>
          <c:extLst>
            <c:ext xmlns:c16="http://schemas.microsoft.com/office/drawing/2014/chart" uri="{C3380CC4-5D6E-409C-BE32-E72D297353CC}">
              <c16:uniqueId val="{0000000F-4DE8-49BB-BEC8-EC60D829DD5D}"/>
            </c:ext>
          </c:extLst>
        </c:ser>
        <c:ser>
          <c:idx val="3"/>
          <c:order val="4"/>
          <c:tx>
            <c:strRef>
              <c:f>'I kw. 2022'!$A$112</c:f>
              <c:strCache>
                <c:ptCount val="1"/>
                <c:pt idx="0">
                  <c:v>Others</c:v>
                </c:pt>
              </c:strCache>
            </c:strRef>
          </c:tx>
          <c:spPr>
            <a:solidFill>
              <a:srgbClr val="AAA9A9"/>
            </a:solidFill>
            <a:ln>
              <a:noFill/>
            </a:ln>
            <a:effectLst/>
          </c:spPr>
          <c:invertIfNegative val="0"/>
          <c:dLbls>
            <c:dLbl>
              <c:idx val="0"/>
              <c:tx>
                <c:rich>
                  <a:bodyPr/>
                  <a:lstStyle/>
                  <a:p>
                    <a:r>
                      <a:rPr lang="en-US"/>
                      <a:t>8.1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DE8-49BB-BEC8-EC60D829DD5D}"/>
                </c:ext>
              </c:extLst>
            </c:dLbl>
            <c:dLbl>
              <c:idx val="1"/>
              <c:layout>
                <c:manualLayout>
                  <c:x val="5.1978966117897851E-3"/>
                  <c:y val="0"/>
                </c:manualLayout>
              </c:layout>
              <c:tx>
                <c:rich>
                  <a:bodyPr/>
                  <a:lstStyle/>
                  <a:p>
                    <a:r>
                      <a:rPr lang="en-US"/>
                      <a:t>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DE8-49BB-BEC8-EC60D829DD5D}"/>
                </c:ext>
              </c:extLst>
            </c:dLbl>
            <c:dLbl>
              <c:idx val="2"/>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DE8-49BB-BEC8-EC60D829DD5D}"/>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 kw. 2022'!$B$106:$D$106</c:f>
              <c:strCache>
                <c:ptCount val="3"/>
                <c:pt idx="0">
                  <c:v>Women</c:v>
                </c:pt>
                <c:pt idx="1">
                  <c:v>Men</c:v>
                </c:pt>
                <c:pt idx="2">
                  <c:v>Total</c:v>
                </c:pt>
              </c:strCache>
            </c:strRef>
          </c:cat>
          <c:val>
            <c:numRef>
              <c:f>'I kw. 2022'!$B$112:$D$112</c:f>
              <c:numCache>
                <c:formatCode>General</c:formatCode>
                <c:ptCount val="3"/>
                <c:pt idx="0" formatCode="0.0">
                  <c:v>8.1</c:v>
                </c:pt>
                <c:pt idx="1">
                  <c:v>5.4</c:v>
                </c:pt>
                <c:pt idx="2" formatCode="0.0">
                  <c:v>7</c:v>
                </c:pt>
              </c:numCache>
            </c:numRef>
          </c:val>
          <c:extLst>
            <c:ext xmlns:c16="http://schemas.microsoft.com/office/drawing/2014/chart" uri="{C3380CC4-5D6E-409C-BE32-E72D297353CC}">
              <c16:uniqueId val="{00000013-4DE8-49BB-BEC8-EC60D829DD5D}"/>
            </c:ext>
          </c:extLst>
        </c:ser>
        <c:ser>
          <c:idx val="2"/>
          <c:order val="5"/>
          <c:tx>
            <c:strRef>
              <c:f>'I kw. 2022'!$A$107</c:f>
              <c:strCache>
                <c:ptCount val="1"/>
                <c:pt idx="0">
                  <c:v>Discouragement caused by inefficiency of job seeking</c:v>
                </c:pt>
              </c:strCache>
            </c:strRef>
          </c:tx>
          <c:spPr>
            <a:solidFill>
              <a:srgbClr val="DEDEDD"/>
            </a:solidFill>
            <a:ln>
              <a:noFill/>
            </a:ln>
            <a:effectLst/>
          </c:spPr>
          <c:invertIfNegative val="0"/>
          <c:dLbls>
            <c:dLbl>
              <c:idx val="0"/>
              <c:layout>
                <c:manualLayout>
                  <c:x val="1.2994741529474938E-2"/>
                  <c:y val="0"/>
                </c:manualLayout>
              </c:layout>
              <c:tx>
                <c:rich>
                  <a:bodyPr/>
                  <a:lstStyle/>
                  <a:p>
                    <a:r>
                      <a:rPr lang="en-US"/>
                      <a:t>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DE8-49BB-BEC8-EC60D829DD5D}"/>
                </c:ext>
              </c:extLst>
            </c:dLbl>
            <c:dLbl>
              <c:idx val="1"/>
              <c:layout>
                <c:manualLayout>
                  <c:x val="2.0791586447159713E-2"/>
                  <c:y val="0"/>
                </c:manualLayout>
              </c:layout>
              <c:tx>
                <c:rich>
                  <a:bodyPr/>
                  <a:lstStyle/>
                  <a:p>
                    <a:r>
                      <a:rPr lang="en-US"/>
                      <a:t>0.7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DE8-49BB-BEC8-EC60D829DD5D}"/>
                </c:ext>
              </c:extLst>
            </c:dLbl>
            <c:dLbl>
              <c:idx val="2"/>
              <c:layout>
                <c:manualLayout>
                  <c:x val="1.8159222679051162E-2"/>
                  <c:y val="-1.1706974168294246E-17"/>
                </c:manualLayout>
              </c:layout>
              <c:tx>
                <c:rich>
                  <a:bodyPr/>
                  <a:lstStyle/>
                  <a:p>
                    <a:r>
                      <a:rPr lang="en-US"/>
                      <a:t>0.6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DE8-49BB-BEC8-EC60D829DD5D}"/>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 kw. 2022'!$B$106:$D$106</c:f>
              <c:strCache>
                <c:ptCount val="3"/>
                <c:pt idx="0">
                  <c:v>Women</c:v>
                </c:pt>
                <c:pt idx="1">
                  <c:v>Men</c:v>
                </c:pt>
                <c:pt idx="2">
                  <c:v>Total</c:v>
                </c:pt>
              </c:strCache>
            </c:strRef>
          </c:cat>
          <c:val>
            <c:numRef>
              <c:f>'I kw. 2022'!$B$107:$D$107</c:f>
              <c:numCache>
                <c:formatCode>General</c:formatCode>
                <c:ptCount val="3"/>
                <c:pt idx="0">
                  <c:v>0.5</c:v>
                </c:pt>
                <c:pt idx="1">
                  <c:v>0.7</c:v>
                </c:pt>
                <c:pt idx="2">
                  <c:v>0.6</c:v>
                </c:pt>
              </c:numCache>
            </c:numRef>
          </c:val>
          <c:extLst>
            <c:ext xmlns:c16="http://schemas.microsoft.com/office/drawing/2014/chart" uri="{C3380CC4-5D6E-409C-BE32-E72D297353CC}">
              <c16:uniqueId val="{00000017-4DE8-49BB-BEC8-EC60D829DD5D}"/>
            </c:ext>
          </c:extLst>
        </c:ser>
        <c:dLbls>
          <c:showLegendKey val="0"/>
          <c:showVal val="0"/>
          <c:showCatName val="0"/>
          <c:showSerName val="0"/>
          <c:showPercent val="0"/>
          <c:showBubbleSize val="0"/>
        </c:dLbls>
        <c:gapWidth val="45"/>
        <c:overlap val="100"/>
        <c:axId val="1694332704"/>
        <c:axId val="1694333248"/>
      </c:barChart>
      <c:catAx>
        <c:axId val="1694332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94333248"/>
        <c:crosses val="autoZero"/>
        <c:auto val="1"/>
        <c:lblAlgn val="ctr"/>
        <c:lblOffset val="100"/>
        <c:noMultiLvlLbl val="0"/>
      </c:catAx>
      <c:valAx>
        <c:axId val="169433324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694332704"/>
        <c:crosses val="autoZero"/>
        <c:crossBetween val="between"/>
      </c:valAx>
      <c:spPr>
        <a:noFill/>
        <a:ln>
          <a:noFill/>
        </a:ln>
        <a:effectLst>
          <a:glow rad="127000">
            <a:schemeClr val="accent1">
              <a:alpha val="96000"/>
            </a:schemeClr>
          </a:glow>
        </a:effectLst>
      </c:spPr>
    </c:plotArea>
    <c:legend>
      <c:legendPos val="b"/>
      <c:layout>
        <c:manualLayout>
          <c:xMode val="edge"/>
          <c:yMode val="edge"/>
          <c:x val="0.18856605424321959"/>
          <c:y val="0.62614730018497833"/>
          <c:w val="0.60064566929133856"/>
          <c:h val="0.355334402824665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azwaPliku xmlns="8C029B3F-2CC4-4A59-AF0D-A90575FA3373">employed_unemployed_and_economically_inactive_persons_preliminary_lfs_results_in_the_1st_quarter_of_2022.docx</NazwaPliku>
    <Odbiorcy2 xmlns="8C029B3F-2CC4-4A59-AF0D-A90575FA3373" xsi:nil="true"/>
    <Osoba xmlns="8C029B3F-2CC4-4A59-AF0D-A90575FA3373">STAT\CackoM</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7C7D-2FD4-4CDC-8320-F94AE27DF8A2}"/>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479A08C2-75EF-4F3D-A429-97FA74D959B5}"/>
</file>

<file path=customXml/itemProps4.xml><?xml version="1.0" encoding="utf-8"?>
<ds:datastoreItem xmlns:ds="http://schemas.openxmlformats.org/officeDocument/2006/customXml" ds:itemID="{8568FCFA-1BD0-4F9B-9EA1-DA92C25A428F}"/>
</file>

<file path=docProps/app.xml><?xml version="1.0" encoding="utf-8"?>
<Properties xmlns="http://schemas.openxmlformats.org/officeDocument/2006/extended-properties" xmlns:vt="http://schemas.openxmlformats.org/officeDocument/2006/docPropsVTypes">
  <Template>Normal</Template>
  <TotalTime>11</TotalTime>
  <Pages>7</Pages>
  <Words>2736</Words>
  <Characters>16421</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Pracujący, bezrobotni i bierni zawodowo (wyniki wstępne BAEL)</vt:lpstr>
    </vt:vector>
  </TitlesOfParts>
  <Company>Główny Urząd Statystyczny</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Pracujący, bezrobotni i bierni zawodowo (wyniki wstępne BAEL)</dc:title>
  <dc:subject>Pracujący, bezrobotni i bierni zawodowo (wyniki wstępne BAEL)</dc:subject>
  <cp:keywords/>
  <dc:description/>
  <cp:lastPrinted>2022-02-22T10:42:00Z</cp:lastPrinted>
  <dcterms:created xsi:type="dcterms:W3CDTF">2022-05-24T08:04:00Z</dcterms:created>
  <dcterms:modified xsi:type="dcterms:W3CDTF">2022-05-24T10:48:00Z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