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482A3DB5" w:rsidR="00393761" w:rsidRPr="00460138" w:rsidRDefault="00F26BE8" w:rsidP="00F049AB">
      <w:pPr>
        <w:pStyle w:val="Tytuinfomacjisygnalnej"/>
        <w:rPr>
          <w:lang w:val="en-GB"/>
        </w:rPr>
      </w:pPr>
      <w:bookmarkStart w:id="0" w:name="_Hlk106925006"/>
      <w:r w:rsidRPr="00460138">
        <w:rPr>
          <w:lang w:val="en-GB"/>
        </w:rPr>
        <w:t>Value chains of national enterprises in 2020</w:t>
      </w:r>
    </w:p>
    <w:p w14:paraId="1E690351" w14:textId="1B23AC17" w:rsidR="00DE58F1" w:rsidRPr="00460138" w:rsidRDefault="00731D27" w:rsidP="00F049AB">
      <w:pPr>
        <w:pStyle w:val="Lead"/>
        <w:rPr>
          <w:rFonts w:eastAsia="Times New Roman" w:cs="Times New Roman"/>
          <w:bCs/>
          <w:noProof w:val="0"/>
          <w:lang w:val="en-GB"/>
        </w:rPr>
      </w:pPr>
      <w:r w:rsidRPr="00460138">
        <w:rPr>
          <w:color w:val="001D77"/>
          <w:lang w:val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907518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95525" cy="1371600"/>
                <wp:effectExtent l="0" t="0" r="9525" b="0"/>
                <wp:wrapSquare wrapText="bothSides"/>
                <wp:docPr id="6" name="Pole tekstowe 2" descr="33.2% of surveyed enterprises sourced business functions externally at the end of 2020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371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F9F8200" w:rsidR="005C0CAC" w:rsidRPr="00F26BE8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26BE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33.2%</w:t>
                            </w:r>
                          </w:p>
                          <w:p w14:paraId="63B3F253" w14:textId="798821F3" w:rsidR="005C0CAC" w:rsidRPr="00D2752E" w:rsidRDefault="00F26BE8" w:rsidP="00F049AB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 w:rsidRPr="00D2752E">
                              <w:rPr>
                                <w:lang w:val="en-GB"/>
                              </w:rPr>
                              <w:t>of surveyed enterprises sourced business functions</w:t>
                            </w:r>
                            <w:r w:rsidR="0023642B">
                              <w:rPr>
                                <w:lang w:val="en-GB"/>
                              </w:rPr>
                              <w:t xml:space="preserve"> externally</w:t>
                            </w:r>
                            <w:r w:rsidRPr="00D2752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D6F1D">
                              <w:rPr>
                                <w:lang w:val="en-GB"/>
                              </w:rPr>
                              <w:t>at the end of</w:t>
                            </w:r>
                            <w:r w:rsidRPr="00D2752E">
                              <w:rPr>
                                <w:lang w:val="en-GB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3.2% of surveyed enterprises sourced business functions externally at the end of 2020&#10;" style="position:absolute;margin-left:0;margin-top:3.6pt;width:180.75pt;height:10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ABEwIAAPwDAAAOAAAAZHJzL2Uyb0RvYy54bWysU9tu2zAMfR+wfxD0vviypGmMOEWXrMOA&#10;7oJ1+wBZkmNhsqhJSuzu60fJaRp0b8P8IIgmeUgeHq1vxl6To3RegalpMcspkYaDUGZf0x/f795c&#10;U+IDM4JpMLKmj9LTm83rV+vBVrKEDrSQjiCI8dVga9qFYKss87yTPfMzsNKgswXXs4Cm22fCsQHR&#10;e52VeX6VDeCEdcCl9/h3NznpJuG3reThS9t6GYiuKfYW0unS2cQz26xZtXfMdoqf2mD/0EXPlMGi&#10;Z6gdC4wcnPoLqlfcgYc2zDj0GbSt4jLNgNMU+YtpHjpmZZoFyfH2TJP/f7D88/HBfnUkjO9gxAWm&#10;Iby9B/7TEwPbjpm9vHUOhk4ygYWLSFk2WF+dUiPVvvIRpBk+gcAls0OABDS2ro+s4JwE0XEBj2fS&#10;5RgIx59luVosygUlHH3F22Vxlae1ZKx6SrfOhw8SehIvNXVwMOIbrjbVYMd7H2JPrHqKiyU9aCXu&#10;lNbJcPtmqx05siiDvNgtl2mMF2HakKGmq9hNzDIQ85NCehVQplr1Nb3O4zcJJ3Ly3ogUEpjS0x07&#10;0eZEUuRlYiiMzYiBkawGxCPS5WCSIz4fvHTgflMyoBRr6n8dmJOU6I8GKV8V83nUbjLmi2WJhrv0&#10;NJceZjhC1TRQMl23Iel9mugWV9OqxNdzJ6deUWKJxtNziBq+tFPU86Pd/AEAAP//AwBQSwMEFAAG&#10;AAgAAAAhAPzSfS/cAAAABgEAAA8AAABkcnMvZG93bnJldi54bWxMjzFPwzAUhHck/oP1kFgi6tQR&#10;BYU4FUUKA51IYXfj1zgifo5stwn/HjPBeLrT3XfVdrEju6APgyMJ61UODKlzeqBewsehuXsEFqIi&#10;rUZHKOEbA2zr66tKldrN9I6XNvYslVAolQQT41RyHjqDVoWVm5CSd3Leqpik77n2ak7lduQizzfc&#10;qoHSglETvhjsvtqzlbDzp32bF0swu8PbPmua7PN1zqS8vVmen4BFXOJfGH7xEzrUienozqQDGyWk&#10;I1HCgwCWzGKzvgd2lCBEIYDXFf+PX/8AAAD//wMAUEsBAi0AFAAGAAgAAAAhALaDOJL+AAAA4QEA&#10;ABMAAAAAAAAAAAAAAAAAAAAAAFtDb250ZW50X1R5cGVzXS54bWxQSwECLQAUAAYACAAAACEAOP0h&#10;/9YAAACUAQAACwAAAAAAAAAAAAAAAAAvAQAAX3JlbHMvLnJlbHNQSwECLQAUAAYACAAAACEAspAw&#10;ARMCAAD8AwAADgAAAAAAAAAAAAAAAAAuAgAAZHJzL2Uyb0RvYy54bWxQSwECLQAUAAYACAAAACEA&#10;/NJ9L9wAAAAGAQAADwAAAAAAAAAAAAAAAABtBAAAZHJzL2Rvd25yZXYueG1sUEsFBgAAAAAEAAQA&#10;8wAAAHYFAAAAAA==&#10;" fillcolor="#001d77" stroked="f">
                <v:stroke joinstyle="miter"/>
                <v:textbox>
                  <w:txbxContent>
                    <w:p w14:paraId="30951E30" w14:textId="3F9F8200" w:rsidR="005C0CAC" w:rsidRPr="00F26BE8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F26BE8">
                        <w:rPr>
                          <w:rStyle w:val="WartowskanikaZnak"/>
                          <w:sz w:val="72"/>
                          <w:szCs w:val="72"/>
                        </w:rPr>
                        <w:t>33.2%</w:t>
                      </w:r>
                    </w:p>
                    <w:p w14:paraId="63B3F253" w14:textId="798821F3" w:rsidR="005C0CAC" w:rsidRPr="00D2752E" w:rsidRDefault="00F26BE8" w:rsidP="00F049AB">
                      <w:pPr>
                        <w:pStyle w:val="Opiswskanika"/>
                        <w:rPr>
                          <w:lang w:val="en-GB"/>
                        </w:rPr>
                      </w:pPr>
                      <w:r w:rsidRPr="00D2752E">
                        <w:rPr>
                          <w:lang w:val="en-GB"/>
                        </w:rPr>
                        <w:t>of surveyed enterprises sourced business functions</w:t>
                      </w:r>
                      <w:r w:rsidR="0023642B">
                        <w:rPr>
                          <w:lang w:val="en-GB"/>
                        </w:rPr>
                        <w:t xml:space="preserve"> externally</w:t>
                      </w:r>
                      <w:r w:rsidRPr="00D2752E">
                        <w:rPr>
                          <w:lang w:val="en-GB"/>
                        </w:rPr>
                        <w:t xml:space="preserve"> </w:t>
                      </w:r>
                      <w:r w:rsidR="005D6F1D">
                        <w:rPr>
                          <w:lang w:val="en-GB"/>
                        </w:rPr>
                        <w:t>at the end of</w:t>
                      </w:r>
                      <w:r w:rsidRPr="00D2752E">
                        <w:rPr>
                          <w:lang w:val="en-GB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26BE8" w:rsidRPr="00460138">
        <w:rPr>
          <w:lang w:val="en-GB"/>
        </w:rPr>
        <w:t xml:space="preserve">At the end of 2020, most (66.8%) of surveyed enterprises </w:t>
      </w:r>
      <w:r w:rsidR="00085249" w:rsidRPr="00460138">
        <w:rPr>
          <w:lang w:val="en-GB"/>
        </w:rPr>
        <w:t xml:space="preserve">with 10 or more </w:t>
      </w:r>
      <w:r w:rsidR="00F26BE8" w:rsidRPr="00460138">
        <w:rPr>
          <w:lang w:val="en-GB"/>
        </w:rPr>
        <w:t xml:space="preserve">persons employed </w:t>
      </w:r>
      <w:r w:rsidR="00085249" w:rsidRPr="00460138">
        <w:rPr>
          <w:lang w:val="en-GB"/>
        </w:rPr>
        <w:t xml:space="preserve">performed business functions </w:t>
      </w:r>
      <w:r w:rsidR="00107C1C" w:rsidRPr="009E56DC">
        <w:rPr>
          <w:shd w:val="clear" w:color="auto" w:fill="FFFFFF"/>
          <w:lang w:val="en-US"/>
        </w:rPr>
        <w:t>exclusively internally</w:t>
      </w:r>
      <w:r w:rsidR="00E6049B">
        <w:rPr>
          <w:shd w:val="clear" w:color="auto" w:fill="FFFFFF"/>
          <w:lang w:val="en-US"/>
        </w:rPr>
        <w:t xml:space="preserve"> and did not sourced them outside</w:t>
      </w:r>
      <w:r w:rsidR="00847AC5" w:rsidRPr="00460138">
        <w:rPr>
          <w:lang w:val="en-GB"/>
        </w:rPr>
        <w:t xml:space="preserve">. The phenomenon of </w:t>
      </w:r>
      <w:r w:rsidR="003475BF">
        <w:rPr>
          <w:lang w:val="en-GB"/>
        </w:rPr>
        <w:t xml:space="preserve">external </w:t>
      </w:r>
      <w:r w:rsidR="00BD189E">
        <w:rPr>
          <w:lang w:val="en-GB"/>
        </w:rPr>
        <w:t xml:space="preserve">sourcing </w:t>
      </w:r>
      <w:r w:rsidR="00847AC5" w:rsidRPr="00460138">
        <w:rPr>
          <w:lang w:val="en-GB"/>
        </w:rPr>
        <w:t>occured in 33.2% of surveyed enterpris</w:t>
      </w:r>
      <w:r w:rsidR="008F002D" w:rsidRPr="00460138">
        <w:rPr>
          <w:lang w:val="en-GB"/>
        </w:rPr>
        <w:t>es, most of whic</w:t>
      </w:r>
      <w:r w:rsidR="00D2752E" w:rsidRPr="00460138">
        <w:rPr>
          <w:lang w:val="en-GB"/>
        </w:rPr>
        <w:t xml:space="preserve">h (88.0%) </w:t>
      </w:r>
      <w:r w:rsidR="00BD189E">
        <w:rPr>
          <w:lang w:val="en-GB"/>
        </w:rPr>
        <w:t>contr</w:t>
      </w:r>
      <w:r w:rsidR="0034636A">
        <w:rPr>
          <w:lang w:val="en-GB"/>
        </w:rPr>
        <w:t>acted</w:t>
      </w:r>
      <w:r w:rsidR="00BD189E">
        <w:rPr>
          <w:lang w:val="en-GB"/>
        </w:rPr>
        <w:t xml:space="preserve"> out</w:t>
      </w:r>
      <w:r w:rsidR="00D2752E" w:rsidRPr="00460138">
        <w:rPr>
          <w:lang w:val="en-GB"/>
        </w:rPr>
        <w:t xml:space="preserve"> functions</w:t>
      </w:r>
      <w:r w:rsidR="0023642B">
        <w:rPr>
          <w:lang w:val="en-GB"/>
        </w:rPr>
        <w:t xml:space="preserve"> </w:t>
      </w:r>
      <w:r w:rsidR="00D2752E" w:rsidRPr="00460138">
        <w:rPr>
          <w:lang w:val="en-GB"/>
        </w:rPr>
        <w:t xml:space="preserve">only to other domestic enterprises. </w:t>
      </w:r>
      <w:r w:rsidR="00E15FED" w:rsidRPr="00460138">
        <w:rPr>
          <w:lang w:val="en-GB"/>
        </w:rPr>
        <w:t xml:space="preserve">Abroad, </w:t>
      </w:r>
      <w:r w:rsidR="00D2752E" w:rsidRPr="00460138">
        <w:rPr>
          <w:lang w:val="en-GB"/>
        </w:rPr>
        <w:t xml:space="preserve">business functions </w:t>
      </w:r>
      <w:r w:rsidR="00E15FED" w:rsidRPr="00460138">
        <w:rPr>
          <w:lang w:val="en-GB"/>
        </w:rPr>
        <w:t xml:space="preserve">were </w:t>
      </w:r>
      <w:r w:rsidR="00E6049B">
        <w:rPr>
          <w:lang w:val="en-GB"/>
        </w:rPr>
        <w:t>contructad out</w:t>
      </w:r>
      <w:r w:rsidR="00E15FED" w:rsidRPr="00460138">
        <w:rPr>
          <w:lang w:val="en-GB"/>
        </w:rPr>
        <w:t xml:space="preserve"> mainly </w:t>
      </w:r>
      <w:r w:rsidR="00E6049B">
        <w:rPr>
          <w:lang w:val="en-GB"/>
        </w:rPr>
        <w:t>to</w:t>
      </w:r>
      <w:r w:rsidR="00E15FED" w:rsidRPr="00460138">
        <w:rPr>
          <w:lang w:val="en-GB"/>
        </w:rPr>
        <w:t xml:space="preserve"> the</w:t>
      </w:r>
      <w:r w:rsidR="00D2752E" w:rsidRPr="00460138">
        <w:rPr>
          <w:lang w:val="en-GB"/>
        </w:rPr>
        <w:t xml:space="preserve"> European Union countries.</w:t>
      </w:r>
      <w:r w:rsidR="00DE6B58" w:rsidRPr="00460138">
        <w:rPr>
          <w:lang w:val="en-GB"/>
        </w:rPr>
        <w:t xml:space="preserve"> </w:t>
      </w:r>
    </w:p>
    <w:p w14:paraId="343B6318" w14:textId="4C1FD310" w:rsidR="00BA2B3A" w:rsidRPr="00BA2B3A" w:rsidRDefault="000647A9" w:rsidP="00BA2B3A">
      <w:pPr>
        <w:pStyle w:val="Nagwek1"/>
        <w:rPr>
          <w:rFonts w:ascii="Fira Sans" w:hAnsi="Fira Sans"/>
          <w:b/>
          <w:szCs w:val="19"/>
          <w:lang w:val="en-GB"/>
        </w:rPr>
      </w:pPr>
      <w:r w:rsidRPr="00460138">
        <w:rPr>
          <w:rFonts w:ascii="Fira Sans" w:hAnsi="Fira Sans"/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2D3C63C">
                <wp:simplePos x="0" y="0"/>
                <wp:positionH relativeFrom="column">
                  <wp:posOffset>5295900</wp:posOffset>
                </wp:positionH>
                <wp:positionV relativeFrom="paragraph">
                  <wp:posOffset>164465</wp:posOffset>
                </wp:positionV>
                <wp:extent cx="1725295" cy="1457325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2" name="Pole tekstowe 2" descr="At the end of 2020, business functions were sourced externally more often by large enterprises, i.e. with 250 and more persons employed – 44.7% of entities within this size class compared to 33.2% in to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0D64A48" w:rsidR="00D616D2" w:rsidRPr="00BA2B3A" w:rsidRDefault="00AD13A7" w:rsidP="005F45EE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At the end of </w:t>
                            </w:r>
                            <w:r w:rsidR="00BA2B3A" w:rsidRPr="00BA2B3A">
                              <w:rPr>
                                <w:lang w:val="en-GB"/>
                              </w:rPr>
                              <w:t xml:space="preserve">2020, business functions were sourced </w:t>
                            </w:r>
                            <w:r>
                              <w:rPr>
                                <w:lang w:val="en-GB"/>
                              </w:rPr>
                              <w:t>externally mo</w:t>
                            </w:r>
                            <w:r w:rsidR="003475BF">
                              <w:rPr>
                                <w:lang w:val="en-GB"/>
                              </w:rPr>
                              <w:t>re</w:t>
                            </w:r>
                            <w:r>
                              <w:rPr>
                                <w:lang w:val="en-GB"/>
                              </w:rPr>
                              <w:t xml:space="preserve"> often</w:t>
                            </w:r>
                            <w:r w:rsidR="00BA2B3A" w:rsidRPr="00BA2B3A">
                              <w:rPr>
                                <w:lang w:val="en-GB"/>
                              </w:rPr>
                              <w:t xml:space="preserve"> by large enterprises, i.e. with 250 and more persons employed – 44.7% of entities </w:t>
                            </w:r>
                            <w:r>
                              <w:rPr>
                                <w:lang w:val="en-GB"/>
                              </w:rPr>
                              <w:t>with</w:t>
                            </w:r>
                            <w:r w:rsidR="0034636A">
                              <w:rPr>
                                <w:lang w:val="en-GB"/>
                              </w:rPr>
                              <w:t xml:space="preserve">in </w:t>
                            </w:r>
                            <w:r w:rsidR="00BA2B3A" w:rsidRPr="00BA2B3A">
                              <w:rPr>
                                <w:lang w:val="en-GB"/>
                              </w:rPr>
                              <w:t xml:space="preserve">this </w:t>
                            </w:r>
                            <w:r w:rsidR="00DF00DC">
                              <w:rPr>
                                <w:lang w:val="en-GB"/>
                              </w:rPr>
                              <w:t xml:space="preserve">size </w:t>
                            </w:r>
                            <w:r w:rsidR="00BA2B3A" w:rsidRPr="00BA2B3A">
                              <w:rPr>
                                <w:lang w:val="en-GB"/>
                              </w:rPr>
                              <w:t xml:space="preserve">class </w:t>
                            </w:r>
                            <w:r w:rsidR="0034636A">
                              <w:rPr>
                                <w:lang w:val="en-GB"/>
                              </w:rPr>
                              <w:t>compared to 33.2% in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t the end of 2020, business functions were sourced externally more often by large enterprises, i.e. with 250 and more persons employed – 44.7% of entities within this size class compared to 33.2% in total" style="position:absolute;margin-left:417pt;margin-top:12.95pt;width:135.85pt;height:114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dk+QEAANUDAAAOAAAAZHJzL2Uyb0RvYy54bWysU8tu2zAQvBfoPxC817JVu4kFy0GaNEWB&#10;9AGk/YA1RVlESS5L0pbSr++SUhwjvRXVgeBqydmd2eHmajCaHaUPCm3NF7M5Z9IKbJTd1/zH97s3&#10;l5yFCLYBjVbW/FEGfrV9/WrTu0qW2KFupGcEYkPVu5p3MbqqKILopIEwQyctJVv0BiKFfl80HnpC&#10;N7oo5/N3RY++cR6FDIH+3o5Jvs34bStF/Nq2QUama069xbz6vO7SWmw3UO09uE6JqQ34hy4MKEtF&#10;T1C3EIEdvPoLyijhMWAbZwJNgW2rhMwciM1i/oLNQwdOZi4kTnAnmcL/gxVfjg/um2dxeI8DDTCT&#10;CO4exc/ALN50YPfy2nvsOwkNFV4kyYrehWq6mqQOVUggu/4zNjRkOETMQEPrTVKFeDJCpwE8nkSX&#10;Q2QilbwoV+V6xZmg3GK5unhbrnINqJ6uOx/iR4mGpU3NPU01w8PxPsTUDlRPR1I1i3dK6zxZbVlf&#10;8/WKIF9kjIpkPK1MzS/n6RutkFh+sE2+HEHpcU8FtJ1oJ6Yj5zjsBqaaSZOkwg6bR9LB4+gzehe0&#10;6dD/5qwnj9U8/DqAl5zpT5a0XC+Wy2TKHBDzkgJ/ntmdZ8AKgqp55Gzc3sRs5JHYNWneqqzGcydT&#10;y+SdLNLk82TO8zifen6N2z8AAAD//wMAUEsDBBQABgAIAAAAIQBwsLn63wAAAAsBAAAPAAAAZHJz&#10;L2Rvd25yZXYueG1sTI/BTsMwEETvSPyDtUjcqN2SlDZkU1UgriBaQOLmxtskaryOYrcJf49zguPs&#10;jGbf5JvRtuJCvW8cI8xnCgRx6UzDFcLH/uVuBcIHzUa3jgnhhzxsiuurXGfGDfxOl12oRCxhn2mE&#10;OoQuk9KXNVntZ64jjt7R9VaHKPtKml4Psdy2cqHUUlrdcPxQ646eaipPu7NF+Hw9fn8l6q16tmk3&#10;uFFJtmuJeHszbh9BBBrDXxgm/IgORWQ6uDMbL1qE1X0StwSERboGMQXmKn0AcZguaQKyyOX/DcUv&#10;AAAA//8DAFBLAQItABQABgAIAAAAIQC2gziS/gAAAOEBAAATAAAAAAAAAAAAAAAAAAAAAABbQ29u&#10;dGVudF9UeXBlc10ueG1sUEsBAi0AFAAGAAgAAAAhADj9If/WAAAAlAEAAAsAAAAAAAAAAAAAAAAA&#10;LwEAAF9yZWxzLy5yZWxzUEsBAi0AFAAGAAgAAAAhANtCN2T5AQAA1QMAAA4AAAAAAAAAAAAAAAAA&#10;LgIAAGRycy9lMm9Eb2MueG1sUEsBAi0AFAAGAAgAAAAhAHCwufrfAAAACwEAAA8AAAAAAAAAAAAA&#10;AAAAUwQAAGRycy9kb3ducmV2LnhtbFBLBQYAAAAABAAEAPMAAABfBQAAAAA=&#10;" filled="f" stroked="f">
                <v:textbox>
                  <w:txbxContent>
                    <w:p w14:paraId="66113316" w14:textId="20D64A48" w:rsidR="00D616D2" w:rsidRPr="00BA2B3A" w:rsidRDefault="00AD13A7" w:rsidP="005F45EE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At the end of </w:t>
                      </w:r>
                      <w:r w:rsidR="00BA2B3A" w:rsidRPr="00BA2B3A">
                        <w:rPr>
                          <w:lang w:val="en-GB"/>
                        </w:rPr>
                        <w:t xml:space="preserve">2020, business functions were sourced </w:t>
                      </w:r>
                      <w:r>
                        <w:rPr>
                          <w:lang w:val="en-GB"/>
                        </w:rPr>
                        <w:t>externally mo</w:t>
                      </w:r>
                      <w:r w:rsidR="003475BF">
                        <w:rPr>
                          <w:lang w:val="en-GB"/>
                        </w:rPr>
                        <w:t>re</w:t>
                      </w:r>
                      <w:r>
                        <w:rPr>
                          <w:lang w:val="en-GB"/>
                        </w:rPr>
                        <w:t xml:space="preserve"> often</w:t>
                      </w:r>
                      <w:r w:rsidR="00BA2B3A" w:rsidRPr="00BA2B3A">
                        <w:rPr>
                          <w:lang w:val="en-GB"/>
                        </w:rPr>
                        <w:t xml:space="preserve"> by large enterprises, i.e. with 250 and more persons employed – 44.7% of entities </w:t>
                      </w:r>
                      <w:r>
                        <w:rPr>
                          <w:lang w:val="en-GB"/>
                        </w:rPr>
                        <w:t>with</w:t>
                      </w:r>
                      <w:r w:rsidR="0034636A">
                        <w:rPr>
                          <w:lang w:val="en-GB"/>
                        </w:rPr>
                        <w:t xml:space="preserve">in </w:t>
                      </w:r>
                      <w:r w:rsidR="00BA2B3A" w:rsidRPr="00BA2B3A">
                        <w:rPr>
                          <w:lang w:val="en-GB"/>
                        </w:rPr>
                        <w:t xml:space="preserve">this </w:t>
                      </w:r>
                      <w:r w:rsidR="00DF00DC">
                        <w:rPr>
                          <w:lang w:val="en-GB"/>
                        </w:rPr>
                        <w:t xml:space="preserve">size </w:t>
                      </w:r>
                      <w:r w:rsidR="00BA2B3A" w:rsidRPr="00BA2B3A">
                        <w:rPr>
                          <w:lang w:val="en-GB"/>
                        </w:rPr>
                        <w:t xml:space="preserve">class </w:t>
                      </w:r>
                      <w:r w:rsidR="0034636A">
                        <w:rPr>
                          <w:lang w:val="en-GB"/>
                        </w:rPr>
                        <w:t>compared to 33.2% in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460138">
        <w:rPr>
          <w:shd w:val="clear" w:color="auto" w:fill="FFFFFF"/>
          <w:lang w:val="en-GB"/>
        </w:rPr>
        <w:br/>
      </w:r>
      <w:r w:rsidR="003475BF">
        <w:rPr>
          <w:rFonts w:ascii="Fira Sans" w:hAnsi="Fira Sans"/>
          <w:b/>
          <w:szCs w:val="19"/>
          <w:lang w:val="en-GB"/>
        </w:rPr>
        <w:t>Location</w:t>
      </w:r>
      <w:r w:rsidR="000D6EA6" w:rsidRPr="000D6EA6">
        <w:rPr>
          <w:rFonts w:ascii="Fira Sans" w:hAnsi="Fira Sans"/>
          <w:b/>
          <w:szCs w:val="19"/>
          <w:lang w:val="en-GB"/>
        </w:rPr>
        <w:t xml:space="preserve"> of perform</w:t>
      </w:r>
      <w:r w:rsidR="003475BF">
        <w:rPr>
          <w:rFonts w:ascii="Fira Sans" w:hAnsi="Fira Sans"/>
          <w:b/>
          <w:szCs w:val="19"/>
          <w:lang w:val="en-GB"/>
        </w:rPr>
        <w:t xml:space="preserve">ing </w:t>
      </w:r>
      <w:r w:rsidR="003475BF" w:rsidRPr="000D6EA6">
        <w:rPr>
          <w:rFonts w:ascii="Fira Sans" w:hAnsi="Fira Sans"/>
          <w:b/>
          <w:szCs w:val="19"/>
          <w:lang w:val="en-GB"/>
        </w:rPr>
        <w:t>business functions</w:t>
      </w:r>
    </w:p>
    <w:p w14:paraId="65555147" w14:textId="637395DA" w:rsidR="00BA2B3A" w:rsidRPr="00BA2B3A" w:rsidRDefault="00682426" w:rsidP="00BA2B3A">
      <w:pPr>
        <w:spacing w:line="288" w:lineRule="auto"/>
        <w:rPr>
          <w:shd w:val="clear" w:color="auto" w:fill="FFFFFF"/>
          <w:lang w:val="en-GB"/>
        </w:rPr>
      </w:pPr>
      <w:r w:rsidRPr="009E56DC">
        <w:rPr>
          <w:shd w:val="clear" w:color="auto" w:fill="FFFFFF"/>
          <w:lang w:val="en-US"/>
        </w:rPr>
        <w:t>At the end of 2020, two-thirds</w:t>
      </w:r>
      <w:r w:rsidR="00BA2B3A" w:rsidRPr="00BA2B3A">
        <w:rPr>
          <w:shd w:val="clear" w:color="auto" w:fill="FFFFFF"/>
          <w:lang w:val="en-GB"/>
        </w:rPr>
        <w:t xml:space="preserve"> (28</w:t>
      </w:r>
      <w:r w:rsidR="0023642B">
        <w:rPr>
          <w:shd w:val="clear" w:color="auto" w:fill="FFFFFF"/>
          <w:lang w:val="en-GB"/>
        </w:rPr>
        <w:t>,</w:t>
      </w:r>
      <w:r w:rsidR="00BA2B3A" w:rsidRPr="00BA2B3A">
        <w:rPr>
          <w:shd w:val="clear" w:color="auto" w:fill="FFFFFF"/>
          <w:lang w:val="en-GB"/>
        </w:rPr>
        <w:t xml:space="preserve">564) </w:t>
      </w:r>
      <w:r w:rsidRPr="00682426">
        <w:rPr>
          <w:shd w:val="clear" w:color="auto" w:fill="FFFFFF"/>
          <w:lang w:val="en-GB"/>
        </w:rPr>
        <w:t xml:space="preserve">of the surveyed enterprises with 10 or more </w:t>
      </w:r>
      <w:r>
        <w:rPr>
          <w:shd w:val="clear" w:color="auto" w:fill="FFFFFF"/>
          <w:lang w:val="en-GB"/>
        </w:rPr>
        <w:t xml:space="preserve">persons employed </w:t>
      </w:r>
      <w:r w:rsidRPr="00682426">
        <w:rPr>
          <w:shd w:val="clear" w:color="auto" w:fill="FFFFFF"/>
          <w:lang w:val="en-GB"/>
        </w:rPr>
        <w:t>performed business functions</w:t>
      </w:r>
      <w:r w:rsidR="00BA2B3A" w:rsidRPr="00BA2B3A">
        <w:rPr>
          <w:rStyle w:val="Odwoanieprzypisudolnego"/>
          <w:shd w:val="clear" w:color="auto" w:fill="FFFFFF"/>
          <w:lang w:val="en-GB"/>
        </w:rPr>
        <w:footnoteReference w:id="1"/>
      </w:r>
      <w:r w:rsidR="00BA2B3A" w:rsidRPr="00BA2B3A">
        <w:rPr>
          <w:shd w:val="clear" w:color="auto" w:fill="FFFFFF"/>
          <w:lang w:val="en-GB"/>
        </w:rPr>
        <w:t xml:space="preserve"> </w:t>
      </w:r>
      <w:r w:rsidRPr="009E56DC">
        <w:rPr>
          <w:shd w:val="clear" w:color="auto" w:fill="FFFFFF"/>
          <w:lang w:val="en-US"/>
        </w:rPr>
        <w:t>exclusively internally, and one-third</w:t>
      </w:r>
      <w:r w:rsidRPr="00BA2B3A">
        <w:rPr>
          <w:shd w:val="clear" w:color="auto" w:fill="FFFFFF"/>
          <w:lang w:val="en-GB"/>
        </w:rPr>
        <w:t xml:space="preserve"> </w:t>
      </w:r>
      <w:r w:rsidR="00BA2B3A" w:rsidRPr="00BA2B3A">
        <w:rPr>
          <w:shd w:val="clear" w:color="auto" w:fill="FFFFFF"/>
          <w:lang w:val="en-GB"/>
        </w:rPr>
        <w:t>(14</w:t>
      </w:r>
      <w:r w:rsidR="0023642B">
        <w:rPr>
          <w:shd w:val="clear" w:color="auto" w:fill="FFFFFF"/>
          <w:lang w:val="en-GB"/>
        </w:rPr>
        <w:t>,</w:t>
      </w:r>
      <w:r w:rsidR="00BA2B3A" w:rsidRPr="00BA2B3A">
        <w:rPr>
          <w:shd w:val="clear" w:color="auto" w:fill="FFFFFF"/>
          <w:lang w:val="en-GB"/>
        </w:rPr>
        <w:t xml:space="preserve">198) </w:t>
      </w:r>
      <w:r w:rsidRPr="009E56DC">
        <w:rPr>
          <w:shd w:val="clear" w:color="auto" w:fill="FFFFFF"/>
          <w:lang w:val="en-US"/>
        </w:rPr>
        <w:t>sourced functions externally to other entities to perform fully or partially</w:t>
      </w:r>
      <w:r>
        <w:rPr>
          <w:shd w:val="clear" w:color="auto" w:fill="FFFFFF"/>
          <w:lang w:val="en-US"/>
        </w:rPr>
        <w:t xml:space="preserve">. </w:t>
      </w:r>
      <w:r w:rsidR="00FC466F" w:rsidRPr="00FC466F">
        <w:rPr>
          <w:shd w:val="clear" w:color="auto" w:fill="FFFFFF"/>
          <w:lang w:val="en-GB"/>
        </w:rPr>
        <w:t>M</w:t>
      </w:r>
      <w:r w:rsidR="003475BF">
        <w:rPr>
          <w:shd w:val="clear" w:color="auto" w:fill="FFFFFF"/>
          <w:lang w:val="en-GB"/>
        </w:rPr>
        <w:t>ore often</w:t>
      </w:r>
      <w:r w:rsidR="00FC466F" w:rsidRPr="00FC466F">
        <w:rPr>
          <w:shd w:val="clear" w:color="auto" w:fill="FFFFFF"/>
          <w:lang w:val="en-GB"/>
        </w:rPr>
        <w:t xml:space="preserve">, functions were sourced externally by large enterprises (with 250 or more </w:t>
      </w:r>
      <w:r w:rsidR="00FC466F">
        <w:rPr>
          <w:shd w:val="clear" w:color="auto" w:fill="FFFFFF"/>
          <w:lang w:val="en-GB"/>
        </w:rPr>
        <w:t>persons employed</w:t>
      </w:r>
      <w:r w:rsidR="00FC466F" w:rsidRPr="00FC466F">
        <w:rPr>
          <w:shd w:val="clear" w:color="auto" w:fill="FFFFFF"/>
          <w:lang w:val="en-GB"/>
        </w:rPr>
        <w:t xml:space="preserve">) </w:t>
      </w:r>
      <w:r w:rsidR="00AD13A7">
        <w:rPr>
          <w:shd w:val="clear" w:color="auto" w:fill="FFFFFF"/>
          <w:lang w:val="en-GB"/>
        </w:rPr>
        <w:t>–</w:t>
      </w:r>
      <w:r w:rsidR="00FC466F" w:rsidRPr="00FC466F">
        <w:rPr>
          <w:shd w:val="clear" w:color="auto" w:fill="FFFFFF"/>
          <w:lang w:val="en-GB"/>
        </w:rPr>
        <w:t xml:space="preserve"> 44.7% of entities </w:t>
      </w:r>
      <w:r w:rsidR="00C94402">
        <w:rPr>
          <w:shd w:val="clear" w:color="auto" w:fill="FFFFFF"/>
          <w:lang w:val="en-GB"/>
        </w:rPr>
        <w:t>belonging to</w:t>
      </w:r>
      <w:r w:rsidR="00FC466F" w:rsidRPr="00FC466F">
        <w:rPr>
          <w:shd w:val="clear" w:color="auto" w:fill="FFFFFF"/>
          <w:lang w:val="en-GB"/>
        </w:rPr>
        <w:t xml:space="preserve"> this size class, and le</w:t>
      </w:r>
      <w:r w:rsidR="003475BF">
        <w:rPr>
          <w:shd w:val="clear" w:color="auto" w:fill="FFFFFF"/>
          <w:lang w:val="en-GB"/>
        </w:rPr>
        <w:t>ss</w:t>
      </w:r>
      <w:r w:rsidR="00FC466F" w:rsidRPr="00FC466F">
        <w:rPr>
          <w:shd w:val="clear" w:color="auto" w:fill="FFFFFF"/>
          <w:lang w:val="en-GB"/>
        </w:rPr>
        <w:t xml:space="preserve"> often by small enterprises (with 10</w:t>
      </w:r>
      <w:r w:rsidR="00627B32">
        <w:rPr>
          <w:shd w:val="clear" w:color="auto" w:fill="FFFFFF"/>
          <w:lang w:val="en-GB"/>
        </w:rPr>
        <w:t>–</w:t>
      </w:r>
      <w:r w:rsidR="00FC466F" w:rsidRPr="00FC466F">
        <w:rPr>
          <w:shd w:val="clear" w:color="auto" w:fill="FFFFFF"/>
          <w:lang w:val="en-GB"/>
        </w:rPr>
        <w:t xml:space="preserve">49 </w:t>
      </w:r>
      <w:r w:rsidR="00627B32">
        <w:rPr>
          <w:shd w:val="clear" w:color="auto" w:fill="FFFFFF"/>
          <w:lang w:val="en-GB"/>
        </w:rPr>
        <w:t>persons employed</w:t>
      </w:r>
      <w:r w:rsidR="00FC466F" w:rsidRPr="00FC466F">
        <w:rPr>
          <w:shd w:val="clear" w:color="auto" w:fill="FFFFFF"/>
          <w:lang w:val="en-GB"/>
        </w:rPr>
        <w:t xml:space="preserve">) </w:t>
      </w:r>
      <w:r w:rsidR="00627B32">
        <w:rPr>
          <w:shd w:val="clear" w:color="auto" w:fill="FFFFFF"/>
          <w:lang w:val="en-GB"/>
        </w:rPr>
        <w:t>–</w:t>
      </w:r>
      <w:r w:rsidR="00FC466F" w:rsidRPr="00FC466F">
        <w:rPr>
          <w:shd w:val="clear" w:color="auto" w:fill="FFFFFF"/>
          <w:lang w:val="en-GB"/>
        </w:rPr>
        <w:t xml:space="preserve"> 30.4%</w:t>
      </w:r>
      <w:r w:rsidR="00AD13A7">
        <w:rPr>
          <w:shd w:val="clear" w:color="auto" w:fill="FFFFFF"/>
          <w:lang w:val="en-GB"/>
        </w:rPr>
        <w:t xml:space="preserve"> </w:t>
      </w:r>
    </w:p>
    <w:p w14:paraId="12C530BD" w14:textId="694C926A" w:rsidR="00E95B8E" w:rsidRPr="00827492" w:rsidRDefault="00D43785" w:rsidP="00827492">
      <w:pPr>
        <w:pStyle w:val="Nagwek1"/>
        <w:tabs>
          <w:tab w:val="left" w:pos="709"/>
        </w:tabs>
        <w:ind w:left="705" w:hanging="705"/>
        <w:rPr>
          <w:rFonts w:ascii="Fira Sans" w:hAnsi="Fira Sans"/>
          <w:b/>
          <w:color w:val="000000" w:themeColor="text1"/>
          <w:szCs w:val="19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776000" behindDoc="0" locked="1" layoutInCell="1" allowOverlap="1" wp14:anchorId="213F7FB9" wp14:editId="166A199B">
            <wp:simplePos x="0" y="0"/>
            <wp:positionH relativeFrom="margin">
              <wp:align>left</wp:align>
            </wp:positionH>
            <wp:positionV relativeFrom="paragraph">
              <wp:posOffset>496570</wp:posOffset>
            </wp:positionV>
            <wp:extent cx="5220000" cy="2257200"/>
            <wp:effectExtent l="0" t="0" r="0" b="0"/>
            <wp:wrapTopAndBottom/>
            <wp:docPr id="8" name="Obraz 8" descr="Chart 1. Structure of surveyed enterprises by size class and location of performing business functions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2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8" w:rsidRPr="00827492">
        <w:rPr>
          <w:rFonts w:ascii="Fira Sans" w:hAnsi="Fira Sans"/>
          <w:b/>
          <w:color w:val="000000" w:themeColor="text1"/>
          <w:szCs w:val="19"/>
          <w:lang w:val="en-GB"/>
        </w:rPr>
        <w:t>Chart</w:t>
      </w:r>
      <w:r w:rsidR="00E95B8E" w:rsidRPr="00827492">
        <w:rPr>
          <w:rFonts w:ascii="Fira Sans" w:hAnsi="Fira Sans"/>
          <w:b/>
          <w:color w:val="000000" w:themeColor="text1"/>
          <w:szCs w:val="19"/>
          <w:lang w:val="en-GB"/>
        </w:rPr>
        <w:t xml:space="preserve"> </w:t>
      </w:r>
      <w:r w:rsidR="00D972F6" w:rsidRPr="00827492">
        <w:rPr>
          <w:rFonts w:ascii="Fira Sans" w:hAnsi="Fira Sans"/>
          <w:b/>
          <w:color w:val="000000" w:themeColor="text1"/>
          <w:szCs w:val="19"/>
          <w:lang w:val="en-GB"/>
        </w:rPr>
        <w:t>1</w:t>
      </w:r>
      <w:r w:rsidR="00E95B8E" w:rsidRPr="00827492">
        <w:rPr>
          <w:rFonts w:ascii="Fira Sans" w:hAnsi="Fira Sans"/>
          <w:b/>
          <w:color w:val="000000" w:themeColor="text1"/>
          <w:szCs w:val="19"/>
          <w:lang w:val="en-GB"/>
        </w:rPr>
        <w:t>.</w:t>
      </w:r>
      <w:r w:rsidR="00F54F4A" w:rsidRPr="00827492">
        <w:rPr>
          <w:rFonts w:ascii="Fira Sans" w:hAnsi="Fira Sans"/>
          <w:b/>
          <w:color w:val="000000" w:themeColor="text1"/>
          <w:szCs w:val="19"/>
          <w:lang w:val="en-GB"/>
        </w:rPr>
        <w:tab/>
      </w:r>
      <w:r w:rsidR="00460138" w:rsidRPr="00827492">
        <w:rPr>
          <w:rFonts w:ascii="Fira Sans" w:hAnsi="Fira Sans"/>
          <w:b/>
          <w:color w:val="000000" w:themeColor="text1"/>
          <w:szCs w:val="19"/>
          <w:lang w:val="en-GB"/>
        </w:rPr>
        <w:t xml:space="preserve">Structure of </w:t>
      </w:r>
      <w:r w:rsidR="0034636A">
        <w:rPr>
          <w:rFonts w:ascii="Fira Sans" w:hAnsi="Fira Sans"/>
          <w:b/>
          <w:color w:val="000000" w:themeColor="text1"/>
          <w:szCs w:val="19"/>
          <w:lang w:val="en-GB"/>
        </w:rPr>
        <w:t xml:space="preserve">surveyed </w:t>
      </w:r>
      <w:r w:rsidR="00460138" w:rsidRPr="00827492">
        <w:rPr>
          <w:rFonts w:ascii="Fira Sans" w:hAnsi="Fira Sans"/>
          <w:b/>
          <w:color w:val="000000" w:themeColor="text1"/>
          <w:szCs w:val="19"/>
          <w:lang w:val="en-GB"/>
        </w:rPr>
        <w:t xml:space="preserve">enterprises by size class and </w:t>
      </w:r>
      <w:r w:rsidR="00627B32">
        <w:rPr>
          <w:rFonts w:ascii="Fira Sans" w:hAnsi="Fira Sans"/>
          <w:b/>
          <w:color w:val="000000" w:themeColor="text1"/>
          <w:szCs w:val="19"/>
          <w:lang w:val="en-GB"/>
        </w:rPr>
        <w:t>location</w:t>
      </w:r>
      <w:r w:rsidR="00460138" w:rsidRPr="00827492">
        <w:rPr>
          <w:rFonts w:ascii="Fira Sans" w:hAnsi="Fira Sans"/>
          <w:b/>
          <w:color w:val="000000" w:themeColor="text1"/>
          <w:szCs w:val="19"/>
          <w:lang w:val="en-GB"/>
        </w:rPr>
        <w:t xml:space="preserve"> of perform</w:t>
      </w:r>
      <w:r w:rsidR="00627B32">
        <w:rPr>
          <w:rFonts w:ascii="Fira Sans" w:hAnsi="Fira Sans"/>
          <w:b/>
          <w:color w:val="000000" w:themeColor="text1"/>
          <w:szCs w:val="19"/>
          <w:lang w:val="en-GB"/>
        </w:rPr>
        <w:t>ing</w:t>
      </w:r>
      <w:r w:rsidR="00460138" w:rsidRPr="00827492">
        <w:rPr>
          <w:rFonts w:ascii="Fira Sans" w:hAnsi="Fira Sans"/>
          <w:b/>
          <w:color w:val="000000" w:themeColor="text1"/>
          <w:szCs w:val="19"/>
          <w:lang w:val="en-GB"/>
        </w:rPr>
        <w:t xml:space="preserve"> business functions in 2020</w:t>
      </w:r>
    </w:p>
    <w:p w14:paraId="01A9B91A" w14:textId="30B93F0A" w:rsidR="00BA2B3A" w:rsidRPr="00BA2B3A" w:rsidRDefault="00634C13" w:rsidP="00BA2B3A">
      <w:pPr>
        <w:spacing w:line="288" w:lineRule="auto"/>
        <w:rPr>
          <w:shd w:val="clear" w:color="auto" w:fill="FFFFFF"/>
          <w:lang w:val="en-GB"/>
        </w:rPr>
      </w:pPr>
      <w:bookmarkStart w:id="1" w:name="_Hlk106914625"/>
      <w:r>
        <w:rPr>
          <w:shd w:val="clear" w:color="auto" w:fill="FFFFFF"/>
          <w:lang w:val="en-GB"/>
        </w:rPr>
        <w:t>Industr</w:t>
      </w:r>
      <w:r w:rsidR="006B6890">
        <w:rPr>
          <w:shd w:val="clear" w:color="auto" w:fill="FFFFFF"/>
          <w:lang w:val="en-GB"/>
        </w:rPr>
        <w:t>ial</w:t>
      </w:r>
      <w:r>
        <w:rPr>
          <w:shd w:val="clear" w:color="auto" w:fill="FFFFFF"/>
          <w:lang w:val="en-GB"/>
        </w:rPr>
        <w:t xml:space="preserve"> enterprises</w:t>
      </w:r>
      <w:r w:rsidR="00BA2B3A" w:rsidRPr="00BA2B3A">
        <w:rPr>
          <w:rStyle w:val="Odwoanieprzypisudolnego"/>
          <w:shd w:val="clear" w:color="auto" w:fill="FFFFFF"/>
          <w:lang w:val="en-GB"/>
        </w:rPr>
        <w:footnoteReference w:id="2"/>
      </w:r>
      <w:r w:rsidR="00BA2B3A" w:rsidRPr="00BA2B3A">
        <w:rPr>
          <w:shd w:val="clear" w:color="auto" w:fill="FFFFFF"/>
          <w:lang w:val="en-GB"/>
        </w:rPr>
        <w:t xml:space="preserve"> </w:t>
      </w:r>
      <w:r w:rsidRPr="00634C13">
        <w:rPr>
          <w:shd w:val="clear" w:color="auto" w:fill="FFFFFF"/>
          <w:lang w:val="en-GB"/>
        </w:rPr>
        <w:t xml:space="preserve">were characterized by a slightly higher share of entities sourcing activities </w:t>
      </w:r>
      <w:r w:rsidR="00D43785">
        <w:rPr>
          <w:shd w:val="clear" w:color="auto" w:fill="FFFFFF"/>
          <w:lang w:val="en-GB"/>
        </w:rPr>
        <w:t xml:space="preserve">externally </w:t>
      </w:r>
      <w:r w:rsidRPr="00634C13">
        <w:rPr>
          <w:shd w:val="clear" w:color="auto" w:fill="FFFFFF"/>
          <w:lang w:val="en-GB"/>
        </w:rPr>
        <w:t xml:space="preserve">to other enterprises than entities </w:t>
      </w:r>
      <w:r w:rsidR="00C94402">
        <w:rPr>
          <w:shd w:val="clear" w:color="auto" w:fill="FFFFFF"/>
          <w:lang w:val="en-GB"/>
        </w:rPr>
        <w:t>conducting other kinds of activities</w:t>
      </w:r>
      <w:r w:rsidRPr="00634C13">
        <w:rPr>
          <w:shd w:val="clear" w:color="auto" w:fill="FFFFFF"/>
          <w:lang w:val="en-GB"/>
        </w:rPr>
        <w:t>.</w:t>
      </w:r>
      <w:r w:rsidR="00BA2B3A" w:rsidRPr="00BA2B3A">
        <w:rPr>
          <w:shd w:val="clear" w:color="auto" w:fill="FFFFFF"/>
          <w:lang w:val="en-GB"/>
        </w:rPr>
        <w:t xml:space="preserve"> </w:t>
      </w:r>
      <w:r w:rsidRPr="00634C13">
        <w:rPr>
          <w:shd w:val="clear" w:color="auto" w:fill="FFFFFF"/>
          <w:lang w:val="en-GB"/>
        </w:rPr>
        <w:t xml:space="preserve">The highest share of such entities was observed among enterprises operating in </w:t>
      </w:r>
      <w:r>
        <w:rPr>
          <w:shd w:val="clear" w:color="auto" w:fill="FFFFFF"/>
          <w:lang w:val="en-GB"/>
        </w:rPr>
        <w:t>e</w:t>
      </w:r>
      <w:r w:rsidRPr="00634C13">
        <w:rPr>
          <w:shd w:val="clear" w:color="auto" w:fill="FFFFFF"/>
          <w:lang w:val="en-GB"/>
        </w:rPr>
        <w:t xml:space="preserve">lectricity, gas, steam and air conditioning supply (42.9% of entities </w:t>
      </w:r>
      <w:r w:rsidR="00D43785">
        <w:rPr>
          <w:shd w:val="clear" w:color="auto" w:fill="FFFFFF"/>
          <w:lang w:val="en-GB"/>
        </w:rPr>
        <w:t>with</w:t>
      </w:r>
      <w:r w:rsidRPr="00634C13">
        <w:rPr>
          <w:shd w:val="clear" w:color="auto" w:fill="FFFFFF"/>
          <w:lang w:val="en-GB"/>
        </w:rPr>
        <w:t xml:space="preserve">in this section) and </w:t>
      </w:r>
      <w:r>
        <w:rPr>
          <w:shd w:val="clear" w:color="auto" w:fill="FFFFFF"/>
          <w:lang w:val="en-GB"/>
        </w:rPr>
        <w:t>manufacturing</w:t>
      </w:r>
      <w:r w:rsidRPr="00634C13">
        <w:rPr>
          <w:shd w:val="clear" w:color="auto" w:fill="FFFFFF"/>
          <w:lang w:val="en-GB"/>
        </w:rPr>
        <w:t xml:space="preserve"> (37.8%). </w:t>
      </w:r>
      <w:r w:rsidR="006B6890" w:rsidRPr="006B6890">
        <w:rPr>
          <w:shd w:val="clear" w:color="auto" w:fill="FFFFFF"/>
          <w:lang w:val="en-GB"/>
        </w:rPr>
        <w:t xml:space="preserve">Among enterprises other than </w:t>
      </w:r>
      <w:r w:rsidR="006B6890">
        <w:rPr>
          <w:shd w:val="clear" w:color="auto" w:fill="FFFFFF"/>
          <w:lang w:val="en-GB"/>
        </w:rPr>
        <w:t>industrial</w:t>
      </w:r>
      <w:r w:rsidR="006B6890" w:rsidRPr="006B6890">
        <w:rPr>
          <w:shd w:val="clear" w:color="auto" w:fill="FFFFFF"/>
          <w:lang w:val="en-GB"/>
        </w:rPr>
        <w:t xml:space="preserve">, the performance of functions was most often sourced to external entities by units in the following sections: financial and insurance </w:t>
      </w:r>
      <w:r w:rsidR="006B6890" w:rsidRPr="006B6890">
        <w:rPr>
          <w:shd w:val="clear" w:color="auto" w:fill="FFFFFF"/>
          <w:lang w:val="en-GB"/>
        </w:rPr>
        <w:lastRenderedPageBreak/>
        <w:t xml:space="preserve">activities (35.7%), information and communication (35.4%) and construction (35.0%). Entities operating in the field of education had the highest share of entities performing functions only internally compared to other </w:t>
      </w:r>
      <w:r w:rsidR="004D39C9">
        <w:rPr>
          <w:shd w:val="clear" w:color="auto" w:fill="FFFFFF"/>
          <w:lang w:val="en-GB"/>
        </w:rPr>
        <w:t xml:space="preserve">kinds of activities </w:t>
      </w:r>
      <w:r w:rsidR="006B6890" w:rsidRPr="006B6890">
        <w:rPr>
          <w:shd w:val="clear" w:color="auto" w:fill="FFFFFF"/>
          <w:lang w:val="en-GB"/>
        </w:rPr>
        <w:t xml:space="preserve">(81.3% of entities </w:t>
      </w:r>
      <w:r w:rsidR="00D43785">
        <w:rPr>
          <w:shd w:val="clear" w:color="auto" w:fill="FFFFFF"/>
          <w:lang w:val="en-GB"/>
        </w:rPr>
        <w:t>with</w:t>
      </w:r>
      <w:r w:rsidR="006B6890" w:rsidRPr="006B6890">
        <w:rPr>
          <w:shd w:val="clear" w:color="auto" w:fill="FFFFFF"/>
          <w:lang w:val="en-GB"/>
        </w:rPr>
        <w:t>in this section).</w:t>
      </w:r>
    </w:p>
    <w:p w14:paraId="68610001" w14:textId="3B67CA47" w:rsidR="00510340" w:rsidRPr="00BA2B3A" w:rsidRDefault="006B6890" w:rsidP="00BA2B3A">
      <w:pPr>
        <w:spacing w:line="288" w:lineRule="auto"/>
        <w:rPr>
          <w:shd w:val="clear" w:color="auto" w:fill="FFFFFF"/>
          <w:lang w:val="en-GB"/>
        </w:rPr>
      </w:pPr>
      <w:r w:rsidRPr="006B6890">
        <w:rPr>
          <w:shd w:val="clear" w:color="auto" w:fill="FFFFFF"/>
          <w:lang w:val="en-GB"/>
        </w:rPr>
        <w:t>In terms of the location of the surveyed enterprises, the implementation of functions was sourced externally mo</w:t>
      </w:r>
      <w:r w:rsidR="00D43785">
        <w:rPr>
          <w:shd w:val="clear" w:color="auto" w:fill="FFFFFF"/>
          <w:lang w:val="en-GB"/>
        </w:rPr>
        <w:t>re</w:t>
      </w:r>
      <w:r w:rsidRPr="006B6890">
        <w:rPr>
          <w:shd w:val="clear" w:color="auto" w:fill="FFFFFF"/>
          <w:lang w:val="en-GB"/>
        </w:rPr>
        <w:t xml:space="preserve"> frequently</w:t>
      </w:r>
      <w:r w:rsidR="00D43785">
        <w:rPr>
          <w:shd w:val="clear" w:color="auto" w:fill="FFFFFF"/>
          <w:lang w:val="en-GB"/>
        </w:rPr>
        <w:t xml:space="preserve"> </w:t>
      </w:r>
      <w:r w:rsidRPr="006B6890">
        <w:rPr>
          <w:shd w:val="clear" w:color="auto" w:fill="FFFFFF"/>
          <w:lang w:val="en-GB"/>
        </w:rPr>
        <w:t xml:space="preserve">by enterprises </w:t>
      </w:r>
      <w:r w:rsidR="00D43785">
        <w:rPr>
          <w:shd w:val="clear" w:color="auto" w:fill="FFFFFF"/>
          <w:lang w:val="en-GB"/>
        </w:rPr>
        <w:t xml:space="preserve">located in </w:t>
      </w:r>
      <w:r w:rsidRPr="006B6890">
        <w:rPr>
          <w:shd w:val="clear" w:color="auto" w:fill="FFFFFF"/>
          <w:lang w:val="en-GB"/>
        </w:rPr>
        <w:t xml:space="preserve">voivodships: </w:t>
      </w:r>
      <w:proofErr w:type="spellStart"/>
      <w:r w:rsidRPr="006B6890">
        <w:rPr>
          <w:shd w:val="clear" w:color="auto" w:fill="FFFFFF"/>
          <w:lang w:val="en-GB"/>
        </w:rPr>
        <w:t>Dolnośląskie</w:t>
      </w:r>
      <w:proofErr w:type="spellEnd"/>
      <w:r w:rsidRPr="006B6890">
        <w:rPr>
          <w:shd w:val="clear" w:color="auto" w:fill="FFFFFF"/>
          <w:lang w:val="en-GB"/>
        </w:rPr>
        <w:t xml:space="preserve"> (36.2%), </w:t>
      </w:r>
      <w:proofErr w:type="spellStart"/>
      <w:r w:rsidRPr="006B6890">
        <w:rPr>
          <w:shd w:val="clear" w:color="auto" w:fill="FFFFFF"/>
          <w:lang w:val="en-GB"/>
        </w:rPr>
        <w:t>Warmińsko-Mazurskie</w:t>
      </w:r>
      <w:proofErr w:type="spellEnd"/>
      <w:r w:rsidRPr="006B6890">
        <w:rPr>
          <w:shd w:val="clear" w:color="auto" w:fill="FFFFFF"/>
          <w:lang w:val="en-GB"/>
        </w:rPr>
        <w:t xml:space="preserve"> (36.0%) and </w:t>
      </w:r>
      <w:proofErr w:type="spellStart"/>
      <w:r w:rsidRPr="006B6890">
        <w:rPr>
          <w:shd w:val="clear" w:color="auto" w:fill="FFFFFF"/>
          <w:lang w:val="en-GB"/>
        </w:rPr>
        <w:t>Mazowieckie</w:t>
      </w:r>
      <w:proofErr w:type="spellEnd"/>
      <w:r w:rsidRPr="006B6890">
        <w:rPr>
          <w:shd w:val="clear" w:color="auto" w:fill="FFFFFF"/>
          <w:lang w:val="en-GB"/>
        </w:rPr>
        <w:t xml:space="preserve"> (35.0%) </w:t>
      </w:r>
      <w:r w:rsidR="00D43785">
        <w:rPr>
          <w:shd w:val="clear" w:color="auto" w:fill="FFFFFF"/>
          <w:lang w:val="en-GB"/>
        </w:rPr>
        <w:t xml:space="preserve">than in other locations. </w:t>
      </w:r>
      <w:r w:rsidRPr="006B6890">
        <w:rPr>
          <w:shd w:val="clear" w:color="auto" w:fill="FFFFFF"/>
          <w:lang w:val="en-GB"/>
        </w:rPr>
        <w:t xml:space="preserve">Enterprises from </w:t>
      </w:r>
      <w:proofErr w:type="spellStart"/>
      <w:r w:rsidRPr="006B6890">
        <w:rPr>
          <w:shd w:val="clear" w:color="auto" w:fill="FFFFFF"/>
          <w:lang w:val="en-GB"/>
        </w:rPr>
        <w:t>Lubelskie</w:t>
      </w:r>
      <w:proofErr w:type="spellEnd"/>
      <w:r w:rsidRPr="006B6890">
        <w:rPr>
          <w:shd w:val="clear" w:color="auto" w:fill="FFFFFF"/>
          <w:lang w:val="en-GB"/>
        </w:rPr>
        <w:t xml:space="preserve"> voivodship more often than entities from other voivodships performed all functions exclusively on their own (72.5%).</w:t>
      </w:r>
    </w:p>
    <w:bookmarkEnd w:id="1"/>
    <w:p w14:paraId="459CAEA2" w14:textId="63A83BB3" w:rsidR="00510340" w:rsidRPr="00432467" w:rsidRDefault="00510340" w:rsidP="0051034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1F23E9E4" wp14:editId="1030DB13">
                <wp:simplePos x="0" y="0"/>
                <wp:positionH relativeFrom="page">
                  <wp:posOffset>5743575</wp:posOffset>
                </wp:positionH>
                <wp:positionV relativeFrom="paragraph">
                  <wp:posOffset>154940</wp:posOffset>
                </wp:positionV>
                <wp:extent cx="1725295" cy="1343025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15" name="Pole tekstowe 15" descr="At the end of 2020, the most frequently performed business function internally by enterprises was marketing, sales and after-sales services – it was conducted by 60.6% of surveyed ent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ED21" w14:textId="3DFFAC77" w:rsidR="00510340" w:rsidRPr="00A2454B" w:rsidRDefault="0050789A" w:rsidP="0051034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At the end of</w:t>
                            </w:r>
                            <w:r w:rsidR="00C7577D" w:rsidRPr="00A2454B">
                              <w:rPr>
                                <w:lang w:val="en-GB"/>
                              </w:rPr>
                              <w:t xml:space="preserve"> 2020, the most frequently performed business function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DF00DC">
                              <w:rPr>
                                <w:lang w:val="en-GB"/>
                              </w:rPr>
                              <w:t>internally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DF00DC">
                              <w:rPr>
                                <w:lang w:val="en-GB"/>
                              </w:rPr>
                              <w:t>by</w:t>
                            </w:r>
                            <w:r>
                              <w:rPr>
                                <w:lang w:val="en-GB"/>
                              </w:rPr>
                              <w:t xml:space="preserve"> enterprises</w:t>
                            </w:r>
                            <w:r w:rsidR="00C7577D" w:rsidRPr="00A2454B">
                              <w:rPr>
                                <w:lang w:val="en-GB"/>
                              </w:rPr>
                              <w:t xml:space="preserve"> was mar</w:t>
                            </w:r>
                            <w:r w:rsidR="00A2454B" w:rsidRPr="00A2454B">
                              <w:rPr>
                                <w:lang w:val="en-GB"/>
                              </w:rPr>
                              <w:t>keting, sales and after-sales services</w:t>
                            </w:r>
                            <w:r w:rsidR="00510340" w:rsidRPr="00A2454B">
                              <w:rPr>
                                <w:szCs w:val="19"/>
                                <w:lang w:val="en-GB"/>
                              </w:rPr>
                              <w:t xml:space="preserve"> –</w:t>
                            </w:r>
                            <w:r w:rsidR="00A2454B">
                              <w:rPr>
                                <w:szCs w:val="19"/>
                                <w:lang w:val="en-GB"/>
                              </w:rPr>
                              <w:t xml:space="preserve"> it was conducted by </w:t>
                            </w:r>
                            <w:r w:rsidR="00510340" w:rsidRPr="00A2454B">
                              <w:rPr>
                                <w:szCs w:val="19"/>
                                <w:lang w:val="en-GB"/>
                              </w:rPr>
                              <w:t>60</w:t>
                            </w:r>
                            <w:r w:rsidR="00A2454B" w:rsidRPr="00A2454B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510340" w:rsidRPr="00A2454B">
                              <w:rPr>
                                <w:szCs w:val="19"/>
                                <w:lang w:val="en-GB"/>
                              </w:rPr>
                              <w:t>6%</w:t>
                            </w:r>
                            <w:r w:rsidR="00A2454B" w:rsidRPr="00A2454B">
                              <w:rPr>
                                <w:szCs w:val="19"/>
                                <w:lang w:val="en-GB"/>
                              </w:rPr>
                              <w:t xml:space="preserve"> of surveyed entities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E9E4" id="Pole tekstowe 15" o:spid="_x0000_s1028" type="#_x0000_t202" alt="At the end of 2020, the most frequently performed business function internally by enterprises was marketing, sales and after-sales services – it was conducted by 60.6% of surveyed entities" style="position:absolute;margin-left:452.25pt;margin-top:12.2pt;width:135.85pt;height:105.7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R6+wEAANUDAAAOAAAAZHJzL2Uyb0RvYy54bWysU11v2yAUfZ+0/4B4X+y4ydpYIVXXrtOk&#10;7kPq9gMIxjEacBmQ2Nmv7wW7adS9TfMD4vrCufece1hfD0aTg/RBgWV0PispkVZAo+yO0Z8/7t9d&#10;URIitw3XYCWjRxno9ebtm3XvallBB7qRniCIDXXvGO1idHVRBNFJw8MMnLSYbMEbHjH0u6LxvEd0&#10;o4uqLN8XPfjGeRAyBPx7NybpJuO3rRTxW9sGGYlmFHuLefV53aa12Kx5vfPcdUpMbfB/6MJwZbHo&#10;CeqOR072Xv0FZZTwEKCNMwGmgLZVQmYOyGZevmLz2HEnMxcUJ7iTTOH/wYqvh0f33ZM4fIABB5hJ&#10;BPcA4lcgFm47bnfyxnvoO8kbLDxPkhW9C/V0NUkd6pBAtv0XaHDIfB8hAw2tN0kV5EkQHQdwPIku&#10;h0hEKnlZLavVkhKBufnF4qKslrkGr5+vOx/iJwmGpA2jHqea4fnhIcTUDq+fj6RqFu6V1nmy2pKe&#10;0dUSIV9ljIpoPK0Mo1dl+kYrJJYfbZMvR670uMcC2k60E9ORcxy2A1ENo1W6m1TYQnNEHTyMPsN3&#10;gZsO/B9KevQYo+H3nntJif5sUcvVfLFIpszBYnlZYeDPM9vzDLcCoRiNlIzb25iNPBK7Qc1bldV4&#10;6WRqGb2TRZp8nsx5HudTL69x8wQAAP//AwBQSwMEFAAGAAgAAAAhAMv2I5HfAAAACwEAAA8AAABk&#10;cnMvZG93bnJldi54bWxMj8FOwzAMhu9IvENkJG4sWWk3WppOCMQVxGBI3LzGaysap2qytbw92QmO&#10;tj/9/v5yM9tenGj0nWMNy4UCQVw703Gj4eP9+eYOhA/IBnvHpOGHPGyqy4sSC+MmfqPTNjQihrAv&#10;UEMbwlBI6euWLPqFG4jj7eBGiyGOYyPNiFMMt71MlFpJix3HDy0O9NhS/b09Wg27l8PXZ6pemyeb&#10;DZOblWSbS62vr+aHexCB5vAHw1k/qkMVnfbuyMaLXkOu0iyiGpI0BXEGlutVAmIfN7dZDrIq5f8O&#10;1S8AAAD//wMAUEsBAi0AFAAGAAgAAAAhALaDOJL+AAAA4QEAABMAAAAAAAAAAAAAAAAAAAAAAFtD&#10;b250ZW50X1R5cGVzXS54bWxQSwECLQAUAAYACAAAACEAOP0h/9YAAACUAQAACwAAAAAAAAAAAAAA&#10;AAAvAQAAX3JlbHMvLnJlbHNQSwECLQAUAAYACAAAACEApr4kevsBAADVAwAADgAAAAAAAAAAAAAA&#10;AAAuAgAAZHJzL2Uyb0RvYy54bWxQSwECLQAUAAYACAAAACEAy/Yjkd8AAAALAQAADwAAAAAAAAAA&#10;AAAAAABVBAAAZHJzL2Rvd25yZXYueG1sUEsFBgAAAAAEAAQA8wAAAGEFAAAAAA==&#10;" filled="f" stroked="f">
                <v:textbox>
                  <w:txbxContent>
                    <w:p w14:paraId="48A7ED21" w14:textId="3DFFAC77" w:rsidR="00510340" w:rsidRPr="00A2454B" w:rsidRDefault="0050789A" w:rsidP="00510340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At the end of</w:t>
                      </w:r>
                      <w:r w:rsidR="00C7577D" w:rsidRPr="00A2454B">
                        <w:rPr>
                          <w:lang w:val="en-GB"/>
                        </w:rPr>
                        <w:t xml:space="preserve"> 2020, the most frequently performed business function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DF00DC">
                        <w:rPr>
                          <w:lang w:val="en-GB"/>
                        </w:rPr>
                        <w:t>internally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DF00DC">
                        <w:rPr>
                          <w:lang w:val="en-GB"/>
                        </w:rPr>
                        <w:t>by</w:t>
                      </w:r>
                      <w:r>
                        <w:rPr>
                          <w:lang w:val="en-GB"/>
                        </w:rPr>
                        <w:t xml:space="preserve"> enterprises</w:t>
                      </w:r>
                      <w:r w:rsidR="00C7577D" w:rsidRPr="00A2454B">
                        <w:rPr>
                          <w:lang w:val="en-GB"/>
                        </w:rPr>
                        <w:t xml:space="preserve"> was mar</w:t>
                      </w:r>
                      <w:r w:rsidR="00A2454B" w:rsidRPr="00A2454B">
                        <w:rPr>
                          <w:lang w:val="en-GB"/>
                        </w:rPr>
                        <w:t>keting, sales and after-sales services</w:t>
                      </w:r>
                      <w:r w:rsidR="00510340" w:rsidRPr="00A2454B">
                        <w:rPr>
                          <w:szCs w:val="19"/>
                          <w:lang w:val="en-GB"/>
                        </w:rPr>
                        <w:t xml:space="preserve"> –</w:t>
                      </w:r>
                      <w:r w:rsidR="00A2454B">
                        <w:rPr>
                          <w:szCs w:val="19"/>
                          <w:lang w:val="en-GB"/>
                        </w:rPr>
                        <w:t xml:space="preserve"> it was conducted by </w:t>
                      </w:r>
                      <w:r w:rsidR="00510340" w:rsidRPr="00A2454B">
                        <w:rPr>
                          <w:szCs w:val="19"/>
                          <w:lang w:val="en-GB"/>
                        </w:rPr>
                        <w:t>60</w:t>
                      </w:r>
                      <w:r w:rsidR="00A2454B" w:rsidRPr="00A2454B">
                        <w:rPr>
                          <w:szCs w:val="19"/>
                          <w:lang w:val="en-GB"/>
                        </w:rPr>
                        <w:t>.</w:t>
                      </w:r>
                      <w:r w:rsidR="00510340" w:rsidRPr="00A2454B">
                        <w:rPr>
                          <w:szCs w:val="19"/>
                          <w:lang w:val="en-GB"/>
                        </w:rPr>
                        <w:t>6%</w:t>
                      </w:r>
                      <w:r w:rsidR="00A2454B" w:rsidRPr="00A2454B">
                        <w:rPr>
                          <w:szCs w:val="19"/>
                          <w:lang w:val="en-GB"/>
                        </w:rPr>
                        <w:t xml:space="preserve"> of surveyed entities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6890" w:rsidRPr="006B6890">
        <w:rPr>
          <w:noProof/>
        </w:rPr>
        <w:t>Activities performed by enterprises on their own</w:t>
      </w:r>
    </w:p>
    <w:p w14:paraId="26E44B27" w14:textId="6EA68AE5" w:rsidR="00510340" w:rsidRPr="00827492" w:rsidRDefault="004D39C9" w:rsidP="00510340">
      <w:pPr>
        <w:spacing w:line="288" w:lineRule="auto"/>
        <w:rPr>
          <w:shd w:val="clear" w:color="auto" w:fill="FFFFFF"/>
          <w:lang w:val="en-GB"/>
        </w:rPr>
      </w:pPr>
      <w:r>
        <w:rPr>
          <w:rFonts w:eastAsia="Times New Roman" w:cs="Times New Roman"/>
          <w:szCs w:val="19"/>
          <w:lang w:val="en-US" w:eastAsia="pl-PL"/>
        </w:rPr>
        <w:t xml:space="preserve">At the end of 2020, </w:t>
      </w:r>
      <w:r w:rsidR="006B6890" w:rsidRPr="009E56DC">
        <w:rPr>
          <w:rFonts w:eastAsia="Times New Roman" w:cs="Times New Roman"/>
          <w:szCs w:val="19"/>
          <w:lang w:val="en-US" w:eastAsia="pl-PL"/>
        </w:rPr>
        <w:t xml:space="preserve">surveyed enterprises with 10 and more </w:t>
      </w:r>
      <w:r w:rsidR="00870139">
        <w:rPr>
          <w:rFonts w:eastAsia="Times New Roman" w:cs="Times New Roman"/>
          <w:szCs w:val="19"/>
          <w:lang w:val="en-US" w:eastAsia="pl-PL"/>
        </w:rPr>
        <w:t>persons employed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DF00DC">
        <w:rPr>
          <w:rFonts w:eastAsia="Times New Roman" w:cs="Times New Roman"/>
          <w:szCs w:val="19"/>
          <w:lang w:val="en-US" w:eastAsia="pl-PL"/>
        </w:rPr>
        <w:t xml:space="preserve">the most frequently </w:t>
      </w:r>
      <w:r>
        <w:rPr>
          <w:rFonts w:eastAsia="Times New Roman" w:cs="Times New Roman"/>
          <w:szCs w:val="19"/>
          <w:lang w:val="en-US" w:eastAsia="pl-PL"/>
        </w:rPr>
        <w:t xml:space="preserve">performed on their own </w:t>
      </w:r>
      <w:r w:rsidR="006B6890" w:rsidRPr="009E56DC">
        <w:rPr>
          <w:rFonts w:eastAsia="Times New Roman" w:cs="Times New Roman"/>
          <w:szCs w:val="19"/>
          <w:lang w:val="en-US" w:eastAsia="pl-PL"/>
        </w:rPr>
        <w:t>functions related to marketing, sales and after-sales services (</w:t>
      </w:r>
      <w:r w:rsidR="00870139">
        <w:rPr>
          <w:rFonts w:eastAsia="Times New Roman" w:cs="Times New Roman"/>
          <w:szCs w:val="19"/>
          <w:lang w:val="en-US" w:eastAsia="pl-PL"/>
        </w:rPr>
        <w:t xml:space="preserve">in </w:t>
      </w:r>
      <w:r w:rsidR="006B6890" w:rsidRPr="009E56DC">
        <w:rPr>
          <w:rFonts w:eastAsia="Times New Roman" w:cs="Times New Roman"/>
          <w:szCs w:val="19"/>
          <w:lang w:val="en-US" w:eastAsia="pl-PL"/>
        </w:rPr>
        <w:t xml:space="preserve">60.6% of the surveyed enterprises), management and administration (50.5%) and production (46.1%). </w:t>
      </w:r>
      <w:r w:rsidR="006B6890" w:rsidRPr="006B6890">
        <w:rPr>
          <w:rFonts w:eastAsia="Times New Roman" w:cs="Times New Roman"/>
          <w:szCs w:val="19"/>
          <w:lang w:val="en-GB" w:eastAsia="pl-PL"/>
        </w:rPr>
        <w:t>In total, nearly two-thirds</w:t>
      </w:r>
      <w:r w:rsidR="00510340" w:rsidRPr="00827492">
        <w:rPr>
          <w:rFonts w:eastAsia="Times New Roman" w:cs="Times New Roman"/>
          <w:szCs w:val="19"/>
          <w:lang w:val="en-GB" w:eastAsia="pl-PL"/>
        </w:rPr>
        <w:t xml:space="preserve"> (3067</w:t>
      </w:r>
      <w:r w:rsidR="00870139">
        <w:rPr>
          <w:rFonts w:eastAsia="Times New Roman" w:cs="Times New Roman"/>
          <w:szCs w:val="19"/>
          <w:lang w:val="en-GB" w:eastAsia="pl-PL"/>
        </w:rPr>
        <w:t>.</w:t>
      </w:r>
      <w:r w:rsidR="00510340" w:rsidRPr="00827492">
        <w:rPr>
          <w:rFonts w:eastAsia="Times New Roman" w:cs="Times New Roman"/>
          <w:szCs w:val="19"/>
          <w:lang w:val="en-GB" w:eastAsia="pl-PL"/>
        </w:rPr>
        <w:t>9 t</w:t>
      </w:r>
      <w:r w:rsidR="006B6890">
        <w:rPr>
          <w:rFonts w:eastAsia="Times New Roman" w:cs="Times New Roman"/>
          <w:szCs w:val="19"/>
          <w:lang w:val="en-GB" w:eastAsia="pl-PL"/>
        </w:rPr>
        <w:t>housand persons</w:t>
      </w:r>
      <w:r w:rsidR="00510340" w:rsidRPr="00827492">
        <w:rPr>
          <w:rFonts w:eastAsia="Times New Roman" w:cs="Times New Roman"/>
          <w:szCs w:val="19"/>
          <w:lang w:val="en-GB" w:eastAsia="pl-PL"/>
        </w:rPr>
        <w:t xml:space="preserve">) </w:t>
      </w:r>
      <w:r w:rsidR="006B6890" w:rsidRPr="006B6890">
        <w:rPr>
          <w:rFonts w:eastAsia="Times New Roman" w:cs="Times New Roman"/>
          <w:szCs w:val="19"/>
          <w:lang w:val="en-GB" w:eastAsia="pl-PL"/>
        </w:rPr>
        <w:t xml:space="preserve">of the total number of </w:t>
      </w:r>
      <w:r w:rsidR="006B6890">
        <w:rPr>
          <w:rFonts w:eastAsia="Times New Roman" w:cs="Times New Roman"/>
          <w:szCs w:val="19"/>
          <w:lang w:val="en-GB" w:eastAsia="pl-PL"/>
        </w:rPr>
        <w:t>persons employed</w:t>
      </w:r>
      <w:r w:rsidR="006B6890" w:rsidRPr="006B6890">
        <w:rPr>
          <w:rFonts w:eastAsia="Times New Roman" w:cs="Times New Roman"/>
          <w:szCs w:val="19"/>
          <w:lang w:val="en-GB" w:eastAsia="pl-PL"/>
        </w:rPr>
        <w:t xml:space="preserve"> in the surveyed enterprises </w:t>
      </w:r>
      <w:r w:rsidR="00870139">
        <w:rPr>
          <w:rFonts w:eastAsia="Times New Roman" w:cs="Times New Roman"/>
          <w:szCs w:val="19"/>
          <w:lang w:val="en-GB" w:eastAsia="pl-PL"/>
        </w:rPr>
        <w:t>were involved in the implementation of</w:t>
      </w:r>
      <w:r w:rsidR="006B6890" w:rsidRPr="006B6890">
        <w:rPr>
          <w:rFonts w:eastAsia="Times New Roman" w:cs="Times New Roman"/>
          <w:szCs w:val="19"/>
          <w:lang w:val="en-GB" w:eastAsia="pl-PL"/>
        </w:rPr>
        <w:t xml:space="preserve"> these functions. </w:t>
      </w:r>
      <w:r w:rsidR="00870139" w:rsidRPr="00870139">
        <w:rPr>
          <w:rFonts w:eastAsia="Times New Roman" w:cs="Times New Roman"/>
          <w:szCs w:val="19"/>
          <w:lang w:val="en-GB" w:eastAsia="pl-PL"/>
        </w:rPr>
        <w:t>The functions least frequently performed by the surveyed entities were engineering and related technical services (</w:t>
      </w:r>
      <w:r w:rsidR="00870139">
        <w:rPr>
          <w:rFonts w:eastAsia="Times New Roman" w:cs="Times New Roman"/>
          <w:szCs w:val="19"/>
          <w:lang w:val="en-GB" w:eastAsia="pl-PL"/>
        </w:rPr>
        <w:t xml:space="preserve">in </w:t>
      </w:r>
      <w:r w:rsidR="00870139" w:rsidRPr="00870139">
        <w:rPr>
          <w:rFonts w:eastAsia="Times New Roman" w:cs="Times New Roman"/>
          <w:szCs w:val="19"/>
          <w:lang w:val="en-GB" w:eastAsia="pl-PL"/>
        </w:rPr>
        <w:t xml:space="preserve">12.5% of the surveyed enterprises) and research and development (5.9%). They also </w:t>
      </w:r>
      <w:r>
        <w:rPr>
          <w:rFonts w:eastAsia="Times New Roman" w:cs="Times New Roman"/>
          <w:szCs w:val="19"/>
          <w:lang w:val="en-GB" w:eastAsia="pl-PL"/>
        </w:rPr>
        <w:t xml:space="preserve">involved </w:t>
      </w:r>
      <w:r w:rsidR="00870139" w:rsidRPr="00870139">
        <w:rPr>
          <w:rFonts w:eastAsia="Times New Roman" w:cs="Times New Roman"/>
          <w:szCs w:val="19"/>
          <w:lang w:val="en-GB" w:eastAsia="pl-PL"/>
        </w:rPr>
        <w:t xml:space="preserve">the lowest number of </w:t>
      </w:r>
      <w:r w:rsidR="00870139">
        <w:rPr>
          <w:rFonts w:eastAsia="Times New Roman" w:cs="Times New Roman"/>
          <w:szCs w:val="19"/>
          <w:lang w:val="en-GB" w:eastAsia="pl-PL"/>
        </w:rPr>
        <w:t>persons employed</w:t>
      </w:r>
      <w:r w:rsidR="00870139" w:rsidRPr="00870139">
        <w:rPr>
          <w:rFonts w:eastAsia="Times New Roman" w:cs="Times New Roman"/>
          <w:szCs w:val="19"/>
          <w:lang w:val="en-GB" w:eastAsia="pl-PL"/>
        </w:rPr>
        <w:t>.</w:t>
      </w:r>
    </w:p>
    <w:p w14:paraId="59DE8DF1" w14:textId="1E985640" w:rsidR="00510340" w:rsidRPr="00A2454B" w:rsidRDefault="00510340" w:rsidP="00F54F4A">
      <w:pPr>
        <w:pStyle w:val="Tytutablicy"/>
        <w:tabs>
          <w:tab w:val="left" w:pos="709"/>
        </w:tabs>
        <w:rPr>
          <w:lang w:val="en-GB"/>
        </w:rPr>
      </w:pPr>
      <w:bookmarkStart w:id="2" w:name="_Hlk106905962"/>
      <w:r w:rsidRPr="00A2454B">
        <w:rPr>
          <w:lang w:val="en-GB"/>
        </w:rPr>
        <w:t>Tabl</w:t>
      </w:r>
      <w:r w:rsidR="00A2454B" w:rsidRPr="00A2454B">
        <w:rPr>
          <w:lang w:val="en-GB"/>
        </w:rPr>
        <w:t>e</w:t>
      </w:r>
      <w:r w:rsidRPr="00A2454B">
        <w:rPr>
          <w:lang w:val="en-GB"/>
        </w:rPr>
        <w:t xml:space="preserve"> 1.</w:t>
      </w:r>
      <w:r w:rsidRPr="00A2454B">
        <w:rPr>
          <w:lang w:val="en-GB"/>
        </w:rPr>
        <w:tab/>
      </w:r>
      <w:r w:rsidR="0026220C">
        <w:rPr>
          <w:lang w:val="en-GB"/>
        </w:rPr>
        <w:t xml:space="preserve">Enterprises and </w:t>
      </w:r>
      <w:r w:rsidR="00A2454B">
        <w:rPr>
          <w:lang w:val="en-GB"/>
        </w:rPr>
        <w:t xml:space="preserve">persons employed </w:t>
      </w:r>
      <w:r w:rsidR="0026220C">
        <w:rPr>
          <w:lang w:val="en-GB"/>
        </w:rPr>
        <w:t>by</w:t>
      </w:r>
      <w:r w:rsidR="00A2454B">
        <w:rPr>
          <w:lang w:val="en-GB"/>
        </w:rPr>
        <w:t xml:space="preserve"> business functions </w:t>
      </w:r>
      <w:r w:rsidR="0026220C">
        <w:rPr>
          <w:lang w:val="en-GB"/>
        </w:rPr>
        <w:t>(</w:t>
      </w:r>
      <w:r w:rsidR="00A2454B">
        <w:rPr>
          <w:lang w:val="en-GB"/>
        </w:rPr>
        <w:t>as of 31 December 2020</w:t>
      </w:r>
      <w:r w:rsidR="0026220C">
        <w:rPr>
          <w:lang w:val="en-GB"/>
        </w:rPr>
        <w:t>)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Enterprises and persons employed by business functions (as of 31 December 2020)"/>
      </w:tblPr>
      <w:tblGrid>
        <w:gridCol w:w="3969"/>
        <w:gridCol w:w="1297"/>
        <w:gridCol w:w="1254"/>
        <w:gridCol w:w="1418"/>
      </w:tblGrid>
      <w:tr w:rsidR="00510340" w:rsidRPr="00A2454B" w14:paraId="2BD6346E" w14:textId="77777777" w:rsidTr="00030A4B">
        <w:trPr>
          <w:trHeight w:val="456"/>
        </w:trPr>
        <w:tc>
          <w:tcPr>
            <w:tcW w:w="3969" w:type="dxa"/>
            <w:vMerge w:val="restart"/>
            <w:tcBorders>
              <w:top w:val="single" w:sz="4" w:space="0" w:color="001D77"/>
              <w:right w:val="single" w:sz="4" w:space="0" w:color="001D77"/>
            </w:tcBorders>
            <w:noWrap/>
            <w:vAlign w:val="center"/>
            <w:hideMark/>
          </w:tcPr>
          <w:bookmarkEnd w:id="2"/>
          <w:p w14:paraId="49F82D05" w14:textId="6F2FF93B" w:rsidR="00510340" w:rsidRPr="00A2454B" w:rsidRDefault="00A2454B" w:rsidP="00030A4B">
            <w:pPr>
              <w:pStyle w:val="Tablicagwka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Business functions</w:t>
            </w:r>
          </w:p>
        </w:tc>
        <w:tc>
          <w:tcPr>
            <w:tcW w:w="1297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  <w:hideMark/>
          </w:tcPr>
          <w:p w14:paraId="50E3E3D2" w14:textId="79A2A6F2" w:rsidR="00510340" w:rsidRPr="00A2454B" w:rsidRDefault="00A2454B" w:rsidP="00030A4B">
            <w:pPr>
              <w:pStyle w:val="Tablicagwkarodek"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  <w:proofErr w:type="spellStart"/>
            <w:r>
              <w:rPr>
                <w:lang w:val="en-GB"/>
              </w:rPr>
              <w:t>enterprises</w:t>
            </w:r>
            <w:r w:rsidR="00510340" w:rsidRPr="00A2454B"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51A7C24F" w14:textId="5639431D" w:rsidR="00510340" w:rsidRPr="00A2454B" w:rsidRDefault="00A2454B" w:rsidP="00030A4B">
            <w:pPr>
              <w:pStyle w:val="Tablicagwkarodek"/>
              <w:rPr>
                <w:rFonts w:eastAsia="Fira Sans Light" w:cs="Times New Roman"/>
                <w:lang w:val="en-GB"/>
              </w:rPr>
            </w:pPr>
            <w:r>
              <w:rPr>
                <w:rFonts w:eastAsia="Fira Sans Light" w:cs="Times New Roman"/>
                <w:lang w:val="en-GB"/>
              </w:rPr>
              <w:t>Number of persons employed</w:t>
            </w:r>
          </w:p>
        </w:tc>
      </w:tr>
      <w:tr w:rsidR="00510340" w:rsidRPr="00A2454B" w14:paraId="02652E6B" w14:textId="77777777" w:rsidTr="00030A4B">
        <w:trPr>
          <w:trHeight w:val="456"/>
        </w:trPr>
        <w:tc>
          <w:tcPr>
            <w:tcW w:w="3969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3A630BC" w14:textId="77777777" w:rsidR="00510340" w:rsidRPr="00A2454B" w:rsidRDefault="00510340" w:rsidP="00030A4B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1297" w:type="dxa"/>
            <w:vMerge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9A86ECB" w14:textId="77777777" w:rsidR="00510340" w:rsidRPr="00A2454B" w:rsidRDefault="00510340" w:rsidP="00030A4B">
            <w:pPr>
              <w:pStyle w:val="Tablicagwkarodek"/>
              <w:rPr>
                <w:rFonts w:eastAsia="Fira Sans Light" w:cs="Times New Roman"/>
                <w:lang w:val="en-GB"/>
              </w:rPr>
            </w:pP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F3B10" w14:textId="551D5AE6" w:rsidR="00510340" w:rsidRPr="00A2454B" w:rsidRDefault="005D6A93" w:rsidP="00030A4B">
            <w:pPr>
              <w:pStyle w:val="Tablicagwkarodek"/>
              <w:rPr>
                <w:rFonts w:eastAsia="Fira Sans Light" w:cs="Times New Roman"/>
                <w:lang w:val="en-GB"/>
              </w:rPr>
            </w:pPr>
            <w:r>
              <w:rPr>
                <w:rFonts w:eastAsia="Fira Sans Light" w:cs="Times New Roman"/>
                <w:lang w:val="en-GB"/>
              </w:rPr>
              <w:t xml:space="preserve">in </w:t>
            </w:r>
            <w:r w:rsidR="00827492">
              <w:rPr>
                <w:rFonts w:eastAsia="Fira Sans Light" w:cs="Times New Roman"/>
                <w:lang w:val="en-GB"/>
              </w:rPr>
              <w:t>absolute number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06799C13" w14:textId="4E2D8958" w:rsidR="00510340" w:rsidRPr="00A2454B" w:rsidRDefault="005D6A93" w:rsidP="00030A4B">
            <w:pPr>
              <w:pStyle w:val="Tablicagwkarodek"/>
              <w:rPr>
                <w:rFonts w:eastAsia="Fira Sans Light" w:cs="Times New Roman"/>
                <w:lang w:val="en-GB"/>
              </w:rPr>
            </w:pPr>
            <w:r>
              <w:rPr>
                <w:rFonts w:eastAsia="Fira Sans Light" w:cs="Times New Roman"/>
                <w:lang w:val="en-GB"/>
              </w:rPr>
              <w:t xml:space="preserve">in </w:t>
            </w:r>
            <w:r w:rsidR="00510340" w:rsidRPr="00A2454B">
              <w:rPr>
                <w:rFonts w:eastAsia="Fira Sans Light" w:cs="Times New Roman"/>
                <w:lang w:val="en-GB"/>
              </w:rPr>
              <w:t>%</w:t>
            </w:r>
          </w:p>
        </w:tc>
      </w:tr>
      <w:tr w:rsidR="00510340" w:rsidRPr="00A2454B" w14:paraId="6CFD0692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bottom"/>
          </w:tcPr>
          <w:p w14:paraId="7EB2641B" w14:textId="48DB2905" w:rsidR="00510340" w:rsidRPr="00A2454B" w:rsidRDefault="00A2454B" w:rsidP="00030A4B">
            <w:pPr>
              <w:pStyle w:val="Tablicaboczek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B76A95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42 762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0899B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4 868 379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352BD0FB" w14:textId="54FB9C7F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100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0</w:t>
            </w:r>
          </w:p>
        </w:tc>
      </w:tr>
      <w:tr w:rsidR="00510340" w:rsidRPr="00A2454B" w14:paraId="2E780BDD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41F203A1" w14:textId="27995A1D" w:rsidR="00510340" w:rsidRPr="00A2454B" w:rsidRDefault="005D6A93" w:rsidP="00030A4B">
            <w:pPr>
              <w:pStyle w:val="Tablicaboczek"/>
              <w:rPr>
                <w:lang w:val="en-GB"/>
              </w:rPr>
            </w:pPr>
            <w:r>
              <w:rPr>
                <w:lang w:val="en-GB"/>
              </w:rPr>
              <w:t>Production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82033D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19 710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32D81" w14:textId="77777777" w:rsidR="00510340" w:rsidRPr="00A2454B" w:rsidRDefault="00510340" w:rsidP="00030A4B">
            <w:pPr>
              <w:pStyle w:val="Tablicadanerodek"/>
              <w:rPr>
                <w:highlight w:val="yellow"/>
                <w:lang w:val="en-GB"/>
              </w:rPr>
            </w:pPr>
            <w:r w:rsidRPr="00A2454B">
              <w:rPr>
                <w:lang w:val="en-GB"/>
              </w:rPr>
              <w:t>1 645 694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34B56888" w14:textId="13CF0000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33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8</w:t>
            </w:r>
          </w:p>
        </w:tc>
      </w:tr>
      <w:tr w:rsidR="00510340" w:rsidRPr="00A2454B" w14:paraId="3E9B4892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4E6BEAAF" w14:textId="3BFFBC66" w:rsidR="00510340" w:rsidRPr="00A2454B" w:rsidRDefault="005D6A93" w:rsidP="00030A4B">
            <w:pPr>
              <w:pStyle w:val="Tablicaboczek"/>
              <w:rPr>
                <w:lang w:val="en-GB"/>
              </w:rPr>
            </w:pPr>
            <w:r w:rsidRPr="005D6A93">
              <w:rPr>
                <w:lang w:val="en-GB"/>
              </w:rPr>
              <w:t>Management and administration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172DC4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21 587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438B27" w14:textId="77777777" w:rsidR="00510340" w:rsidRPr="00A2454B" w:rsidRDefault="00510340" w:rsidP="00030A4B">
            <w:pPr>
              <w:pStyle w:val="Tablicadanerodek"/>
              <w:rPr>
                <w:highlight w:val="yellow"/>
                <w:lang w:val="en-GB"/>
              </w:rPr>
            </w:pPr>
            <w:r w:rsidRPr="00A2454B">
              <w:rPr>
                <w:lang w:val="en-GB"/>
              </w:rPr>
              <w:t>486 250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433E0D91" w14:textId="32C97600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10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0</w:t>
            </w:r>
          </w:p>
        </w:tc>
      </w:tr>
      <w:tr w:rsidR="00510340" w:rsidRPr="00A2454B" w14:paraId="696A6861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663BDB29" w14:textId="62FD739A" w:rsidR="00510340" w:rsidRPr="00A2454B" w:rsidRDefault="005D6A93" w:rsidP="00030A4B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5D6A93">
              <w:rPr>
                <w:lang w:val="en-GB"/>
              </w:rPr>
              <w:t>Engineering and related technical services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5390BC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5 349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E431CC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119 007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56572D1C" w14:textId="7C87AE3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2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4</w:t>
            </w:r>
          </w:p>
        </w:tc>
      </w:tr>
      <w:tr w:rsidR="00510340" w:rsidRPr="00A2454B" w14:paraId="3C104F85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32334FF1" w14:textId="5E8BD4DC" w:rsidR="00510340" w:rsidRPr="00A2454B" w:rsidRDefault="005D6A93" w:rsidP="00030A4B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5D6A93">
              <w:rPr>
                <w:rFonts w:eastAsia="Times New Roman" w:cs="Calibri"/>
                <w:lang w:val="en-GB" w:eastAsia="pl-PL"/>
              </w:rPr>
              <w:t>Research and development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8EB04E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2 535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0EA5C8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55 159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12FAD6D4" w14:textId="5C05CBF1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1</w:t>
            </w:r>
          </w:p>
        </w:tc>
      </w:tr>
      <w:tr w:rsidR="00510340" w:rsidRPr="00A2454B" w14:paraId="5D77FA25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58C76640" w14:textId="7048C740" w:rsidR="00510340" w:rsidRPr="00A2454B" w:rsidRDefault="005D6A93" w:rsidP="00030A4B">
            <w:pPr>
              <w:pStyle w:val="Tablicaboczekwcicie2"/>
              <w:ind w:left="0"/>
              <w:rPr>
                <w:lang w:val="en-GB"/>
              </w:rPr>
            </w:pPr>
            <w:r w:rsidRPr="005D6A93">
              <w:rPr>
                <w:lang w:val="en-GB"/>
              </w:rPr>
              <w:t>Information technology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AA8348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7 431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7B5FC9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161 553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34167AF6" w14:textId="3F5690D8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3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3</w:t>
            </w:r>
          </w:p>
        </w:tc>
      </w:tr>
      <w:tr w:rsidR="00510340" w:rsidRPr="00A2454B" w14:paraId="6AFADF06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5EC441EB" w14:textId="36DBB6DE" w:rsidR="00510340" w:rsidRPr="00A2454B" w:rsidRDefault="005D6A93" w:rsidP="00030A4B">
            <w:pPr>
              <w:pStyle w:val="Tablicaboczekwcicie2"/>
              <w:ind w:left="0"/>
              <w:rPr>
                <w:lang w:val="en-GB"/>
              </w:rPr>
            </w:pPr>
            <w:r w:rsidRPr="005D6A93">
              <w:rPr>
                <w:lang w:val="en-GB"/>
              </w:rPr>
              <w:t>Marketing, sales and after-sales services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21C477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25 934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7AD8E0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935 932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3FDF0CCD" w14:textId="40D5B622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19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2</w:t>
            </w:r>
          </w:p>
        </w:tc>
      </w:tr>
      <w:tr w:rsidR="00510340" w:rsidRPr="00A2454B" w14:paraId="4E28A490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354ADF1E" w14:textId="5D79C06E" w:rsidR="00510340" w:rsidRPr="00A2454B" w:rsidRDefault="005D6A93" w:rsidP="00030A4B">
            <w:pPr>
              <w:pStyle w:val="Tablicaboczekwcicie2"/>
              <w:ind w:left="0"/>
              <w:rPr>
                <w:lang w:val="en-GB"/>
              </w:rPr>
            </w:pPr>
            <w:r w:rsidRPr="005D6A93">
              <w:rPr>
                <w:lang w:val="en-GB"/>
              </w:rPr>
              <w:t>Transportation, logistics and storage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5E5825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13 568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68398B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495 391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73744284" w14:textId="15BFE1AE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10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2</w:t>
            </w:r>
          </w:p>
        </w:tc>
      </w:tr>
      <w:tr w:rsidR="00510340" w:rsidRPr="00A2454B" w14:paraId="0A96F5A5" w14:textId="77777777" w:rsidTr="00030A4B">
        <w:trPr>
          <w:trHeight w:val="300"/>
        </w:trPr>
        <w:tc>
          <w:tcPr>
            <w:tcW w:w="3969" w:type="dxa"/>
            <w:tcBorders>
              <w:top w:val="single" w:sz="4" w:space="0" w:color="001D77"/>
              <w:right w:val="single" w:sz="4" w:space="0" w:color="001D77"/>
            </w:tcBorders>
            <w:noWrap/>
            <w:hideMark/>
          </w:tcPr>
          <w:p w14:paraId="083DF45E" w14:textId="14881ABD" w:rsidR="00510340" w:rsidRPr="00A2454B" w:rsidRDefault="005D6A93" w:rsidP="00030A4B">
            <w:pPr>
              <w:pStyle w:val="Tablicaboczek"/>
              <w:rPr>
                <w:lang w:val="en-GB"/>
              </w:rPr>
            </w:pPr>
            <w:r w:rsidRPr="005D6A93">
              <w:rPr>
                <w:lang w:val="en-GB"/>
              </w:rPr>
              <w:t xml:space="preserve">Other business </w:t>
            </w:r>
            <w:proofErr w:type="spellStart"/>
            <w:r w:rsidRPr="005D6A93">
              <w:rPr>
                <w:lang w:val="en-GB"/>
              </w:rPr>
              <w:t>functions</w:t>
            </w:r>
            <w:r w:rsidR="00DF00DC" w:rsidRPr="00DF00DC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BD47BA3" w14:textId="77777777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17 302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3197EC9D" w14:textId="77777777" w:rsidR="00510340" w:rsidRPr="00A2454B" w:rsidRDefault="00510340" w:rsidP="00030A4B">
            <w:pPr>
              <w:pStyle w:val="Tablicadanerodek"/>
              <w:rPr>
                <w:highlight w:val="yellow"/>
                <w:lang w:val="en-GB"/>
              </w:rPr>
            </w:pPr>
            <w:r w:rsidRPr="00A2454B">
              <w:rPr>
                <w:lang w:val="en-GB"/>
              </w:rPr>
              <w:t>969 393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noWrap/>
            <w:vAlign w:val="center"/>
          </w:tcPr>
          <w:p w14:paraId="2C5D190E" w14:textId="56AD79DD" w:rsidR="00510340" w:rsidRPr="00A2454B" w:rsidRDefault="00510340" w:rsidP="00030A4B">
            <w:pPr>
              <w:pStyle w:val="Tablicadanerodek"/>
              <w:rPr>
                <w:lang w:val="en-GB"/>
              </w:rPr>
            </w:pPr>
            <w:r w:rsidRPr="00A2454B">
              <w:rPr>
                <w:lang w:val="en-GB"/>
              </w:rPr>
              <w:t>19</w:t>
            </w:r>
            <w:r w:rsidR="00623C01">
              <w:rPr>
                <w:lang w:val="en-GB"/>
              </w:rPr>
              <w:t>.</w:t>
            </w:r>
            <w:r w:rsidRPr="00A2454B">
              <w:rPr>
                <w:lang w:val="en-GB"/>
              </w:rPr>
              <w:t>9</w:t>
            </w:r>
          </w:p>
        </w:tc>
      </w:tr>
    </w:tbl>
    <w:p w14:paraId="5C5A8053" w14:textId="6038C069" w:rsidR="00510340" w:rsidRPr="00A2454B" w:rsidRDefault="00510340" w:rsidP="00510340">
      <w:pPr>
        <w:pStyle w:val="Tablicanotka"/>
        <w:rPr>
          <w:lang w:val="en-GB"/>
        </w:rPr>
      </w:pPr>
      <w:r w:rsidRPr="00A2454B">
        <w:rPr>
          <w:lang w:val="en-GB"/>
        </w:rPr>
        <w:t xml:space="preserve">a </w:t>
      </w:r>
      <w:r w:rsidR="00270BE9" w:rsidRPr="00270BE9">
        <w:rPr>
          <w:lang w:val="en-GB"/>
        </w:rPr>
        <w:t>Due to the possibility of performing multiple functions within an enterprise, the functions do not add up to a "total" value.</w:t>
      </w:r>
      <w:r w:rsidR="0026220C">
        <w:rPr>
          <w:lang w:val="en-GB"/>
        </w:rPr>
        <w:t xml:space="preserve"> b Involve f</w:t>
      </w:r>
      <w:r w:rsidR="0026220C" w:rsidRPr="0026220C">
        <w:rPr>
          <w:lang w:val="en-GB"/>
        </w:rPr>
        <w:t>acility management</w:t>
      </w:r>
      <w:r w:rsidR="0026220C">
        <w:rPr>
          <w:lang w:val="en-GB"/>
        </w:rPr>
        <w:t>, m</w:t>
      </w:r>
      <w:r w:rsidR="0026220C" w:rsidRPr="0026220C">
        <w:rPr>
          <w:lang w:val="en-GB"/>
        </w:rPr>
        <w:t>aintenance and repair services</w:t>
      </w:r>
      <w:r w:rsidR="0026220C">
        <w:rPr>
          <w:lang w:val="en-GB"/>
        </w:rPr>
        <w:t xml:space="preserve"> and other services.</w:t>
      </w:r>
    </w:p>
    <w:p w14:paraId="16F9D1A3" w14:textId="56963CA9" w:rsidR="00510340" w:rsidRPr="00623C01" w:rsidRDefault="00932BF5" w:rsidP="00510340">
      <w:pPr>
        <w:spacing w:line="288" w:lineRule="auto"/>
        <w:rPr>
          <w:shd w:val="clear" w:color="auto" w:fill="FFFFFF"/>
          <w:lang w:val="en-GB"/>
        </w:rPr>
      </w:pPr>
      <w:r w:rsidRPr="00932BF5">
        <w:rPr>
          <w:shd w:val="clear" w:color="auto" w:fill="FFFFFF"/>
          <w:lang w:val="en-GB"/>
        </w:rPr>
        <w:t xml:space="preserve">Large enterprises (with 250 or more </w:t>
      </w:r>
      <w:r w:rsidR="007953C0">
        <w:rPr>
          <w:shd w:val="clear" w:color="auto" w:fill="FFFFFF"/>
          <w:lang w:val="en-GB"/>
        </w:rPr>
        <w:t>persons employed</w:t>
      </w:r>
      <w:r w:rsidRPr="00932BF5">
        <w:rPr>
          <w:shd w:val="clear" w:color="auto" w:fill="FFFFFF"/>
          <w:lang w:val="en-GB"/>
        </w:rPr>
        <w:t>) were characterized by the most diverse structure of tasks performed</w:t>
      </w:r>
      <w:r w:rsidR="00FD1535">
        <w:rPr>
          <w:shd w:val="clear" w:color="auto" w:fill="FFFFFF"/>
          <w:lang w:val="en-GB"/>
        </w:rPr>
        <w:t xml:space="preserve"> –</w:t>
      </w:r>
      <w:r w:rsidRPr="00932BF5">
        <w:rPr>
          <w:shd w:val="clear" w:color="auto" w:fill="FFFFFF"/>
          <w:lang w:val="en-GB"/>
        </w:rPr>
        <w:t xml:space="preserve"> </w:t>
      </w:r>
      <w:r w:rsidR="00E02BCC" w:rsidRPr="00932BF5">
        <w:rPr>
          <w:shd w:val="clear" w:color="auto" w:fill="FFFFFF"/>
          <w:lang w:val="en-GB"/>
        </w:rPr>
        <w:t xml:space="preserve">the percentage of large enterprises performing </w:t>
      </w:r>
      <w:r w:rsidR="00E02BCC">
        <w:rPr>
          <w:shd w:val="clear" w:color="auto" w:fill="FFFFFF"/>
          <w:lang w:val="en-GB"/>
        </w:rPr>
        <w:t>particular</w:t>
      </w:r>
      <w:r w:rsidR="00E02BCC" w:rsidRPr="00932BF5">
        <w:rPr>
          <w:shd w:val="clear" w:color="auto" w:fill="FFFFFF"/>
          <w:lang w:val="en-GB"/>
        </w:rPr>
        <w:t xml:space="preserve"> </w:t>
      </w:r>
      <w:r w:rsidR="00E02BCC">
        <w:rPr>
          <w:shd w:val="clear" w:color="auto" w:fill="FFFFFF"/>
          <w:lang w:val="en-GB"/>
        </w:rPr>
        <w:t xml:space="preserve">business </w:t>
      </w:r>
      <w:r w:rsidR="00E02BCC" w:rsidRPr="00932BF5">
        <w:rPr>
          <w:shd w:val="clear" w:color="auto" w:fill="FFFFFF"/>
          <w:lang w:val="en-GB"/>
        </w:rPr>
        <w:t>function</w:t>
      </w:r>
      <w:r w:rsidR="00E02BCC">
        <w:rPr>
          <w:shd w:val="clear" w:color="auto" w:fill="FFFFFF"/>
          <w:lang w:val="en-GB"/>
        </w:rPr>
        <w:t>s</w:t>
      </w:r>
      <w:r w:rsidR="00E02BCC" w:rsidRPr="00932BF5">
        <w:rPr>
          <w:shd w:val="clear" w:color="auto" w:fill="FFFFFF"/>
          <w:lang w:val="en-GB"/>
        </w:rPr>
        <w:t xml:space="preserve"> was higher compared to </w:t>
      </w:r>
      <w:r w:rsidR="00E02BCC">
        <w:rPr>
          <w:shd w:val="clear" w:color="auto" w:fill="FFFFFF"/>
          <w:lang w:val="en-GB"/>
        </w:rPr>
        <w:t xml:space="preserve">percentage of </w:t>
      </w:r>
      <w:r w:rsidR="00E02BCC" w:rsidRPr="00932BF5">
        <w:rPr>
          <w:shd w:val="clear" w:color="auto" w:fill="FFFFFF"/>
          <w:lang w:val="en-GB"/>
        </w:rPr>
        <w:t>enterprises from other size classes</w:t>
      </w:r>
      <w:r w:rsidR="00E02BCC">
        <w:rPr>
          <w:shd w:val="clear" w:color="auto" w:fill="FFFFFF"/>
          <w:lang w:val="en-GB"/>
        </w:rPr>
        <w:t xml:space="preserve"> </w:t>
      </w:r>
      <w:r w:rsidRPr="00932BF5">
        <w:rPr>
          <w:shd w:val="clear" w:color="auto" w:fill="FFFFFF"/>
          <w:lang w:val="en-GB"/>
        </w:rPr>
        <w:t xml:space="preserve">in the case of each </w:t>
      </w:r>
      <w:r w:rsidR="00E02BCC">
        <w:rPr>
          <w:shd w:val="clear" w:color="auto" w:fill="FFFFFF"/>
          <w:lang w:val="en-GB"/>
        </w:rPr>
        <w:t xml:space="preserve">analysed </w:t>
      </w:r>
      <w:r w:rsidRPr="00932BF5">
        <w:rPr>
          <w:shd w:val="clear" w:color="auto" w:fill="FFFFFF"/>
          <w:lang w:val="en-GB"/>
        </w:rPr>
        <w:t>function</w:t>
      </w:r>
      <w:r w:rsidR="00E02BCC">
        <w:rPr>
          <w:shd w:val="clear" w:color="auto" w:fill="FFFFFF"/>
          <w:lang w:val="en-GB"/>
        </w:rPr>
        <w:t>.</w:t>
      </w:r>
      <w:r w:rsidRPr="00932BF5">
        <w:rPr>
          <w:shd w:val="clear" w:color="auto" w:fill="FFFFFF"/>
          <w:lang w:val="en-GB"/>
        </w:rPr>
        <w:t xml:space="preserve"> </w:t>
      </w:r>
    </w:p>
    <w:p w14:paraId="59D00EDE" w14:textId="7FBAAC18" w:rsidR="00510340" w:rsidRDefault="00827492" w:rsidP="009D313E">
      <w:pPr>
        <w:pStyle w:val="Tytuwykresu0"/>
        <w:tabs>
          <w:tab w:val="left" w:pos="709"/>
        </w:tabs>
        <w:ind w:left="709" w:hanging="709"/>
        <w:rPr>
          <w:rFonts w:ascii="Fira Sans" w:hAnsi="Fira Sans"/>
        </w:rPr>
      </w:pPr>
      <w:r>
        <w:rPr>
          <w:lang w:val="en-GB"/>
        </w:rPr>
        <w:lastRenderedPageBreak/>
        <w:drawing>
          <wp:anchor distT="0" distB="0" distL="114300" distR="114300" simplePos="0" relativeHeight="251770880" behindDoc="0" locked="1" layoutInCell="1" allowOverlap="1" wp14:anchorId="241D790D" wp14:editId="7F651969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5223600" cy="3312000"/>
            <wp:effectExtent l="0" t="0" r="0" b="3175"/>
            <wp:wrapTopAndBottom/>
            <wp:docPr id="35" name="Obraz 35" descr="Chart 2. Percentage of surveyed enterprises in each size class by type of business function performed internally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33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A93">
        <w:rPr>
          <w:rFonts w:ascii="Fira Sans" w:hAnsi="Fira Sans"/>
        </w:rPr>
        <w:t>Chart</w:t>
      </w:r>
      <w:r w:rsidR="00510340" w:rsidRPr="00432467">
        <w:rPr>
          <w:rFonts w:ascii="Fira Sans" w:hAnsi="Fira Sans"/>
        </w:rPr>
        <w:t xml:space="preserve"> </w:t>
      </w:r>
      <w:r w:rsidR="00510340">
        <w:rPr>
          <w:rFonts w:ascii="Fira Sans" w:hAnsi="Fira Sans"/>
        </w:rPr>
        <w:t>2</w:t>
      </w:r>
      <w:r w:rsidR="00510340" w:rsidRPr="00432467">
        <w:rPr>
          <w:rFonts w:ascii="Fira Sans" w:hAnsi="Fira Sans"/>
        </w:rPr>
        <w:t>.</w:t>
      </w:r>
      <w:r w:rsidR="00510340">
        <w:rPr>
          <w:rFonts w:ascii="Fira Sans" w:hAnsi="Fira Sans"/>
        </w:rPr>
        <w:tab/>
      </w:r>
      <w:r w:rsidR="005D6A93">
        <w:rPr>
          <w:rFonts w:ascii="Fira Sans" w:hAnsi="Fira Sans"/>
        </w:rPr>
        <w:t xml:space="preserve">Percentage </w:t>
      </w:r>
      <w:r w:rsidR="009D313E">
        <w:rPr>
          <w:rFonts w:ascii="Fira Sans" w:hAnsi="Fira Sans"/>
        </w:rPr>
        <w:t xml:space="preserve">of </w:t>
      </w:r>
      <w:r w:rsidR="00B77B6C">
        <w:rPr>
          <w:rFonts w:ascii="Fira Sans" w:hAnsi="Fira Sans"/>
        </w:rPr>
        <w:t xml:space="preserve">surveyed </w:t>
      </w:r>
      <w:r w:rsidR="009D313E">
        <w:rPr>
          <w:rFonts w:ascii="Fira Sans" w:hAnsi="Fira Sans"/>
        </w:rPr>
        <w:t xml:space="preserve">enterprises </w:t>
      </w:r>
      <w:r w:rsidR="00B77B6C">
        <w:rPr>
          <w:rFonts w:ascii="Fira Sans" w:hAnsi="Fira Sans"/>
        </w:rPr>
        <w:t>in each size class</w:t>
      </w:r>
      <w:r w:rsidR="00D76EE1">
        <w:rPr>
          <w:rFonts w:ascii="Fira Sans" w:hAnsi="Fira Sans"/>
        </w:rPr>
        <w:t xml:space="preserve"> by type of business </w:t>
      </w:r>
      <w:r w:rsidR="009D313E">
        <w:rPr>
          <w:rFonts w:ascii="Fira Sans" w:hAnsi="Fira Sans"/>
        </w:rPr>
        <w:t xml:space="preserve">function </w:t>
      </w:r>
      <w:r w:rsidR="00D76EE1">
        <w:rPr>
          <w:rFonts w:ascii="Fira Sans" w:hAnsi="Fira Sans"/>
        </w:rPr>
        <w:t>performed internally</w:t>
      </w:r>
      <w:r w:rsidR="00510340">
        <w:rPr>
          <w:rFonts w:ascii="Fira Sans" w:hAnsi="Fira Sans"/>
        </w:rPr>
        <w:t xml:space="preserve"> </w:t>
      </w:r>
      <w:r w:rsidR="005D6A93">
        <w:rPr>
          <w:rFonts w:ascii="Fira Sans" w:hAnsi="Fira Sans"/>
        </w:rPr>
        <w:t>in</w:t>
      </w:r>
      <w:r w:rsidR="009D313E">
        <w:rPr>
          <w:rFonts w:ascii="Fira Sans" w:hAnsi="Fira Sans"/>
        </w:rPr>
        <w:t> </w:t>
      </w:r>
      <w:r w:rsidR="00510340">
        <w:rPr>
          <w:rFonts w:ascii="Fira Sans" w:hAnsi="Fira Sans"/>
        </w:rPr>
        <w:t>2020</w:t>
      </w:r>
    </w:p>
    <w:p w14:paraId="1DD733BE" w14:textId="02C8A77C" w:rsidR="00510340" w:rsidRPr="00F54F4A" w:rsidRDefault="00D76EE1" w:rsidP="00510340">
      <w:pPr>
        <w:spacing w:line="288" w:lineRule="auto"/>
        <w:rPr>
          <w:shd w:val="clear" w:color="auto" w:fill="FFFFFF"/>
          <w:lang w:val="en-GB"/>
        </w:rPr>
      </w:pPr>
      <w:bookmarkStart w:id="3" w:name="_Hlk106802936"/>
      <w:r>
        <w:rPr>
          <w:shd w:val="clear" w:color="auto" w:fill="FFFFFF"/>
          <w:lang w:val="en-GB"/>
        </w:rPr>
        <w:t>F</w:t>
      </w:r>
      <w:r w:rsidRPr="00A90CEA">
        <w:rPr>
          <w:shd w:val="clear" w:color="auto" w:fill="FFFFFF"/>
          <w:lang w:val="en-GB"/>
        </w:rPr>
        <w:t>or particular size classes</w:t>
      </w:r>
      <w:r>
        <w:rPr>
          <w:shd w:val="clear" w:color="auto" w:fill="FFFFFF"/>
          <w:lang w:val="en-GB"/>
        </w:rPr>
        <w:t>,</w:t>
      </w:r>
      <w:r w:rsidRPr="00A90CEA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t</w:t>
      </w:r>
      <w:r w:rsidR="00A90CEA" w:rsidRPr="00A90CEA">
        <w:rPr>
          <w:shd w:val="clear" w:color="auto" w:fill="FFFFFF"/>
          <w:lang w:val="en-GB"/>
        </w:rPr>
        <w:t xml:space="preserve">he structure of the number of </w:t>
      </w:r>
      <w:r w:rsidR="00A90CEA">
        <w:rPr>
          <w:shd w:val="clear" w:color="auto" w:fill="FFFFFF"/>
          <w:lang w:val="en-GB"/>
        </w:rPr>
        <w:t>persons employed</w:t>
      </w:r>
      <w:r w:rsidR="00A90CEA" w:rsidRPr="00A90CEA">
        <w:rPr>
          <w:shd w:val="clear" w:color="auto" w:fill="FFFFFF"/>
          <w:lang w:val="en-GB"/>
        </w:rPr>
        <w:t xml:space="preserve"> by business function was slightly varied. Only in the case of small enterprises (with 10</w:t>
      </w:r>
      <w:r w:rsidR="00A90CEA">
        <w:rPr>
          <w:shd w:val="clear" w:color="auto" w:fill="FFFFFF"/>
          <w:lang w:val="en-GB"/>
        </w:rPr>
        <w:t>–</w:t>
      </w:r>
      <w:r w:rsidR="00A90CEA" w:rsidRPr="00A90CEA">
        <w:rPr>
          <w:shd w:val="clear" w:color="auto" w:fill="FFFFFF"/>
          <w:lang w:val="en-GB"/>
        </w:rPr>
        <w:t xml:space="preserve">49 </w:t>
      </w:r>
      <w:r w:rsidR="00A90CEA">
        <w:rPr>
          <w:shd w:val="clear" w:color="auto" w:fill="FFFFFF"/>
          <w:lang w:val="en-GB"/>
        </w:rPr>
        <w:t>persons employed</w:t>
      </w:r>
      <w:r w:rsidR="00A90CEA" w:rsidRPr="00A90CEA">
        <w:rPr>
          <w:shd w:val="clear" w:color="auto" w:fill="FFFFFF"/>
          <w:lang w:val="en-GB"/>
        </w:rPr>
        <w:t xml:space="preserve">), a higher percentage of employees working in the marketing, sales and after-sales services functions (25.3% compared to about 18% for other </w:t>
      </w:r>
      <w:r w:rsidR="00E15751">
        <w:rPr>
          <w:shd w:val="clear" w:color="auto" w:fill="FFFFFF"/>
          <w:lang w:val="en-GB"/>
        </w:rPr>
        <w:t xml:space="preserve">size </w:t>
      </w:r>
      <w:r w:rsidR="00A90CEA" w:rsidRPr="00A90CEA">
        <w:rPr>
          <w:shd w:val="clear" w:color="auto" w:fill="FFFFFF"/>
          <w:lang w:val="en-GB"/>
        </w:rPr>
        <w:t xml:space="preserve">classes), and a lower percentage in production-related activities (28.1% compared to about 35% for other </w:t>
      </w:r>
      <w:r w:rsidR="00E15751">
        <w:rPr>
          <w:shd w:val="clear" w:color="auto" w:fill="FFFFFF"/>
          <w:lang w:val="en-GB"/>
        </w:rPr>
        <w:t xml:space="preserve">size </w:t>
      </w:r>
      <w:r w:rsidR="00A90CEA" w:rsidRPr="00A90CEA">
        <w:rPr>
          <w:shd w:val="clear" w:color="auto" w:fill="FFFFFF"/>
          <w:lang w:val="en-GB"/>
        </w:rPr>
        <w:t xml:space="preserve">classes) was observed compared to enterprises in other </w:t>
      </w:r>
      <w:r w:rsidR="004D39C9">
        <w:rPr>
          <w:shd w:val="clear" w:color="auto" w:fill="FFFFFF"/>
          <w:lang w:val="en-GB"/>
        </w:rPr>
        <w:t xml:space="preserve">size </w:t>
      </w:r>
      <w:r w:rsidR="00A90CEA" w:rsidRPr="00A90CEA">
        <w:rPr>
          <w:shd w:val="clear" w:color="auto" w:fill="FFFFFF"/>
          <w:lang w:val="en-GB"/>
        </w:rPr>
        <w:t xml:space="preserve">classes. </w:t>
      </w:r>
      <w:r w:rsidR="00510340" w:rsidRPr="00F54F4A">
        <w:rPr>
          <w:shd w:val="clear" w:color="auto" w:fill="FFFFFF"/>
          <w:lang w:val="en-GB"/>
        </w:rPr>
        <w:t xml:space="preserve"> </w:t>
      </w:r>
    </w:p>
    <w:p w14:paraId="63E8B260" w14:textId="79DEB84E" w:rsidR="00510340" w:rsidRPr="00432467" w:rsidRDefault="00510340" w:rsidP="00510340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7011CE88" wp14:editId="6CC7DFAE">
                <wp:simplePos x="0" y="0"/>
                <wp:positionH relativeFrom="column">
                  <wp:posOffset>5286375</wp:posOffset>
                </wp:positionH>
                <wp:positionV relativeFrom="page">
                  <wp:posOffset>5553075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3" name="Pole tekstowe 13" descr="Among enterprises having sourced business functions  externally at the end of 2020, the vast majority (88.0%) performed them only in other domestic enterpri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B906" w14:textId="6646B0AD" w:rsidR="00510340" w:rsidRPr="00AA38DE" w:rsidRDefault="00AA38DE" w:rsidP="0051034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AA38DE">
                              <w:rPr>
                                <w:lang w:val="en-GB"/>
                              </w:rPr>
                              <w:t>Among enterprises</w:t>
                            </w:r>
                            <w:r>
                              <w:rPr>
                                <w:lang w:val="en-GB"/>
                              </w:rPr>
                              <w:t xml:space="preserve"> having sourced business functions </w:t>
                            </w:r>
                            <w:r w:rsidR="00D76EE1">
                              <w:rPr>
                                <w:lang w:val="en-GB"/>
                              </w:rPr>
                              <w:t xml:space="preserve"> externally at the end of </w:t>
                            </w:r>
                            <w:r>
                              <w:rPr>
                                <w:lang w:val="en-GB"/>
                              </w:rPr>
                              <w:t>2020, the vast majority (88.0%) performed them only in other domestic enterprises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CE88" id="Pole tekstowe 13" o:spid="_x0000_s1029" type="#_x0000_t202" alt="Among enterprises having sourced business functions  externally at the end of 2020, the vast majority (88.0%) performed them only in other domestic enterprises" style="position:absolute;margin-left:416.25pt;margin-top:437.25pt;width:135.8pt;height:96.1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R+gEAANUDAAAOAAAAZHJzL2Uyb0RvYy54bWysU8tu2zAQvBfoPxC815JVu0kE00GaNEWB&#10;9AGk/QCKoiyiJJclaUvu12dJKY7R3or6QHC93Nmd2dHmejSaHKQPCiyjy0VJibQCWmV3jP74fv/m&#10;kpIQuW25BisZPcpAr7evX20GV8sKetCt9ARBbKgHx2gfo6uLIoheGh4W4KTFZAfe8Iih3xWt5wOi&#10;G11UZfmuGMC3zoOQIeC/d1OSbjN+10kRv3ZdkJFoRnG2mE+fzyadxXbD653nrldiHoP/wxSGK4tN&#10;T1B3PHKy9+ovKKOEhwBdXAgwBXSdEjJzQDbL8g82jz13MnNBcYI7yRT+H6z4cnh03zyJ43sYcYGZ&#10;RHAPIH4GYuG253Ynb7yHoZe8xcbLJFkxuFDPpUnqUIcE0gyfocUl832EDDR23iRVkCdBdFzA8SS6&#10;HCMRqeVFtVqVmBKYW1ZVmYLUg9fP5c6H+FGCIenCqMetZnh+eAhxevr8JHWzcK+0zpvVlgyMXq2r&#10;dS44yxgV0XhaGUYvy/SbrJBYfrBtLo5c6emOs2g7005MJ85xbEaiWkbfptqkQgPtEXXwMPkMvwu8&#10;9OB/UzKgxxgNv/bcS0r0J4taXi2ROZoyB6v1RYWBP8805xluBUIxGimZrrcxG3mifIOadyqr8TLJ&#10;PDJ6J+s5+zyZ8zzOr16+xu0TAAAA//8DAFBLAwQUAAYACAAAACEAKGfEXN8AAAANAQAADwAAAGRy&#10;cy9kb3ducmV2LnhtbEyPwU7DMAyG70i8Q2Qkbizp6LpRmk4IxBW0AZN2yxqvrWicqsnW8vZ4J7h9&#10;ln/9/lysJ9eJMw6h9aQhmSkQSJW3LdUaPj9e71YgQjRkTecJNfxggHV5fVWY3PqRNnjexlpwCYXc&#10;aGhi7HMpQ9WgM2HmeyTeHf3gTORxqKUdzMjlrpNzpTLpTEt8oTE9PjdYfW9PTsPX23G/S9V7/eIW&#10;/egnJck9SK1vb6anRxARp/gXhos+q0PJTgd/IhtEp2F1P19wlGGZMlwSiUoTEAcmlWVLkGUh/39R&#10;/gIAAP//AwBQSwECLQAUAAYACAAAACEAtoM4kv4AAADhAQAAEwAAAAAAAAAAAAAAAAAAAAAAW0Nv&#10;bnRlbnRfVHlwZXNdLnhtbFBLAQItABQABgAIAAAAIQA4/SH/1gAAAJQBAAALAAAAAAAAAAAAAAAA&#10;AC8BAABfcmVscy8ucmVsc1BLAQItABQABgAIAAAAIQAsPGdR+gEAANUDAAAOAAAAAAAAAAAAAAAA&#10;AC4CAABkcnMvZTJvRG9jLnhtbFBLAQItABQABgAIAAAAIQAoZ8Rc3wAAAA0BAAAPAAAAAAAAAAAA&#10;AAAAAFQEAABkcnMvZG93bnJldi54bWxQSwUGAAAAAAQABADzAAAAYAUAAAAA&#10;" filled="f" stroked="f">
                <v:textbox>
                  <w:txbxContent>
                    <w:p w14:paraId="33E5B906" w14:textId="6646B0AD" w:rsidR="00510340" w:rsidRPr="00AA38DE" w:rsidRDefault="00AA38DE" w:rsidP="00510340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AA38DE">
                        <w:rPr>
                          <w:lang w:val="en-GB"/>
                        </w:rPr>
                        <w:t>Among enterprises</w:t>
                      </w:r>
                      <w:r>
                        <w:rPr>
                          <w:lang w:val="en-GB"/>
                        </w:rPr>
                        <w:t xml:space="preserve"> having sourced business functions </w:t>
                      </w:r>
                      <w:r w:rsidR="00D76EE1">
                        <w:rPr>
                          <w:lang w:val="en-GB"/>
                        </w:rPr>
                        <w:t xml:space="preserve"> externally at the end of </w:t>
                      </w:r>
                      <w:r>
                        <w:rPr>
                          <w:lang w:val="en-GB"/>
                        </w:rPr>
                        <w:t>2020, the vast majority (88.0%) performed them only in other domestic enterprises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90CEA" w:rsidRPr="00A90CEA">
        <w:rPr>
          <w:rFonts w:ascii="Fira Sans" w:hAnsi="Fira Sans"/>
          <w:b/>
          <w:noProof/>
          <w:spacing w:val="-2"/>
          <w:szCs w:val="19"/>
        </w:rPr>
        <w:t>Directions for commissioning selected activities</w:t>
      </w:r>
    </w:p>
    <w:p w14:paraId="710FE91C" w14:textId="2F164444" w:rsidR="00510340" w:rsidRPr="00F54F4A" w:rsidRDefault="007B1324" w:rsidP="00510340">
      <w:pPr>
        <w:spacing w:line="288" w:lineRule="auto"/>
        <w:rPr>
          <w:shd w:val="clear" w:color="auto" w:fill="FFFFFF"/>
          <w:lang w:val="en-GB"/>
        </w:rPr>
      </w:pPr>
      <w:r>
        <w:rPr>
          <w:rFonts w:eastAsia="Times New Roman" w:cs="Times New Roman"/>
          <w:szCs w:val="19"/>
          <w:lang w:val="en-GB" w:eastAsia="pl-PL"/>
        </w:rPr>
        <w:t>Of the</w:t>
      </w:r>
      <w:r w:rsidR="00510340" w:rsidRPr="00F54F4A">
        <w:rPr>
          <w:rFonts w:eastAsia="Times New Roman" w:cs="Times New Roman"/>
          <w:szCs w:val="19"/>
          <w:lang w:val="en-GB" w:eastAsia="pl-PL"/>
        </w:rPr>
        <w:t xml:space="preserve"> 14</w:t>
      </w:r>
      <w:r>
        <w:rPr>
          <w:rFonts w:eastAsia="Times New Roman" w:cs="Times New Roman"/>
          <w:szCs w:val="19"/>
          <w:lang w:val="en-GB" w:eastAsia="pl-PL"/>
        </w:rPr>
        <w:t>,</w:t>
      </w:r>
      <w:r w:rsidR="00510340" w:rsidRPr="00F54F4A">
        <w:rPr>
          <w:rFonts w:eastAsia="Times New Roman" w:cs="Times New Roman"/>
          <w:szCs w:val="19"/>
          <w:lang w:val="en-GB" w:eastAsia="pl-PL"/>
        </w:rPr>
        <w:t xml:space="preserve">198 </w:t>
      </w:r>
      <w:r>
        <w:rPr>
          <w:rFonts w:eastAsia="Times New Roman" w:cs="Times New Roman"/>
          <w:szCs w:val="19"/>
          <w:lang w:val="en-GB" w:eastAsia="pl-PL"/>
        </w:rPr>
        <w:t>surveyed enterprises with</w:t>
      </w:r>
      <w:r w:rsidR="00510340" w:rsidRPr="00F54F4A">
        <w:rPr>
          <w:rFonts w:eastAsia="Times New Roman" w:cs="Times New Roman"/>
          <w:szCs w:val="19"/>
          <w:lang w:val="en-GB" w:eastAsia="pl-PL"/>
        </w:rPr>
        <w:t xml:space="preserve"> 10 </w:t>
      </w:r>
      <w:r>
        <w:rPr>
          <w:rFonts w:eastAsia="Times New Roman" w:cs="Times New Roman"/>
          <w:szCs w:val="19"/>
          <w:lang w:val="en-GB" w:eastAsia="pl-PL"/>
        </w:rPr>
        <w:t>and more persons employed</w:t>
      </w:r>
      <w:r w:rsidR="00510340" w:rsidRPr="00F54F4A">
        <w:rPr>
          <w:rFonts w:eastAsia="Times New Roman" w:cs="Times New Roman"/>
          <w:szCs w:val="19"/>
          <w:lang w:val="en-GB" w:eastAsia="pl-PL"/>
        </w:rPr>
        <w:t xml:space="preserve">, </w:t>
      </w:r>
      <w:r>
        <w:rPr>
          <w:rFonts w:eastAsia="Times New Roman" w:cs="Times New Roman"/>
          <w:szCs w:val="19"/>
          <w:lang w:val="en-GB" w:eastAsia="pl-PL"/>
        </w:rPr>
        <w:t xml:space="preserve">which </w:t>
      </w:r>
      <w:r w:rsidRPr="007B1324">
        <w:rPr>
          <w:rFonts w:eastAsia="Times New Roman" w:cs="Times New Roman"/>
          <w:szCs w:val="19"/>
          <w:lang w:val="en-GB" w:eastAsia="pl-PL"/>
        </w:rPr>
        <w:t>externally sourc</w:t>
      </w:r>
      <w:r>
        <w:rPr>
          <w:rFonts w:eastAsia="Times New Roman" w:cs="Times New Roman"/>
          <w:szCs w:val="19"/>
          <w:lang w:val="en-GB" w:eastAsia="pl-PL"/>
        </w:rPr>
        <w:t>ed</w:t>
      </w:r>
      <w:r w:rsidRPr="007B1324">
        <w:rPr>
          <w:rFonts w:eastAsia="Times New Roman" w:cs="Times New Roman"/>
          <w:szCs w:val="19"/>
          <w:lang w:val="en-GB" w:eastAsia="pl-PL"/>
        </w:rPr>
        <w:t xml:space="preserve"> functions completely or partially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D76EE1">
        <w:rPr>
          <w:rFonts w:eastAsia="Times New Roman" w:cs="Times New Roman"/>
          <w:szCs w:val="19"/>
          <w:lang w:val="en-GB" w:eastAsia="pl-PL"/>
        </w:rPr>
        <w:t>at the end of</w:t>
      </w:r>
      <w:r>
        <w:rPr>
          <w:rFonts w:eastAsia="Times New Roman" w:cs="Times New Roman"/>
          <w:szCs w:val="19"/>
          <w:lang w:val="en-GB" w:eastAsia="pl-PL"/>
        </w:rPr>
        <w:t xml:space="preserve"> 2020</w:t>
      </w:r>
      <w:r w:rsidRPr="007B1324">
        <w:rPr>
          <w:rFonts w:eastAsia="Times New Roman" w:cs="Times New Roman"/>
          <w:szCs w:val="19"/>
          <w:lang w:val="en-GB" w:eastAsia="pl-PL"/>
        </w:rPr>
        <w:t>, the vast majority (88.0%) indicated only other domestic enterprises as the place of performing the function</w:t>
      </w:r>
      <w:r w:rsidR="005E7715">
        <w:rPr>
          <w:rFonts w:eastAsia="Times New Roman" w:cs="Times New Roman"/>
          <w:szCs w:val="19"/>
          <w:lang w:val="en-GB" w:eastAsia="pl-PL"/>
        </w:rPr>
        <w:t>s</w:t>
      </w:r>
      <w:r w:rsidRPr="007B1324">
        <w:rPr>
          <w:rFonts w:eastAsia="Times New Roman" w:cs="Times New Roman"/>
          <w:szCs w:val="19"/>
          <w:lang w:val="en-GB" w:eastAsia="pl-PL"/>
        </w:rPr>
        <w:t>, 10.1% simultaneously domestic and foreign enterprises, and 1.9% only other foreign enterprises</w:t>
      </w:r>
      <w:r w:rsidR="00510340" w:rsidRPr="00F54F4A">
        <w:rPr>
          <w:rFonts w:eastAsia="Times New Roman" w:cs="Times New Roman"/>
          <w:szCs w:val="19"/>
          <w:lang w:val="en-GB" w:eastAsia="pl-PL"/>
        </w:rPr>
        <w:t>.</w:t>
      </w:r>
      <w:bookmarkEnd w:id="3"/>
      <w:r w:rsidRPr="007B1324">
        <w:t xml:space="preserve"> </w:t>
      </w:r>
      <w:r w:rsidRPr="007B1324">
        <w:rPr>
          <w:shd w:val="clear" w:color="auto" w:fill="FFFFFF"/>
          <w:lang w:val="en-GB"/>
        </w:rPr>
        <w:t xml:space="preserve">Large enterprises (with 250 or more </w:t>
      </w:r>
      <w:r w:rsidR="005E7715">
        <w:rPr>
          <w:shd w:val="clear" w:color="auto" w:fill="FFFFFF"/>
          <w:lang w:val="en-GB"/>
        </w:rPr>
        <w:t>persons employed</w:t>
      </w:r>
      <w:r w:rsidRPr="007B1324">
        <w:rPr>
          <w:shd w:val="clear" w:color="auto" w:fill="FFFFFF"/>
          <w:lang w:val="en-GB"/>
        </w:rPr>
        <w:t xml:space="preserve">) more often than enterprises in other size classes sourced functions </w:t>
      </w:r>
      <w:r w:rsidR="00D76EE1">
        <w:rPr>
          <w:shd w:val="clear" w:color="auto" w:fill="FFFFFF"/>
          <w:lang w:val="en-GB"/>
        </w:rPr>
        <w:t>externally</w:t>
      </w:r>
      <w:r w:rsidR="00D76EE1" w:rsidRPr="007B1324">
        <w:rPr>
          <w:shd w:val="clear" w:color="auto" w:fill="FFFFFF"/>
          <w:lang w:val="en-GB"/>
        </w:rPr>
        <w:t xml:space="preserve"> </w:t>
      </w:r>
      <w:r w:rsidRPr="007B1324">
        <w:rPr>
          <w:shd w:val="clear" w:color="auto" w:fill="FFFFFF"/>
          <w:lang w:val="en-GB"/>
        </w:rPr>
        <w:t xml:space="preserve">to foreign entities, i.e. </w:t>
      </w:r>
      <w:r w:rsidR="00D76EE1">
        <w:rPr>
          <w:shd w:val="clear" w:color="auto" w:fill="FFFFFF"/>
          <w:lang w:val="en-GB"/>
        </w:rPr>
        <w:t>to both domestic and foreign or only foreign enterprises</w:t>
      </w:r>
      <w:r w:rsidRPr="007B1324">
        <w:rPr>
          <w:shd w:val="clear" w:color="auto" w:fill="FFFFFF"/>
          <w:lang w:val="en-GB"/>
        </w:rPr>
        <w:t xml:space="preserve"> (a total of 26.1% of entities </w:t>
      </w:r>
      <w:r w:rsidR="00D76EE1">
        <w:rPr>
          <w:shd w:val="clear" w:color="auto" w:fill="FFFFFF"/>
          <w:lang w:val="en-GB"/>
        </w:rPr>
        <w:t>with</w:t>
      </w:r>
      <w:r w:rsidRPr="007B1324">
        <w:rPr>
          <w:shd w:val="clear" w:color="auto" w:fill="FFFFFF"/>
          <w:lang w:val="en-GB"/>
        </w:rPr>
        <w:t>in this class)</w:t>
      </w:r>
      <w:r w:rsidR="005E7715">
        <w:rPr>
          <w:shd w:val="clear" w:color="auto" w:fill="FFFFFF"/>
          <w:lang w:val="en-GB"/>
        </w:rPr>
        <w:t>.</w:t>
      </w:r>
    </w:p>
    <w:p w14:paraId="0A6EC804" w14:textId="35FA0E31" w:rsidR="00510340" w:rsidRPr="00432467" w:rsidRDefault="00250823" w:rsidP="00F54F4A">
      <w:pPr>
        <w:pStyle w:val="Tytuwykresu0"/>
        <w:tabs>
          <w:tab w:val="left" w:pos="709"/>
        </w:tabs>
        <w:ind w:left="709" w:hanging="709"/>
        <w:rPr>
          <w:rFonts w:ascii="Fira Sans" w:hAnsi="Fira Sans"/>
        </w:rPr>
      </w:pPr>
      <w:bookmarkStart w:id="4" w:name="_Hlk106803109"/>
      <w:r>
        <w:drawing>
          <wp:anchor distT="0" distB="0" distL="114300" distR="114300" simplePos="0" relativeHeight="251771904" behindDoc="0" locked="1" layoutInCell="1" allowOverlap="1" wp14:anchorId="7E36E437" wp14:editId="648CC3A2">
            <wp:simplePos x="0" y="0"/>
            <wp:positionH relativeFrom="margin">
              <wp:align>left</wp:align>
            </wp:positionH>
            <wp:positionV relativeFrom="paragraph">
              <wp:posOffset>525145</wp:posOffset>
            </wp:positionV>
            <wp:extent cx="5223600" cy="2257200"/>
            <wp:effectExtent l="0" t="0" r="0" b="0"/>
            <wp:wrapTopAndBottom/>
            <wp:docPr id="36" name="Obraz 36" descr="Chart 3. Structure of enterprises sourcing functions externally by size class and place of sourcing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22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F4A">
        <w:rPr>
          <w:rFonts w:ascii="Fira Sans" w:hAnsi="Fira Sans"/>
        </w:rPr>
        <w:t>Chart</w:t>
      </w:r>
      <w:r w:rsidR="00510340" w:rsidRPr="00432467">
        <w:rPr>
          <w:rFonts w:ascii="Fira Sans" w:hAnsi="Fira Sans"/>
        </w:rPr>
        <w:t xml:space="preserve"> </w:t>
      </w:r>
      <w:r w:rsidR="00510340">
        <w:rPr>
          <w:rFonts w:ascii="Fira Sans" w:hAnsi="Fira Sans"/>
        </w:rPr>
        <w:t>3</w:t>
      </w:r>
      <w:r w:rsidR="00510340" w:rsidRPr="00432467">
        <w:rPr>
          <w:rFonts w:ascii="Fira Sans" w:hAnsi="Fira Sans"/>
        </w:rPr>
        <w:t>.</w:t>
      </w:r>
      <w:r w:rsidR="00510340">
        <w:rPr>
          <w:rFonts w:ascii="Fira Sans" w:hAnsi="Fira Sans"/>
        </w:rPr>
        <w:tab/>
      </w:r>
      <w:r w:rsidR="00AA38DE">
        <w:rPr>
          <w:rFonts w:ascii="Fira Sans" w:hAnsi="Fira Sans"/>
        </w:rPr>
        <w:t xml:space="preserve">Structure of enterprises sourcing functions </w:t>
      </w:r>
      <w:r w:rsidR="005E7715">
        <w:rPr>
          <w:rFonts w:ascii="Fira Sans" w:hAnsi="Fira Sans"/>
        </w:rPr>
        <w:t xml:space="preserve">externally </w:t>
      </w:r>
      <w:r w:rsidR="00AA38DE">
        <w:rPr>
          <w:rFonts w:ascii="Fira Sans" w:hAnsi="Fira Sans"/>
        </w:rPr>
        <w:t xml:space="preserve">by size class and </w:t>
      </w:r>
      <w:r w:rsidR="00B267EC">
        <w:rPr>
          <w:rFonts w:ascii="Fira Sans" w:hAnsi="Fira Sans"/>
        </w:rPr>
        <w:t>place of sourcing</w:t>
      </w:r>
      <w:r w:rsidR="00AA38DE">
        <w:rPr>
          <w:rFonts w:ascii="Fira Sans" w:hAnsi="Fira Sans"/>
        </w:rPr>
        <w:t xml:space="preserve"> in 2020</w:t>
      </w:r>
    </w:p>
    <w:bookmarkEnd w:id="4"/>
    <w:p w14:paraId="56FC0A35" w14:textId="0A39F71E" w:rsidR="00510340" w:rsidRDefault="00510340" w:rsidP="00510340">
      <w:pPr>
        <w:spacing w:line="288" w:lineRule="auto"/>
        <w:rPr>
          <w:shd w:val="clear" w:color="auto" w:fill="FFFFFF"/>
        </w:rPr>
      </w:pPr>
    </w:p>
    <w:p w14:paraId="23840A22" w14:textId="6CA55A9B" w:rsidR="005E7715" w:rsidRPr="005E7715" w:rsidRDefault="005E7715" w:rsidP="005E7715">
      <w:pPr>
        <w:spacing w:line="288" w:lineRule="auto"/>
        <w:rPr>
          <w:shd w:val="clear" w:color="auto" w:fill="FFFFFF"/>
          <w:lang w:val="en-GB"/>
        </w:rPr>
      </w:pPr>
      <w:bookmarkStart w:id="5" w:name="_Hlk106802950"/>
      <w:r w:rsidRPr="005E7715">
        <w:rPr>
          <w:shd w:val="clear" w:color="auto" w:fill="FFFFFF"/>
          <w:lang w:val="en-GB"/>
        </w:rPr>
        <w:lastRenderedPageBreak/>
        <w:t xml:space="preserve">The implementation of activities abroad was most frequently reported by enterprises from sections: transport and </w:t>
      </w:r>
      <w:r>
        <w:rPr>
          <w:shd w:val="clear" w:color="auto" w:fill="FFFFFF"/>
          <w:lang w:val="en-GB"/>
        </w:rPr>
        <w:t>storage</w:t>
      </w:r>
      <w:r w:rsidRPr="005E7715">
        <w:rPr>
          <w:shd w:val="clear" w:color="auto" w:fill="FFFFFF"/>
          <w:lang w:val="en-GB"/>
        </w:rPr>
        <w:t xml:space="preserve"> (19.2% of entities </w:t>
      </w:r>
      <w:r w:rsidR="00E15751">
        <w:rPr>
          <w:shd w:val="clear" w:color="auto" w:fill="FFFFFF"/>
          <w:lang w:val="en-GB"/>
        </w:rPr>
        <w:t>within</w:t>
      </w:r>
      <w:r w:rsidRPr="005E7715">
        <w:rPr>
          <w:shd w:val="clear" w:color="auto" w:fill="FFFFFF"/>
          <w:lang w:val="en-GB"/>
        </w:rPr>
        <w:t xml:space="preserve"> this section </w:t>
      </w:r>
      <w:r w:rsidR="00E15751" w:rsidRPr="005E7715">
        <w:rPr>
          <w:shd w:val="clear" w:color="auto" w:fill="FFFFFF"/>
          <w:lang w:val="en-GB"/>
        </w:rPr>
        <w:t>source</w:t>
      </w:r>
      <w:r w:rsidR="00E15751">
        <w:rPr>
          <w:shd w:val="clear" w:color="auto" w:fill="FFFFFF"/>
          <w:lang w:val="en-GB"/>
        </w:rPr>
        <w:t>d</w:t>
      </w:r>
      <w:r w:rsidRPr="005E7715">
        <w:rPr>
          <w:shd w:val="clear" w:color="auto" w:fill="FFFFFF"/>
          <w:lang w:val="en-GB"/>
        </w:rPr>
        <w:t xml:space="preserve"> functions externally), financial and insurance activities (18.4%) and information and communication (17.3%).</w:t>
      </w:r>
    </w:p>
    <w:p w14:paraId="1B857CAA" w14:textId="02C89D36" w:rsidR="005E7715" w:rsidRPr="005E7715" w:rsidRDefault="005E7715" w:rsidP="005E7715">
      <w:pPr>
        <w:spacing w:line="288" w:lineRule="auto"/>
        <w:rPr>
          <w:shd w:val="clear" w:color="auto" w:fill="FFFFFF"/>
          <w:lang w:val="en-GB"/>
        </w:rPr>
      </w:pPr>
      <w:r w:rsidRPr="005E7715">
        <w:rPr>
          <w:shd w:val="clear" w:color="auto" w:fill="FFFFFF"/>
          <w:lang w:val="en-GB"/>
        </w:rPr>
        <w:t xml:space="preserve">The place of performing business functions outside Poland was most frequently chosen by enterprises based in voivodeships: </w:t>
      </w:r>
      <w:proofErr w:type="spellStart"/>
      <w:r w:rsidRPr="005E7715">
        <w:rPr>
          <w:shd w:val="clear" w:color="auto" w:fill="FFFFFF"/>
          <w:lang w:val="en-GB"/>
        </w:rPr>
        <w:t>Mazowieckie</w:t>
      </w:r>
      <w:proofErr w:type="spellEnd"/>
      <w:r w:rsidRPr="005E7715">
        <w:rPr>
          <w:shd w:val="clear" w:color="auto" w:fill="FFFFFF"/>
          <w:lang w:val="en-GB"/>
        </w:rPr>
        <w:t xml:space="preserve"> (total 17.0% of entities from this voivodeship sourc</w:t>
      </w:r>
      <w:r w:rsidR="00E15751">
        <w:rPr>
          <w:shd w:val="clear" w:color="auto" w:fill="FFFFFF"/>
          <w:lang w:val="en-GB"/>
        </w:rPr>
        <w:t>ed</w:t>
      </w:r>
      <w:r w:rsidRPr="005E7715">
        <w:rPr>
          <w:shd w:val="clear" w:color="auto" w:fill="FFFFFF"/>
          <w:lang w:val="en-GB"/>
        </w:rPr>
        <w:t xml:space="preserve"> functions externally), </w:t>
      </w:r>
      <w:proofErr w:type="spellStart"/>
      <w:r w:rsidRPr="005E7715">
        <w:rPr>
          <w:shd w:val="clear" w:color="auto" w:fill="FFFFFF"/>
          <w:lang w:val="en-GB"/>
        </w:rPr>
        <w:t>Lubuskie</w:t>
      </w:r>
      <w:proofErr w:type="spellEnd"/>
      <w:r w:rsidRPr="005E7715">
        <w:rPr>
          <w:shd w:val="clear" w:color="auto" w:fill="FFFFFF"/>
          <w:lang w:val="en-GB"/>
        </w:rPr>
        <w:t xml:space="preserve"> (15.7%) and </w:t>
      </w:r>
      <w:proofErr w:type="spellStart"/>
      <w:r w:rsidRPr="005E7715">
        <w:rPr>
          <w:shd w:val="clear" w:color="auto" w:fill="FFFFFF"/>
          <w:lang w:val="en-GB"/>
        </w:rPr>
        <w:t>Zachodniopomorskie</w:t>
      </w:r>
      <w:proofErr w:type="spellEnd"/>
      <w:r w:rsidRPr="005E7715">
        <w:rPr>
          <w:shd w:val="clear" w:color="auto" w:fill="FFFFFF"/>
          <w:lang w:val="en-GB"/>
        </w:rPr>
        <w:t xml:space="preserve"> (14.1%).</w:t>
      </w:r>
    </w:p>
    <w:p w14:paraId="6B0C5614" w14:textId="24E4E811" w:rsidR="005E7715" w:rsidRPr="005E7715" w:rsidRDefault="005E7715" w:rsidP="005E7715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In 2020, </w:t>
      </w:r>
      <w:r w:rsidRPr="005E7715">
        <w:rPr>
          <w:shd w:val="clear" w:color="auto" w:fill="FFFFFF"/>
          <w:lang w:val="en-GB"/>
        </w:rPr>
        <w:t xml:space="preserve">most frequently </w:t>
      </w:r>
      <w:r w:rsidR="0064291A">
        <w:rPr>
          <w:shd w:val="clear" w:color="auto" w:fill="FFFFFF"/>
          <w:lang w:val="en-GB"/>
        </w:rPr>
        <w:t>contracted</w:t>
      </w:r>
      <w:r w:rsidR="00B267EC">
        <w:rPr>
          <w:shd w:val="clear" w:color="auto" w:fill="FFFFFF"/>
          <w:lang w:val="en-GB"/>
        </w:rPr>
        <w:t xml:space="preserve"> out </w:t>
      </w:r>
      <w:r w:rsidRPr="005E7715">
        <w:rPr>
          <w:shd w:val="clear" w:color="auto" w:fill="FFFFFF"/>
          <w:lang w:val="en-GB"/>
        </w:rPr>
        <w:t xml:space="preserve">to other domestic enterprises were </w:t>
      </w:r>
      <w:r w:rsidR="00681F5A">
        <w:rPr>
          <w:shd w:val="clear" w:color="auto" w:fill="FFFFFF"/>
          <w:lang w:val="en-GB"/>
        </w:rPr>
        <w:t xml:space="preserve">tasks related to </w:t>
      </w:r>
      <w:r w:rsidRPr="005E7715">
        <w:rPr>
          <w:shd w:val="clear" w:color="auto" w:fill="FFFFFF"/>
          <w:lang w:val="en-GB"/>
        </w:rPr>
        <w:t>management and administration</w:t>
      </w:r>
      <w:r w:rsidR="00681F5A">
        <w:rPr>
          <w:shd w:val="clear" w:color="auto" w:fill="FFFFFF"/>
          <w:lang w:val="en-GB"/>
        </w:rPr>
        <w:t xml:space="preserve"> as well as</w:t>
      </w:r>
      <w:r w:rsidRPr="005E7715">
        <w:rPr>
          <w:shd w:val="clear" w:color="auto" w:fill="FFFFFF"/>
          <w:lang w:val="en-GB"/>
        </w:rPr>
        <w:t xml:space="preserve"> information technology. </w:t>
      </w:r>
      <w:r w:rsidR="00681F5A">
        <w:rPr>
          <w:shd w:val="clear" w:color="auto" w:fill="FFFFFF"/>
          <w:lang w:val="en-GB"/>
        </w:rPr>
        <w:t>F</w:t>
      </w:r>
      <w:r w:rsidRPr="005E7715">
        <w:rPr>
          <w:shd w:val="clear" w:color="auto" w:fill="FFFFFF"/>
          <w:lang w:val="en-GB"/>
        </w:rPr>
        <w:t xml:space="preserve">unctions </w:t>
      </w:r>
      <w:r w:rsidR="00681F5A" w:rsidRPr="005E7715">
        <w:rPr>
          <w:shd w:val="clear" w:color="auto" w:fill="FFFFFF"/>
          <w:lang w:val="en-GB"/>
        </w:rPr>
        <w:t xml:space="preserve">sourced </w:t>
      </w:r>
      <w:r w:rsidR="005D753F">
        <w:rPr>
          <w:shd w:val="clear" w:color="auto" w:fill="FFFFFF"/>
          <w:lang w:val="en-GB"/>
        </w:rPr>
        <w:t xml:space="preserve">externally </w:t>
      </w:r>
      <w:r w:rsidR="005057CE">
        <w:rPr>
          <w:shd w:val="clear" w:color="auto" w:fill="FFFFFF"/>
          <w:lang w:val="en-GB"/>
        </w:rPr>
        <w:t>with</w:t>
      </w:r>
      <w:r w:rsidR="005D753F">
        <w:rPr>
          <w:shd w:val="clear" w:color="auto" w:fill="FFFFFF"/>
          <w:lang w:val="en-GB"/>
        </w:rPr>
        <w:t xml:space="preserve">in </w:t>
      </w:r>
      <w:r w:rsidR="0059426A">
        <w:rPr>
          <w:shd w:val="clear" w:color="auto" w:fill="FFFFFF"/>
          <w:lang w:val="en-GB"/>
        </w:rPr>
        <w:t>country</w:t>
      </w:r>
      <w:r w:rsidR="00681F5A">
        <w:rPr>
          <w:shd w:val="clear" w:color="auto" w:fill="FFFFFF"/>
          <w:lang w:val="en-GB"/>
        </w:rPr>
        <w:t xml:space="preserve"> </w:t>
      </w:r>
      <w:r w:rsidRPr="005E7715">
        <w:rPr>
          <w:shd w:val="clear" w:color="auto" w:fill="FFFFFF"/>
          <w:lang w:val="en-GB"/>
        </w:rPr>
        <w:t xml:space="preserve">were mainly </w:t>
      </w:r>
      <w:r w:rsidR="00681F5A">
        <w:rPr>
          <w:shd w:val="clear" w:color="auto" w:fill="FFFFFF"/>
          <w:lang w:val="en-GB"/>
        </w:rPr>
        <w:t xml:space="preserve">performed by </w:t>
      </w:r>
      <w:r w:rsidRPr="005E7715">
        <w:rPr>
          <w:shd w:val="clear" w:color="auto" w:fill="FFFFFF"/>
          <w:lang w:val="en-GB"/>
        </w:rPr>
        <w:t xml:space="preserve">unrelated companies, i.e. outside the </w:t>
      </w:r>
      <w:r w:rsidR="00681F5A">
        <w:rPr>
          <w:shd w:val="clear" w:color="auto" w:fill="FFFFFF"/>
          <w:lang w:val="en-GB"/>
        </w:rPr>
        <w:t>same enterprise</w:t>
      </w:r>
      <w:r w:rsidRPr="005E7715">
        <w:rPr>
          <w:shd w:val="clear" w:color="auto" w:fill="FFFFFF"/>
          <w:lang w:val="en-GB"/>
        </w:rPr>
        <w:t xml:space="preserve"> group. </w:t>
      </w:r>
    </w:p>
    <w:p w14:paraId="42C1F3CC" w14:textId="647C452D" w:rsidR="00510340" w:rsidRPr="005E7715" w:rsidRDefault="0064291A" w:rsidP="005E7715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5E7715" w:rsidRPr="005E7715">
        <w:rPr>
          <w:shd w:val="clear" w:color="auto" w:fill="FFFFFF"/>
          <w:lang w:val="en-GB"/>
        </w:rPr>
        <w:t xml:space="preserve">ourced </w:t>
      </w:r>
      <w:r>
        <w:rPr>
          <w:shd w:val="clear" w:color="auto" w:fill="FFFFFF"/>
          <w:lang w:val="en-GB"/>
        </w:rPr>
        <w:t xml:space="preserve">externally </w:t>
      </w:r>
      <w:r w:rsidR="005E7715" w:rsidRPr="005E7715">
        <w:rPr>
          <w:shd w:val="clear" w:color="auto" w:fill="FFFFFF"/>
          <w:lang w:val="en-GB"/>
        </w:rPr>
        <w:t xml:space="preserve">outside Poland were mainly information technology functions </w:t>
      </w:r>
      <w:r w:rsidR="00880922">
        <w:rPr>
          <w:shd w:val="clear" w:color="auto" w:fill="FFFFFF"/>
          <w:lang w:val="en-GB"/>
        </w:rPr>
        <w:t xml:space="preserve">related tasks </w:t>
      </w:r>
      <w:r w:rsidR="005E7715" w:rsidRPr="005E7715">
        <w:rPr>
          <w:shd w:val="clear" w:color="auto" w:fill="FFFFFF"/>
          <w:lang w:val="en-GB"/>
        </w:rPr>
        <w:t>and</w:t>
      </w:r>
      <w:r w:rsidR="00DE5F2C">
        <w:rPr>
          <w:shd w:val="clear" w:color="auto" w:fill="FFFFFF"/>
          <w:lang w:val="en-GB"/>
        </w:rPr>
        <w:t xml:space="preserve"> (</w:t>
      </w:r>
      <w:r w:rsidR="005E7715" w:rsidRPr="005E7715">
        <w:rPr>
          <w:shd w:val="clear" w:color="auto" w:fill="FFFFFF"/>
          <w:lang w:val="en-GB"/>
        </w:rPr>
        <w:t>to a lesser extent</w:t>
      </w:r>
      <w:r w:rsidR="00DE5F2C">
        <w:rPr>
          <w:shd w:val="clear" w:color="auto" w:fill="FFFFFF"/>
          <w:lang w:val="en-GB"/>
        </w:rPr>
        <w:t>)</w:t>
      </w:r>
      <w:r w:rsidR="005E7715" w:rsidRPr="005E7715">
        <w:rPr>
          <w:shd w:val="clear" w:color="auto" w:fill="FFFFFF"/>
          <w:lang w:val="en-GB"/>
        </w:rPr>
        <w:t xml:space="preserve"> marketing, sales and after-sales services as well as management and administration functions. Activities sourced </w:t>
      </w:r>
      <w:r>
        <w:rPr>
          <w:shd w:val="clear" w:color="auto" w:fill="FFFFFF"/>
          <w:lang w:val="en-GB"/>
        </w:rPr>
        <w:t xml:space="preserve">externally </w:t>
      </w:r>
      <w:r w:rsidR="005E7715" w:rsidRPr="005E7715">
        <w:rPr>
          <w:shd w:val="clear" w:color="auto" w:fill="FFFFFF"/>
          <w:lang w:val="en-GB"/>
        </w:rPr>
        <w:t xml:space="preserve">abroad were mostly performed by other related companies, i.e. belonging to the same </w:t>
      </w:r>
      <w:r w:rsidR="00880922">
        <w:rPr>
          <w:shd w:val="clear" w:color="auto" w:fill="FFFFFF"/>
          <w:lang w:val="en-GB"/>
        </w:rPr>
        <w:t>enterprise</w:t>
      </w:r>
      <w:r w:rsidR="005E7715" w:rsidRPr="005E7715">
        <w:rPr>
          <w:shd w:val="clear" w:color="auto" w:fill="FFFFFF"/>
          <w:lang w:val="en-GB"/>
        </w:rPr>
        <w:t xml:space="preserve"> group</w:t>
      </w:r>
      <w:r w:rsidR="00880922">
        <w:rPr>
          <w:shd w:val="clear" w:color="auto" w:fill="FFFFFF"/>
          <w:lang w:val="en-GB"/>
        </w:rPr>
        <w:t>.</w:t>
      </w:r>
    </w:p>
    <w:p w14:paraId="25B2B6C6" w14:textId="615479FE" w:rsidR="00510340" w:rsidRPr="00432467" w:rsidRDefault="0059426A" w:rsidP="00CA00A9">
      <w:pPr>
        <w:pStyle w:val="Tytuwykresu0"/>
        <w:tabs>
          <w:tab w:val="left" w:pos="709"/>
        </w:tabs>
        <w:ind w:left="709" w:hanging="709"/>
        <w:rPr>
          <w:rFonts w:ascii="Fira Sans" w:hAnsi="Fira Sans"/>
        </w:rPr>
      </w:pPr>
      <w:r>
        <w:rPr>
          <w:spacing w:val="-2"/>
          <w:szCs w:val="19"/>
          <w:lang w:val="en-GB"/>
        </w:rPr>
        <w:drawing>
          <wp:anchor distT="0" distB="0" distL="114300" distR="114300" simplePos="0" relativeHeight="251777024" behindDoc="0" locked="1" layoutInCell="1" allowOverlap="1" wp14:anchorId="4E76C116" wp14:editId="6F9E09A5">
            <wp:simplePos x="0" y="0"/>
            <wp:positionH relativeFrom="margin">
              <wp:align>left</wp:align>
            </wp:positionH>
            <wp:positionV relativeFrom="paragraph">
              <wp:posOffset>537210</wp:posOffset>
            </wp:positionV>
            <wp:extent cx="5220000" cy="2894400"/>
            <wp:effectExtent l="0" t="0" r="0" b="1270"/>
            <wp:wrapTopAndBottom/>
            <wp:docPr id="9" name="Obraz 9" descr="Chart 4. Percentage of enterprises sourcing business functions externally by type of function and place of sourcing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89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0A9">
        <w:rPr>
          <w:rFonts w:ascii="Fira Sans" w:hAnsi="Fira Sans"/>
        </w:rPr>
        <w:t>Chart</w:t>
      </w:r>
      <w:r w:rsidR="00510340" w:rsidRPr="00432467">
        <w:rPr>
          <w:rFonts w:ascii="Fira Sans" w:hAnsi="Fira Sans"/>
        </w:rPr>
        <w:t xml:space="preserve"> </w:t>
      </w:r>
      <w:r w:rsidR="00510340">
        <w:rPr>
          <w:rFonts w:ascii="Fira Sans" w:hAnsi="Fira Sans"/>
        </w:rPr>
        <w:t>4</w:t>
      </w:r>
      <w:r w:rsidR="00510340" w:rsidRPr="00432467">
        <w:rPr>
          <w:rFonts w:ascii="Fira Sans" w:hAnsi="Fira Sans"/>
        </w:rPr>
        <w:t>.</w:t>
      </w:r>
      <w:r w:rsidR="00510340">
        <w:rPr>
          <w:rFonts w:ascii="Fira Sans" w:hAnsi="Fira Sans"/>
        </w:rPr>
        <w:tab/>
      </w:r>
      <w:r w:rsidR="00D82EAF">
        <w:rPr>
          <w:rFonts w:ascii="Fira Sans" w:hAnsi="Fira Sans"/>
        </w:rPr>
        <w:t xml:space="preserve">Percentage of enterprises sourcing business functions </w:t>
      </w:r>
      <w:r w:rsidR="0064291A">
        <w:rPr>
          <w:rFonts w:ascii="Fira Sans" w:hAnsi="Fira Sans"/>
        </w:rPr>
        <w:t xml:space="preserve">externally </w:t>
      </w:r>
      <w:r w:rsidR="00D82EAF">
        <w:rPr>
          <w:rFonts w:ascii="Fira Sans" w:hAnsi="Fira Sans"/>
        </w:rPr>
        <w:t xml:space="preserve">by </w:t>
      </w:r>
      <w:r w:rsidR="0064291A">
        <w:rPr>
          <w:rFonts w:ascii="Fira Sans" w:hAnsi="Fira Sans"/>
        </w:rPr>
        <w:t>type of</w:t>
      </w:r>
      <w:r w:rsidR="00D82EAF">
        <w:rPr>
          <w:rFonts w:ascii="Fira Sans" w:hAnsi="Fira Sans"/>
        </w:rPr>
        <w:t xml:space="preserve"> function </w:t>
      </w:r>
      <w:r w:rsidR="0064291A">
        <w:rPr>
          <w:rFonts w:ascii="Fira Sans" w:hAnsi="Fira Sans"/>
        </w:rPr>
        <w:t>and place of sourcing</w:t>
      </w:r>
      <w:r w:rsidR="00510340">
        <w:rPr>
          <w:rFonts w:ascii="Fira Sans" w:hAnsi="Fira Sans"/>
        </w:rPr>
        <w:t xml:space="preserve"> </w:t>
      </w:r>
      <w:r w:rsidR="00D82EAF">
        <w:rPr>
          <w:rFonts w:ascii="Fira Sans" w:hAnsi="Fira Sans"/>
        </w:rPr>
        <w:t>in</w:t>
      </w:r>
      <w:r w:rsidR="00510340">
        <w:rPr>
          <w:rFonts w:ascii="Fira Sans" w:hAnsi="Fira Sans"/>
        </w:rPr>
        <w:t xml:space="preserve"> 2020</w:t>
      </w:r>
      <w:bookmarkEnd w:id="5"/>
    </w:p>
    <w:p w14:paraId="541A7F5A" w14:textId="05AD3846" w:rsidR="00510340" w:rsidRDefault="00510340" w:rsidP="00510340">
      <w:pPr>
        <w:spacing w:line="288" w:lineRule="auto"/>
        <w:rPr>
          <w:shd w:val="clear" w:color="auto" w:fill="FFFFFF"/>
          <w:lang w:val="en-GB"/>
        </w:rPr>
      </w:pPr>
      <w:bookmarkStart w:id="6" w:name="_Hlk106802967"/>
      <w:r w:rsidRPr="00F37242">
        <w:rPr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8DD2642" wp14:editId="584C1BA4">
                <wp:simplePos x="0" y="0"/>
                <wp:positionH relativeFrom="rightMargin">
                  <wp:posOffset>171450</wp:posOffset>
                </wp:positionH>
                <wp:positionV relativeFrom="page">
                  <wp:posOffset>6962775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7" name="Pole tekstowe 17" descr="The vast majority (86.9%) of enterprises having sourced business functions externally abroad in 2020 indicated European Union countries as a place of functions performa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F71F" w14:textId="3EDD863C" w:rsidR="00510340" w:rsidRPr="00D82EAF" w:rsidRDefault="00D82EAF" w:rsidP="0051034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D82EAF">
                              <w:rPr>
                                <w:bCs w:val="0"/>
                                <w:lang w:val="en-GB"/>
                              </w:rPr>
                              <w:t>The vast majority</w:t>
                            </w:r>
                            <w:r>
                              <w:rPr>
                                <w:bCs w:val="0"/>
                                <w:lang w:val="en-GB"/>
                              </w:rPr>
                              <w:t xml:space="preserve"> (</w:t>
                            </w:r>
                            <w:r w:rsidR="00C81012">
                              <w:rPr>
                                <w:bCs w:val="0"/>
                                <w:lang w:val="en-GB"/>
                              </w:rPr>
                              <w:t>86.9</w:t>
                            </w:r>
                            <w:r>
                              <w:rPr>
                                <w:bCs w:val="0"/>
                                <w:lang w:val="en-GB"/>
                              </w:rPr>
                              <w:t xml:space="preserve">%) of enterprises having sourced business functions </w:t>
                            </w:r>
                            <w:r w:rsidR="007607F6">
                              <w:rPr>
                                <w:bCs w:val="0"/>
                                <w:lang w:val="en-GB"/>
                              </w:rPr>
                              <w:t xml:space="preserve">externally </w:t>
                            </w:r>
                            <w:r>
                              <w:rPr>
                                <w:bCs w:val="0"/>
                                <w:lang w:val="en-GB"/>
                              </w:rPr>
                              <w:t>abroad in 2020 indicated European Union countries as a place of functions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2642" id="Pole tekstowe 17" o:spid="_x0000_s1030" type="#_x0000_t202" alt="The vast majority (86.9%) of enterprises having sourced business functions externally abroad in 2020 indicated European Union countries as a place of functions performance" style="position:absolute;margin-left:13.5pt;margin-top:548.25pt;width:135.8pt;height:96.1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3/+QEAANUDAAAOAAAAZHJzL2Uyb0RvYy54bWysU8tu2zAQvBfoPxC815IFu0kE00GaNEWB&#10;9AGk/QCKoiyiJJclaUvu13dJKY7R3IL6QHC93Nmd2dHmejSaHKQPCiyjy0VJibQCWmV3jP78cf/u&#10;kpIQuW25BisZPcpAr7dv32wGV8sKetCt9ARBbKgHx2gfo6uLIoheGh4W4KTFZAfe8Iih3xWt5wOi&#10;G11UZfm+GMC3zoOQIeC/d1OSbjN+10kRv3VdkJFoRnG2mE+fzyadxXbD653nrldiHoO/YgrDlcWm&#10;J6g7HjnZe/UCyijhIUAXFwJMAV2nhMwckM2y/IfNY8+dzFxQnOBOMoX/Byu+Hh7dd0/i+AFGXGAm&#10;EdwDiF+BWLjtud3JG+9h6CVvsfEySVYMLtRzaZI61CGBNMMXaHHJfB8hA42dN0kV5EkQHRdwPIku&#10;x0hEanlRrVYlpgTmllVVpiD14PVTufMhfpJgSLow6nGrGZ4fHkKcnj49Sd0s3Cut82a1JQOjV+tq&#10;nQvOMkZFNJ5WhtHLMv0mKySWH22biyNXerrjLNrOtBPTiXMcm5GoltFVqk0qNNAeUQcPk8/wu8BL&#10;D/4PJQN6jNHwe8+9pER/tqjl1RKZoylzsFpfVBj480xznuFWIBSjkZLpehuzkSfKN6h5p7Iaz5PM&#10;I6N3sp6zz5M5z+P86vlr3P4FAAD//wMAUEsDBBQABgAIAAAAIQABbaRY4AAAAAwBAAAPAAAAZHJz&#10;L2Rvd25yZXYueG1sTI/NTsMwEITvSLyDtZW4UbsRTZMQp0IgrlSUH4mbG2+TiHgdxW4T3p7tCY47&#10;O5r5ptzOrhdnHEPnScNqqUAg1d521Gh4f3u+zUCEaMia3hNq+MEA2+r6qjSF9RO94nkfG8EhFAqj&#10;oY1xKKQMdYvOhKUfkPh39KMzkc+xkXY0E4e7XiZKpdKZjrihNQM+tlh/709Ow8fL8evzTu2aJ7ce&#10;Jj8rSS6XWt8s5od7EBHn+GeGCz6jQ8VMB38iG0SvIdnwlMi6ytM1CHYkeZaCOLCUZNkGZFXK/yOq&#10;XwAAAP//AwBQSwECLQAUAAYACAAAACEAtoM4kv4AAADhAQAAEwAAAAAAAAAAAAAAAAAAAAAAW0Nv&#10;bnRlbnRfVHlwZXNdLnhtbFBLAQItABQABgAIAAAAIQA4/SH/1gAAAJQBAAALAAAAAAAAAAAAAAAA&#10;AC8BAABfcmVscy8ucmVsc1BLAQItABQABgAIAAAAIQDRMf3/+QEAANUDAAAOAAAAAAAAAAAAAAAA&#10;AC4CAABkcnMvZTJvRG9jLnhtbFBLAQItABQABgAIAAAAIQABbaRY4AAAAAwBAAAPAAAAAAAAAAAA&#10;AAAAAFMEAABkcnMvZG93bnJldi54bWxQSwUGAAAAAAQABADzAAAAYAUAAAAA&#10;" filled="f" stroked="f">
                <v:textbox>
                  <w:txbxContent>
                    <w:p w14:paraId="0EF7F71F" w14:textId="3EDD863C" w:rsidR="00510340" w:rsidRPr="00D82EAF" w:rsidRDefault="00D82EAF" w:rsidP="00510340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D82EAF">
                        <w:rPr>
                          <w:bCs w:val="0"/>
                          <w:lang w:val="en-GB"/>
                        </w:rPr>
                        <w:t>The vast majority</w:t>
                      </w:r>
                      <w:r>
                        <w:rPr>
                          <w:bCs w:val="0"/>
                          <w:lang w:val="en-GB"/>
                        </w:rPr>
                        <w:t xml:space="preserve"> (</w:t>
                      </w:r>
                      <w:r w:rsidR="00C81012">
                        <w:rPr>
                          <w:bCs w:val="0"/>
                          <w:lang w:val="en-GB"/>
                        </w:rPr>
                        <w:t>86.9</w:t>
                      </w:r>
                      <w:r>
                        <w:rPr>
                          <w:bCs w:val="0"/>
                          <w:lang w:val="en-GB"/>
                        </w:rPr>
                        <w:t xml:space="preserve">%) of enterprises having sourced business functions </w:t>
                      </w:r>
                      <w:r w:rsidR="007607F6">
                        <w:rPr>
                          <w:bCs w:val="0"/>
                          <w:lang w:val="en-GB"/>
                        </w:rPr>
                        <w:t xml:space="preserve">externally </w:t>
                      </w:r>
                      <w:r>
                        <w:rPr>
                          <w:bCs w:val="0"/>
                          <w:lang w:val="en-GB"/>
                        </w:rPr>
                        <w:t>abroad in 2020 indicated European Union countries as a place of functions performance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242" w:rsidRPr="00F37242">
        <w:rPr>
          <w:shd w:val="clear" w:color="auto" w:fill="FFFFFF"/>
          <w:lang w:val="en-GB"/>
        </w:rPr>
        <w:t xml:space="preserve">Among the total </w:t>
      </w:r>
      <w:r w:rsidRPr="00F37242">
        <w:rPr>
          <w:shd w:val="clear" w:color="auto" w:fill="FFFFFF"/>
          <w:lang w:val="en-GB"/>
        </w:rPr>
        <w:t xml:space="preserve">1698 </w:t>
      </w:r>
      <w:r w:rsidR="00F37242" w:rsidRPr="00F37242">
        <w:rPr>
          <w:shd w:val="clear" w:color="auto" w:fill="FFFFFF"/>
          <w:lang w:val="en-GB"/>
        </w:rPr>
        <w:t xml:space="preserve">enterprises sourcing business functions </w:t>
      </w:r>
      <w:r w:rsidR="0090024B">
        <w:rPr>
          <w:shd w:val="clear" w:color="auto" w:fill="FFFFFF"/>
          <w:lang w:val="en-GB"/>
        </w:rPr>
        <w:t xml:space="preserve">externally </w:t>
      </w:r>
      <w:r w:rsidR="00F37242" w:rsidRPr="00F37242">
        <w:rPr>
          <w:shd w:val="clear" w:color="auto" w:fill="FFFFFF"/>
          <w:lang w:val="en-GB"/>
        </w:rPr>
        <w:t>abroad</w:t>
      </w:r>
      <w:r w:rsidR="0090024B">
        <w:rPr>
          <w:shd w:val="clear" w:color="auto" w:fill="FFFFFF"/>
          <w:lang w:val="en-GB"/>
        </w:rPr>
        <w:t xml:space="preserve"> at the end of</w:t>
      </w:r>
      <w:r w:rsidR="00F37242" w:rsidRPr="00F37242">
        <w:rPr>
          <w:shd w:val="clear" w:color="auto" w:fill="FFFFFF"/>
          <w:lang w:val="en-GB"/>
        </w:rPr>
        <w:t xml:space="preserve"> 2020, the </w:t>
      </w:r>
      <w:r w:rsidR="00F37242">
        <w:rPr>
          <w:shd w:val="clear" w:color="auto" w:fill="FFFFFF"/>
          <w:lang w:val="en-GB"/>
        </w:rPr>
        <w:t>highest percentage</w:t>
      </w:r>
      <w:r w:rsidRPr="00F37242">
        <w:rPr>
          <w:shd w:val="clear" w:color="auto" w:fill="FFFFFF"/>
          <w:lang w:val="en-GB"/>
        </w:rPr>
        <w:t xml:space="preserve"> (</w:t>
      </w:r>
      <w:r w:rsidR="00C81012">
        <w:rPr>
          <w:shd w:val="clear" w:color="auto" w:fill="FFFFFF"/>
          <w:lang w:val="en-GB"/>
        </w:rPr>
        <w:t>94.9</w:t>
      </w:r>
      <w:r w:rsidRPr="00F37242">
        <w:rPr>
          <w:shd w:val="clear" w:color="auto" w:fill="FFFFFF"/>
          <w:lang w:val="en-GB"/>
        </w:rPr>
        <w:t xml:space="preserve">%) </w:t>
      </w:r>
      <w:r w:rsidR="00F37242" w:rsidRPr="00F37242">
        <w:rPr>
          <w:shd w:val="clear" w:color="auto" w:fill="FFFFFF"/>
          <w:lang w:val="en-GB"/>
        </w:rPr>
        <w:t xml:space="preserve">indicated another European enterprise as the place where the function was performed, of which </w:t>
      </w:r>
      <w:r w:rsidR="00C81012">
        <w:rPr>
          <w:shd w:val="clear" w:color="auto" w:fill="FFFFFF"/>
          <w:lang w:val="en-GB"/>
        </w:rPr>
        <w:t>86.9</w:t>
      </w:r>
      <w:r w:rsidR="00F37242" w:rsidRPr="00F37242">
        <w:rPr>
          <w:shd w:val="clear" w:color="auto" w:fill="FFFFFF"/>
          <w:lang w:val="en-GB"/>
        </w:rPr>
        <w:t xml:space="preserve">% </w:t>
      </w:r>
      <w:r w:rsidR="00F37242">
        <w:rPr>
          <w:shd w:val="clear" w:color="auto" w:fill="FFFFFF"/>
          <w:lang w:val="en-GB"/>
        </w:rPr>
        <w:t>o</w:t>
      </w:r>
      <w:r w:rsidR="00F37242" w:rsidRPr="00F37242">
        <w:rPr>
          <w:shd w:val="clear" w:color="auto" w:fill="FFFFFF"/>
          <w:lang w:val="en-GB"/>
        </w:rPr>
        <w:t xml:space="preserve">ther </w:t>
      </w:r>
      <w:r w:rsidR="007607F6">
        <w:rPr>
          <w:shd w:val="clear" w:color="auto" w:fill="FFFFFF"/>
          <w:lang w:val="en-GB"/>
        </w:rPr>
        <w:t>unit</w:t>
      </w:r>
      <w:r w:rsidR="00F37242" w:rsidRPr="00F37242">
        <w:rPr>
          <w:shd w:val="clear" w:color="auto" w:fill="FFFFFF"/>
          <w:lang w:val="en-GB"/>
        </w:rPr>
        <w:t xml:space="preserve"> from the European Union</w:t>
      </w:r>
      <w:r w:rsidR="00F37242">
        <w:rPr>
          <w:shd w:val="clear" w:color="auto" w:fill="FFFFFF"/>
          <w:lang w:val="en-GB"/>
        </w:rPr>
        <w:t>.</w:t>
      </w:r>
    </w:p>
    <w:p w14:paraId="1A70D513" w14:textId="1D213752" w:rsidR="00F37242" w:rsidRPr="00C05EB6" w:rsidRDefault="00F37242" w:rsidP="00F37242">
      <w:pPr>
        <w:tabs>
          <w:tab w:val="left" w:pos="709"/>
        </w:tabs>
        <w:spacing w:line="288" w:lineRule="auto"/>
        <w:ind w:left="709" w:hanging="709"/>
        <w:rPr>
          <w:rFonts w:eastAsia="Times New Roman" w:cs="Times New Roman"/>
          <w:b/>
          <w:bCs/>
          <w:noProof/>
          <w:szCs w:val="24"/>
          <w:lang w:eastAsia="pl-PL"/>
        </w:rPr>
      </w:pPr>
      <w:bookmarkStart w:id="7" w:name="_Hlk106802977"/>
      <w:r>
        <w:rPr>
          <w:noProof/>
        </w:rPr>
        <w:drawing>
          <wp:anchor distT="0" distB="0" distL="114300" distR="114300" simplePos="0" relativeHeight="251774976" behindDoc="0" locked="1" layoutInCell="1" allowOverlap="1" wp14:anchorId="75AAF52B" wp14:editId="5904EEC3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5220000" cy="2286688"/>
            <wp:effectExtent l="0" t="0" r="0" b="0"/>
            <wp:wrapTopAndBottom/>
            <wp:docPr id="41" name="Obraz 41" descr="Chart 5. Percentage of enterprises sourcing business functions externally in the European Union countries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286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noProof/>
          <w:szCs w:val="24"/>
          <w:lang w:eastAsia="pl-PL"/>
        </w:rPr>
        <w:t>Chart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5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>.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ab/>
        <w:t xml:space="preserve">Percentage of enterprises sourcing business functions </w:t>
      </w:r>
      <w:r w:rsidR="00717943">
        <w:rPr>
          <w:rFonts w:eastAsia="Times New Roman" w:cs="Times New Roman"/>
          <w:b/>
          <w:bCs/>
          <w:noProof/>
          <w:szCs w:val="24"/>
          <w:lang w:eastAsia="pl-PL"/>
        </w:rPr>
        <w:t xml:space="preserve">externally 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 xml:space="preserve">in </w:t>
      </w:r>
      <w:r w:rsidR="002D60B6">
        <w:rPr>
          <w:rFonts w:eastAsia="Times New Roman" w:cs="Times New Roman"/>
          <w:b/>
          <w:bCs/>
          <w:noProof/>
          <w:szCs w:val="24"/>
          <w:lang w:eastAsia="pl-PL"/>
        </w:rPr>
        <w:t>t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he European Union countries in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2020</w:t>
      </w:r>
    </w:p>
    <w:bookmarkEnd w:id="7"/>
    <w:p w14:paraId="38F58CB0" w14:textId="6EAECFC8" w:rsidR="00510340" w:rsidRPr="002D60B6" w:rsidRDefault="002D60B6" w:rsidP="00510340">
      <w:pPr>
        <w:spacing w:line="288" w:lineRule="auto"/>
        <w:rPr>
          <w:shd w:val="clear" w:color="auto" w:fill="FFFFFF"/>
          <w:lang w:val="en-GB"/>
        </w:rPr>
      </w:pPr>
      <w:r w:rsidRPr="002D60B6">
        <w:rPr>
          <w:shd w:val="clear" w:color="auto" w:fill="FFFFFF"/>
          <w:lang w:val="en-GB"/>
        </w:rPr>
        <w:lastRenderedPageBreak/>
        <w:t xml:space="preserve">In the </w:t>
      </w:r>
      <w:proofErr w:type="spellStart"/>
      <w:r w:rsidRPr="002D60B6">
        <w:rPr>
          <w:shd w:val="clear" w:color="auto" w:fill="FFFFFF"/>
          <w:lang w:val="en-GB"/>
        </w:rPr>
        <w:t>Visegrd</w:t>
      </w:r>
      <w:proofErr w:type="spellEnd"/>
      <w:r w:rsidRPr="002D60B6">
        <w:rPr>
          <w:shd w:val="clear" w:color="auto" w:fill="FFFFFF"/>
          <w:lang w:val="en-GB"/>
        </w:rPr>
        <w:t xml:space="preserve"> Group countries, functions were performed by 20.</w:t>
      </w:r>
      <w:r w:rsidR="00C81012">
        <w:rPr>
          <w:shd w:val="clear" w:color="auto" w:fill="FFFFFF"/>
          <w:lang w:val="en-GB"/>
        </w:rPr>
        <w:t>4</w:t>
      </w:r>
      <w:r w:rsidRPr="002D60B6">
        <w:rPr>
          <w:shd w:val="clear" w:color="auto" w:fill="FFFFFF"/>
          <w:lang w:val="en-GB"/>
        </w:rPr>
        <w:t xml:space="preserve">% of the total number of </w:t>
      </w:r>
      <w:r>
        <w:rPr>
          <w:shd w:val="clear" w:color="auto" w:fill="FFFFFF"/>
          <w:lang w:val="en-GB"/>
        </w:rPr>
        <w:t>enterprises</w:t>
      </w:r>
      <w:r w:rsidRPr="002D60B6">
        <w:rPr>
          <w:shd w:val="clear" w:color="auto" w:fill="FFFFFF"/>
          <w:lang w:val="en-GB"/>
        </w:rPr>
        <w:t xml:space="preserve"> carrying out activities abroad</w:t>
      </w:r>
      <w:r>
        <w:rPr>
          <w:shd w:val="clear" w:color="auto" w:fill="FFFFFF"/>
          <w:lang w:val="en-GB"/>
        </w:rPr>
        <w:t xml:space="preserve"> (i</w:t>
      </w:r>
      <w:r w:rsidRPr="002D60B6">
        <w:rPr>
          <w:shd w:val="clear" w:color="auto" w:fill="FFFFFF"/>
          <w:lang w:val="en-GB"/>
        </w:rPr>
        <w:t>n the Czech</w:t>
      </w:r>
      <w:r>
        <w:rPr>
          <w:shd w:val="clear" w:color="auto" w:fill="FFFFFF"/>
          <w:lang w:val="en-GB"/>
        </w:rPr>
        <w:t>ia</w:t>
      </w:r>
      <w:r w:rsidRPr="002D60B6">
        <w:rPr>
          <w:shd w:val="clear" w:color="auto" w:fill="FFFFFF"/>
          <w:lang w:val="en-GB"/>
        </w:rPr>
        <w:t xml:space="preserve"> 15.3%, in Slovakia 8.0%</w:t>
      </w:r>
      <w:r w:rsidR="00717943">
        <w:rPr>
          <w:shd w:val="clear" w:color="auto" w:fill="FFFFFF"/>
          <w:lang w:val="en-GB"/>
        </w:rPr>
        <w:t xml:space="preserve">, </w:t>
      </w:r>
      <w:r w:rsidRPr="002D60B6">
        <w:rPr>
          <w:shd w:val="clear" w:color="auto" w:fill="FFFFFF"/>
          <w:lang w:val="en-GB"/>
        </w:rPr>
        <w:t>in Hungary 6.7%</w:t>
      </w:r>
      <w:r>
        <w:rPr>
          <w:shd w:val="clear" w:color="auto" w:fill="FFFFFF"/>
          <w:lang w:val="en-GB"/>
        </w:rPr>
        <w:t xml:space="preserve">), and in </w:t>
      </w:r>
      <w:r w:rsidR="007E0D7D">
        <w:rPr>
          <w:shd w:val="clear" w:color="auto" w:fill="FFFFFF"/>
          <w:lang w:val="en-GB"/>
        </w:rPr>
        <w:t xml:space="preserve">the </w:t>
      </w:r>
      <w:r>
        <w:rPr>
          <w:shd w:val="clear" w:color="auto" w:fill="FFFFFF"/>
          <w:lang w:val="en-GB"/>
        </w:rPr>
        <w:t xml:space="preserve">United Kingdom </w:t>
      </w:r>
      <w:r w:rsidR="00093587">
        <w:rPr>
          <w:shd w:val="clear" w:color="auto" w:fill="FFFFFF"/>
          <w:lang w:val="en-GB"/>
        </w:rPr>
        <w:t>1</w:t>
      </w:r>
      <w:r w:rsidR="00510340" w:rsidRPr="002D60B6">
        <w:rPr>
          <w:shd w:val="clear" w:color="auto" w:fill="FFFFFF"/>
          <w:lang w:val="en-GB"/>
        </w:rPr>
        <w:t>7</w:t>
      </w:r>
      <w:r w:rsidR="00093587">
        <w:rPr>
          <w:shd w:val="clear" w:color="auto" w:fill="FFFFFF"/>
          <w:lang w:val="en-GB"/>
        </w:rPr>
        <w:t>.</w:t>
      </w:r>
      <w:r w:rsidR="00510340" w:rsidRPr="002D60B6">
        <w:rPr>
          <w:shd w:val="clear" w:color="auto" w:fill="FFFFFF"/>
          <w:lang w:val="en-GB"/>
        </w:rPr>
        <w:t xml:space="preserve">3%. </w:t>
      </w:r>
      <w:r w:rsidRPr="002D60B6">
        <w:rPr>
          <w:shd w:val="clear" w:color="auto" w:fill="FFFFFF"/>
          <w:lang w:val="en-GB"/>
        </w:rPr>
        <w:t>In countries outside Europe, functions were most frequently performed in the United States and Canada (13.7%).</w:t>
      </w:r>
    </w:p>
    <w:p w14:paraId="3FBF6833" w14:textId="51305A36" w:rsidR="00510340" w:rsidRPr="002D60B6" w:rsidRDefault="00921BB0" w:rsidP="00921BB0">
      <w:pPr>
        <w:pStyle w:val="Tytutablicy"/>
        <w:tabs>
          <w:tab w:val="left" w:pos="709"/>
        </w:tabs>
        <w:ind w:left="709" w:hanging="709"/>
        <w:rPr>
          <w:lang w:val="en-GB"/>
        </w:rPr>
      </w:pPr>
      <w:r w:rsidRPr="002D60B6">
        <w:rPr>
          <w:lang w:val="en-GB"/>
        </w:rPr>
        <w:t>Table</w:t>
      </w:r>
      <w:r w:rsidR="00510340" w:rsidRPr="002D60B6">
        <w:rPr>
          <w:lang w:val="en-GB"/>
        </w:rPr>
        <w:t xml:space="preserve"> 2.</w:t>
      </w:r>
      <w:r w:rsidR="00510340" w:rsidRPr="002D60B6">
        <w:rPr>
          <w:lang w:val="en-GB"/>
        </w:rPr>
        <w:tab/>
      </w:r>
      <w:r w:rsidRPr="002D60B6">
        <w:rPr>
          <w:lang w:val="en-GB"/>
        </w:rPr>
        <w:t xml:space="preserve">Percentage of enterprises sourcing business functions </w:t>
      </w:r>
      <w:r w:rsidR="00717943">
        <w:rPr>
          <w:lang w:val="en-GB"/>
        </w:rPr>
        <w:t xml:space="preserve">externally </w:t>
      </w:r>
      <w:r w:rsidRPr="002D60B6">
        <w:rPr>
          <w:lang w:val="en-GB"/>
        </w:rPr>
        <w:t>abroad by selected areas in</w:t>
      </w:r>
      <w:r w:rsidR="00510340" w:rsidRPr="002D60B6">
        <w:rPr>
          <w:lang w:val="en-GB"/>
        </w:rPr>
        <w:t xml:space="preserve"> 2020</w:t>
      </w: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Percentage of enterprises sourcing business functions externally abroad by se-lected areas in 2020"/>
      </w:tblPr>
      <w:tblGrid>
        <w:gridCol w:w="3828"/>
        <w:gridCol w:w="822"/>
        <w:gridCol w:w="822"/>
        <w:gridCol w:w="822"/>
        <w:gridCol w:w="822"/>
        <w:gridCol w:w="822"/>
      </w:tblGrid>
      <w:tr w:rsidR="00717943" w:rsidRPr="002D60B6" w14:paraId="260E5070" w14:textId="4C9683D3" w:rsidTr="00717943">
        <w:trPr>
          <w:trHeight w:val="90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vAlign w:val="center"/>
            <w:hideMark/>
          </w:tcPr>
          <w:p w14:paraId="2D0D39DB" w14:textId="431BC9B3" w:rsidR="00717943" w:rsidRPr="002D60B6" w:rsidRDefault="00717943" w:rsidP="00717943">
            <w:pPr>
              <w:pStyle w:val="Tablicagwka"/>
              <w:ind w:left="0"/>
              <w:jc w:val="center"/>
              <w:rPr>
                <w:lang w:val="en-GB"/>
              </w:rPr>
            </w:pPr>
            <w:r w:rsidRPr="002D60B6">
              <w:rPr>
                <w:lang w:val="en-GB"/>
              </w:rPr>
              <w:t>Business functions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F714B6A" w14:textId="786C4956" w:rsidR="00717943" w:rsidRPr="00717943" w:rsidRDefault="00717943" w:rsidP="00717943">
            <w:pPr>
              <w:pStyle w:val="Tablicagwka"/>
              <w:ind w:left="0"/>
              <w:jc w:val="center"/>
            </w:pPr>
            <w:r w:rsidRPr="00717943">
              <w:t>Total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671EF0" w14:textId="67926994" w:rsidR="00717943" w:rsidRPr="00717943" w:rsidRDefault="00717943" w:rsidP="00717943">
            <w:pPr>
              <w:pStyle w:val="Tablicagwka"/>
              <w:ind w:left="0"/>
              <w:jc w:val="center"/>
            </w:pPr>
            <w:r w:rsidRPr="00717943">
              <w:t>Europe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71AB9B9" w14:textId="76E93704" w:rsidR="00717943" w:rsidRPr="00717943" w:rsidRDefault="00717943" w:rsidP="00717943">
            <w:pPr>
              <w:pStyle w:val="Tablicagwka"/>
              <w:ind w:left="0"/>
              <w:jc w:val="center"/>
            </w:pPr>
            <w:r w:rsidRPr="00717943">
              <w:t>United States and Canada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753D48F" w14:textId="6BF09600" w:rsidR="00717943" w:rsidRPr="00717943" w:rsidRDefault="00717943" w:rsidP="00717943">
            <w:pPr>
              <w:pStyle w:val="Tablicagwka"/>
              <w:ind w:left="0"/>
              <w:jc w:val="center"/>
            </w:pPr>
            <w:r w:rsidRPr="00717943">
              <w:t>China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54C2020" w14:textId="07B78074" w:rsidR="00717943" w:rsidRPr="00717943" w:rsidRDefault="00717943" w:rsidP="00717943">
            <w:pPr>
              <w:pStyle w:val="Tablicagwka"/>
              <w:ind w:left="0"/>
              <w:jc w:val="center"/>
            </w:pPr>
            <w:r w:rsidRPr="00717943">
              <w:t>India</w:t>
            </w:r>
          </w:p>
        </w:tc>
      </w:tr>
      <w:tr w:rsidR="00717943" w:rsidRPr="002D60B6" w14:paraId="47A48898" w14:textId="77777777" w:rsidTr="00717943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bottom"/>
          </w:tcPr>
          <w:p w14:paraId="19ADF2D6" w14:textId="77777777" w:rsidR="00717943" w:rsidRDefault="00717943" w:rsidP="00717943">
            <w:pPr>
              <w:pStyle w:val="Tablicadanerodek"/>
              <w:jc w:val="left"/>
              <w:rPr>
                <w:lang w:val="en-GB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3A4A18C1" w14:textId="27B66320" w:rsidR="00717943" w:rsidRPr="00717943" w:rsidRDefault="00717943" w:rsidP="00717943">
            <w:pPr>
              <w:pStyle w:val="Tablicagwka"/>
              <w:ind w:left="0"/>
              <w:contextualSpacing w:val="0"/>
              <w:jc w:val="center"/>
            </w:pPr>
            <w:r w:rsidRPr="00717943">
              <w:t>in %</w:t>
            </w:r>
          </w:p>
        </w:tc>
      </w:tr>
      <w:tr w:rsidR="00717943" w:rsidRPr="002D60B6" w14:paraId="6D90C2AF" w14:textId="25CB8614" w:rsidTr="00717943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442AA6A8" w14:textId="5655D589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Production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348449D" w14:textId="0BA48992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100.0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7CFCBF" w14:textId="6F0DD6D4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93.6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F910B1" w14:textId="2DF9C090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5.0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5021FF4" w14:textId="4E505062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7.3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0BE36A7C" w14:textId="05CC509C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2.6</w:t>
            </w:r>
          </w:p>
        </w:tc>
      </w:tr>
      <w:tr w:rsidR="00717943" w:rsidRPr="002D60B6" w14:paraId="382CB227" w14:textId="2E78D9E2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658994E7" w14:textId="789E0D41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Management and administration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6A226052" w14:textId="678C4CDF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D6140A" w14:textId="6F6050F7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94.8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CB8CD7" w14:textId="2717C297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11.8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9E6D957" w14:textId="3167AC1C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D4B8DD6" w14:textId="1E99E196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4.3</w:t>
            </w:r>
          </w:p>
        </w:tc>
      </w:tr>
      <w:tr w:rsidR="00717943" w:rsidRPr="002D60B6" w14:paraId="46789E67" w14:textId="068D49AD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25BB49F4" w14:textId="6052FEB0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Engineering and related technical services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1D10C992" w14:textId="3239AAE3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1194CC" w14:textId="43DC500C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98.5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8616C6" w14:textId="3C68C4F0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7.1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4247A67" w14:textId="3F919A86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55019EE" w14:textId="2649ED2E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2.0</w:t>
            </w:r>
          </w:p>
        </w:tc>
      </w:tr>
      <w:tr w:rsidR="00717943" w:rsidRPr="002D60B6" w14:paraId="5AFE2C1C" w14:textId="1CFFC67C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C61BF38" w14:textId="5BBEE42E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Research and development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6CF18D19" w14:textId="56359184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9BEFC69" w14:textId="3907936B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86.9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EE5F33A" w14:textId="499A5D91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14.5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6B0E2EB" w14:textId="3A67FAF0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3.2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B6E42D0" w14:textId="6113490E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0.9</w:t>
            </w:r>
          </w:p>
        </w:tc>
      </w:tr>
      <w:tr w:rsidR="00717943" w:rsidRPr="002D60B6" w14:paraId="51CB023E" w14:textId="7005EF24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63EF06BC" w14:textId="45F16905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Information technology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63E24EF5" w14:textId="18B255CD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BFC0616" w14:textId="63A497B0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93.0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E826837" w14:textId="380834C1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13.0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BE4C0F3" w14:textId="02462BC9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EB42028" w14:textId="024ED431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3.6</w:t>
            </w:r>
          </w:p>
        </w:tc>
      </w:tr>
      <w:tr w:rsidR="00717943" w:rsidRPr="002D60B6" w14:paraId="228E0B51" w14:textId="4F425D8C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7421E7CD" w14:textId="0BD65FD1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Marketing, sales and after-sales services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53C69729" w14:textId="1A194095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A1EB1F" w14:textId="0C2E94A8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95.0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2C5B4F7" w14:textId="77495D46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10.6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5BC441F" w14:textId="246787A3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2.2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400B947C" w14:textId="37831509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1.3</w:t>
            </w:r>
          </w:p>
        </w:tc>
      </w:tr>
      <w:tr w:rsidR="00717943" w:rsidRPr="002D60B6" w14:paraId="0DB293C5" w14:textId="174C1D9C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3E54E2CA" w14:textId="0DCBFB23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Transportation, logistics and storage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598D3A58" w14:textId="0EA3111A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042F71" w14:textId="78D54F76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97.2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9CC3FD" w14:textId="4E8183C5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6.7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21794C1" w14:textId="457FBD3C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3.4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E18A4DD" w14:textId="1068BAB2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1.7</w:t>
            </w:r>
          </w:p>
        </w:tc>
      </w:tr>
      <w:tr w:rsidR="00717943" w:rsidRPr="002D60B6" w14:paraId="3A879B1F" w14:textId="72799F27" w:rsidTr="00A41F00">
        <w:trPr>
          <w:trHeight w:val="300"/>
        </w:trPr>
        <w:tc>
          <w:tcPr>
            <w:tcW w:w="3828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16DBB686" w14:textId="62BF3EAE" w:rsidR="00717943" w:rsidRPr="002D60B6" w:rsidRDefault="00717943" w:rsidP="00717943">
            <w:pPr>
              <w:pStyle w:val="Tablicadanerodek"/>
              <w:jc w:val="left"/>
              <w:rPr>
                <w:lang w:val="en-GB"/>
              </w:rPr>
            </w:pPr>
            <w:r w:rsidRPr="002D60B6">
              <w:rPr>
                <w:lang w:val="en-GB"/>
              </w:rPr>
              <w:t>Other business functions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05F5F0E0" w14:textId="4AA7BB30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 w:rsidRPr="00A60EE1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.</w:t>
            </w:r>
            <w:r w:rsidRPr="00A60EE1">
              <w:rPr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47266BB6" w14:textId="64E18F05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97.1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7FEF0A6" w14:textId="6469CD4F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12.1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vAlign w:val="bottom"/>
          </w:tcPr>
          <w:p w14:paraId="7A62C760" w14:textId="0545320E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4.2</w:t>
            </w:r>
          </w:p>
        </w:tc>
        <w:tc>
          <w:tcPr>
            <w:tcW w:w="822" w:type="dxa"/>
            <w:tcBorders>
              <w:top w:val="single" w:sz="4" w:space="0" w:color="001D77"/>
              <w:left w:val="single" w:sz="4" w:space="0" w:color="001D77"/>
              <w:bottom w:val="nil"/>
            </w:tcBorders>
          </w:tcPr>
          <w:p w14:paraId="3EDB9873" w14:textId="2B6748B3" w:rsidR="00717943" w:rsidRPr="002D60B6" w:rsidRDefault="00717943" w:rsidP="00717943">
            <w:pPr>
              <w:pStyle w:val="Tablicadanerodek"/>
              <w:rPr>
                <w:lang w:val="en-GB"/>
              </w:rPr>
            </w:pPr>
            <w:r>
              <w:rPr>
                <w:color w:val="000000" w:themeColor="text1"/>
              </w:rPr>
              <w:t>2.0</w:t>
            </w:r>
          </w:p>
        </w:tc>
      </w:tr>
      <w:bookmarkEnd w:id="6"/>
    </w:tbl>
    <w:p w14:paraId="3F3C17FB" w14:textId="77777777" w:rsidR="00510340" w:rsidRPr="002D60B6" w:rsidRDefault="00510340" w:rsidP="00510340">
      <w:pPr>
        <w:rPr>
          <w:sz w:val="18"/>
          <w:lang w:val="en-GB"/>
        </w:rPr>
      </w:pPr>
    </w:p>
    <w:p w14:paraId="7F70D29E" w14:textId="15EDC811" w:rsidR="00510340" w:rsidRPr="002D60B6" w:rsidRDefault="00752739" w:rsidP="00510340">
      <w:pPr>
        <w:rPr>
          <w:sz w:val="18"/>
          <w:lang w:val="en-GB"/>
        </w:rPr>
      </w:pPr>
      <w:r w:rsidRPr="002D60B6">
        <w:rPr>
          <w:sz w:val="18"/>
          <w:lang w:val="en-GB"/>
        </w:rPr>
        <w:t xml:space="preserve">The data presented in this study concern </w:t>
      </w:r>
      <w:r w:rsidR="00510340" w:rsidRPr="002D60B6">
        <w:rPr>
          <w:sz w:val="18"/>
          <w:lang w:val="en-GB"/>
        </w:rPr>
        <w:t xml:space="preserve">42 762 </w:t>
      </w:r>
      <w:r w:rsidRPr="002D60B6">
        <w:rPr>
          <w:sz w:val="18"/>
          <w:lang w:val="en-GB"/>
        </w:rPr>
        <w:t>legal units with the number of persons employed 10 and more, organised in the form of</w:t>
      </w:r>
      <w:r w:rsidRPr="002D60B6">
        <w:rPr>
          <w:lang w:val="en-GB"/>
        </w:rPr>
        <w:t xml:space="preserve"> </w:t>
      </w:r>
      <w:r w:rsidRPr="002D60B6">
        <w:rPr>
          <w:sz w:val="18"/>
          <w:lang w:val="en-GB"/>
        </w:rPr>
        <w:t xml:space="preserve">civil law partnerships, partnerships, commercial companies, capital companies, branches of foreign enterprises, state-owned enterprises, whose main kind of economic activity is classified to the following sections of the Polish Classification of Activity PKD 2007 (NACE ver. 2.0): </w:t>
      </w:r>
      <w:r w:rsidR="00510340" w:rsidRPr="002D60B6">
        <w:rPr>
          <w:sz w:val="18"/>
          <w:lang w:val="en-GB"/>
        </w:rPr>
        <w:t>B, C, D, E, F, G, H, I, J (</w:t>
      </w:r>
      <w:r w:rsidRPr="002D60B6">
        <w:rPr>
          <w:sz w:val="18"/>
          <w:lang w:val="en-GB"/>
        </w:rPr>
        <w:t>excluding cultural institutions with legal personality</w:t>
      </w:r>
      <w:r w:rsidR="00510340" w:rsidRPr="002D60B6">
        <w:rPr>
          <w:sz w:val="18"/>
          <w:lang w:val="en-GB"/>
        </w:rPr>
        <w:t>), K (</w:t>
      </w:r>
      <w:r w:rsidRPr="002D60B6">
        <w:rPr>
          <w:sz w:val="18"/>
          <w:lang w:val="en-GB"/>
        </w:rPr>
        <w:t>without banks, cooperative savings and credit unions, insurance companies, brokerage houses, investment funds and pension funds</w:t>
      </w:r>
      <w:r w:rsidR="00510340" w:rsidRPr="002D60B6">
        <w:rPr>
          <w:sz w:val="18"/>
          <w:lang w:val="en-GB"/>
        </w:rPr>
        <w:t>), L, M, N, P (</w:t>
      </w:r>
      <w:r w:rsidRPr="002D60B6">
        <w:rPr>
          <w:sz w:val="18"/>
          <w:lang w:val="en-GB"/>
        </w:rPr>
        <w:t>without higher education</w:t>
      </w:r>
      <w:r w:rsidR="00510340" w:rsidRPr="002D60B6">
        <w:rPr>
          <w:sz w:val="18"/>
          <w:lang w:val="en-GB"/>
        </w:rPr>
        <w:t>), Q (</w:t>
      </w:r>
      <w:r w:rsidRPr="002D60B6">
        <w:rPr>
          <w:sz w:val="18"/>
          <w:lang w:val="en-GB"/>
        </w:rPr>
        <w:t>without independent health care facilities</w:t>
      </w:r>
      <w:r w:rsidR="00510340" w:rsidRPr="002D60B6">
        <w:rPr>
          <w:sz w:val="18"/>
          <w:lang w:val="en-GB"/>
        </w:rPr>
        <w:t>), R (</w:t>
      </w:r>
      <w:r w:rsidRPr="002D60B6">
        <w:rPr>
          <w:sz w:val="18"/>
          <w:lang w:val="en-GB"/>
        </w:rPr>
        <w:t>excluding cultural institutions with legal personality</w:t>
      </w:r>
      <w:r w:rsidR="00510340" w:rsidRPr="002D60B6">
        <w:rPr>
          <w:sz w:val="18"/>
          <w:lang w:val="en-GB"/>
        </w:rPr>
        <w:t>), S (</w:t>
      </w:r>
      <w:r w:rsidR="00600F09" w:rsidRPr="002D60B6">
        <w:rPr>
          <w:sz w:val="18"/>
          <w:lang w:val="en-GB"/>
        </w:rPr>
        <w:t>without division 94</w:t>
      </w:r>
      <w:r w:rsidR="00510340" w:rsidRPr="002D60B6">
        <w:rPr>
          <w:sz w:val="18"/>
          <w:lang w:val="en-GB"/>
        </w:rPr>
        <w:t>).</w:t>
      </w:r>
    </w:p>
    <w:p w14:paraId="264D00D2" w14:textId="01F6F9F9" w:rsidR="00510340" w:rsidRDefault="00CE069B" w:rsidP="00510340">
      <w:pPr>
        <w:rPr>
          <w:sz w:val="18"/>
          <w:lang w:val="en-GB"/>
        </w:rPr>
      </w:pPr>
      <w:r w:rsidRPr="002D60B6">
        <w:rPr>
          <w:sz w:val="18"/>
          <w:lang w:val="en-GB"/>
        </w:rPr>
        <w:t>Survey of global value chains has been conducted in Statistics Poland since 2020. The current first results of the study have allowed</w:t>
      </w:r>
      <w:r w:rsidR="0042783C" w:rsidRPr="002D60B6">
        <w:rPr>
          <w:sz w:val="18"/>
          <w:lang w:val="en-GB"/>
        </w:rPr>
        <w:t xml:space="preserve"> for preliminary analysis of the value chains of national enterprises</w:t>
      </w:r>
      <w:r w:rsidR="0026536D">
        <w:rPr>
          <w:sz w:val="18"/>
          <w:lang w:val="en-GB"/>
        </w:rPr>
        <w:t xml:space="preserve">, carried out using </w:t>
      </w:r>
      <w:r w:rsidR="00717943">
        <w:rPr>
          <w:sz w:val="18"/>
          <w:lang w:val="en-GB"/>
        </w:rPr>
        <w:t>business function. There were distinguished 8</w:t>
      </w:r>
      <w:r w:rsidR="0026536D">
        <w:rPr>
          <w:sz w:val="18"/>
          <w:lang w:val="en-GB"/>
        </w:rPr>
        <w:t xml:space="preserve"> business</w:t>
      </w:r>
      <w:r w:rsidR="00717943">
        <w:rPr>
          <w:sz w:val="18"/>
          <w:lang w:val="en-GB"/>
        </w:rPr>
        <w:t xml:space="preserve"> functions:</w:t>
      </w:r>
    </w:p>
    <w:p w14:paraId="72C4E66B" w14:textId="7FE6A17F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Production (</w:t>
      </w:r>
      <w:r w:rsidR="00345B35" w:rsidRPr="00AE1BA2">
        <w:rPr>
          <w:sz w:val="18"/>
          <w:lang w:val="en-GB"/>
        </w:rPr>
        <w:t>manufacturing and assembly,</w:t>
      </w:r>
      <w:r w:rsidR="0026536D">
        <w:rPr>
          <w:sz w:val="18"/>
          <w:lang w:val="en-GB"/>
        </w:rPr>
        <w:t xml:space="preserve"> production of</w:t>
      </w:r>
      <w:r w:rsidR="00345B35" w:rsidRPr="00AE1BA2">
        <w:rPr>
          <w:sz w:val="18"/>
          <w:lang w:val="en-GB"/>
        </w:rPr>
        <w:t xml:space="preserve"> energy and extraction of raw materials, construction);</w:t>
      </w:r>
    </w:p>
    <w:p w14:paraId="06C88060" w14:textId="124A7EAD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Management and administration</w:t>
      </w:r>
      <w:r w:rsidR="00345B35" w:rsidRPr="00AE1BA2">
        <w:rPr>
          <w:sz w:val="18"/>
          <w:lang w:val="en-GB"/>
        </w:rPr>
        <w:t>;</w:t>
      </w:r>
    </w:p>
    <w:p w14:paraId="54F18CC2" w14:textId="4EEA7B4D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Engineering and related technical services</w:t>
      </w:r>
      <w:r w:rsidR="00345B35" w:rsidRPr="00AE1BA2">
        <w:rPr>
          <w:sz w:val="18"/>
          <w:lang w:val="en-GB"/>
        </w:rPr>
        <w:t>;</w:t>
      </w:r>
    </w:p>
    <w:p w14:paraId="51B1DCEC" w14:textId="14892B9E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Research and development</w:t>
      </w:r>
      <w:r w:rsidR="00345B35" w:rsidRPr="00AE1BA2">
        <w:rPr>
          <w:sz w:val="18"/>
          <w:lang w:val="en-GB"/>
        </w:rPr>
        <w:t>;</w:t>
      </w:r>
    </w:p>
    <w:p w14:paraId="2F751989" w14:textId="066E1153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Information technology</w:t>
      </w:r>
      <w:r w:rsidR="00345B35" w:rsidRPr="00AE1BA2">
        <w:rPr>
          <w:sz w:val="18"/>
          <w:lang w:val="en-GB"/>
        </w:rPr>
        <w:t xml:space="preserve"> (</w:t>
      </w:r>
      <w:r w:rsidR="0026536D">
        <w:rPr>
          <w:sz w:val="18"/>
          <w:lang w:val="en-GB"/>
        </w:rPr>
        <w:t>i</w:t>
      </w:r>
      <w:r w:rsidR="00345B35" w:rsidRPr="00AE1BA2">
        <w:rPr>
          <w:sz w:val="18"/>
          <w:lang w:val="en-GB"/>
        </w:rPr>
        <w:t>nformation technology services, software programming,</w:t>
      </w:r>
      <w:r w:rsidR="00345B35" w:rsidRPr="00AE1BA2">
        <w:rPr>
          <w:lang w:val="en-GB"/>
        </w:rPr>
        <w:t xml:space="preserve"> </w:t>
      </w:r>
      <w:r w:rsidR="00345B35" w:rsidRPr="00AE1BA2">
        <w:rPr>
          <w:sz w:val="18"/>
          <w:lang w:val="en-GB"/>
        </w:rPr>
        <w:t xml:space="preserve">IT system installation, maintenance, help desk services, </w:t>
      </w:r>
      <w:r w:rsidR="00AE1BA2" w:rsidRPr="00AE1BA2">
        <w:rPr>
          <w:sz w:val="18"/>
          <w:lang w:val="en-GB"/>
        </w:rPr>
        <w:t>telecommunication</w:t>
      </w:r>
      <w:r w:rsidR="00345B35" w:rsidRPr="00AE1BA2">
        <w:rPr>
          <w:sz w:val="18"/>
          <w:lang w:val="en-GB"/>
        </w:rPr>
        <w:t>);</w:t>
      </w:r>
    </w:p>
    <w:p w14:paraId="3A616168" w14:textId="5A6DED46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Marketing, sales and after-sales services</w:t>
      </w:r>
      <w:r w:rsidR="00345B35" w:rsidRPr="00AE1BA2">
        <w:rPr>
          <w:sz w:val="18"/>
          <w:lang w:val="en-GB"/>
        </w:rPr>
        <w:t>;</w:t>
      </w:r>
    </w:p>
    <w:p w14:paraId="44E294F1" w14:textId="46347E94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Transportation, logistics and storage</w:t>
      </w:r>
      <w:r w:rsidR="00345B35" w:rsidRPr="00AE1BA2">
        <w:rPr>
          <w:sz w:val="18"/>
          <w:lang w:val="en-GB"/>
        </w:rPr>
        <w:t>;</w:t>
      </w:r>
    </w:p>
    <w:p w14:paraId="63C5B355" w14:textId="55873994" w:rsidR="00717943" w:rsidRPr="00AE1BA2" w:rsidRDefault="00717943" w:rsidP="00717943">
      <w:pPr>
        <w:pStyle w:val="Akapitzlist"/>
        <w:numPr>
          <w:ilvl w:val="0"/>
          <w:numId w:val="7"/>
        </w:numPr>
        <w:ind w:left="426"/>
        <w:rPr>
          <w:sz w:val="18"/>
          <w:lang w:val="en-GB"/>
        </w:rPr>
      </w:pPr>
      <w:r w:rsidRPr="00AE1BA2">
        <w:rPr>
          <w:sz w:val="18"/>
          <w:lang w:val="en-GB"/>
        </w:rPr>
        <w:t>Other business functions</w:t>
      </w:r>
      <w:r w:rsidR="00345B35" w:rsidRPr="00AE1BA2">
        <w:rPr>
          <w:sz w:val="18"/>
          <w:lang w:val="en-GB"/>
        </w:rPr>
        <w:t xml:space="preserve"> (facility management, maintenance and repair services and other services).</w:t>
      </w:r>
    </w:p>
    <w:p w14:paraId="732530DB" w14:textId="4DCBBA87" w:rsidR="00510340" w:rsidRPr="002D60B6" w:rsidRDefault="00021519" w:rsidP="00510340">
      <w:pPr>
        <w:rPr>
          <w:sz w:val="18"/>
          <w:lang w:val="en-GB"/>
        </w:rPr>
      </w:pPr>
      <w:r w:rsidRPr="002D60B6">
        <w:rPr>
          <w:sz w:val="18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74D04714" w14:textId="77777777" w:rsidR="00510340" w:rsidRPr="002D60B6" w:rsidRDefault="00510340" w:rsidP="00510340">
      <w:pPr>
        <w:spacing w:before="360"/>
        <w:rPr>
          <w:sz w:val="18"/>
          <w:lang w:val="en-GB"/>
        </w:rPr>
        <w:sectPr w:rsidR="00510340" w:rsidRPr="002D60B6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2D60B6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2D60B6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2D60B6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2D60B6">
              <w:rPr>
                <w:rFonts w:cs="Arial"/>
                <w:sz w:val="20"/>
                <w:lang w:val="en-GB"/>
              </w:rPr>
              <w:t>:</w:t>
            </w:r>
          </w:p>
          <w:p w14:paraId="1E9B29DC" w14:textId="7ADA668D" w:rsidR="00DE2400" w:rsidRPr="002D60B6" w:rsidRDefault="0051034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2D60B6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6C197A" w:rsidRPr="002D60B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DE2400" w:rsidRPr="002D60B6">
              <w:rPr>
                <w:rFonts w:cs="Arial"/>
                <w:b/>
                <w:color w:val="000000" w:themeColor="text1"/>
                <w:sz w:val="20"/>
                <w:lang w:val="en-GB"/>
              </w:rPr>
              <w:t>Department</w:t>
            </w:r>
          </w:p>
          <w:p w14:paraId="41A1AE38" w14:textId="1B69EB5D" w:rsidR="00DE2400" w:rsidRPr="002D60B6" w:rsidRDefault="00DE2400" w:rsidP="00747B8C">
            <w:pPr>
              <w:spacing w:before="0" w:after="0" w:line="276" w:lineRule="auto"/>
              <w:rPr>
                <w:b/>
                <w:lang w:val="en-GB"/>
              </w:rPr>
            </w:pPr>
            <w:r w:rsidRPr="002D60B6">
              <w:rPr>
                <w:b/>
                <w:lang w:val="en-GB"/>
              </w:rPr>
              <w:t>D</w:t>
            </w:r>
            <w:r w:rsidR="006C197A" w:rsidRPr="002D60B6">
              <w:rPr>
                <w:b/>
                <w:lang w:val="en-GB"/>
              </w:rPr>
              <w:t>irec</w:t>
            </w:r>
            <w:r w:rsidRPr="002D60B6">
              <w:rPr>
                <w:b/>
                <w:lang w:val="en-GB"/>
              </w:rPr>
              <w:t xml:space="preserve">tor </w:t>
            </w:r>
            <w:r w:rsidR="00510340" w:rsidRPr="002D60B6">
              <w:rPr>
                <w:b/>
                <w:lang w:val="en-GB"/>
              </w:rPr>
              <w:t>Katarzyna Walkowska</w:t>
            </w:r>
          </w:p>
          <w:p w14:paraId="5425F0B4" w14:textId="4DE39197" w:rsidR="00DE2400" w:rsidRPr="002D60B6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</w:t>
            </w:r>
            <w:r w:rsidR="00DE240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: </w:t>
            </w:r>
            <w:r w:rsidR="00156F04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</w:t>
            </w:r>
            <w:r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+48 </w:t>
            </w:r>
            <w:r w:rsidR="00DE240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22</w:t>
            </w:r>
            <w:r w:rsidR="00156F04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DE240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="0051034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608</w:t>
            </w:r>
            <w:r w:rsidR="00B16871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51034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35</w:t>
            </w:r>
            <w:r w:rsidR="00B16871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510340" w:rsidRPr="002D60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66</w:t>
            </w:r>
          </w:p>
        </w:tc>
        <w:tc>
          <w:tcPr>
            <w:tcW w:w="4927" w:type="dxa"/>
          </w:tcPr>
          <w:p w14:paraId="4E8FFA16" w14:textId="216C4512" w:rsidR="00DE2400" w:rsidRPr="002D60B6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2D60B6">
              <w:rPr>
                <w:rFonts w:cs="Arial"/>
                <w:sz w:val="20"/>
                <w:lang w:val="en-GB"/>
              </w:rPr>
              <w:t>Issued by</w:t>
            </w:r>
            <w:r w:rsidR="00DE2400" w:rsidRPr="002D60B6">
              <w:rPr>
                <w:rFonts w:cs="Arial"/>
                <w:sz w:val="20"/>
                <w:lang w:val="en-GB"/>
              </w:rPr>
              <w:t>:</w:t>
            </w:r>
            <w:r w:rsidR="00DE2400" w:rsidRPr="002D60B6">
              <w:rPr>
                <w:rFonts w:cs="Arial"/>
                <w:sz w:val="20"/>
                <w:lang w:val="en-GB"/>
              </w:rPr>
              <w:br/>
            </w:r>
            <w:r w:rsidRPr="002D60B6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="00FA4D6D" w:rsidRPr="002D60B6">
              <w:rPr>
                <w:rFonts w:cs="Arial"/>
                <w:b/>
                <w:sz w:val="20"/>
                <w:lang w:val="en-GB"/>
              </w:rPr>
              <w:br/>
            </w:r>
            <w:r w:rsidRPr="002D60B6">
              <w:rPr>
                <w:rFonts w:cs="Arial"/>
                <w:b/>
                <w:sz w:val="20"/>
                <w:lang w:val="en-GB"/>
              </w:rPr>
              <w:t>of Statistics Poland</w:t>
            </w:r>
          </w:p>
          <w:p w14:paraId="047A0FE3" w14:textId="77777777" w:rsidR="00DE2400" w:rsidRPr="002D60B6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2D60B6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Karolina Banaszek</w:t>
            </w:r>
          </w:p>
          <w:p w14:paraId="59C02E89" w14:textId="4B34711C" w:rsidR="00DE2400" w:rsidRPr="002D60B6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>Phone</w:t>
            </w:r>
            <w:r w:rsidR="00DE2400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: </w:t>
            </w:r>
            <w:r w:rsidR="00FA4D6D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021A6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>+48</w:t>
            </w:r>
            <w:r w:rsidR="00FA4D6D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>)</w:t>
            </w:r>
            <w:r w:rsidR="002021A6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DE2400" w:rsidRPr="002D60B6">
              <w:rPr>
                <w:rFonts w:ascii="Fira Sans" w:hAnsi="Fira Sans" w:cs="Arial"/>
                <w:color w:val="auto"/>
                <w:sz w:val="20"/>
                <w:lang w:val="en-GB"/>
              </w:rPr>
              <w:t>695 255 011</w:t>
            </w:r>
          </w:p>
          <w:p w14:paraId="3CC62B04" w14:textId="77777777" w:rsidR="00DE2400" w:rsidRPr="002D60B6" w:rsidRDefault="00DE2400" w:rsidP="00747B8C">
            <w:pPr>
              <w:rPr>
                <w:sz w:val="18"/>
                <w:lang w:val="en-GB"/>
              </w:rPr>
            </w:pPr>
          </w:p>
        </w:tc>
      </w:tr>
      <w:tr w:rsidR="00DE2400" w:rsidRPr="002D60B6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2D60B6" w:rsidRDefault="002021A6" w:rsidP="00747B8C">
            <w:pPr>
              <w:rPr>
                <w:b/>
                <w:sz w:val="20"/>
                <w:lang w:val="en-GB"/>
              </w:rPr>
            </w:pPr>
            <w:r w:rsidRPr="002D60B6">
              <w:rPr>
                <w:b/>
                <w:sz w:val="20"/>
                <w:lang w:val="en-GB"/>
              </w:rPr>
              <w:t>Press Office</w:t>
            </w:r>
            <w:r w:rsidR="00DE2400" w:rsidRPr="002D60B6">
              <w:rPr>
                <w:b/>
                <w:sz w:val="20"/>
                <w:lang w:val="en-GB"/>
              </w:rPr>
              <w:t xml:space="preserve"> </w:t>
            </w:r>
          </w:p>
          <w:p w14:paraId="6446B629" w14:textId="73966755" w:rsidR="00DE2400" w:rsidRPr="002D60B6" w:rsidRDefault="002021A6" w:rsidP="00747B8C">
            <w:pPr>
              <w:rPr>
                <w:sz w:val="20"/>
                <w:lang w:val="en-GB"/>
              </w:rPr>
            </w:pPr>
            <w:r w:rsidRPr="002D60B6">
              <w:rPr>
                <w:sz w:val="20"/>
                <w:lang w:val="en-GB"/>
              </w:rPr>
              <w:t>Phone</w:t>
            </w:r>
            <w:r w:rsidR="00DE2400" w:rsidRPr="002D60B6">
              <w:rPr>
                <w:sz w:val="20"/>
                <w:lang w:val="en-GB"/>
              </w:rPr>
              <w:t xml:space="preserve">: </w:t>
            </w:r>
            <w:r w:rsidR="00FA4D6D" w:rsidRPr="002D60B6">
              <w:rPr>
                <w:sz w:val="20"/>
                <w:lang w:val="en-GB"/>
              </w:rPr>
              <w:t xml:space="preserve">(+48 </w:t>
            </w:r>
            <w:r w:rsidR="00DE2400" w:rsidRPr="002D60B6">
              <w:rPr>
                <w:sz w:val="20"/>
                <w:lang w:val="en-GB"/>
              </w:rPr>
              <w:t>22</w:t>
            </w:r>
            <w:r w:rsidR="00FA4D6D" w:rsidRPr="002D60B6">
              <w:rPr>
                <w:sz w:val="20"/>
                <w:lang w:val="en-GB"/>
              </w:rPr>
              <w:t>)</w:t>
            </w:r>
            <w:r w:rsidR="00DE2400" w:rsidRPr="002D60B6">
              <w:rPr>
                <w:sz w:val="20"/>
                <w:lang w:val="en-GB"/>
              </w:rPr>
              <w:t xml:space="preserve"> 608 3</w:t>
            </w:r>
            <w:r w:rsidR="00E95036" w:rsidRPr="002D60B6">
              <w:rPr>
                <w:sz w:val="20"/>
                <w:lang w:val="en-GB"/>
              </w:rPr>
              <w:t>8 04</w:t>
            </w:r>
            <w:r w:rsidR="00DE2400" w:rsidRPr="002D60B6">
              <w:rPr>
                <w:sz w:val="20"/>
                <w:lang w:val="en-GB"/>
              </w:rPr>
              <w:t xml:space="preserve"> </w:t>
            </w:r>
          </w:p>
          <w:p w14:paraId="07C73DA1" w14:textId="77777777" w:rsidR="00DE2400" w:rsidRPr="002D60B6" w:rsidRDefault="00DE2400" w:rsidP="00747B8C">
            <w:pPr>
              <w:rPr>
                <w:sz w:val="18"/>
                <w:lang w:val="en-GB"/>
              </w:rPr>
            </w:pPr>
            <w:r w:rsidRPr="002D60B6">
              <w:rPr>
                <w:b/>
                <w:sz w:val="20"/>
                <w:lang w:val="en-GB"/>
              </w:rPr>
              <w:t>e-mail:</w:t>
            </w:r>
            <w:r w:rsidRPr="002D60B6">
              <w:rPr>
                <w:sz w:val="20"/>
                <w:lang w:val="en-GB"/>
              </w:rPr>
              <w:t xml:space="preserve"> </w:t>
            </w:r>
            <w:hyperlink r:id="rId19" w:history="1">
              <w:r w:rsidRPr="002D60B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Pr="002D60B6" w:rsidRDefault="00DE2400" w:rsidP="00747B8C">
            <w:pPr>
              <w:ind w:firstLine="680"/>
              <w:rPr>
                <w:sz w:val="18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60B6">
              <w:rPr>
                <w:sz w:val="20"/>
                <w:lang w:val="en-GB"/>
              </w:rPr>
              <w:t>www.stat.gov.pl</w:t>
            </w:r>
            <w:r w:rsidR="002021A6" w:rsidRPr="002D60B6">
              <w:rPr>
                <w:sz w:val="20"/>
                <w:lang w:val="en-GB"/>
              </w:rPr>
              <w:t>/en/</w:t>
            </w:r>
            <w:r w:rsidRPr="002D60B6">
              <w:rPr>
                <w:sz w:val="18"/>
                <w:lang w:val="en-GB"/>
              </w:rPr>
              <w:t xml:space="preserve">     </w:t>
            </w:r>
          </w:p>
        </w:tc>
      </w:tr>
      <w:tr w:rsidR="00DE1D0A" w:rsidRPr="002D60B6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2D60B6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Pr="002D60B6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60B6">
              <w:rPr>
                <w:sz w:val="20"/>
                <w:lang w:val="en-GB"/>
              </w:rPr>
              <w:t>@</w:t>
            </w:r>
            <w:r w:rsidRPr="002D60B6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DE1D0A" w:rsidRPr="002D60B6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2D60B6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472D28" w14:textId="60C69F96" w:rsidR="00DE1D0A" w:rsidRPr="002D60B6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60B6">
              <w:rPr>
                <w:sz w:val="20"/>
                <w:lang w:val="en-GB"/>
              </w:rPr>
              <w:t>@GlownyUrzadStatystyczny</w:t>
            </w:r>
            <w:r w:rsidRPr="002D60B6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DE1D0A" w:rsidRPr="002D60B6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2D60B6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81DB5EF" w14:textId="0374BF4E" w:rsidR="00DE1D0A" w:rsidRPr="002D60B6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D60B6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DE1D0A" w:rsidRPr="002D60B6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2D60B6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0F251B2" w14:textId="699BCE57" w:rsidR="00DE1D0A" w:rsidRPr="002D60B6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D60B6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DE1D0A" w:rsidRPr="002D60B6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2D60B6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D245A35" w14:textId="79B26C17" w:rsidR="00DE1D0A" w:rsidRPr="002D60B6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2D60B6">
              <w:rPr>
                <w:noProof/>
                <w:sz w:val="20"/>
                <w:lang w:val="en-GB" w:eastAsia="pl-PL"/>
              </w:rPr>
              <w:t>glownyurzadstatystyczny</w:t>
            </w:r>
            <w:r w:rsidRPr="002D60B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2D60B6" w14:paraId="385E56CC" w14:textId="77777777" w:rsidTr="00C7577D">
        <w:trPr>
          <w:trHeight w:val="18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EC7A51E" w14:textId="14A9E049" w:rsidR="00B16871" w:rsidRPr="002D60B6" w:rsidRDefault="00CA784C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2D60B6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47845B55" w14:textId="1387B495" w:rsidR="00510340" w:rsidRPr="002D60B6" w:rsidRDefault="00A042D6" w:rsidP="00510340">
            <w:pPr>
              <w:rPr>
                <w:rStyle w:val="Hipercze"/>
                <w:lang w:val="en-GB"/>
              </w:rPr>
            </w:pPr>
            <w:hyperlink r:id="rId26" w:history="1">
              <w:r w:rsidR="00510340" w:rsidRPr="002D60B6">
                <w:rPr>
                  <w:rStyle w:val="Hipercze"/>
                  <w:lang w:val="en-GB"/>
                </w:rPr>
                <w:t>Business function</w:t>
              </w:r>
            </w:hyperlink>
          </w:p>
          <w:p w14:paraId="59EB7117" w14:textId="6006CDFA" w:rsidR="00DE2400" w:rsidRPr="002D60B6" w:rsidRDefault="00A042D6" w:rsidP="00510340">
            <w:pPr>
              <w:rPr>
                <w:lang w:val="en-GB"/>
              </w:rPr>
            </w:pPr>
            <w:hyperlink r:id="rId27" w:history="1">
              <w:r w:rsidR="00510340" w:rsidRPr="002D60B6">
                <w:rPr>
                  <w:rStyle w:val="Hipercze"/>
                  <w:lang w:val="en-GB"/>
                </w:rPr>
                <w:t>Enterprise group</w:t>
              </w:r>
            </w:hyperlink>
          </w:p>
        </w:tc>
      </w:tr>
    </w:tbl>
    <w:p w14:paraId="1634A8FA" w14:textId="77777777" w:rsidR="000470AA" w:rsidRPr="002D60B6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2D60B6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2D60B6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en-GB"/>
              </w:rPr>
            </w:pPr>
          </w:p>
        </w:tc>
        <w:tc>
          <w:tcPr>
            <w:tcW w:w="3942" w:type="dxa"/>
          </w:tcPr>
          <w:p w14:paraId="18600317" w14:textId="77777777" w:rsidR="000470AA" w:rsidRPr="002D60B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1B68E34A" w14:textId="77777777" w:rsidR="000470AA" w:rsidRPr="002D60B6" w:rsidRDefault="000470AA" w:rsidP="000470AA">
      <w:pPr>
        <w:rPr>
          <w:sz w:val="20"/>
          <w:lang w:val="en-GB"/>
        </w:rPr>
      </w:pPr>
    </w:p>
    <w:p w14:paraId="21E45930" w14:textId="77777777" w:rsidR="000470AA" w:rsidRPr="002D60B6" w:rsidRDefault="000470AA" w:rsidP="000470AA">
      <w:pPr>
        <w:rPr>
          <w:sz w:val="18"/>
          <w:lang w:val="en-GB"/>
        </w:rPr>
      </w:pPr>
    </w:p>
    <w:p w14:paraId="7C19EFAE" w14:textId="0F5110F4" w:rsidR="00D261A2" w:rsidRPr="00460138" w:rsidRDefault="00181E32" w:rsidP="00AD0E56">
      <w:pPr>
        <w:rPr>
          <w:sz w:val="18"/>
          <w:lang w:val="en-GB"/>
        </w:rPr>
      </w:pPr>
      <w:bookmarkStart w:id="8" w:name="_PictureBullets"/>
      <w:bookmarkEnd w:id="0"/>
      <w:r>
        <w:rPr>
          <w:vanish/>
        </w:rPr>
        <w:pict w14:anchorId="57504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25.4pt;visibility:visible;mso-wrap-style:square" o:bullet="t">
            <v:imagedata r:id="rId28" o:title=""/>
          </v:shape>
        </w:pict>
      </w:r>
      <w:r>
        <w:rPr>
          <w:vanish/>
        </w:rPr>
        <w:pict w14:anchorId="3E8BABF8">
          <v:shape id="_x0000_i1026" type="#_x0000_t75" style="width:124.5pt;height:125.4pt;visibility:visible;mso-wrap-style:square" o:bullet="t">
            <v:imagedata r:id="rId29" o:title=""/>
          </v:shape>
        </w:pict>
      </w:r>
      <w:bookmarkEnd w:id="8"/>
    </w:p>
    <w:sectPr w:rsidR="00D261A2" w:rsidRPr="00460138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92D5" w14:textId="77777777" w:rsidR="00A042D6" w:rsidRDefault="00A042D6" w:rsidP="000662E2">
      <w:pPr>
        <w:spacing w:after="0" w:line="240" w:lineRule="auto"/>
      </w:pPr>
      <w:r>
        <w:separator/>
      </w:r>
    </w:p>
  </w:endnote>
  <w:endnote w:type="continuationSeparator" w:id="0">
    <w:p w14:paraId="0E3F531F" w14:textId="77777777" w:rsidR="00A042D6" w:rsidRDefault="00A042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435062"/>
      <w:docPartObj>
        <w:docPartGallery w:val="Page Numbers (Bottom of Page)"/>
        <w:docPartUnique/>
      </w:docPartObj>
    </w:sdtPr>
    <w:sdtEndPr/>
    <w:sdtContent>
      <w:p w14:paraId="14C2CE7A" w14:textId="77777777" w:rsidR="00510340" w:rsidRDefault="005103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729437"/>
      <w:docPartObj>
        <w:docPartGallery w:val="Page Numbers (Bottom of Page)"/>
        <w:docPartUnique/>
      </w:docPartObj>
    </w:sdtPr>
    <w:sdtEndPr/>
    <w:sdtContent>
      <w:p w14:paraId="4C600DCB" w14:textId="77777777" w:rsidR="00510340" w:rsidRDefault="005103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48FA" w14:textId="77777777" w:rsidR="00A042D6" w:rsidRDefault="00A042D6" w:rsidP="000662E2">
      <w:pPr>
        <w:spacing w:after="0" w:line="240" w:lineRule="auto"/>
      </w:pPr>
      <w:r>
        <w:separator/>
      </w:r>
    </w:p>
  </w:footnote>
  <w:footnote w:type="continuationSeparator" w:id="0">
    <w:p w14:paraId="2E8CB1BE" w14:textId="77777777" w:rsidR="00A042D6" w:rsidRDefault="00A042D6" w:rsidP="000662E2">
      <w:pPr>
        <w:spacing w:after="0" w:line="240" w:lineRule="auto"/>
      </w:pPr>
      <w:r>
        <w:continuationSeparator/>
      </w:r>
    </w:p>
  </w:footnote>
  <w:footnote w:id="1">
    <w:p w14:paraId="151C0E87" w14:textId="6F6F63A9" w:rsidR="00BA2B3A" w:rsidRPr="00510340" w:rsidRDefault="00BA2B3A" w:rsidP="00BA2B3A">
      <w:pPr>
        <w:pStyle w:val="Tekstprzypisudolnego"/>
        <w:rPr>
          <w:color w:val="000000" w:themeColor="text1"/>
          <w:sz w:val="19"/>
          <w:szCs w:val="19"/>
          <w:lang w:val="en-GB"/>
        </w:rPr>
      </w:pPr>
      <w:r w:rsidRPr="00A929DC">
        <w:rPr>
          <w:rStyle w:val="Odwoanieprzypisudolnego"/>
          <w:color w:val="000000" w:themeColor="text1"/>
          <w:sz w:val="19"/>
          <w:szCs w:val="19"/>
        </w:rPr>
        <w:footnoteRef/>
      </w:r>
      <w:r w:rsidRPr="00A929DC">
        <w:rPr>
          <w:color w:val="000000" w:themeColor="text1"/>
          <w:sz w:val="19"/>
          <w:szCs w:val="19"/>
        </w:rPr>
        <w:t xml:space="preserve"> </w:t>
      </w:r>
      <w:r w:rsidRPr="00510340">
        <w:rPr>
          <w:sz w:val="19"/>
          <w:szCs w:val="22"/>
          <w:shd w:val="clear" w:color="auto" w:fill="FFFFFF"/>
          <w:lang w:val="en-GB"/>
        </w:rPr>
        <w:t>Business function is a set of tasks that an enterprise must carry out on a regular basis in order to bring goods or services to market. These tasks may be performed internally by an enterprise or sourced externally.</w:t>
      </w:r>
    </w:p>
  </w:footnote>
  <w:footnote w:id="2">
    <w:p w14:paraId="06AAAA6D" w14:textId="547FB40E" w:rsidR="00BA2B3A" w:rsidRDefault="00BA2B3A" w:rsidP="00BA2B3A">
      <w:pPr>
        <w:autoSpaceDE w:val="0"/>
        <w:autoSpaceDN w:val="0"/>
        <w:adjustRightInd w:val="0"/>
        <w:spacing w:after="0" w:line="240" w:lineRule="auto"/>
      </w:pPr>
      <w:r w:rsidRPr="00510340">
        <w:rPr>
          <w:rStyle w:val="Odwoanieprzypisudolnego"/>
          <w:color w:val="000000" w:themeColor="text1"/>
          <w:lang w:val="en-GB"/>
        </w:rPr>
        <w:footnoteRef/>
      </w:r>
      <w:r w:rsidRPr="00510340">
        <w:rPr>
          <w:color w:val="000000" w:themeColor="text1"/>
          <w:lang w:val="en-GB"/>
        </w:rPr>
        <w:t xml:space="preserve"> </w:t>
      </w:r>
      <w:r w:rsidR="009003F0" w:rsidRPr="00510340">
        <w:rPr>
          <w:color w:val="000000" w:themeColor="text1"/>
          <w:lang w:val="en-GB"/>
        </w:rPr>
        <w:t xml:space="preserve">The term „Industry” includes sections: </w:t>
      </w:r>
      <w:r w:rsidRPr="00510340">
        <w:rPr>
          <w:shd w:val="clear" w:color="auto" w:fill="FFFFFF"/>
          <w:lang w:val="en-GB"/>
        </w:rPr>
        <w:t>B (</w:t>
      </w:r>
      <w:r w:rsidR="009003F0" w:rsidRPr="00510340">
        <w:rPr>
          <w:shd w:val="clear" w:color="auto" w:fill="FFFFFF"/>
          <w:lang w:val="en-GB"/>
        </w:rPr>
        <w:t>Mining and quarrying</w:t>
      </w:r>
      <w:r w:rsidRPr="00510340">
        <w:rPr>
          <w:shd w:val="clear" w:color="auto" w:fill="FFFFFF"/>
          <w:lang w:val="en-GB"/>
        </w:rPr>
        <w:t>), C (</w:t>
      </w:r>
      <w:r w:rsidR="009003F0" w:rsidRPr="00510340">
        <w:rPr>
          <w:shd w:val="clear" w:color="auto" w:fill="FFFFFF"/>
          <w:lang w:val="en-GB"/>
        </w:rPr>
        <w:t>Manufacturing)</w:t>
      </w:r>
      <w:r w:rsidRPr="00510340">
        <w:rPr>
          <w:shd w:val="clear" w:color="auto" w:fill="FFFFFF"/>
          <w:lang w:val="en-GB"/>
        </w:rPr>
        <w:t>, D (</w:t>
      </w:r>
      <w:r w:rsidR="009003F0" w:rsidRPr="00510340">
        <w:rPr>
          <w:shd w:val="clear" w:color="auto" w:fill="FFFFFF"/>
          <w:lang w:val="en-GB"/>
        </w:rPr>
        <w:t>Electricity, gas steam and air conditioning supply</w:t>
      </w:r>
      <w:r w:rsidRPr="00510340">
        <w:rPr>
          <w:shd w:val="clear" w:color="auto" w:fill="FFFFFF"/>
          <w:lang w:val="en-GB"/>
        </w:rPr>
        <w:t>), E (</w:t>
      </w:r>
      <w:r w:rsidR="009003F0" w:rsidRPr="00510340">
        <w:rPr>
          <w:shd w:val="clear" w:color="auto" w:fill="FFFFFF"/>
          <w:lang w:val="en-GB"/>
        </w:rPr>
        <w:t>Water supply; sewerage, waste management and remediation activities</w:t>
      </w:r>
      <w:r w:rsidRPr="00510340">
        <w:rPr>
          <w:shd w:val="clear" w:color="auto" w:fill="FFFFFF"/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F3E7" w14:textId="77777777" w:rsidR="00510340" w:rsidRDefault="0051034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2D4EDB" wp14:editId="4E371AC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6" name="Prostoką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C0C2A" id="Prostokąt 16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LlnQIAAIo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Q1&#10;vt0ZJZq1+EYrjNDD158/PMFLZKgzboaKD2Zl+5PDbUj3IG0bvpgIOURWjyOr4uAJx8tiel5cTJF8&#10;jrKyvMgn+XQSYLNne2Od/yigJWFTUYvvFulk+1vnk+qgEtw5UE29bJSKB7tZXytL9gzfeFmGf4/+&#10;m5rSQVlDMEuI4SYLuaVs4s4flQh6Sn8WEnnB+MsYSaxIMfphnAvtiyTaslok95Mcf4P3UMPBImYa&#10;AQOyRP8jdg8waCaQATtF2esHUxELejTO/xZYMh4tomfQfjRuGw32LQCFWfWek/5AUqImsLSG+ohV&#10;YyG1kzN82eC73TLnV8xi/+Bj40zw97hIBV1Fod9RsgX7/a37oI9ljVJKOuzHirpvO2YFJeqTxoK/&#10;KE5PQwPHw+nkvMSDfSlZv5ToXXsNWA4FTh/D4zboezVspYX2CUfHInhFEdMcfVeUezscrn2aEzh8&#10;uFgsoho2rWH+Vj8YHsADq6EuHw9PzJq+eD0W/h0Mvctmr2o46QZLDYudB9nEAn/mtecbGz4WTj+c&#10;wkR5eY5azyN0/gs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FfBUuW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EF5C8F2" w14:textId="77777777" w:rsidR="00510340" w:rsidRDefault="005103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570B" w14:textId="397249DE" w:rsidR="00510340" w:rsidRDefault="003C193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1792" behindDoc="0" locked="0" layoutInCell="1" allowOverlap="1" wp14:anchorId="70888AD5" wp14:editId="5547B070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34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04FB1E" wp14:editId="2BE6345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8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F819E4" w14:textId="1526A9E2" w:rsidR="00510340" w:rsidRPr="003C1936" w:rsidRDefault="003C1936" w:rsidP="003C1936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4FB1E" id="Schemat blokowy: opóźnienie 6" o:spid="_x0000_s1031" alt="Napis &quot;Informacja sygnalna&quot;" style="position:absolute;margin-left:396.6pt;margin-top:15.65pt;width:162.25pt;height:28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F819E4" w14:textId="1526A9E2" w:rsidR="00510340" w:rsidRPr="003C1936" w:rsidRDefault="003C1936" w:rsidP="003C1936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103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1525053" wp14:editId="7DE07D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67ED5C" id="Prostokąt 19" o:spid="_x0000_s1026" style="position:absolute;margin-left:410.95pt;margin-top:40.3pt;width:147.4pt;height:180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UWnQIAAIoFAAAOAAAAZHJzL2Uyb0RvYy54bWysVM1u2zAMvg/YOwi6r/5BsyZBnSJokWFA&#10;0QVrh54VWYqNyaImKX+77832YKMk2+26YodhCSBLIvmR/ETy8urYKbIX1rWgK1qc5ZQIzaFu9bai&#10;Xx5W76aUOM90zRRoUdGTcPRq8fbN5cHMRQkNqFpYgiDazQ+moo33Zp5ljjeiY+4MjNAolGA75vFo&#10;t1lt2QHRO5WVef4+O4CtjQUunMPbmySki4gvpeD+k5ROeKIqirH5uNq4bsKaLS7ZfGuZaVreh8H+&#10;IYqOtRqdjlA3zDOys+0fUF3LLTiQ/oxDl4GULRcxB8ymyF9kc98wI2IuSI4zI03u/8Hyu/3akrbG&#10;t5tRolmHb7TGCD18/fnDE7xEhg7GzVHx3qxtf3K4Dekepe3CFxMhx8jqaWRVHD3heFlML4rZFMnn&#10;KCvLWT7Jp5MAmz3ZG+v8BwEdCZuKWny3SCfb3zqfVAeV4M6BautVq1Q82O3mWlmyZ/jGqzL8e/Tf&#10;1JQOyhqCWUIMN1nILWUTd/6kRNBT+rOQyAvGX8ZIYkWK0Q/jXGhfJFHDapHcT3L8Dd5DDQeLmGkE&#10;DMgS/Y/YPcCgmUAG7BRlrx9MRSzo0Tj/W2DJeLSInkH70bhrNdjXABRm1XtO+gNJiZrA0gbqE1aN&#10;hdROzvBVi+92y5xfM4v9g4+NM8F/wkUqOFQU+h0lDdjvr90HfSxrlFJywH6sqPu2Y1ZQoj5qLPhZ&#10;cX4eGjgezicXJR7sc8nmuUTvumvAcihw+hget0Hfq2ErLXSPODqWwSuKmObou6Lc2+Fw7dOcwOHD&#10;xXIZ1bBpDfO3+t7wAB5YDXX5cHxk1vTF67Hw72DoXTZ/UcNJN1hqWO48yDYW+BOvPd/Y8LFw+uEU&#10;Jsrzc9R6GqGLX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CHdqUW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75BC3249" w14:textId="77777777" w:rsidR="00510340" w:rsidRDefault="00510340">
    <w:pPr>
      <w:pStyle w:val="Nagwek"/>
      <w:rPr>
        <w:noProof/>
        <w:lang w:eastAsia="pl-PL"/>
      </w:rPr>
    </w:pPr>
  </w:p>
  <w:p w14:paraId="4FE20CEF" w14:textId="77777777" w:rsidR="00510340" w:rsidRDefault="00510340">
    <w:pPr>
      <w:pStyle w:val="Nagwek"/>
      <w:rPr>
        <w:noProof/>
        <w:lang w:eastAsia="pl-PL"/>
      </w:rPr>
    </w:pPr>
  </w:p>
  <w:p w14:paraId="2E1714C0" w14:textId="77777777" w:rsidR="00510340" w:rsidRDefault="0051034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82D5A4B" wp14:editId="6EEDBA1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20" name="Pole tekstowe 2" descr="27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2F3B5" w14:textId="58CFEBE2" w:rsidR="00510340" w:rsidRPr="00A01B40" w:rsidRDefault="00510340" w:rsidP="00F049AB">
                          <w:pPr>
                            <w:pStyle w:val="Datainformacjisygnalnej"/>
                          </w:pPr>
                          <w:r>
                            <w:t>27.06.2022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5A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7.06.2022 r." style="position:absolute;margin-left:416.4pt;margin-top:20.95pt;width:112.8pt;height:2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5B82F3B5" w14:textId="58CFEBE2" w:rsidR="00510340" w:rsidRPr="00A01B40" w:rsidRDefault="00510340" w:rsidP="00F049AB">
                    <w:pPr>
                      <w:pStyle w:val="Datainformacjisygnalnej"/>
                    </w:pPr>
                    <w:r>
                      <w:t>27.06.2022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C340EFD"/>
    <w:multiLevelType w:val="hybridMultilevel"/>
    <w:tmpl w:val="6270C3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1682929972">
    <w:abstractNumId w:val="5"/>
  </w:num>
  <w:num w:numId="2" w16cid:durableId="289173450">
    <w:abstractNumId w:val="1"/>
  </w:num>
  <w:num w:numId="3" w16cid:durableId="1663044408">
    <w:abstractNumId w:val="2"/>
  </w:num>
  <w:num w:numId="4" w16cid:durableId="68998565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910512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035044">
    <w:abstractNumId w:val="0"/>
  </w:num>
  <w:num w:numId="7" w16cid:durableId="196537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62"/>
    <w:rsid w:val="00001C5B"/>
    <w:rsid w:val="00003437"/>
    <w:rsid w:val="0000709F"/>
    <w:rsid w:val="000108B8"/>
    <w:rsid w:val="000152F5"/>
    <w:rsid w:val="00021519"/>
    <w:rsid w:val="00021CD0"/>
    <w:rsid w:val="0004582E"/>
    <w:rsid w:val="000470AA"/>
    <w:rsid w:val="00054801"/>
    <w:rsid w:val="00057CA1"/>
    <w:rsid w:val="000647A9"/>
    <w:rsid w:val="000662E2"/>
    <w:rsid w:val="00066883"/>
    <w:rsid w:val="00071B39"/>
    <w:rsid w:val="00074DD8"/>
    <w:rsid w:val="00075759"/>
    <w:rsid w:val="000806F7"/>
    <w:rsid w:val="00085249"/>
    <w:rsid w:val="00093587"/>
    <w:rsid w:val="00097840"/>
    <w:rsid w:val="000B0727"/>
    <w:rsid w:val="000C135D"/>
    <w:rsid w:val="000D1D43"/>
    <w:rsid w:val="000D225C"/>
    <w:rsid w:val="000D2A5C"/>
    <w:rsid w:val="000D39F0"/>
    <w:rsid w:val="000D6EA6"/>
    <w:rsid w:val="000E0918"/>
    <w:rsid w:val="000E79A9"/>
    <w:rsid w:val="000F569C"/>
    <w:rsid w:val="001011C3"/>
    <w:rsid w:val="00106DA3"/>
    <w:rsid w:val="00107C1C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7E3"/>
    <w:rsid w:val="00162325"/>
    <w:rsid w:val="00181E32"/>
    <w:rsid w:val="00182874"/>
    <w:rsid w:val="001951DA"/>
    <w:rsid w:val="001B053D"/>
    <w:rsid w:val="001C3269"/>
    <w:rsid w:val="001D19B6"/>
    <w:rsid w:val="001D1DB4"/>
    <w:rsid w:val="001D23F1"/>
    <w:rsid w:val="001D25F9"/>
    <w:rsid w:val="001D61ED"/>
    <w:rsid w:val="001E5B2D"/>
    <w:rsid w:val="0020156C"/>
    <w:rsid w:val="002021A6"/>
    <w:rsid w:val="00216634"/>
    <w:rsid w:val="0023642B"/>
    <w:rsid w:val="00242D31"/>
    <w:rsid w:val="00250823"/>
    <w:rsid w:val="0025481E"/>
    <w:rsid w:val="002574F9"/>
    <w:rsid w:val="00260F7D"/>
    <w:rsid w:val="0026220C"/>
    <w:rsid w:val="00262B61"/>
    <w:rsid w:val="00262CC6"/>
    <w:rsid w:val="00263E08"/>
    <w:rsid w:val="0026536D"/>
    <w:rsid w:val="00270BE9"/>
    <w:rsid w:val="00272845"/>
    <w:rsid w:val="00276811"/>
    <w:rsid w:val="00282699"/>
    <w:rsid w:val="002926DF"/>
    <w:rsid w:val="00296697"/>
    <w:rsid w:val="002B0472"/>
    <w:rsid w:val="002B6B12"/>
    <w:rsid w:val="002C21F0"/>
    <w:rsid w:val="002D01DF"/>
    <w:rsid w:val="002D60B6"/>
    <w:rsid w:val="002E2973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35C5E"/>
    <w:rsid w:val="00345B35"/>
    <w:rsid w:val="0034636A"/>
    <w:rsid w:val="003475BF"/>
    <w:rsid w:val="00347D72"/>
    <w:rsid w:val="00353F45"/>
    <w:rsid w:val="00357611"/>
    <w:rsid w:val="0036432A"/>
    <w:rsid w:val="00364AF9"/>
    <w:rsid w:val="00367237"/>
    <w:rsid w:val="0037077F"/>
    <w:rsid w:val="00372411"/>
    <w:rsid w:val="00373882"/>
    <w:rsid w:val="003843DB"/>
    <w:rsid w:val="00393761"/>
    <w:rsid w:val="003949F3"/>
    <w:rsid w:val="00394E26"/>
    <w:rsid w:val="00396691"/>
    <w:rsid w:val="00397D18"/>
    <w:rsid w:val="003A1B36"/>
    <w:rsid w:val="003B1454"/>
    <w:rsid w:val="003B18B6"/>
    <w:rsid w:val="003B546B"/>
    <w:rsid w:val="003C161B"/>
    <w:rsid w:val="003C1936"/>
    <w:rsid w:val="003C59E0"/>
    <w:rsid w:val="003C6C8D"/>
    <w:rsid w:val="003D1C97"/>
    <w:rsid w:val="003D2656"/>
    <w:rsid w:val="003D4F95"/>
    <w:rsid w:val="003D5F42"/>
    <w:rsid w:val="003D60A9"/>
    <w:rsid w:val="003F4C97"/>
    <w:rsid w:val="003F57C1"/>
    <w:rsid w:val="003F666D"/>
    <w:rsid w:val="003F7FE6"/>
    <w:rsid w:val="00400193"/>
    <w:rsid w:val="00416EAF"/>
    <w:rsid w:val="004212E7"/>
    <w:rsid w:val="00423C88"/>
    <w:rsid w:val="0042446D"/>
    <w:rsid w:val="0042783C"/>
    <w:rsid w:val="00427BF8"/>
    <w:rsid w:val="00431C02"/>
    <w:rsid w:val="00437395"/>
    <w:rsid w:val="00445047"/>
    <w:rsid w:val="00446749"/>
    <w:rsid w:val="00453EB7"/>
    <w:rsid w:val="00460138"/>
    <w:rsid w:val="00463E39"/>
    <w:rsid w:val="004657FC"/>
    <w:rsid w:val="004733F6"/>
    <w:rsid w:val="00474E69"/>
    <w:rsid w:val="0047722E"/>
    <w:rsid w:val="00483E9F"/>
    <w:rsid w:val="00485A2C"/>
    <w:rsid w:val="0049621B"/>
    <w:rsid w:val="004A1D19"/>
    <w:rsid w:val="004C1895"/>
    <w:rsid w:val="004C6D40"/>
    <w:rsid w:val="004D39C9"/>
    <w:rsid w:val="004E6AA8"/>
    <w:rsid w:val="004F0C3C"/>
    <w:rsid w:val="004F2280"/>
    <w:rsid w:val="004F23BB"/>
    <w:rsid w:val="004F63FC"/>
    <w:rsid w:val="005057CE"/>
    <w:rsid w:val="00505A92"/>
    <w:rsid w:val="0050789A"/>
    <w:rsid w:val="00510340"/>
    <w:rsid w:val="0051367F"/>
    <w:rsid w:val="005203F1"/>
    <w:rsid w:val="00521BC3"/>
    <w:rsid w:val="00533632"/>
    <w:rsid w:val="00534013"/>
    <w:rsid w:val="00540C5C"/>
    <w:rsid w:val="00541E6E"/>
    <w:rsid w:val="0054251F"/>
    <w:rsid w:val="005520D8"/>
    <w:rsid w:val="00555CFB"/>
    <w:rsid w:val="00556CF1"/>
    <w:rsid w:val="00557714"/>
    <w:rsid w:val="005762A7"/>
    <w:rsid w:val="00587CEE"/>
    <w:rsid w:val="005916D7"/>
    <w:rsid w:val="0059426A"/>
    <w:rsid w:val="0059427F"/>
    <w:rsid w:val="005A698C"/>
    <w:rsid w:val="005C0CAC"/>
    <w:rsid w:val="005D062E"/>
    <w:rsid w:val="005D6A93"/>
    <w:rsid w:val="005D6F1D"/>
    <w:rsid w:val="005D753F"/>
    <w:rsid w:val="005E0799"/>
    <w:rsid w:val="005E10F9"/>
    <w:rsid w:val="005E1200"/>
    <w:rsid w:val="005E7715"/>
    <w:rsid w:val="005F45EE"/>
    <w:rsid w:val="005F5A80"/>
    <w:rsid w:val="00600F09"/>
    <w:rsid w:val="006044FF"/>
    <w:rsid w:val="00607CC5"/>
    <w:rsid w:val="0061179B"/>
    <w:rsid w:val="006125F9"/>
    <w:rsid w:val="00623C01"/>
    <w:rsid w:val="00627B32"/>
    <w:rsid w:val="00633014"/>
    <w:rsid w:val="0063437B"/>
    <w:rsid w:val="00634C13"/>
    <w:rsid w:val="0064017E"/>
    <w:rsid w:val="0064291A"/>
    <w:rsid w:val="00653DC3"/>
    <w:rsid w:val="00654BB6"/>
    <w:rsid w:val="006673CA"/>
    <w:rsid w:val="00673C26"/>
    <w:rsid w:val="00674DE5"/>
    <w:rsid w:val="00677ACA"/>
    <w:rsid w:val="006812AF"/>
    <w:rsid w:val="00681F5A"/>
    <w:rsid w:val="00682426"/>
    <w:rsid w:val="0068327D"/>
    <w:rsid w:val="00691278"/>
    <w:rsid w:val="00691534"/>
    <w:rsid w:val="00693880"/>
    <w:rsid w:val="00694AF0"/>
    <w:rsid w:val="006A09B6"/>
    <w:rsid w:val="006A4686"/>
    <w:rsid w:val="006B0E9E"/>
    <w:rsid w:val="006B486D"/>
    <w:rsid w:val="006B5AE4"/>
    <w:rsid w:val="006B6890"/>
    <w:rsid w:val="006C197A"/>
    <w:rsid w:val="006D1507"/>
    <w:rsid w:val="006D305D"/>
    <w:rsid w:val="006D4054"/>
    <w:rsid w:val="006E02EC"/>
    <w:rsid w:val="006E3C4F"/>
    <w:rsid w:val="006E6F41"/>
    <w:rsid w:val="006E73E6"/>
    <w:rsid w:val="00717943"/>
    <w:rsid w:val="007211B1"/>
    <w:rsid w:val="007267B0"/>
    <w:rsid w:val="007277DA"/>
    <w:rsid w:val="00731D27"/>
    <w:rsid w:val="00734A46"/>
    <w:rsid w:val="00746187"/>
    <w:rsid w:val="00752739"/>
    <w:rsid w:val="007607F6"/>
    <w:rsid w:val="00760921"/>
    <w:rsid w:val="0076254F"/>
    <w:rsid w:val="00776AC8"/>
    <w:rsid w:val="007801F5"/>
    <w:rsid w:val="00783CA4"/>
    <w:rsid w:val="007842FB"/>
    <w:rsid w:val="00786124"/>
    <w:rsid w:val="0079514B"/>
    <w:rsid w:val="00795252"/>
    <w:rsid w:val="007953C0"/>
    <w:rsid w:val="007A2DC1"/>
    <w:rsid w:val="007B1324"/>
    <w:rsid w:val="007D0869"/>
    <w:rsid w:val="007D14C4"/>
    <w:rsid w:val="007D3319"/>
    <w:rsid w:val="007D335D"/>
    <w:rsid w:val="007D605C"/>
    <w:rsid w:val="007E0D7D"/>
    <w:rsid w:val="007E3314"/>
    <w:rsid w:val="007E3514"/>
    <w:rsid w:val="007E4B03"/>
    <w:rsid w:val="007F324B"/>
    <w:rsid w:val="00803031"/>
    <w:rsid w:val="0080553C"/>
    <w:rsid w:val="00805B46"/>
    <w:rsid w:val="00805DB4"/>
    <w:rsid w:val="0081332A"/>
    <w:rsid w:val="00823593"/>
    <w:rsid w:val="00825DC2"/>
    <w:rsid w:val="00827492"/>
    <w:rsid w:val="00834AD3"/>
    <w:rsid w:val="00843795"/>
    <w:rsid w:val="00847AC5"/>
    <w:rsid w:val="00847F0F"/>
    <w:rsid w:val="00850B7B"/>
    <w:rsid w:val="00852448"/>
    <w:rsid w:val="00870139"/>
    <w:rsid w:val="00877F6C"/>
    <w:rsid w:val="00880922"/>
    <w:rsid w:val="0088258A"/>
    <w:rsid w:val="00886332"/>
    <w:rsid w:val="008925F0"/>
    <w:rsid w:val="0089448A"/>
    <w:rsid w:val="00894C23"/>
    <w:rsid w:val="00897877"/>
    <w:rsid w:val="008A26D9"/>
    <w:rsid w:val="008A7B5B"/>
    <w:rsid w:val="008B12D2"/>
    <w:rsid w:val="008C0C29"/>
    <w:rsid w:val="008D02DA"/>
    <w:rsid w:val="008D76BC"/>
    <w:rsid w:val="008E7DBA"/>
    <w:rsid w:val="008F002D"/>
    <w:rsid w:val="008F0829"/>
    <w:rsid w:val="008F3638"/>
    <w:rsid w:val="008F4441"/>
    <w:rsid w:val="008F6B20"/>
    <w:rsid w:val="008F6F31"/>
    <w:rsid w:val="008F74DF"/>
    <w:rsid w:val="0090024B"/>
    <w:rsid w:val="009003F0"/>
    <w:rsid w:val="00902274"/>
    <w:rsid w:val="009127BA"/>
    <w:rsid w:val="00920AAE"/>
    <w:rsid w:val="00921BB0"/>
    <w:rsid w:val="009227A6"/>
    <w:rsid w:val="00932BF5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135C"/>
    <w:rsid w:val="0098156A"/>
    <w:rsid w:val="00991BAC"/>
    <w:rsid w:val="009A097B"/>
    <w:rsid w:val="009A6EA0"/>
    <w:rsid w:val="009B2B6F"/>
    <w:rsid w:val="009C1335"/>
    <w:rsid w:val="009C1AB2"/>
    <w:rsid w:val="009C7251"/>
    <w:rsid w:val="009D313E"/>
    <w:rsid w:val="009E2E91"/>
    <w:rsid w:val="009E30C1"/>
    <w:rsid w:val="009E7D31"/>
    <w:rsid w:val="00A01B40"/>
    <w:rsid w:val="00A042D6"/>
    <w:rsid w:val="00A139F5"/>
    <w:rsid w:val="00A2454B"/>
    <w:rsid w:val="00A24F68"/>
    <w:rsid w:val="00A32E16"/>
    <w:rsid w:val="00A33353"/>
    <w:rsid w:val="00A365F4"/>
    <w:rsid w:val="00A47D80"/>
    <w:rsid w:val="00A53132"/>
    <w:rsid w:val="00A563F2"/>
    <w:rsid w:val="00A566E8"/>
    <w:rsid w:val="00A66347"/>
    <w:rsid w:val="00A7392B"/>
    <w:rsid w:val="00A810F9"/>
    <w:rsid w:val="00A82D31"/>
    <w:rsid w:val="00A85E7E"/>
    <w:rsid w:val="00A86ECC"/>
    <w:rsid w:val="00A86FCC"/>
    <w:rsid w:val="00A90A6D"/>
    <w:rsid w:val="00A90CEA"/>
    <w:rsid w:val="00A91617"/>
    <w:rsid w:val="00A971E5"/>
    <w:rsid w:val="00AA38DE"/>
    <w:rsid w:val="00AA710D"/>
    <w:rsid w:val="00AB64F3"/>
    <w:rsid w:val="00AB6D25"/>
    <w:rsid w:val="00AD0E56"/>
    <w:rsid w:val="00AD13A7"/>
    <w:rsid w:val="00AE1BA2"/>
    <w:rsid w:val="00AE229B"/>
    <w:rsid w:val="00AE2D4B"/>
    <w:rsid w:val="00AE4F99"/>
    <w:rsid w:val="00B11B69"/>
    <w:rsid w:val="00B12D71"/>
    <w:rsid w:val="00B14952"/>
    <w:rsid w:val="00B16871"/>
    <w:rsid w:val="00B25B45"/>
    <w:rsid w:val="00B267EC"/>
    <w:rsid w:val="00B31E5A"/>
    <w:rsid w:val="00B42E27"/>
    <w:rsid w:val="00B47359"/>
    <w:rsid w:val="00B5046C"/>
    <w:rsid w:val="00B653AB"/>
    <w:rsid w:val="00B65F9E"/>
    <w:rsid w:val="00B66B19"/>
    <w:rsid w:val="00B77B6C"/>
    <w:rsid w:val="00B87955"/>
    <w:rsid w:val="00B914E9"/>
    <w:rsid w:val="00B956EE"/>
    <w:rsid w:val="00BA2B3A"/>
    <w:rsid w:val="00BA2BA1"/>
    <w:rsid w:val="00BA3447"/>
    <w:rsid w:val="00BA3562"/>
    <w:rsid w:val="00BB4F09"/>
    <w:rsid w:val="00BB54B5"/>
    <w:rsid w:val="00BD189E"/>
    <w:rsid w:val="00BD4E33"/>
    <w:rsid w:val="00BF7E4D"/>
    <w:rsid w:val="00C030DE"/>
    <w:rsid w:val="00C051A8"/>
    <w:rsid w:val="00C22105"/>
    <w:rsid w:val="00C244B6"/>
    <w:rsid w:val="00C27BF1"/>
    <w:rsid w:val="00C328B3"/>
    <w:rsid w:val="00C3702F"/>
    <w:rsid w:val="00C4500A"/>
    <w:rsid w:val="00C526DA"/>
    <w:rsid w:val="00C60504"/>
    <w:rsid w:val="00C62238"/>
    <w:rsid w:val="00C64A37"/>
    <w:rsid w:val="00C7158E"/>
    <w:rsid w:val="00C7250B"/>
    <w:rsid w:val="00C7346B"/>
    <w:rsid w:val="00C7577D"/>
    <w:rsid w:val="00C77C0E"/>
    <w:rsid w:val="00C81012"/>
    <w:rsid w:val="00C91687"/>
    <w:rsid w:val="00C924A8"/>
    <w:rsid w:val="00C94402"/>
    <w:rsid w:val="00C945FE"/>
    <w:rsid w:val="00C96FAA"/>
    <w:rsid w:val="00C97A04"/>
    <w:rsid w:val="00CA00A9"/>
    <w:rsid w:val="00CA107B"/>
    <w:rsid w:val="00CA484D"/>
    <w:rsid w:val="00CA4FB6"/>
    <w:rsid w:val="00CA784C"/>
    <w:rsid w:val="00CB2F90"/>
    <w:rsid w:val="00CB6AD4"/>
    <w:rsid w:val="00CC739E"/>
    <w:rsid w:val="00CD1EBB"/>
    <w:rsid w:val="00CD28CF"/>
    <w:rsid w:val="00CD58B7"/>
    <w:rsid w:val="00CD7967"/>
    <w:rsid w:val="00CE069B"/>
    <w:rsid w:val="00CF18EE"/>
    <w:rsid w:val="00CF30BD"/>
    <w:rsid w:val="00CF4099"/>
    <w:rsid w:val="00D00796"/>
    <w:rsid w:val="00D24630"/>
    <w:rsid w:val="00D261A2"/>
    <w:rsid w:val="00D2752E"/>
    <w:rsid w:val="00D37F58"/>
    <w:rsid w:val="00D43785"/>
    <w:rsid w:val="00D616D2"/>
    <w:rsid w:val="00D63B5F"/>
    <w:rsid w:val="00D70EF7"/>
    <w:rsid w:val="00D76EE1"/>
    <w:rsid w:val="00D82EAF"/>
    <w:rsid w:val="00D8397C"/>
    <w:rsid w:val="00D94EED"/>
    <w:rsid w:val="00D96026"/>
    <w:rsid w:val="00D972F6"/>
    <w:rsid w:val="00DA331D"/>
    <w:rsid w:val="00DA7C1C"/>
    <w:rsid w:val="00DB147A"/>
    <w:rsid w:val="00DB1B7A"/>
    <w:rsid w:val="00DB706E"/>
    <w:rsid w:val="00DC6708"/>
    <w:rsid w:val="00DD011A"/>
    <w:rsid w:val="00DD527D"/>
    <w:rsid w:val="00DE1D0A"/>
    <w:rsid w:val="00DE2400"/>
    <w:rsid w:val="00DE58F1"/>
    <w:rsid w:val="00DE5F2C"/>
    <w:rsid w:val="00DE6B58"/>
    <w:rsid w:val="00DF00DC"/>
    <w:rsid w:val="00DF5E32"/>
    <w:rsid w:val="00E01436"/>
    <w:rsid w:val="00E02BCC"/>
    <w:rsid w:val="00E03E79"/>
    <w:rsid w:val="00E045BD"/>
    <w:rsid w:val="00E04D6C"/>
    <w:rsid w:val="00E15751"/>
    <w:rsid w:val="00E15FED"/>
    <w:rsid w:val="00E17B77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049B"/>
    <w:rsid w:val="00E63B0C"/>
    <w:rsid w:val="00E664C5"/>
    <w:rsid w:val="00E671A2"/>
    <w:rsid w:val="00E76D26"/>
    <w:rsid w:val="00E76EE5"/>
    <w:rsid w:val="00E95036"/>
    <w:rsid w:val="00E95B8E"/>
    <w:rsid w:val="00EB1390"/>
    <w:rsid w:val="00EB2C71"/>
    <w:rsid w:val="00EB3333"/>
    <w:rsid w:val="00EB4340"/>
    <w:rsid w:val="00EB556D"/>
    <w:rsid w:val="00EB57C0"/>
    <w:rsid w:val="00EB5A7D"/>
    <w:rsid w:val="00ED55C0"/>
    <w:rsid w:val="00ED682B"/>
    <w:rsid w:val="00EE41D5"/>
    <w:rsid w:val="00F0166F"/>
    <w:rsid w:val="00F037A4"/>
    <w:rsid w:val="00F049AB"/>
    <w:rsid w:val="00F142DB"/>
    <w:rsid w:val="00F26BE8"/>
    <w:rsid w:val="00F27C8F"/>
    <w:rsid w:val="00F32749"/>
    <w:rsid w:val="00F37172"/>
    <w:rsid w:val="00F37242"/>
    <w:rsid w:val="00F4477E"/>
    <w:rsid w:val="00F46269"/>
    <w:rsid w:val="00F54F4A"/>
    <w:rsid w:val="00F60BA8"/>
    <w:rsid w:val="00F67D8F"/>
    <w:rsid w:val="00F802BE"/>
    <w:rsid w:val="00F80E93"/>
    <w:rsid w:val="00F86024"/>
    <w:rsid w:val="00F8611A"/>
    <w:rsid w:val="00FA4D6D"/>
    <w:rsid w:val="00FA5128"/>
    <w:rsid w:val="00FB42D4"/>
    <w:rsid w:val="00FB5906"/>
    <w:rsid w:val="00FB762F"/>
    <w:rsid w:val="00FC2AED"/>
    <w:rsid w:val="00FC466F"/>
    <w:rsid w:val="00FD1535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75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s://stat.gov.pl/en/metainformation/glossary/terms-used-in-official-statistics/402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image" Target="media/image13.emf"/><Relationship Id="rId10" Type="http://schemas.openxmlformats.org/officeDocument/2006/relationships/image" Target="media/image1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174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Value chains in national enterprises in 2020.docx.docx</NazwaPliku>
    <Odbiorcy2 xmlns="AD3641B4-23D9-4536-AF9E-7D0EADDEB824" xsi:nil="true"/>
    <Osoba xmlns="AD3641B4-23D9-4536-AF9E-7D0EADDEB824">STAT\PIOTROWSKAAN</Osoba>
  </documentManagement>
</p:properties>
</file>

<file path=customXml/itemProps1.xml><?xml version="1.0" encoding="utf-8"?>
<ds:datastoreItem xmlns:ds="http://schemas.openxmlformats.org/officeDocument/2006/customXml" ds:itemID="{70A98456-DC54-451E-87BC-74CE16ED9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F1409-2BF8-46DB-9F09-13C290370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chains of national enterprises in 2020</dc:title>
  <dc:subject>Value chains of national enterprises</dc:subject>
  <dc:creator>Statistics Poland</dc:creator>
  <cp:keywords/>
  <dc:description/>
  <cp:lastPrinted>2019-02-21T09:45:00Z</cp:lastPrinted>
  <dcterms:created xsi:type="dcterms:W3CDTF">2022-06-27T07:19:00Z</dcterms:created>
  <dcterms:modified xsi:type="dcterms:W3CDTF">2022-06-27T07:19:00Z</dcterms:modified>
  <cp:category>Activity of enterprises; Activity of companies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