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AED6A" w14:textId="5D0A9D8B" w:rsidR="00A34AA3" w:rsidRPr="004C3F8C" w:rsidRDefault="00A34AA3" w:rsidP="00A34AA3">
      <w:pPr>
        <w:pStyle w:val="tytuinformacji"/>
        <w:rPr>
          <w:shd w:val="clear" w:color="auto" w:fill="FFFFFF"/>
          <w:lang w:val="en-GB"/>
        </w:rPr>
      </w:pPr>
      <w:r w:rsidRPr="004C3F8C">
        <w:rPr>
          <w:shd w:val="clear" w:color="auto" w:fill="FFFFFF"/>
          <w:lang w:val="en-GB"/>
        </w:rPr>
        <w:t>Political parties in 2020</w:t>
      </w:r>
    </w:p>
    <w:p w14:paraId="38C2DD11" w14:textId="2B1B7013" w:rsidR="00A34AA3" w:rsidRPr="004C3F8C" w:rsidRDefault="00A34AA3" w:rsidP="00A34AA3">
      <w:pPr>
        <w:pStyle w:val="tytuinformacji"/>
        <w:rPr>
          <w:sz w:val="32"/>
          <w:lang w:val="en-GB"/>
        </w:rPr>
      </w:pPr>
    </w:p>
    <w:p w14:paraId="26A79BAF" w14:textId="7CD78ACC" w:rsidR="00A34AA3" w:rsidRPr="004C3F8C" w:rsidRDefault="00A34AA3" w:rsidP="00A34AA3">
      <w:pPr>
        <w:pStyle w:val="LID"/>
        <w:rPr>
          <w:color w:val="000000" w:themeColor="text1"/>
          <w:lang w:val="en-GB"/>
        </w:rPr>
      </w:pPr>
      <w:r w:rsidRPr="00FB46AB">
        <w:rPr>
          <w:color w:val="000000" w:themeColor="text1"/>
        </w:rPr>
        <mc:AlternateContent>
          <mc:Choice Requires="wps">
            <w:drawing>
              <wp:anchor distT="45720" distB="45720" distL="114300" distR="114300" simplePos="0" relativeHeight="251761664" behindDoc="0" locked="0" layoutInCell="1" allowOverlap="1" wp14:anchorId="09AC5C0C" wp14:editId="3453E5FE">
                <wp:simplePos x="0" y="0"/>
                <wp:positionH relativeFrom="margin">
                  <wp:posOffset>13335</wp:posOffset>
                </wp:positionH>
                <wp:positionV relativeFrom="paragraph">
                  <wp:posOffset>76835</wp:posOffset>
                </wp:positionV>
                <wp:extent cx="1885950" cy="116649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66495"/>
                        </a:xfrm>
                        <a:prstGeom prst="rect">
                          <a:avLst/>
                        </a:prstGeom>
                        <a:solidFill>
                          <a:srgbClr val="001D77"/>
                        </a:solidFill>
                        <a:ln w="9525">
                          <a:noFill/>
                          <a:miter lim="800000"/>
                          <a:headEnd/>
                          <a:tailEnd/>
                        </a:ln>
                      </wps:spPr>
                      <wps:txbx>
                        <w:txbxContent>
                          <w:p w14:paraId="558B6A63" w14:textId="77777777" w:rsidR="00A34AA3" w:rsidRPr="004C3F8C" w:rsidRDefault="00A34AA3" w:rsidP="00A34AA3">
                            <w:pPr>
                              <w:spacing w:after="0" w:line="240" w:lineRule="auto"/>
                              <w:ind w:left="360"/>
                              <w:rPr>
                                <w:rFonts w:ascii="Fira Sans SemiBold" w:hAnsi="Fira Sans SemiBold"/>
                                <w:color w:val="FFFFFF" w:themeColor="background1"/>
                                <w:sz w:val="72"/>
                                <w:szCs w:val="72"/>
                                <w:lang w:val="en-GB"/>
                              </w:rPr>
                            </w:pPr>
                            <w:r w:rsidRPr="004C3F8C">
                              <w:rPr>
                                <w:noProof/>
                                <w:lang w:val="en-GB" w:eastAsia="pl-PL"/>
                              </w:rPr>
                              <w:t xml:space="preserve">      </w:t>
                            </w:r>
                            <w:r w:rsidR="003A75E7">
                              <w:pict w14:anchorId="40AA04EA">
                                <v:shape id="Obraz 29" o:spid="_x0000_i1029" type="#_x0000_t75" style="width:28.5pt;height:28.5pt;visibility:visible;mso-wrap-style:square" o:bullet="t">
                                  <v:imagedata r:id="rId10" o:title=""/>
                                </v:shape>
                              </w:pict>
                            </w:r>
                            <w:r w:rsidRPr="004C3F8C">
                              <w:rPr>
                                <w:rFonts w:ascii="Fira Sans SemiBold" w:hAnsi="Fira Sans SemiBold"/>
                                <w:color w:val="FFFFFF" w:themeColor="background1"/>
                                <w:sz w:val="72"/>
                                <w:szCs w:val="72"/>
                                <w:lang w:val="en-GB"/>
                              </w:rPr>
                              <w:t xml:space="preserve"> 3</w:t>
                            </w:r>
                          </w:p>
                          <w:p w14:paraId="607D2896" w14:textId="77777777" w:rsidR="00A34AA3" w:rsidRPr="004C3F8C" w:rsidRDefault="00A34AA3" w:rsidP="00A34AA3">
                            <w:pPr>
                              <w:spacing w:before="0" w:after="0" w:line="240" w:lineRule="auto"/>
                              <w:rPr>
                                <w:color w:val="FFFFFF" w:themeColor="background1"/>
                                <w:sz w:val="20"/>
                                <w:szCs w:val="20"/>
                                <w:lang w:val="en-GB"/>
                              </w:rPr>
                            </w:pPr>
                            <w:r w:rsidRPr="004C3F8C">
                              <w:rPr>
                                <w:sz w:val="20"/>
                                <w:szCs w:val="20"/>
                                <w:lang w:val="en-GB"/>
                              </w:rPr>
                              <w:t>increase in the number of political parties entered into the register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C5C0C" id="_x0000_t202" coordsize="21600,21600" o:spt="202" path="m,l,21600r21600,l21600,xe">
                <v:stroke joinstyle="miter"/>
                <v:path gradientshapeok="t" o:connecttype="rect"/>
              </v:shapetype>
              <v:shape id="Pole tekstowe 2" o:spid="_x0000_s1026" type="#_x0000_t202" style="position:absolute;margin-left:1.05pt;margin-top:6.05pt;width:148.5pt;height:91.8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" fillcolor="#001d77" stroked="f">
                <v:textbox>
                  <w:txbxContent>
                    <w:p w14:paraId="558B6A63" w14:textId="77777777" w:rsidR="00A34AA3" w:rsidRPr="004C3F8C" w:rsidRDefault="00A34AA3" w:rsidP="00A34AA3">
                      <w:pPr>
                        <w:spacing w:after="0" w:line="240" w:lineRule="auto"/>
                        <w:ind w:left="360"/>
                        <w:rPr>
                          <w:rFonts w:ascii="Fira Sans SemiBold" w:hAnsi="Fira Sans SemiBold"/>
                          <w:color w:val="FFFFFF" w:themeColor="background1"/>
                          <w:sz w:val="72"/>
                          <w:szCs w:val="72"/>
                          <w:lang w:val="en-GB"/>
                        </w:rPr>
                      </w:pPr>
                      <w:r w:rsidRPr="004C3F8C">
                        <w:rPr>
                          <w:noProof/>
                          <w:lang w:val="en-GB" w:eastAsia="pl-PL"/>
                        </w:rPr>
                        <w:t xml:space="preserve">      </w:t>
                      </w:r>
                      <w:r w:rsidR="00103867">
                        <w:pict w14:anchorId="40AA04EA">
                          <v:shape id="Obraz 29" o:spid="_x0000_i1029" type="#_x0000_t75" style="width:28.8pt;height:28.8pt;visibility:visible;mso-wrap-style:square" o:bullet="t">
                            <v:imagedata r:id="rId11" o:title=""/>
                          </v:shape>
                        </w:pict>
                      </w:r>
                      <w:r w:rsidRPr="004C3F8C">
                        <w:rPr>
                          <w:rFonts w:ascii="Fira Sans SemiBold" w:hAnsi="Fira Sans SemiBold"/>
                          <w:color w:val="FFFFFF" w:themeColor="background1"/>
                          <w:sz w:val="72"/>
                          <w:szCs w:val="72"/>
                          <w:lang w:val="en-GB"/>
                        </w:rPr>
                        <w:t xml:space="preserve"> 3</w:t>
                      </w:r>
                    </w:p>
                    <w:p w14:paraId="607D2896" w14:textId="77777777" w:rsidR="00A34AA3" w:rsidRPr="004C3F8C" w:rsidRDefault="00A34AA3" w:rsidP="00A34AA3">
                      <w:pPr>
                        <w:spacing w:before="0" w:after="0" w:line="240" w:lineRule="auto"/>
                        <w:rPr>
                          <w:color w:val="FFFFFF" w:themeColor="background1"/>
                          <w:sz w:val="20"/>
                          <w:szCs w:val="20"/>
                          <w:lang w:val="en-GB"/>
                        </w:rPr>
                      </w:pPr>
                      <w:r w:rsidRPr="004C3F8C">
                        <w:rPr>
                          <w:sz w:val="20"/>
                          <w:szCs w:val="20"/>
                          <w:lang w:val="en-GB"/>
                        </w:rPr>
                        <w:t>increase in the number of political parties entered into the register</w:t>
                      </w:r>
                    </w:p>
                  </w:txbxContent>
                </v:textbox>
                <w10:wrap type="square" anchorx="margin"/>
              </v:shape>
            </w:pict>
          </mc:Fallback>
        </mc:AlternateContent>
      </w:r>
      <w:r w:rsidRPr="004C3F8C">
        <w:rPr>
          <w:color w:val="000000" w:themeColor="text1"/>
          <w:lang w:val="en-GB"/>
        </w:rPr>
        <w:t>At the end of 2020, 88 political parties had an entry in the register, of which 62 were active. Parties declared a total of 239.9 thousand members, and 18.0 thous people. The party's revenues amounted to PLN 163.2 million, but only 7 parties had revenues exceeding PLN 1 million.</w:t>
      </w:r>
    </w:p>
    <w:p w14:paraId="070C5F7F" w14:textId="77777777" w:rsidR="00A34AA3" w:rsidRPr="004C3F8C" w:rsidRDefault="00A34AA3" w:rsidP="00A34AA3">
      <w:pPr>
        <w:pStyle w:val="LID"/>
        <w:rPr>
          <w:b w:val="0"/>
          <w:color w:val="212492"/>
          <w:spacing w:val="-2"/>
          <w:lang w:val="en-GB"/>
        </w:rPr>
      </w:pPr>
    </w:p>
    <w:p w14:paraId="00B8333A" w14:textId="77777777" w:rsidR="00A34AA3" w:rsidRPr="004C3F8C" w:rsidRDefault="00A34AA3" w:rsidP="00A34AA3">
      <w:pPr>
        <w:pStyle w:val="LID"/>
        <w:rPr>
          <w:b w:val="0"/>
          <w:color w:val="212492"/>
          <w:spacing w:val="-2"/>
          <w:lang w:val="en-GB"/>
        </w:rPr>
      </w:pPr>
    </w:p>
    <w:p w14:paraId="3591F25E" w14:textId="3BEEB537" w:rsidR="00A34AA3" w:rsidRPr="004C3F8C" w:rsidRDefault="00A34AA3" w:rsidP="00A34AA3">
      <w:pPr>
        <w:pStyle w:val="Nagwek1"/>
        <w:rPr>
          <w:lang w:val="en-GB"/>
        </w:rPr>
      </w:pPr>
      <w:r w:rsidRPr="004C3F8C">
        <w:rPr>
          <w:lang w:val="en-GB"/>
        </w:rPr>
        <w:t>Number of political parties</w:t>
      </w:r>
    </w:p>
    <w:p w14:paraId="3B0BBFC4" w14:textId="1FFC7A34" w:rsidR="00A34AA3" w:rsidRPr="004C3F8C" w:rsidRDefault="00A34AA3" w:rsidP="00A34AA3">
      <w:pPr>
        <w:rPr>
          <w:shd w:val="clear" w:color="auto" w:fill="FFFFFF"/>
          <w:lang w:val="en-GB"/>
        </w:rPr>
      </w:pPr>
      <w:r w:rsidRPr="004C3F8C">
        <w:rPr>
          <w:shd w:val="clear" w:color="auto" w:fill="FFFFFF"/>
          <w:lang w:val="en-GB"/>
        </w:rPr>
        <w:t xml:space="preserve">Political parties in Poland acquire legal </w:t>
      </w:r>
      <w:r w:rsidR="004A0543">
        <w:rPr>
          <w:shd w:val="clear" w:color="auto" w:fill="FFFFFF"/>
          <w:lang w:val="en-GB"/>
        </w:rPr>
        <w:t>person</w:t>
      </w:r>
      <w:r w:rsidR="002D5131">
        <w:rPr>
          <w:shd w:val="clear" w:color="auto" w:fill="FFFFFF"/>
          <w:lang w:val="en-GB"/>
        </w:rPr>
        <w:t>ality</w:t>
      </w:r>
      <w:r w:rsidR="004A0543">
        <w:rPr>
          <w:shd w:val="clear" w:color="auto" w:fill="FFFFFF"/>
          <w:lang w:val="en-GB"/>
        </w:rPr>
        <w:t xml:space="preserve"> </w:t>
      </w:r>
      <w:r w:rsidRPr="004C3F8C">
        <w:rPr>
          <w:shd w:val="clear" w:color="auto" w:fill="FFFFFF"/>
          <w:lang w:val="en-GB"/>
        </w:rPr>
        <w:t xml:space="preserve"> with an entry in the register of political parties kept by the District Court in Warsaw. As </w:t>
      </w:r>
      <w:r w:rsidR="004A0543">
        <w:rPr>
          <w:shd w:val="clear" w:color="auto" w:fill="FFFFFF"/>
          <w:lang w:val="en-GB"/>
        </w:rPr>
        <w:t xml:space="preserve">of </w:t>
      </w:r>
      <w:r w:rsidRPr="004C3F8C">
        <w:rPr>
          <w:shd w:val="clear" w:color="auto" w:fill="FFFFFF"/>
          <w:lang w:val="en-GB"/>
        </w:rPr>
        <w:t>December 31, 2020, 88 groupings</w:t>
      </w:r>
      <w:r w:rsidR="0015186B">
        <w:rPr>
          <w:shd w:val="clear" w:color="auto" w:fill="FFFFFF"/>
          <w:lang w:val="en-GB"/>
        </w:rPr>
        <w:t xml:space="preserve"> had an entry in the register.</w:t>
      </w:r>
      <w:r w:rsidRPr="004C3F8C">
        <w:rPr>
          <w:shd w:val="clear" w:color="auto" w:fill="FFFFFF"/>
          <w:lang w:val="en-GB"/>
        </w:rPr>
        <w:t xml:space="preserve"> </w:t>
      </w:r>
      <w:r w:rsidR="004A0543">
        <w:rPr>
          <w:shd w:val="clear" w:color="auto" w:fill="FFFFFF"/>
          <w:lang w:val="en-GB"/>
        </w:rPr>
        <w:t xml:space="preserve">In the years between 2010 and 2020 </w:t>
      </w:r>
      <w:r w:rsidRPr="004C3F8C">
        <w:rPr>
          <w:shd w:val="clear" w:color="auto" w:fill="FFFFFF"/>
          <w:lang w:val="en-GB"/>
        </w:rPr>
        <w:t>the average  growth in the number of parties was 6</w:t>
      </w:r>
      <w:r w:rsidR="004A0543">
        <w:rPr>
          <w:shd w:val="clear" w:color="auto" w:fill="FFFFFF"/>
          <w:lang w:val="en-GB"/>
        </w:rPr>
        <w:t xml:space="preserve"> per year</w:t>
      </w:r>
      <w:r w:rsidRPr="004C3F8C">
        <w:rPr>
          <w:shd w:val="clear" w:color="auto" w:fill="FFFFFF"/>
          <w:lang w:val="en-GB"/>
        </w:rPr>
        <w:t>. The largest decrease was recorded in 2017, when the number of entries in the register decreased by 15. In turn, the largest increase in the number of groupings with entries was recorded in 2015 and 2018 (in both by 12). In 2020, the District Court in Warsaw registered 3 new political parties and did not issue any decision on deleting the entry of a party from the register.</w:t>
      </w:r>
    </w:p>
    <w:p w14:paraId="4CC8894F" w14:textId="35079E38" w:rsidR="00A34AA3" w:rsidRPr="004C3F8C" w:rsidRDefault="00A34AA3" w:rsidP="00A34AA3">
      <w:pPr>
        <w:pStyle w:val="tytuwykresu"/>
        <w:ind w:left="794" w:hanging="794"/>
        <w:rPr>
          <w:lang w:val="en-GB"/>
        </w:rPr>
      </w:pPr>
      <w:r w:rsidRPr="00C36B1F">
        <w:rPr>
          <w:noProof/>
          <w:lang w:eastAsia="pl-PL"/>
        </w:rPr>
        <w:drawing>
          <wp:anchor distT="0" distB="0" distL="114300" distR="114300" simplePos="0" relativeHeight="251762688" behindDoc="0" locked="0" layoutInCell="1" allowOverlap="1" wp14:anchorId="11AB0C81" wp14:editId="0A2BE2AC">
            <wp:simplePos x="0" y="0"/>
            <wp:positionH relativeFrom="margin">
              <wp:posOffset>-47625</wp:posOffset>
            </wp:positionH>
            <wp:positionV relativeFrom="paragraph">
              <wp:posOffset>421640</wp:posOffset>
            </wp:positionV>
            <wp:extent cx="5151755" cy="2276475"/>
            <wp:effectExtent l="0" t="0" r="0" b="0"/>
            <wp:wrapTopAndBottom/>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4C3F8C">
        <w:rPr>
          <w:lang w:val="en-GB"/>
        </w:rPr>
        <w:t xml:space="preserve"> Chart 1. Change in the number of political parties entered into the register of political parties by the District Court in Warsaw </w:t>
      </w:r>
    </w:p>
    <w:p w14:paraId="44488400" w14:textId="2D0A4EEA" w:rsidR="00A34AA3" w:rsidRPr="004C3F8C" w:rsidRDefault="00A34AA3" w:rsidP="00A34AA3">
      <w:pPr>
        <w:pStyle w:val="tytuwykresu"/>
        <w:ind w:left="794" w:hanging="794"/>
        <w:rPr>
          <w:lang w:val="en-GB"/>
        </w:rPr>
      </w:pPr>
    </w:p>
    <w:p w14:paraId="2CFCC7D9" w14:textId="0BDE0209" w:rsidR="00A34AA3" w:rsidRPr="004C3F8C" w:rsidRDefault="00A34AA3" w:rsidP="00A34AA3">
      <w:pPr>
        <w:pStyle w:val="Nagwek1"/>
        <w:rPr>
          <w:rFonts w:ascii="Fira Sans" w:eastAsiaTheme="minorHAnsi" w:hAnsi="Fira Sans" w:cstheme="minorBidi"/>
          <w:bCs w:val="0"/>
          <w:color w:val="auto"/>
          <w:szCs w:val="22"/>
          <w:lang w:val="en-GB" w:eastAsia="en-US"/>
        </w:rPr>
      </w:pPr>
      <w:r w:rsidRPr="00FA4C53">
        <w:rPr>
          <w:noProof/>
        </w:rPr>
        <mc:AlternateContent>
          <mc:Choice Requires="wps">
            <w:drawing>
              <wp:anchor distT="45720" distB="45720" distL="114300" distR="114300" simplePos="0" relativeHeight="251773952" behindDoc="1" locked="0" layoutInCell="1" allowOverlap="1" wp14:anchorId="3E3C7887" wp14:editId="4936459D">
                <wp:simplePos x="0" y="0"/>
                <wp:positionH relativeFrom="rightMargin">
                  <wp:posOffset>177165</wp:posOffset>
                </wp:positionH>
                <wp:positionV relativeFrom="paragraph">
                  <wp:posOffset>186055</wp:posOffset>
                </wp:positionV>
                <wp:extent cx="1725295" cy="752475"/>
                <wp:effectExtent l="0" t="0" r="0" b="0"/>
                <wp:wrapTight wrapText="bothSides">
                  <wp:wrapPolygon edited="0">
                    <wp:start x="715" y="0"/>
                    <wp:lineTo x="715" y="20780"/>
                    <wp:lineTo x="20749" y="20780"/>
                    <wp:lineTo x="20749" y="0"/>
                    <wp:lineTo x="715" y="0"/>
                  </wp:wrapPolygon>
                </wp:wrapTight>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52475"/>
                        </a:xfrm>
                        <a:prstGeom prst="rect">
                          <a:avLst/>
                        </a:prstGeom>
                        <a:noFill/>
                        <a:ln w="9525">
                          <a:noFill/>
                          <a:miter lim="800000"/>
                          <a:headEnd/>
                          <a:tailEnd/>
                        </a:ln>
                      </wps:spPr>
                      <wps:txbx>
                        <w:txbxContent>
                          <w:p w14:paraId="1E51E871" w14:textId="150793B7" w:rsidR="00A34AA3" w:rsidRPr="00A34AA3" w:rsidRDefault="00A34AA3" w:rsidP="00A34AA3">
                            <w:pPr>
                              <w:spacing w:before="0" w:after="0"/>
                              <w:rPr>
                                <w:rFonts w:eastAsia="Times New Roman" w:cs="Times New Roman"/>
                                <w:bCs/>
                                <w:color w:val="001D77"/>
                                <w:sz w:val="18"/>
                                <w:szCs w:val="18"/>
                                <w:lang w:val="en-GB" w:eastAsia="pl-PL"/>
                              </w:rPr>
                            </w:pPr>
                            <w:r w:rsidRPr="004C3F8C">
                              <w:rPr>
                                <w:rFonts w:eastAsia="Times New Roman" w:cs="Times New Roman"/>
                                <w:bCs/>
                                <w:color w:val="001D77"/>
                                <w:sz w:val="18"/>
                                <w:szCs w:val="18"/>
                                <w:lang w:val="en-GB" w:eastAsia="pl-PL"/>
                              </w:rPr>
                              <w:t>In 2020, 62 of the 88 political parties entered into the register were active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C7887" id="Pole tekstowe 31" o:spid="_x0000_s1027" type="#_x0000_t202" style="position:absolute;margin-left:13.95pt;margin-top:14.65pt;width:135.85pt;height:59.25pt;z-index:-2515425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" filled="f" stroked="f">
                <v:textbox>
                  <w:txbxContent>
                    <w:p w14:paraId="1E51E871" w14:textId="150793B7" w:rsidR="00A34AA3" w:rsidRPr="00A34AA3" w:rsidRDefault="00A34AA3" w:rsidP="00A34AA3">
                      <w:pPr>
                        <w:spacing w:before="0" w:after="0"/>
                        <w:rPr>
                          <w:rFonts w:eastAsia="Times New Roman" w:cs="Times New Roman"/>
                          <w:bCs/>
                          <w:color w:val="001D77"/>
                          <w:sz w:val="18"/>
                          <w:szCs w:val="18"/>
                          <w:lang w:val="en-GB" w:eastAsia="pl-PL"/>
                        </w:rPr>
                      </w:pPr>
                      <w:r w:rsidRPr="004C3F8C">
                        <w:rPr>
                          <w:rFonts w:eastAsia="Times New Roman" w:cs="Times New Roman"/>
                          <w:bCs/>
                          <w:color w:val="001D77"/>
                          <w:sz w:val="18"/>
                          <w:szCs w:val="18"/>
                          <w:lang w:val="en-GB" w:eastAsia="pl-PL"/>
                        </w:rPr>
                        <w:t>In 2020, 62 of the 88 political parties entered into the register were active</w:t>
                      </w:r>
                    </w:p>
                  </w:txbxContent>
                </v:textbox>
                <w10:wrap type="tight" anchorx="margin"/>
              </v:shape>
            </w:pict>
          </mc:Fallback>
        </mc:AlternateContent>
      </w:r>
      <w:r w:rsidRPr="004C3F8C">
        <w:rPr>
          <w:rFonts w:ascii="Fira Sans" w:eastAsiaTheme="minorHAnsi" w:hAnsi="Fira Sans" w:cstheme="minorBidi"/>
          <w:bCs w:val="0"/>
          <w:color w:val="auto"/>
          <w:szCs w:val="22"/>
          <w:lang w:val="en-GB" w:eastAsia="en-US"/>
        </w:rPr>
        <w:t xml:space="preserve">In 2021, Statistics Poland conducted a study of political parties, during which the activity of 62 out of 88 parties entered into the register at the end of 2020 was confirmed. Further analysis  </w:t>
      </w:r>
      <w:r w:rsidR="009C7372">
        <w:rPr>
          <w:rFonts w:ascii="Fira Sans" w:eastAsiaTheme="minorHAnsi" w:hAnsi="Fira Sans" w:cstheme="minorBidi"/>
          <w:bCs w:val="0"/>
          <w:color w:val="auto"/>
          <w:szCs w:val="22"/>
          <w:lang w:val="en-GB" w:eastAsia="en-US"/>
        </w:rPr>
        <w:t xml:space="preserve">concerns itself </w:t>
      </w:r>
      <w:r w:rsidRPr="004C3F8C">
        <w:rPr>
          <w:rFonts w:ascii="Fira Sans" w:eastAsiaTheme="minorHAnsi" w:hAnsi="Fira Sans" w:cstheme="minorBidi"/>
          <w:bCs w:val="0"/>
          <w:color w:val="auto"/>
          <w:szCs w:val="22"/>
          <w:lang w:val="en-GB" w:eastAsia="en-US"/>
        </w:rPr>
        <w:t>only</w:t>
      </w:r>
      <w:r w:rsidR="009C7372">
        <w:rPr>
          <w:rFonts w:ascii="Fira Sans" w:eastAsiaTheme="minorHAnsi" w:hAnsi="Fira Sans" w:cstheme="minorBidi"/>
          <w:bCs w:val="0"/>
          <w:color w:val="auto"/>
          <w:szCs w:val="22"/>
          <w:lang w:val="en-GB" w:eastAsia="en-US"/>
        </w:rPr>
        <w:t xml:space="preserve"> with</w:t>
      </w:r>
      <w:r w:rsidRPr="004C3F8C">
        <w:rPr>
          <w:rFonts w:ascii="Fira Sans" w:eastAsiaTheme="minorHAnsi" w:hAnsi="Fira Sans" w:cstheme="minorBidi"/>
          <w:bCs w:val="0"/>
          <w:color w:val="auto"/>
          <w:szCs w:val="22"/>
          <w:lang w:val="en-GB" w:eastAsia="en-US"/>
        </w:rPr>
        <w:t xml:space="preserve"> the groupings active in 2020.</w:t>
      </w:r>
    </w:p>
    <w:p w14:paraId="788B8D1F" w14:textId="739007F3" w:rsidR="00A34AA3" w:rsidRPr="004C3F8C" w:rsidRDefault="00A34AA3" w:rsidP="00A34AA3">
      <w:pPr>
        <w:pStyle w:val="Nagwek1"/>
        <w:rPr>
          <w:rFonts w:ascii="Fira Sans" w:eastAsiaTheme="minorHAnsi" w:hAnsi="Fira Sans" w:cstheme="minorBidi"/>
          <w:bCs w:val="0"/>
          <w:color w:val="auto"/>
          <w:szCs w:val="22"/>
          <w:lang w:val="en-GB" w:eastAsia="en-US"/>
        </w:rPr>
      </w:pPr>
      <w:r w:rsidRPr="004C3F8C">
        <w:rPr>
          <w:rFonts w:ascii="Fira Sans" w:eastAsiaTheme="minorHAnsi" w:hAnsi="Fira Sans" w:cstheme="minorBidi"/>
          <w:bCs w:val="0"/>
          <w:color w:val="auto"/>
          <w:szCs w:val="22"/>
          <w:lang w:val="en-GB" w:eastAsia="en-US"/>
        </w:rPr>
        <w:t xml:space="preserve">In 2020, representatives of 17 parties participated </w:t>
      </w:r>
      <w:r w:rsidR="00110205">
        <w:rPr>
          <w:rFonts w:ascii="Fira Sans" w:eastAsiaTheme="minorHAnsi" w:hAnsi="Fira Sans" w:cstheme="minorBidi"/>
          <w:bCs w:val="0"/>
          <w:color w:val="auto"/>
          <w:szCs w:val="22"/>
          <w:lang w:val="en-GB" w:eastAsia="en-US"/>
        </w:rPr>
        <w:t xml:space="preserve">in exercising </w:t>
      </w:r>
      <w:r w:rsidRPr="004C3F8C">
        <w:rPr>
          <w:rFonts w:ascii="Fira Sans" w:eastAsiaTheme="minorHAnsi" w:hAnsi="Fira Sans" w:cstheme="minorBidi"/>
          <w:bCs w:val="0"/>
          <w:color w:val="auto"/>
          <w:szCs w:val="22"/>
          <w:lang w:val="en-GB" w:eastAsia="en-US"/>
        </w:rPr>
        <w:t xml:space="preserve">of </w:t>
      </w:r>
      <w:r w:rsidRPr="003D408C">
        <w:rPr>
          <w:rFonts w:ascii="Fira Sans" w:eastAsiaTheme="minorHAnsi" w:hAnsi="Fira Sans" w:cstheme="minorBidi"/>
          <w:bCs w:val="0"/>
          <w:color w:val="auto"/>
          <w:szCs w:val="22"/>
          <w:lang w:val="en-GB" w:eastAsia="en-US"/>
        </w:rPr>
        <w:t xml:space="preserve">state authority </w:t>
      </w:r>
      <w:r w:rsidRPr="004C3F8C">
        <w:rPr>
          <w:rFonts w:ascii="Fira Sans" w:eastAsiaTheme="minorHAnsi" w:hAnsi="Fira Sans" w:cstheme="minorBidi"/>
          <w:bCs w:val="0"/>
          <w:color w:val="auto"/>
          <w:szCs w:val="22"/>
          <w:lang w:val="en-GB" w:eastAsia="en-US"/>
        </w:rPr>
        <w:t xml:space="preserve">in the parliament or in the government. Representatives of another 7 groupings sat only in local government bodies. The remaining 38 parties did not participate in the exercise of </w:t>
      </w:r>
      <w:r w:rsidRPr="003D408C">
        <w:rPr>
          <w:rFonts w:ascii="Fira Sans" w:eastAsiaTheme="minorHAnsi" w:hAnsi="Fira Sans" w:cstheme="minorBidi"/>
          <w:bCs w:val="0"/>
          <w:color w:val="auto"/>
          <w:szCs w:val="22"/>
          <w:lang w:val="en-GB" w:eastAsia="en-US"/>
        </w:rPr>
        <w:t>state authority</w:t>
      </w:r>
      <w:r w:rsidRPr="004C3F8C">
        <w:rPr>
          <w:rFonts w:ascii="Fira Sans" w:eastAsiaTheme="minorHAnsi" w:hAnsi="Fira Sans" w:cstheme="minorBidi"/>
          <w:bCs w:val="0"/>
          <w:color w:val="70AD47" w:themeColor="accent6"/>
          <w:szCs w:val="22"/>
          <w:lang w:val="en-GB" w:eastAsia="en-US"/>
        </w:rPr>
        <w:t xml:space="preserve"> </w:t>
      </w:r>
      <w:r w:rsidRPr="004C3F8C">
        <w:rPr>
          <w:rFonts w:ascii="Fira Sans" w:eastAsiaTheme="minorHAnsi" w:hAnsi="Fira Sans" w:cstheme="minorBidi"/>
          <w:bCs w:val="0"/>
          <w:color w:val="auto"/>
          <w:szCs w:val="22"/>
          <w:lang w:val="en-GB" w:eastAsia="en-US"/>
        </w:rPr>
        <w:t>at the central or local government level.</w:t>
      </w:r>
    </w:p>
    <w:p w14:paraId="1CB1CE6F" w14:textId="36C0B3BF" w:rsidR="00A34AA3" w:rsidRPr="004D5322" w:rsidRDefault="00585DC1" w:rsidP="00A34AA3">
      <w:pPr>
        <w:pStyle w:val="Nagwek1"/>
        <w:rPr>
          <w:rFonts w:ascii="Fira Sans" w:eastAsiaTheme="minorHAnsi" w:hAnsi="Fira Sans" w:cstheme="minorBidi"/>
          <w:bCs w:val="0"/>
          <w:color w:val="auto"/>
          <w:szCs w:val="22"/>
          <w:lang w:eastAsia="en-US"/>
        </w:rPr>
      </w:pPr>
      <w:r>
        <w:rPr>
          <w:rFonts w:ascii="Fira Sans" w:eastAsiaTheme="minorHAnsi" w:hAnsi="Fira Sans" w:cstheme="minorBidi"/>
          <w:bCs w:val="0"/>
          <w:color w:val="auto"/>
          <w:szCs w:val="22"/>
          <w:lang w:val="en-GB" w:eastAsia="en-US"/>
        </w:rPr>
        <w:t>Forty</w:t>
      </w:r>
      <w:r w:rsidR="00A34AA3" w:rsidRPr="004C3F8C">
        <w:rPr>
          <w:rFonts w:ascii="Fira Sans" w:eastAsiaTheme="minorHAnsi" w:hAnsi="Fira Sans" w:cstheme="minorBidi"/>
          <w:bCs w:val="0"/>
          <w:color w:val="auto"/>
          <w:szCs w:val="22"/>
          <w:lang w:val="en-GB" w:eastAsia="en-US"/>
        </w:rPr>
        <w:t xml:space="preserve"> of the 62 political parties had their headquarters located in the </w:t>
      </w:r>
      <w:proofErr w:type="spellStart"/>
      <w:r w:rsidR="00A34AA3" w:rsidRPr="004C3F8C">
        <w:rPr>
          <w:rFonts w:ascii="Fira Sans" w:eastAsiaTheme="minorHAnsi" w:hAnsi="Fira Sans" w:cstheme="minorBidi"/>
          <w:bCs w:val="0"/>
          <w:color w:val="auto"/>
          <w:szCs w:val="22"/>
          <w:lang w:val="en-GB" w:eastAsia="en-US"/>
        </w:rPr>
        <w:t>Mazowieckie</w:t>
      </w:r>
      <w:proofErr w:type="spellEnd"/>
      <w:r w:rsidR="00A34AA3" w:rsidRPr="004C3F8C">
        <w:rPr>
          <w:rFonts w:ascii="Fira Sans" w:eastAsiaTheme="minorHAnsi" w:hAnsi="Fira Sans" w:cstheme="minorBidi"/>
          <w:bCs w:val="0"/>
          <w:color w:val="auto"/>
          <w:szCs w:val="22"/>
          <w:lang w:val="en-GB" w:eastAsia="en-US"/>
        </w:rPr>
        <w:t xml:space="preserve"> voivodship and the remaining parties were located</w:t>
      </w:r>
      <w:r w:rsidR="00110205">
        <w:rPr>
          <w:rFonts w:ascii="Fira Sans" w:eastAsiaTheme="minorHAnsi" w:hAnsi="Fira Sans" w:cstheme="minorBidi"/>
          <w:bCs w:val="0"/>
          <w:color w:val="auto"/>
          <w:szCs w:val="22"/>
          <w:lang w:val="en-GB" w:eastAsia="en-US"/>
        </w:rPr>
        <w:t>, by decreasing number</w:t>
      </w:r>
      <w:r w:rsidR="007E6492">
        <w:rPr>
          <w:rFonts w:ascii="Fira Sans" w:eastAsiaTheme="minorHAnsi" w:hAnsi="Fira Sans" w:cstheme="minorBidi"/>
          <w:bCs w:val="0"/>
          <w:color w:val="auto"/>
          <w:szCs w:val="22"/>
          <w:lang w:val="en-GB" w:eastAsia="en-US"/>
        </w:rPr>
        <w:t>,</w:t>
      </w:r>
      <w:r w:rsidR="00A34AA3" w:rsidRPr="004C3F8C">
        <w:rPr>
          <w:rFonts w:ascii="Fira Sans" w:eastAsiaTheme="minorHAnsi" w:hAnsi="Fira Sans" w:cstheme="minorBidi"/>
          <w:bCs w:val="0"/>
          <w:color w:val="auto"/>
          <w:szCs w:val="22"/>
          <w:lang w:val="en-GB" w:eastAsia="en-US"/>
        </w:rPr>
        <w:t xml:space="preserve"> in the</w:t>
      </w:r>
      <w:r w:rsidR="00110205">
        <w:rPr>
          <w:rFonts w:ascii="Fira Sans" w:eastAsiaTheme="minorHAnsi" w:hAnsi="Fira Sans" w:cstheme="minorBidi"/>
          <w:bCs w:val="0"/>
          <w:color w:val="auto"/>
          <w:szCs w:val="22"/>
          <w:lang w:val="en-GB" w:eastAsia="en-US"/>
        </w:rPr>
        <w:t xml:space="preserve"> following voivodships</w:t>
      </w:r>
      <w:r w:rsidR="00A34AA3" w:rsidRPr="004C3F8C">
        <w:rPr>
          <w:rFonts w:ascii="Fira Sans" w:eastAsiaTheme="minorHAnsi" w:hAnsi="Fira Sans" w:cstheme="minorBidi"/>
          <w:bCs w:val="0"/>
          <w:color w:val="auto"/>
          <w:szCs w:val="22"/>
          <w:lang w:val="en-GB" w:eastAsia="en-US"/>
        </w:rPr>
        <w:t xml:space="preserve">: </w:t>
      </w:r>
      <w:proofErr w:type="spellStart"/>
      <w:r w:rsidR="00A34AA3" w:rsidRPr="004C3F8C">
        <w:rPr>
          <w:rFonts w:ascii="Fira Sans" w:eastAsiaTheme="minorHAnsi" w:hAnsi="Fira Sans" w:cstheme="minorBidi"/>
          <w:bCs w:val="0"/>
          <w:color w:val="auto"/>
          <w:szCs w:val="22"/>
          <w:lang w:val="en-GB" w:eastAsia="en-US"/>
        </w:rPr>
        <w:t>Śląskie</w:t>
      </w:r>
      <w:proofErr w:type="spellEnd"/>
      <w:r w:rsidR="00A34AA3" w:rsidRPr="004C3F8C">
        <w:rPr>
          <w:rFonts w:ascii="Fira Sans" w:eastAsiaTheme="minorHAnsi" w:hAnsi="Fira Sans" w:cstheme="minorBidi"/>
          <w:bCs w:val="0"/>
          <w:color w:val="auto"/>
          <w:szCs w:val="22"/>
          <w:lang w:val="en-GB" w:eastAsia="en-US"/>
        </w:rPr>
        <w:t xml:space="preserve"> (6), </w:t>
      </w:r>
      <w:proofErr w:type="spellStart"/>
      <w:r w:rsidR="00A34AA3" w:rsidRPr="004C3F8C">
        <w:rPr>
          <w:rFonts w:ascii="Fira Sans" w:eastAsiaTheme="minorHAnsi" w:hAnsi="Fira Sans" w:cstheme="minorBidi"/>
          <w:bCs w:val="0"/>
          <w:color w:val="auto"/>
          <w:szCs w:val="22"/>
          <w:lang w:val="en-GB" w:eastAsia="en-US"/>
        </w:rPr>
        <w:t>Małopolskie</w:t>
      </w:r>
      <w:proofErr w:type="spellEnd"/>
      <w:r w:rsidR="00A34AA3" w:rsidRPr="004C3F8C">
        <w:rPr>
          <w:rFonts w:ascii="Fira Sans" w:eastAsiaTheme="minorHAnsi" w:hAnsi="Fira Sans" w:cstheme="minorBidi"/>
          <w:bCs w:val="0"/>
          <w:color w:val="auto"/>
          <w:szCs w:val="22"/>
          <w:lang w:val="en-GB" w:eastAsia="en-US"/>
        </w:rPr>
        <w:t xml:space="preserve"> (4), </w:t>
      </w:r>
      <w:proofErr w:type="spellStart"/>
      <w:r w:rsidR="00A34AA3" w:rsidRPr="004C3F8C">
        <w:rPr>
          <w:rFonts w:ascii="Fira Sans" w:eastAsiaTheme="minorHAnsi" w:hAnsi="Fira Sans" w:cstheme="minorBidi"/>
          <w:bCs w:val="0"/>
          <w:color w:val="auto"/>
          <w:szCs w:val="22"/>
          <w:lang w:val="en-GB" w:eastAsia="en-US"/>
        </w:rPr>
        <w:t>Łódzkie</w:t>
      </w:r>
      <w:proofErr w:type="spellEnd"/>
      <w:r w:rsidR="00A34AA3" w:rsidRPr="004C3F8C">
        <w:rPr>
          <w:rFonts w:ascii="Fira Sans" w:eastAsiaTheme="minorHAnsi" w:hAnsi="Fira Sans" w:cstheme="minorBidi"/>
          <w:bCs w:val="0"/>
          <w:color w:val="auto"/>
          <w:szCs w:val="22"/>
          <w:lang w:val="en-GB" w:eastAsia="en-US"/>
        </w:rPr>
        <w:t xml:space="preserve"> and </w:t>
      </w:r>
      <w:proofErr w:type="spellStart"/>
      <w:r w:rsidR="00A34AA3" w:rsidRPr="004C3F8C">
        <w:rPr>
          <w:rFonts w:ascii="Fira Sans" w:eastAsiaTheme="minorHAnsi" w:hAnsi="Fira Sans" w:cstheme="minorBidi"/>
          <w:bCs w:val="0"/>
          <w:color w:val="auto"/>
          <w:szCs w:val="22"/>
          <w:lang w:val="en-GB" w:eastAsia="en-US"/>
        </w:rPr>
        <w:t>Pomorskie</w:t>
      </w:r>
      <w:proofErr w:type="spellEnd"/>
      <w:r w:rsidR="00110205">
        <w:rPr>
          <w:rFonts w:ascii="Fira Sans" w:eastAsiaTheme="minorHAnsi" w:hAnsi="Fira Sans" w:cstheme="minorBidi"/>
          <w:bCs w:val="0"/>
          <w:color w:val="auto"/>
          <w:szCs w:val="22"/>
          <w:lang w:val="en-GB" w:eastAsia="en-US"/>
        </w:rPr>
        <w:t xml:space="preserve"> (2 for each.)</w:t>
      </w:r>
      <w:r w:rsidR="00182481">
        <w:rPr>
          <w:rFonts w:ascii="Fira Sans" w:eastAsiaTheme="minorHAnsi" w:hAnsi="Fira Sans" w:cstheme="minorBidi"/>
          <w:bCs w:val="0"/>
          <w:color w:val="auto"/>
          <w:szCs w:val="22"/>
          <w:lang w:val="en-GB" w:eastAsia="en-US"/>
        </w:rPr>
        <w:t xml:space="preserve"> </w:t>
      </w:r>
      <w:proofErr w:type="spellStart"/>
      <w:r w:rsidR="00F77718" w:rsidRPr="004D5322">
        <w:rPr>
          <w:rFonts w:ascii="Fira Sans" w:eastAsiaTheme="minorHAnsi" w:hAnsi="Fira Sans" w:cstheme="minorBidi"/>
          <w:bCs w:val="0"/>
          <w:color w:val="auto"/>
          <w:szCs w:val="22"/>
          <w:lang w:eastAsia="en-US"/>
        </w:rPr>
        <w:t>Among</w:t>
      </w:r>
      <w:proofErr w:type="spellEnd"/>
      <w:r w:rsidR="00F77718" w:rsidRPr="004D5322">
        <w:rPr>
          <w:rFonts w:ascii="Fira Sans" w:eastAsiaTheme="minorHAnsi" w:hAnsi="Fira Sans" w:cstheme="minorBidi"/>
          <w:bCs w:val="0"/>
          <w:color w:val="auto"/>
          <w:szCs w:val="22"/>
          <w:lang w:eastAsia="en-US"/>
        </w:rPr>
        <w:t xml:space="preserve"> </w:t>
      </w:r>
      <w:r w:rsidR="00A34AA3" w:rsidRPr="004D5322">
        <w:rPr>
          <w:rFonts w:ascii="Fira Sans" w:eastAsiaTheme="minorHAnsi" w:hAnsi="Fira Sans" w:cstheme="minorBidi"/>
          <w:bCs w:val="0"/>
          <w:color w:val="auto"/>
          <w:szCs w:val="22"/>
          <w:lang w:eastAsia="en-US"/>
        </w:rPr>
        <w:t xml:space="preserve">Dolnośląskie, </w:t>
      </w:r>
      <w:r w:rsidR="00A34AA3" w:rsidRPr="004D5322">
        <w:rPr>
          <w:rFonts w:ascii="Fira Sans" w:eastAsiaTheme="minorHAnsi" w:hAnsi="Fira Sans" w:cstheme="minorBidi"/>
          <w:bCs w:val="0"/>
          <w:color w:val="auto"/>
          <w:szCs w:val="22"/>
          <w:lang w:eastAsia="en-US"/>
        </w:rPr>
        <w:lastRenderedPageBreak/>
        <w:t>Lubelskie, Opolskie, Podkarpackie, Świętokrzyskie and Warmińsko-Mazurskie</w:t>
      </w:r>
      <w:r w:rsidR="00F77718" w:rsidRPr="004D5322">
        <w:rPr>
          <w:rFonts w:ascii="Fira Sans" w:eastAsiaTheme="minorHAnsi" w:hAnsi="Fira Sans" w:cstheme="minorBidi"/>
          <w:bCs w:val="0"/>
          <w:color w:val="auto"/>
          <w:szCs w:val="22"/>
          <w:lang w:eastAsia="en-US"/>
        </w:rPr>
        <w:t xml:space="preserve"> </w:t>
      </w:r>
      <w:proofErr w:type="spellStart"/>
      <w:r w:rsidR="00F77718" w:rsidRPr="004D5322">
        <w:rPr>
          <w:rFonts w:ascii="Fira Sans" w:eastAsiaTheme="minorHAnsi" w:hAnsi="Fira Sans" w:cstheme="minorBidi"/>
          <w:bCs w:val="0"/>
          <w:color w:val="auto"/>
          <w:szCs w:val="22"/>
          <w:lang w:eastAsia="en-US"/>
        </w:rPr>
        <w:t>voivodsh</w:t>
      </w:r>
      <w:r w:rsidR="005866BE" w:rsidRPr="004D5322">
        <w:rPr>
          <w:rFonts w:ascii="Fira Sans" w:eastAsiaTheme="minorHAnsi" w:hAnsi="Fira Sans" w:cstheme="minorBidi"/>
          <w:bCs w:val="0"/>
          <w:color w:val="auto"/>
          <w:szCs w:val="22"/>
          <w:lang w:eastAsia="en-US"/>
        </w:rPr>
        <w:t>i</w:t>
      </w:r>
      <w:r w:rsidR="00F77718" w:rsidRPr="004D5322">
        <w:rPr>
          <w:rFonts w:ascii="Fira Sans" w:eastAsiaTheme="minorHAnsi" w:hAnsi="Fira Sans" w:cstheme="minorBidi"/>
          <w:bCs w:val="0"/>
          <w:color w:val="auto"/>
          <w:szCs w:val="22"/>
          <w:lang w:eastAsia="en-US"/>
        </w:rPr>
        <w:t>ps</w:t>
      </w:r>
      <w:proofErr w:type="spellEnd"/>
      <w:r w:rsidR="00F77718" w:rsidRPr="004D5322">
        <w:rPr>
          <w:rFonts w:ascii="Fira Sans" w:eastAsiaTheme="minorHAnsi" w:hAnsi="Fira Sans" w:cstheme="minorBidi"/>
          <w:bCs w:val="0"/>
          <w:color w:val="auto"/>
          <w:szCs w:val="22"/>
          <w:lang w:eastAsia="en-US"/>
        </w:rPr>
        <w:t xml:space="preserve"> </w:t>
      </w:r>
      <w:proofErr w:type="spellStart"/>
      <w:r w:rsidR="00F77718" w:rsidRPr="004D5322">
        <w:rPr>
          <w:rFonts w:ascii="Fira Sans" w:eastAsiaTheme="minorHAnsi" w:hAnsi="Fira Sans" w:cstheme="minorBidi"/>
          <w:bCs w:val="0"/>
          <w:color w:val="auto"/>
          <w:szCs w:val="22"/>
          <w:lang w:eastAsia="en-US"/>
        </w:rPr>
        <w:t>each</w:t>
      </w:r>
      <w:proofErr w:type="spellEnd"/>
      <w:r w:rsidR="00F77718" w:rsidRPr="004D5322">
        <w:rPr>
          <w:rFonts w:ascii="Fira Sans" w:eastAsiaTheme="minorHAnsi" w:hAnsi="Fira Sans" w:cstheme="minorBidi"/>
          <w:bCs w:val="0"/>
          <w:color w:val="auto"/>
          <w:szCs w:val="22"/>
          <w:lang w:eastAsia="en-US"/>
        </w:rPr>
        <w:t xml:space="preserve"> </w:t>
      </w:r>
      <w:proofErr w:type="spellStart"/>
      <w:r w:rsidR="00F77718" w:rsidRPr="004D5322">
        <w:rPr>
          <w:rFonts w:ascii="Fira Sans" w:eastAsiaTheme="minorHAnsi" w:hAnsi="Fira Sans" w:cstheme="minorBidi"/>
          <w:bCs w:val="0"/>
          <w:color w:val="auto"/>
          <w:szCs w:val="22"/>
          <w:lang w:eastAsia="en-US"/>
        </w:rPr>
        <w:t>had</w:t>
      </w:r>
      <w:proofErr w:type="spellEnd"/>
      <w:r w:rsidR="00F77718" w:rsidRPr="004D5322">
        <w:rPr>
          <w:rFonts w:ascii="Fira Sans" w:eastAsiaTheme="minorHAnsi" w:hAnsi="Fira Sans" w:cstheme="minorBidi"/>
          <w:bCs w:val="0"/>
          <w:color w:val="auto"/>
          <w:szCs w:val="22"/>
          <w:lang w:eastAsia="en-US"/>
        </w:rPr>
        <w:t xml:space="preserve"> </w:t>
      </w:r>
      <w:r w:rsidR="00110205" w:rsidRPr="004D5322">
        <w:rPr>
          <w:rFonts w:ascii="Fira Sans" w:eastAsiaTheme="minorHAnsi" w:hAnsi="Fira Sans" w:cstheme="minorBidi"/>
          <w:bCs w:val="0"/>
          <w:color w:val="auto"/>
          <w:szCs w:val="22"/>
          <w:lang w:eastAsia="en-US"/>
        </w:rPr>
        <w:t xml:space="preserve">1 </w:t>
      </w:r>
      <w:proofErr w:type="spellStart"/>
      <w:r w:rsidR="00110205" w:rsidRPr="004D5322">
        <w:rPr>
          <w:rFonts w:ascii="Fira Sans" w:eastAsiaTheme="minorHAnsi" w:hAnsi="Fira Sans" w:cstheme="minorBidi"/>
          <w:bCs w:val="0"/>
          <w:color w:val="auto"/>
          <w:szCs w:val="22"/>
          <w:lang w:eastAsia="en-US"/>
        </w:rPr>
        <w:t>registered</w:t>
      </w:r>
      <w:proofErr w:type="spellEnd"/>
      <w:r w:rsidR="00110205" w:rsidRPr="004D5322">
        <w:rPr>
          <w:rFonts w:ascii="Fira Sans" w:eastAsiaTheme="minorHAnsi" w:hAnsi="Fira Sans" w:cstheme="minorBidi"/>
          <w:bCs w:val="0"/>
          <w:color w:val="auto"/>
          <w:szCs w:val="22"/>
          <w:lang w:eastAsia="en-US"/>
        </w:rPr>
        <w:t xml:space="preserve"> party</w:t>
      </w:r>
      <w:r w:rsidR="00182481">
        <w:rPr>
          <w:rFonts w:ascii="Fira Sans" w:eastAsiaTheme="minorHAnsi" w:hAnsi="Fira Sans" w:cstheme="minorBidi"/>
          <w:bCs w:val="0"/>
          <w:color w:val="auto"/>
          <w:szCs w:val="22"/>
          <w:lang w:eastAsia="en-US"/>
        </w:rPr>
        <w:t>.</w:t>
      </w:r>
    </w:p>
    <w:p w14:paraId="6C4928A7" w14:textId="098C176E" w:rsidR="00A34AA3" w:rsidRPr="004C3F8C" w:rsidRDefault="00A34AA3" w:rsidP="00A34AA3">
      <w:pPr>
        <w:pStyle w:val="Nagwek1"/>
        <w:rPr>
          <w:rFonts w:ascii="Fira Sans" w:eastAsiaTheme="minorHAnsi" w:hAnsi="Fira Sans" w:cstheme="minorBidi"/>
          <w:bCs w:val="0"/>
          <w:color w:val="auto"/>
          <w:szCs w:val="22"/>
          <w:lang w:val="en-GB" w:eastAsia="en-US"/>
        </w:rPr>
      </w:pPr>
      <w:r w:rsidRPr="004C3F8C">
        <w:rPr>
          <w:rFonts w:ascii="Fira Sans" w:eastAsiaTheme="minorHAnsi" w:hAnsi="Fira Sans" w:cstheme="minorBidi"/>
          <w:bCs w:val="0"/>
          <w:color w:val="auto"/>
          <w:szCs w:val="22"/>
          <w:lang w:val="en-GB" w:eastAsia="en-US"/>
        </w:rPr>
        <w:t xml:space="preserve">Almost 2/3 of political parties had </w:t>
      </w:r>
      <w:r w:rsidRPr="003D408C">
        <w:rPr>
          <w:rFonts w:ascii="Fira Sans" w:eastAsiaTheme="minorHAnsi" w:hAnsi="Fira Sans" w:cstheme="minorBidi"/>
          <w:bCs w:val="0"/>
          <w:color w:val="auto"/>
          <w:szCs w:val="22"/>
          <w:lang w:val="en-GB" w:eastAsia="en-US"/>
        </w:rPr>
        <w:t>field units</w:t>
      </w:r>
      <w:r w:rsidRPr="004C3F8C">
        <w:rPr>
          <w:rFonts w:ascii="Fira Sans" w:eastAsiaTheme="minorHAnsi" w:hAnsi="Fira Sans" w:cstheme="minorBidi"/>
          <w:bCs w:val="0"/>
          <w:color w:val="auto"/>
          <w:szCs w:val="22"/>
          <w:lang w:val="en-GB" w:eastAsia="en-US"/>
        </w:rPr>
        <w:t xml:space="preserve">. In case of 19 parties, the scope of operation of the lowest </w:t>
      </w:r>
      <w:r w:rsidRPr="003D408C">
        <w:rPr>
          <w:rFonts w:ascii="Fira Sans" w:eastAsiaTheme="minorHAnsi" w:hAnsi="Fira Sans" w:cstheme="minorBidi"/>
          <w:bCs w:val="0"/>
          <w:color w:val="auto"/>
          <w:szCs w:val="22"/>
          <w:lang w:val="en-GB" w:eastAsia="en-US"/>
        </w:rPr>
        <w:t xml:space="preserve">field </w:t>
      </w:r>
      <w:r w:rsidRPr="004C3F8C">
        <w:rPr>
          <w:rFonts w:ascii="Fira Sans" w:eastAsiaTheme="minorHAnsi" w:hAnsi="Fira Sans" w:cstheme="minorBidi"/>
          <w:bCs w:val="0"/>
          <w:color w:val="auto"/>
          <w:szCs w:val="22"/>
          <w:lang w:val="en-GB" w:eastAsia="en-US"/>
        </w:rPr>
        <w:t xml:space="preserve">organizational unit covered </w:t>
      </w:r>
      <w:proofErr w:type="spellStart"/>
      <w:r w:rsidRPr="004C3F8C">
        <w:rPr>
          <w:rFonts w:ascii="Fira Sans" w:eastAsiaTheme="minorHAnsi" w:hAnsi="Fira Sans" w:cstheme="minorBidi"/>
          <w:bCs w:val="0"/>
          <w:color w:val="auto"/>
          <w:szCs w:val="22"/>
          <w:lang w:val="en-GB" w:eastAsia="en-US"/>
        </w:rPr>
        <w:t>gmina</w:t>
      </w:r>
      <w:proofErr w:type="spellEnd"/>
      <w:r w:rsidRPr="004C3F8C">
        <w:rPr>
          <w:rFonts w:ascii="Fira Sans" w:eastAsiaTheme="minorHAnsi" w:hAnsi="Fira Sans" w:cstheme="minorBidi"/>
          <w:bCs w:val="0"/>
          <w:color w:val="auto"/>
          <w:szCs w:val="22"/>
          <w:lang w:val="en-GB" w:eastAsia="en-US"/>
        </w:rPr>
        <w:t xml:space="preserve"> or a part of it, </w:t>
      </w:r>
      <w:r>
        <w:rPr>
          <w:rFonts w:ascii="Fira Sans" w:eastAsiaTheme="minorHAnsi" w:hAnsi="Fira Sans" w:cstheme="minorBidi"/>
          <w:bCs w:val="0"/>
          <w:color w:val="auto"/>
          <w:szCs w:val="22"/>
          <w:lang w:val="en-GB" w:eastAsia="en-US"/>
        </w:rPr>
        <w:t xml:space="preserve">in </w:t>
      </w:r>
      <w:r w:rsidRPr="004C3F8C">
        <w:rPr>
          <w:rFonts w:ascii="Fira Sans" w:eastAsiaTheme="minorHAnsi" w:hAnsi="Fira Sans" w:cstheme="minorBidi"/>
          <w:bCs w:val="0"/>
          <w:color w:val="auto"/>
          <w:szCs w:val="22"/>
          <w:lang w:val="en-GB" w:eastAsia="en-US"/>
        </w:rPr>
        <w:t xml:space="preserve">8 cases </w:t>
      </w:r>
      <w:r w:rsidR="000A430A">
        <w:rPr>
          <w:rFonts w:ascii="Fira Sans" w:eastAsiaTheme="minorHAnsi" w:hAnsi="Fira Sans" w:cstheme="minorBidi"/>
          <w:bCs w:val="0"/>
          <w:color w:val="auto"/>
          <w:szCs w:val="22"/>
          <w:lang w:val="en-GB" w:eastAsia="en-US"/>
        </w:rPr>
        <w:t>–</w:t>
      </w:r>
      <w:r w:rsidRPr="004C3F8C">
        <w:rPr>
          <w:rFonts w:ascii="Fira Sans" w:eastAsiaTheme="minorHAnsi" w:hAnsi="Fira Sans" w:cstheme="minorBidi"/>
          <w:bCs w:val="0"/>
          <w:color w:val="auto"/>
          <w:szCs w:val="22"/>
          <w:lang w:val="en-GB" w:eastAsia="en-US"/>
        </w:rPr>
        <w:t xml:space="preserve"> </w:t>
      </w:r>
      <w:r w:rsidR="000A430A">
        <w:rPr>
          <w:rFonts w:ascii="Fira Sans" w:eastAsiaTheme="minorHAnsi" w:hAnsi="Fira Sans" w:cstheme="minorBidi"/>
          <w:bCs w:val="0"/>
          <w:color w:val="auto"/>
          <w:szCs w:val="22"/>
          <w:lang w:val="en-GB" w:eastAsia="en-US"/>
        </w:rPr>
        <w:t xml:space="preserve">both </w:t>
      </w:r>
      <w:r w:rsidRPr="004C3F8C">
        <w:rPr>
          <w:rFonts w:ascii="Fira Sans" w:eastAsiaTheme="minorHAnsi" w:hAnsi="Fira Sans" w:cstheme="minorBidi"/>
          <w:bCs w:val="0"/>
          <w:color w:val="auto"/>
          <w:szCs w:val="22"/>
          <w:lang w:val="en-GB" w:eastAsia="en-US"/>
        </w:rPr>
        <w:t>po</w:t>
      </w:r>
      <w:r w:rsidR="00182481">
        <w:rPr>
          <w:rFonts w:ascii="Fira Sans" w:eastAsiaTheme="minorHAnsi" w:hAnsi="Fira Sans" w:cstheme="minorBidi"/>
          <w:bCs w:val="0"/>
          <w:color w:val="auto"/>
          <w:szCs w:val="22"/>
          <w:lang w:val="en-GB" w:eastAsia="en-US"/>
        </w:rPr>
        <w:t>w</w:t>
      </w:r>
      <w:r w:rsidRPr="004C3F8C">
        <w:rPr>
          <w:rFonts w:ascii="Fira Sans" w:eastAsiaTheme="minorHAnsi" w:hAnsi="Fira Sans" w:cstheme="minorBidi"/>
          <w:bCs w:val="0"/>
          <w:color w:val="auto"/>
          <w:szCs w:val="22"/>
          <w:lang w:val="en-GB" w:eastAsia="en-US"/>
        </w:rPr>
        <w:t xml:space="preserve">iat and voivodship, and in 5 cases - the area beyond one </w:t>
      </w:r>
      <w:r w:rsidRPr="003D408C">
        <w:rPr>
          <w:rFonts w:ascii="Fira Sans" w:eastAsiaTheme="minorHAnsi" w:hAnsi="Fira Sans" w:cstheme="minorBidi"/>
          <w:bCs w:val="0"/>
          <w:color w:val="auto"/>
          <w:szCs w:val="22"/>
          <w:lang w:val="en-GB" w:eastAsia="en-US"/>
        </w:rPr>
        <w:t xml:space="preserve">voivodship. Among </w:t>
      </w:r>
      <w:r w:rsidRPr="004C3F8C">
        <w:rPr>
          <w:rFonts w:ascii="Fira Sans" w:eastAsiaTheme="minorHAnsi" w:hAnsi="Fira Sans" w:cstheme="minorBidi"/>
          <w:bCs w:val="0"/>
          <w:color w:val="auto"/>
          <w:szCs w:val="22"/>
          <w:lang w:val="en-GB" w:eastAsia="en-US"/>
        </w:rPr>
        <w:t xml:space="preserve">the groupings </w:t>
      </w:r>
      <w:r w:rsidR="009C3C1B">
        <w:rPr>
          <w:rFonts w:ascii="Fira Sans" w:eastAsiaTheme="minorHAnsi" w:hAnsi="Fira Sans" w:cstheme="minorBidi"/>
          <w:bCs w:val="0"/>
          <w:color w:val="auto"/>
          <w:szCs w:val="22"/>
          <w:lang w:val="en-GB" w:eastAsia="en-US"/>
        </w:rPr>
        <w:t>which had field units</w:t>
      </w:r>
      <w:r w:rsidRPr="004C3F8C">
        <w:rPr>
          <w:rFonts w:ascii="Fira Sans" w:eastAsiaTheme="minorHAnsi" w:hAnsi="Fira Sans" w:cstheme="minorBidi"/>
          <w:bCs w:val="0"/>
          <w:color w:val="auto"/>
          <w:szCs w:val="22"/>
          <w:lang w:val="en-GB" w:eastAsia="en-US"/>
        </w:rPr>
        <w:t xml:space="preserve"> in 2020, the average number of the lowest-level units </w:t>
      </w:r>
      <w:r w:rsidR="009C3C1B">
        <w:rPr>
          <w:rFonts w:ascii="Fira Sans" w:eastAsiaTheme="minorHAnsi" w:hAnsi="Fira Sans" w:cstheme="minorBidi"/>
          <w:bCs w:val="0"/>
          <w:color w:val="auto"/>
          <w:szCs w:val="22"/>
          <w:lang w:val="en-GB" w:eastAsia="en-US"/>
        </w:rPr>
        <w:t xml:space="preserve">in operation </w:t>
      </w:r>
      <w:r w:rsidRPr="004C3F8C">
        <w:rPr>
          <w:rFonts w:ascii="Fira Sans" w:eastAsiaTheme="minorHAnsi" w:hAnsi="Fira Sans" w:cstheme="minorBidi"/>
          <w:bCs w:val="0"/>
          <w:color w:val="auto"/>
          <w:szCs w:val="22"/>
          <w:lang w:val="en-GB" w:eastAsia="en-US"/>
        </w:rPr>
        <w:t xml:space="preserve">was 170, with half of the parties having no more than 26 units. </w:t>
      </w:r>
    </w:p>
    <w:p w14:paraId="4DA96E93" w14:textId="77777777" w:rsidR="00A34AA3" w:rsidRPr="004C3F8C" w:rsidRDefault="00A34AA3" w:rsidP="00A34AA3">
      <w:pPr>
        <w:pStyle w:val="Nagwek1"/>
        <w:rPr>
          <w:lang w:val="en-GB"/>
        </w:rPr>
      </w:pPr>
      <w:r w:rsidRPr="004C3F8C">
        <w:rPr>
          <w:lang w:val="en-GB"/>
        </w:rPr>
        <w:t>Forms of activity</w:t>
      </w:r>
    </w:p>
    <w:p w14:paraId="7803EA6B" w14:textId="20F6948B" w:rsidR="00A34AA3" w:rsidRPr="004C3F8C" w:rsidRDefault="00A34AA3" w:rsidP="00A34AA3">
      <w:pPr>
        <w:rPr>
          <w:shd w:val="clear" w:color="auto" w:fill="FFFFFF"/>
          <w:lang w:val="en-GB"/>
        </w:rPr>
      </w:pPr>
      <w:r w:rsidRPr="003D408C">
        <w:rPr>
          <w:shd w:val="clear" w:color="auto" w:fill="FFFFFF"/>
          <w:lang w:val="en-GB"/>
        </w:rPr>
        <w:t xml:space="preserve">Pursuant </w:t>
      </w:r>
      <w:r w:rsidRPr="004C3F8C">
        <w:rPr>
          <w:shd w:val="clear" w:color="auto" w:fill="FFFFFF"/>
          <w:lang w:val="en-GB"/>
        </w:rPr>
        <w:t xml:space="preserve">to the Act on Political Parties, the purpose of a party's operation is to participate in public life by shaping the </w:t>
      </w:r>
      <w:r w:rsidR="00811D20">
        <w:rPr>
          <w:shd w:val="clear" w:color="auto" w:fill="FFFFFF"/>
          <w:lang w:val="en-GB"/>
        </w:rPr>
        <w:t>policy of the state</w:t>
      </w:r>
      <w:r w:rsidRPr="004C3F8C">
        <w:rPr>
          <w:shd w:val="clear" w:color="auto" w:fill="FFFFFF"/>
          <w:lang w:val="en-GB"/>
        </w:rPr>
        <w:t xml:space="preserve"> or exercising </w:t>
      </w:r>
      <w:r>
        <w:rPr>
          <w:shd w:val="clear" w:color="auto" w:fill="FFFFFF"/>
          <w:lang w:val="en-GB"/>
        </w:rPr>
        <w:t>state</w:t>
      </w:r>
      <w:r w:rsidRPr="004C3F8C">
        <w:rPr>
          <w:shd w:val="clear" w:color="auto" w:fill="FFFFFF"/>
          <w:lang w:val="en-GB"/>
        </w:rPr>
        <w:t xml:space="preserve"> </w:t>
      </w:r>
      <w:r w:rsidRPr="003D408C">
        <w:rPr>
          <w:shd w:val="clear" w:color="auto" w:fill="FFFFFF"/>
          <w:lang w:val="en-GB"/>
        </w:rPr>
        <w:t>authority</w:t>
      </w:r>
      <w:r w:rsidRPr="004C3F8C">
        <w:rPr>
          <w:shd w:val="clear" w:color="auto" w:fill="FFFFFF"/>
          <w:lang w:val="en-GB"/>
        </w:rPr>
        <w:t>. These goals are achieved on the basis of the statute of a political party and may take various forms.</w:t>
      </w:r>
    </w:p>
    <w:p w14:paraId="49451616" w14:textId="77777777" w:rsidR="00A34AA3" w:rsidRPr="004C3F8C" w:rsidRDefault="00A34AA3" w:rsidP="00A34AA3">
      <w:pPr>
        <w:keepNext/>
        <w:tabs>
          <w:tab w:val="left" w:pos="1134"/>
        </w:tabs>
        <w:ind w:left="1134" w:hanging="1134"/>
        <w:rPr>
          <w:b/>
          <w:spacing w:val="-2"/>
          <w:sz w:val="18"/>
          <w:lang w:val="en-GB"/>
        </w:rPr>
      </w:pPr>
      <w:r w:rsidRPr="004C3F8C">
        <w:rPr>
          <w:b/>
          <w:spacing w:val="-2"/>
          <w:sz w:val="18"/>
          <w:lang w:val="en-GB"/>
        </w:rPr>
        <w:t>Chart 2. Forms of statutory activity conducted by political parties</w:t>
      </w:r>
      <w:r w:rsidRPr="00C67BE7">
        <w:rPr>
          <w:b/>
          <w:noProof/>
          <w:spacing w:val="-2"/>
          <w:sz w:val="18"/>
          <w:lang w:eastAsia="pl-PL"/>
        </w:rPr>
        <w:drawing>
          <wp:anchor distT="0" distB="0" distL="114300" distR="114300" simplePos="0" relativeHeight="251763712" behindDoc="0" locked="0" layoutInCell="1" allowOverlap="1" wp14:anchorId="543196F7" wp14:editId="16D89A0E">
            <wp:simplePos x="0" y="0"/>
            <wp:positionH relativeFrom="column">
              <wp:posOffset>36830</wp:posOffset>
            </wp:positionH>
            <wp:positionV relativeFrom="paragraph">
              <wp:posOffset>254635</wp:posOffset>
            </wp:positionV>
            <wp:extent cx="5111087" cy="2705100"/>
            <wp:effectExtent l="0" t="0" r="0" b="0"/>
            <wp:wrapTopAndBottom/>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4C3F8C">
        <w:rPr>
          <w:b/>
          <w:spacing w:val="-2"/>
          <w:sz w:val="18"/>
          <w:lang w:val="en-GB"/>
        </w:rPr>
        <w:t xml:space="preserve"> </w:t>
      </w:r>
    </w:p>
    <w:p w14:paraId="7A6D36B6" w14:textId="77777777" w:rsidR="00A34AA3" w:rsidRPr="004C3F8C" w:rsidRDefault="00A34AA3" w:rsidP="00A34AA3">
      <w:pPr>
        <w:rPr>
          <w:rFonts w:cs="Arial"/>
          <w:color w:val="000000" w:themeColor="text1"/>
          <w:szCs w:val="19"/>
          <w:lang w:val="en-GB"/>
        </w:rPr>
      </w:pPr>
    </w:p>
    <w:p w14:paraId="4AD8D376" w14:textId="2C3239EA" w:rsidR="00A34AA3" w:rsidRPr="004C3F8C" w:rsidRDefault="005B5E9F" w:rsidP="00A34AA3">
      <w:pPr>
        <w:rPr>
          <w:color w:val="000000" w:themeColor="text1"/>
          <w:shd w:val="clear" w:color="auto" w:fill="FFFFFF"/>
          <w:lang w:val="en-GB"/>
        </w:rPr>
      </w:pPr>
      <w:r>
        <w:rPr>
          <w:shd w:val="clear" w:color="auto" w:fill="FFFFFF"/>
          <w:lang w:val="en-GB"/>
        </w:rPr>
        <w:t xml:space="preserve">Just like in </w:t>
      </w:r>
      <w:r w:rsidR="00A34AA3" w:rsidRPr="004C3F8C">
        <w:rPr>
          <w:color w:val="000000" w:themeColor="text1"/>
          <w:shd w:val="clear" w:color="auto" w:fill="FFFFFF"/>
          <w:lang w:val="en-GB"/>
        </w:rPr>
        <w:t xml:space="preserve">2018, the form of activity most frequently indicated by parties was participation in the public debate and social education. </w:t>
      </w:r>
      <w:r w:rsidR="00585DC1">
        <w:rPr>
          <w:color w:val="000000" w:themeColor="text1"/>
          <w:shd w:val="clear" w:color="auto" w:fill="FFFFFF"/>
          <w:lang w:val="en-GB"/>
        </w:rPr>
        <w:t xml:space="preserve">Forty eight </w:t>
      </w:r>
      <w:r>
        <w:rPr>
          <w:color w:val="000000" w:themeColor="text1"/>
          <w:shd w:val="clear" w:color="auto" w:fill="FFFFFF"/>
          <w:lang w:val="en-GB"/>
        </w:rPr>
        <w:t>parties declared conducting this</w:t>
      </w:r>
      <w:r w:rsidR="00A34AA3" w:rsidRPr="004C3F8C">
        <w:rPr>
          <w:color w:val="000000" w:themeColor="text1"/>
          <w:shd w:val="clear" w:color="auto" w:fill="FFFFFF"/>
          <w:lang w:val="en-GB"/>
        </w:rPr>
        <w:t xml:space="preserve"> type of political activity </w:t>
      </w:r>
      <w:r>
        <w:rPr>
          <w:color w:val="000000" w:themeColor="text1"/>
          <w:shd w:val="clear" w:color="auto" w:fill="FFFFFF"/>
          <w:lang w:val="en-GB"/>
        </w:rPr>
        <w:t xml:space="preserve">that consists of, among others, </w:t>
      </w:r>
      <w:r w:rsidR="00A34AA3" w:rsidRPr="004C3F8C">
        <w:rPr>
          <w:color w:val="000000" w:themeColor="text1"/>
          <w:shd w:val="clear" w:color="auto" w:fill="FFFFFF"/>
          <w:lang w:val="en-GB"/>
        </w:rPr>
        <w:t xml:space="preserve">organizing press conferences, participating in television and radio programs, as well as conferences and seminars. Between 2018 and 2020, the number of political parties organizing demonstrations and other public gatherings decreased (from 30 to 26 parties), </w:t>
      </w:r>
      <w:r>
        <w:rPr>
          <w:color w:val="000000" w:themeColor="text1"/>
          <w:shd w:val="clear" w:color="auto" w:fill="FFFFFF"/>
          <w:lang w:val="en-GB"/>
        </w:rPr>
        <w:t xml:space="preserve">while </w:t>
      </w:r>
      <w:r w:rsidR="00A34AA3" w:rsidRPr="004C3F8C">
        <w:rPr>
          <w:color w:val="000000" w:themeColor="text1"/>
          <w:shd w:val="clear" w:color="auto" w:fill="FFFFFF"/>
          <w:lang w:val="en-GB"/>
        </w:rPr>
        <w:t xml:space="preserve">the number of groupings involved in organizing other forms of civic activity increased (from 34 to 38 parties). </w:t>
      </w:r>
      <w:r>
        <w:rPr>
          <w:color w:val="000000" w:themeColor="text1"/>
          <w:shd w:val="clear" w:color="auto" w:fill="FFFFFF"/>
          <w:lang w:val="en-GB"/>
        </w:rPr>
        <w:t>Among their</w:t>
      </w:r>
      <w:r w:rsidR="00A34AA3" w:rsidRPr="004C3F8C">
        <w:rPr>
          <w:color w:val="000000" w:themeColor="text1"/>
          <w:shd w:val="clear" w:color="auto" w:fill="FFFFFF"/>
          <w:lang w:val="en-GB"/>
        </w:rPr>
        <w:t xml:space="preserve"> activities, </w:t>
      </w:r>
      <w:r>
        <w:rPr>
          <w:color w:val="000000" w:themeColor="text1"/>
          <w:shd w:val="clear" w:color="auto" w:fill="FFFFFF"/>
          <w:lang w:val="en-GB"/>
        </w:rPr>
        <w:t>numerous parties</w:t>
      </w:r>
      <w:r w:rsidR="00A34AA3" w:rsidRPr="004C3F8C">
        <w:rPr>
          <w:color w:val="000000" w:themeColor="text1"/>
          <w:shd w:val="clear" w:color="auto" w:fill="FFFFFF"/>
          <w:lang w:val="en-GB"/>
        </w:rPr>
        <w:t xml:space="preserve"> undertook intervention</w:t>
      </w:r>
      <w:r>
        <w:rPr>
          <w:color w:val="000000" w:themeColor="text1"/>
          <w:shd w:val="clear" w:color="auto" w:fill="FFFFFF"/>
          <w:lang w:val="en-GB"/>
        </w:rPr>
        <w:t>s</w:t>
      </w:r>
      <w:r w:rsidR="00A34AA3" w:rsidRPr="004C3F8C">
        <w:rPr>
          <w:color w:val="000000" w:themeColor="text1"/>
          <w:shd w:val="clear" w:color="auto" w:fill="FFFFFF"/>
          <w:lang w:val="en-GB"/>
        </w:rPr>
        <w:t>, both for the benefit of individuals and for the purpose of solving problems of specific grou</w:t>
      </w:r>
      <w:r w:rsidR="00A34AA3">
        <w:rPr>
          <w:color w:val="000000" w:themeColor="text1"/>
          <w:shd w:val="clear" w:color="auto" w:fill="FFFFFF"/>
          <w:lang w:val="en-GB"/>
        </w:rPr>
        <w:t>p</w:t>
      </w:r>
      <w:r w:rsidR="00A34AA3" w:rsidRPr="004C3F8C">
        <w:rPr>
          <w:color w:val="000000" w:themeColor="text1"/>
          <w:shd w:val="clear" w:color="auto" w:fill="FFFFFF"/>
          <w:lang w:val="en-GB"/>
        </w:rPr>
        <w:t xml:space="preserve">s (36 and 31, respectively). Less than half of the surveyed political parties (i.e. 26) were involved in the publication of substantive materials and publishing activities aimed at popularizing their goals and  </w:t>
      </w:r>
      <w:r>
        <w:rPr>
          <w:color w:val="000000" w:themeColor="text1"/>
          <w:shd w:val="clear" w:color="auto" w:fill="FFFFFF"/>
          <w:lang w:val="en-GB"/>
        </w:rPr>
        <w:t xml:space="preserve">actions </w:t>
      </w:r>
      <w:r w:rsidR="00A34AA3" w:rsidRPr="004C3F8C">
        <w:rPr>
          <w:color w:val="000000" w:themeColor="text1"/>
          <w:shd w:val="clear" w:color="auto" w:fill="FFFFFF"/>
          <w:lang w:val="en-GB"/>
        </w:rPr>
        <w:t>in the public space.</w:t>
      </w:r>
    </w:p>
    <w:p w14:paraId="7B352CB5" w14:textId="1DE48879" w:rsidR="00A34AA3" w:rsidRPr="004C3F8C" w:rsidRDefault="00A34AA3" w:rsidP="00A34AA3">
      <w:pPr>
        <w:keepNext/>
        <w:spacing w:before="240" w:line="240" w:lineRule="auto"/>
        <w:outlineLvl w:val="0"/>
        <w:rPr>
          <w:color w:val="000000" w:themeColor="text1"/>
          <w:shd w:val="clear" w:color="auto" w:fill="FFFFFF"/>
          <w:lang w:val="en-GB"/>
        </w:rPr>
      </w:pPr>
      <w:r w:rsidRPr="004C3F8C">
        <w:rPr>
          <w:color w:val="000000" w:themeColor="text1"/>
          <w:shd w:val="clear" w:color="auto" w:fill="FFFFFF"/>
          <w:lang w:val="en-GB"/>
        </w:rPr>
        <w:t xml:space="preserve">In 2020, 23 political parties </w:t>
      </w:r>
      <w:r w:rsidR="00551DFF">
        <w:rPr>
          <w:color w:val="000000" w:themeColor="text1"/>
          <w:shd w:val="clear" w:color="auto" w:fill="FFFFFF"/>
          <w:lang w:val="en-GB"/>
        </w:rPr>
        <w:t>involved themselves</w:t>
      </w:r>
      <w:r w:rsidRPr="004C3F8C">
        <w:rPr>
          <w:color w:val="000000" w:themeColor="text1"/>
          <w:shd w:val="clear" w:color="auto" w:fill="FFFFFF"/>
          <w:lang w:val="en-GB"/>
        </w:rPr>
        <w:t xml:space="preserve"> in the preparation of draft legal acts (10 more than in 2018). On the other hand, the least frequently undertaken form of activity was research </w:t>
      </w:r>
      <w:r w:rsidR="00551DFF">
        <w:rPr>
          <w:color w:val="000000" w:themeColor="text1"/>
          <w:shd w:val="clear" w:color="auto" w:fill="FFFFFF"/>
          <w:lang w:val="en-GB"/>
        </w:rPr>
        <w:t xml:space="preserve">– it was </w:t>
      </w:r>
      <w:r w:rsidRPr="004C3F8C">
        <w:rPr>
          <w:color w:val="000000" w:themeColor="text1"/>
          <w:shd w:val="clear" w:color="auto" w:fill="FFFFFF"/>
          <w:lang w:val="en-GB"/>
        </w:rPr>
        <w:t xml:space="preserve">declared by 12 political parties. </w:t>
      </w:r>
    </w:p>
    <w:p w14:paraId="42010999" w14:textId="37790EA8" w:rsidR="00A34AA3" w:rsidRPr="004C3F8C" w:rsidRDefault="00A34AA3" w:rsidP="00A34AA3">
      <w:pPr>
        <w:keepNext/>
        <w:spacing w:before="240" w:line="240" w:lineRule="auto"/>
        <w:outlineLvl w:val="0"/>
        <w:rPr>
          <w:rFonts w:ascii="Fira Sans SemiBold" w:eastAsia="Times New Roman" w:hAnsi="Fira Sans SemiBold" w:cs="Times New Roman"/>
          <w:bCs/>
          <w:color w:val="001D77"/>
          <w:szCs w:val="24"/>
          <w:shd w:val="clear" w:color="auto" w:fill="FFFFFF"/>
          <w:lang w:val="en-GB" w:eastAsia="pl-PL"/>
        </w:rPr>
      </w:pPr>
      <w:r w:rsidRPr="004C3F8C">
        <w:rPr>
          <w:rFonts w:ascii="Fira Sans SemiBold" w:eastAsia="Times New Roman" w:hAnsi="Fira Sans SemiBold" w:cs="Times New Roman"/>
          <w:bCs/>
          <w:color w:val="001D77"/>
          <w:szCs w:val="24"/>
          <w:shd w:val="clear" w:color="auto" w:fill="FFFFFF"/>
          <w:lang w:val="en-GB" w:eastAsia="pl-PL"/>
        </w:rPr>
        <w:t>Membership base</w:t>
      </w:r>
    </w:p>
    <w:p w14:paraId="3CDA1783" w14:textId="635441DA" w:rsidR="00A34AA3" w:rsidRPr="004C3F8C" w:rsidRDefault="00A34AA3" w:rsidP="00A34AA3">
      <w:pPr>
        <w:keepNext/>
        <w:spacing w:before="240" w:line="240" w:lineRule="auto"/>
        <w:outlineLvl w:val="0"/>
        <w:rPr>
          <w:rFonts w:cs="Arial"/>
          <w:szCs w:val="19"/>
          <w:lang w:val="en-GB"/>
        </w:rPr>
      </w:pPr>
      <w:r w:rsidRPr="00C67BE7">
        <w:rPr>
          <w:rFonts w:ascii="Fira Sans SemiBold" w:eastAsia="Times New Roman" w:hAnsi="Fira Sans SemiBold" w:cs="Times New Roman"/>
          <w:bCs/>
          <w:noProof/>
          <w:color w:val="001D77"/>
          <w:szCs w:val="24"/>
          <w:shd w:val="clear" w:color="auto" w:fill="FFFFFF"/>
          <w:lang w:eastAsia="pl-PL"/>
        </w:rPr>
        <mc:AlternateContent>
          <mc:Choice Requires="wps">
            <w:drawing>
              <wp:anchor distT="45720" distB="45720" distL="114300" distR="114300" simplePos="0" relativeHeight="251776000" behindDoc="1" locked="0" layoutInCell="1" allowOverlap="1" wp14:anchorId="468AA271" wp14:editId="34118C60">
                <wp:simplePos x="0" y="0"/>
                <wp:positionH relativeFrom="column">
                  <wp:posOffset>5267325</wp:posOffset>
                </wp:positionH>
                <wp:positionV relativeFrom="paragraph">
                  <wp:posOffset>255270</wp:posOffset>
                </wp:positionV>
                <wp:extent cx="1725295" cy="714375"/>
                <wp:effectExtent l="0" t="0" r="0" b="0"/>
                <wp:wrapTight wrapText="bothSides">
                  <wp:wrapPolygon edited="0">
                    <wp:start x="715" y="0"/>
                    <wp:lineTo x="715" y="20736"/>
                    <wp:lineTo x="20749" y="20736"/>
                    <wp:lineTo x="20749" y="0"/>
                    <wp:lineTo x="715" y="0"/>
                  </wp:wrapPolygon>
                </wp:wrapTight>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4375"/>
                        </a:xfrm>
                        <a:prstGeom prst="rect">
                          <a:avLst/>
                        </a:prstGeom>
                        <a:noFill/>
                        <a:ln w="9525">
                          <a:noFill/>
                          <a:miter lim="800000"/>
                          <a:headEnd/>
                          <a:tailEnd/>
                        </a:ln>
                      </wps:spPr>
                      <wps:txbx>
                        <w:txbxContent>
                          <w:p w14:paraId="5BB77B7D" w14:textId="77777777" w:rsidR="00A34AA3" w:rsidRPr="004C3F8C" w:rsidRDefault="00A34AA3" w:rsidP="00A34AA3">
                            <w:pPr>
                              <w:pStyle w:val="tekstzboku"/>
                              <w:rPr>
                                <w:lang w:val="en-GB"/>
                              </w:rPr>
                            </w:pPr>
                            <w:r w:rsidRPr="004C3F8C">
                              <w:rPr>
                                <w:lang w:val="en-GB"/>
                              </w:rPr>
                              <w:t>In 2020, political parties had a total of 239.9 thousand members</w:t>
                            </w:r>
                          </w:p>
                          <w:p w14:paraId="7071A512" w14:textId="35BE2C55" w:rsidR="00A34AA3" w:rsidRPr="00A34AA3" w:rsidRDefault="00A34AA3" w:rsidP="00A34AA3">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AA271" id="Pole tekstowe 32" o:spid="_x0000_s1028" type="#_x0000_t202" style="position:absolute;margin-left:414.75pt;margin-top:20.1pt;width:135.85pt;height:56.2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" filled="f" stroked="f">
                <v:textbox>
                  <w:txbxContent>
                    <w:p w14:paraId="5BB77B7D" w14:textId="77777777" w:rsidR="00A34AA3" w:rsidRPr="004C3F8C" w:rsidRDefault="00A34AA3" w:rsidP="00A34AA3">
                      <w:pPr>
                        <w:pStyle w:val="tekstzboku"/>
                        <w:rPr>
                          <w:lang w:val="en-GB"/>
                        </w:rPr>
                      </w:pPr>
                      <w:r w:rsidRPr="004C3F8C">
                        <w:rPr>
                          <w:lang w:val="en-GB"/>
                        </w:rPr>
                        <w:t>In 2020, political parties had a total of 239.9 thousand members</w:t>
                      </w:r>
                    </w:p>
                    <w:p w14:paraId="7071A512" w14:textId="35BE2C55" w:rsidR="00A34AA3" w:rsidRPr="00A34AA3" w:rsidRDefault="00A34AA3" w:rsidP="00A34AA3">
                      <w:pPr>
                        <w:pStyle w:val="tekstzboku"/>
                        <w:rPr>
                          <w:lang w:val="en-GB"/>
                        </w:rPr>
                      </w:pPr>
                    </w:p>
                  </w:txbxContent>
                </v:textbox>
                <w10:wrap type="tight"/>
              </v:shape>
            </w:pict>
          </mc:Fallback>
        </mc:AlternateContent>
      </w:r>
      <w:r w:rsidRPr="004C3F8C">
        <w:rPr>
          <w:rFonts w:cs="Arial"/>
          <w:szCs w:val="19"/>
          <w:lang w:val="en-GB"/>
        </w:rPr>
        <w:t xml:space="preserve">In 2020, active political parties  </w:t>
      </w:r>
      <w:r w:rsidR="00604607">
        <w:rPr>
          <w:rFonts w:cs="Arial"/>
          <w:szCs w:val="19"/>
          <w:lang w:val="en-GB"/>
        </w:rPr>
        <w:t xml:space="preserve">reported </w:t>
      </w:r>
      <w:r w:rsidRPr="004C3F8C">
        <w:rPr>
          <w:rFonts w:cs="Arial"/>
          <w:szCs w:val="19"/>
          <w:lang w:val="en-GB"/>
        </w:rPr>
        <w:t xml:space="preserve">a total of 239.9 thousand members, i.e. 0.7% less than in 2018. </w:t>
      </w:r>
      <w:r w:rsidR="00604607">
        <w:rPr>
          <w:rFonts w:cs="Arial"/>
          <w:szCs w:val="19"/>
          <w:lang w:val="en-GB"/>
        </w:rPr>
        <w:t>Although they constituted only ¼ of active parties, t</w:t>
      </w:r>
      <w:r w:rsidRPr="004C3F8C">
        <w:rPr>
          <w:rFonts w:cs="Arial"/>
          <w:szCs w:val="19"/>
          <w:lang w:val="en-GB"/>
        </w:rPr>
        <w:t xml:space="preserve">he </w:t>
      </w:r>
      <w:r w:rsidR="00604607">
        <w:rPr>
          <w:rFonts w:cs="Arial"/>
          <w:szCs w:val="19"/>
          <w:lang w:val="en-GB"/>
        </w:rPr>
        <w:t>groupings</w:t>
      </w:r>
      <w:r w:rsidRPr="004C3F8C">
        <w:rPr>
          <w:rFonts w:cs="Arial"/>
          <w:szCs w:val="19"/>
          <w:lang w:val="en-GB"/>
        </w:rPr>
        <w:t xml:space="preserve"> with representatives in parliament had the highest number of members - they gathered 92.3% of all members</w:t>
      </w:r>
      <w:r w:rsidR="00604607">
        <w:rPr>
          <w:rFonts w:cs="Arial"/>
          <w:szCs w:val="19"/>
          <w:lang w:val="en-GB"/>
        </w:rPr>
        <w:t>.</w:t>
      </w:r>
      <w:r w:rsidRPr="004C3F8C">
        <w:rPr>
          <w:rFonts w:cs="Arial"/>
          <w:szCs w:val="19"/>
          <w:lang w:val="en-GB"/>
        </w:rPr>
        <w:t xml:space="preserve"> </w:t>
      </w:r>
      <w:r w:rsidR="00604607">
        <w:rPr>
          <w:rFonts w:cs="Arial"/>
          <w:szCs w:val="19"/>
          <w:lang w:val="en-GB"/>
        </w:rPr>
        <w:t xml:space="preserve">Those belonging to </w:t>
      </w:r>
      <w:r w:rsidRPr="004C3F8C">
        <w:rPr>
          <w:rFonts w:cs="Arial"/>
          <w:szCs w:val="19"/>
          <w:lang w:val="en-GB"/>
        </w:rPr>
        <w:t xml:space="preserve">parties represented only in local government authorities accounted for 3.7% of the membership base, and for parties that did not exercise </w:t>
      </w:r>
      <w:r w:rsidRPr="003D408C">
        <w:rPr>
          <w:rFonts w:cs="Arial"/>
          <w:szCs w:val="19"/>
          <w:lang w:val="en-GB"/>
        </w:rPr>
        <w:t xml:space="preserve">authority </w:t>
      </w:r>
      <w:r w:rsidRPr="004C3F8C">
        <w:rPr>
          <w:rFonts w:cs="Arial"/>
          <w:szCs w:val="19"/>
          <w:lang w:val="en-GB"/>
        </w:rPr>
        <w:t>- 4.0%.</w:t>
      </w:r>
    </w:p>
    <w:p w14:paraId="15C4C9C5" w14:textId="4E72A5A3" w:rsidR="00A34AA3" w:rsidRPr="004C3F8C" w:rsidRDefault="00A34AA3" w:rsidP="00A34AA3">
      <w:pPr>
        <w:rPr>
          <w:rFonts w:cs="Arial"/>
          <w:szCs w:val="19"/>
          <w:lang w:val="en-GB"/>
        </w:rPr>
      </w:pPr>
      <w:r w:rsidRPr="004C3F8C">
        <w:rPr>
          <w:rFonts w:cs="Arial"/>
          <w:szCs w:val="19"/>
          <w:lang w:val="en-GB"/>
        </w:rPr>
        <w:t>The average political party had 3.9 thousand members in 2020</w:t>
      </w:r>
      <w:r w:rsidR="00604607">
        <w:rPr>
          <w:rFonts w:cs="Arial"/>
          <w:szCs w:val="19"/>
          <w:lang w:val="en-GB"/>
        </w:rPr>
        <w:t xml:space="preserve">, </w:t>
      </w:r>
      <w:r w:rsidRPr="004C3F8C">
        <w:rPr>
          <w:rFonts w:cs="Arial"/>
          <w:szCs w:val="19"/>
          <w:lang w:val="en-GB"/>
        </w:rPr>
        <w:t xml:space="preserve"> i.e. by 0.2 thousand less than in 2018. At the same time, half of the parties had no more than 0.2 thousand members, which means a decrease of the median by 0.1 thousand members </w:t>
      </w:r>
      <w:r w:rsidR="00604607">
        <w:rPr>
          <w:rFonts w:cs="Arial"/>
          <w:szCs w:val="19"/>
          <w:lang w:val="en-GB"/>
        </w:rPr>
        <w:t xml:space="preserve">as </w:t>
      </w:r>
      <w:r w:rsidRPr="004C3F8C">
        <w:rPr>
          <w:rFonts w:cs="Arial"/>
          <w:szCs w:val="19"/>
          <w:lang w:val="en-GB"/>
        </w:rPr>
        <w:t xml:space="preserve">compared to 2018. </w:t>
      </w:r>
    </w:p>
    <w:p w14:paraId="397D417D" w14:textId="77777777" w:rsidR="00A34AA3" w:rsidRPr="004C3F8C" w:rsidRDefault="00A34AA3" w:rsidP="00A34AA3">
      <w:pPr>
        <w:rPr>
          <w:b/>
          <w:spacing w:val="-2"/>
          <w:sz w:val="18"/>
          <w:lang w:val="en-GB"/>
        </w:rPr>
      </w:pPr>
      <w:r w:rsidRPr="004C3F8C">
        <w:rPr>
          <w:b/>
          <w:spacing w:val="-2"/>
          <w:sz w:val="18"/>
          <w:lang w:val="en-GB"/>
        </w:rPr>
        <w:lastRenderedPageBreak/>
        <w:t>Chart 3. Active political parties by number of members in 2020</w:t>
      </w:r>
      <w:r w:rsidRPr="006A6405">
        <w:rPr>
          <w:rFonts w:cs="Arial"/>
          <w:noProof/>
          <w:color w:val="339966"/>
          <w:sz w:val="17"/>
          <w:szCs w:val="17"/>
          <w:lang w:eastAsia="pl-PL"/>
        </w:rPr>
        <w:drawing>
          <wp:anchor distT="0" distB="0" distL="114300" distR="114300" simplePos="0" relativeHeight="251764736" behindDoc="0" locked="0" layoutInCell="1" allowOverlap="1" wp14:anchorId="028A0F6C" wp14:editId="62930037">
            <wp:simplePos x="0" y="0"/>
            <wp:positionH relativeFrom="column">
              <wp:posOffset>13335</wp:posOffset>
            </wp:positionH>
            <wp:positionV relativeFrom="paragraph">
              <wp:posOffset>288925</wp:posOffset>
            </wp:positionV>
            <wp:extent cx="5104130" cy="1733550"/>
            <wp:effectExtent l="0" t="0" r="0" b="0"/>
            <wp:wrapTopAndBottom/>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154637B9" w14:textId="77777777" w:rsidR="00A34AA3" w:rsidRPr="004C3F8C" w:rsidRDefault="00A34AA3" w:rsidP="00A34AA3">
      <w:pPr>
        <w:rPr>
          <w:sz w:val="18"/>
          <w:lang w:val="en-GB"/>
        </w:rPr>
      </w:pPr>
    </w:p>
    <w:p w14:paraId="41D4697B" w14:textId="456C4192" w:rsidR="00A34AA3" w:rsidRDefault="00A34AA3" w:rsidP="00A34AA3">
      <w:pPr>
        <w:keepNext/>
        <w:spacing w:before="240" w:line="240" w:lineRule="auto"/>
        <w:outlineLvl w:val="0"/>
        <w:rPr>
          <w:rFonts w:cs="Arial"/>
          <w:color w:val="000000" w:themeColor="text1"/>
          <w:szCs w:val="19"/>
          <w:lang w:val="en-GB"/>
        </w:rPr>
      </w:pPr>
      <w:r w:rsidRPr="004C3F8C">
        <w:rPr>
          <w:rFonts w:cs="Arial"/>
          <w:color w:val="000000" w:themeColor="text1"/>
          <w:szCs w:val="19"/>
          <w:lang w:val="en-GB"/>
        </w:rPr>
        <w:t xml:space="preserve">Between 2018 and 2020, the percentage of women among political party members </w:t>
      </w:r>
      <w:r w:rsidR="00883893">
        <w:rPr>
          <w:rFonts w:cs="Arial"/>
          <w:color w:val="000000" w:themeColor="text1"/>
          <w:szCs w:val="19"/>
          <w:lang w:val="en-GB"/>
        </w:rPr>
        <w:t>grew</w:t>
      </w:r>
      <w:r w:rsidRPr="004C3F8C">
        <w:rPr>
          <w:rFonts w:cs="Arial"/>
          <w:color w:val="000000" w:themeColor="text1"/>
          <w:szCs w:val="19"/>
          <w:lang w:val="en-GB"/>
        </w:rPr>
        <w:t xml:space="preserve"> by 1.4 percentage points and reached 32.5%. The total number of women increased from 75.2 thousand in 2018 up to 77.9 thousand in 2020. The highest percentage of women was recorded among party members with representation in parliament (33.4%), and the lowest among parties with representation only in </w:t>
      </w:r>
      <w:r w:rsidRPr="003D408C">
        <w:rPr>
          <w:rFonts w:cs="Arial"/>
          <w:szCs w:val="19"/>
          <w:lang w:val="en-GB"/>
        </w:rPr>
        <w:t xml:space="preserve">local government authorities </w:t>
      </w:r>
      <w:r w:rsidRPr="004C3F8C">
        <w:rPr>
          <w:rFonts w:cs="Arial"/>
          <w:color w:val="000000" w:themeColor="text1"/>
          <w:szCs w:val="19"/>
          <w:lang w:val="en-GB"/>
        </w:rPr>
        <w:t xml:space="preserve">(19.8%). </w:t>
      </w:r>
    </w:p>
    <w:p w14:paraId="146AEB44" w14:textId="77777777" w:rsidR="00C3641A" w:rsidRDefault="003103DE" w:rsidP="00A34AA3">
      <w:pPr>
        <w:keepNext/>
        <w:spacing w:before="240" w:line="240" w:lineRule="auto"/>
        <w:outlineLvl w:val="0"/>
        <w:rPr>
          <w:rFonts w:cs="Arial"/>
          <w:b/>
          <w:color w:val="000000" w:themeColor="text1"/>
          <w:sz w:val="18"/>
          <w:szCs w:val="18"/>
          <w:lang w:val="en-GB"/>
        </w:rPr>
      </w:pPr>
      <w:r w:rsidRPr="003103DE">
        <w:rPr>
          <w:rFonts w:cs="Arial"/>
          <w:b/>
          <w:color w:val="000000" w:themeColor="text1"/>
          <w:sz w:val="18"/>
          <w:szCs w:val="18"/>
          <w:lang w:val="en-GB"/>
        </w:rPr>
        <w:t>Chart 4. Change in the number of members of political parties</w:t>
      </w:r>
    </w:p>
    <w:p w14:paraId="651C4645" w14:textId="5FFDCD52" w:rsidR="003103DE" w:rsidRPr="004E7CBA" w:rsidRDefault="00C3641A" w:rsidP="00A34AA3">
      <w:pPr>
        <w:keepNext/>
        <w:spacing w:before="240" w:line="240" w:lineRule="auto"/>
        <w:outlineLvl w:val="0"/>
        <w:rPr>
          <w:rFonts w:cs="Arial"/>
          <w:b/>
          <w:color w:val="000000" w:themeColor="text1"/>
          <w:sz w:val="18"/>
          <w:szCs w:val="18"/>
          <w:lang w:val="en-GB"/>
        </w:rPr>
      </w:pPr>
      <w:r>
        <w:rPr>
          <w:noProof/>
        </w:rPr>
        <w:drawing>
          <wp:anchor distT="0" distB="0" distL="114300" distR="114300" simplePos="0" relativeHeight="251786240" behindDoc="0" locked="0" layoutInCell="1" allowOverlap="1" wp14:anchorId="476FDBC1" wp14:editId="42CB8B05">
            <wp:simplePos x="0" y="0"/>
            <wp:positionH relativeFrom="column">
              <wp:posOffset>0</wp:posOffset>
            </wp:positionH>
            <wp:positionV relativeFrom="paragraph">
              <wp:posOffset>75565</wp:posOffset>
            </wp:positionV>
            <wp:extent cx="4981575" cy="1790700"/>
            <wp:effectExtent l="0" t="0" r="0" b="0"/>
            <wp:wrapTopAndBottom/>
            <wp:docPr id="1" name="Wykres 1">
              <a:extLst xmlns:a="http://schemas.openxmlformats.org/drawingml/2006/main">
                <a:ext uri="{FF2B5EF4-FFF2-40B4-BE49-F238E27FC236}">
                  <a16:creationId xmlns:a16="http://schemas.microsoft.com/office/drawing/2014/main" id="{25B8C9B2-2827-4C34-944D-E6A06A97B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26BAB967" w14:textId="3438AF55" w:rsidR="000167D4" w:rsidRPr="000167D4" w:rsidRDefault="000167D4" w:rsidP="00A34AA3">
      <w:pPr>
        <w:keepNext/>
        <w:spacing w:before="240" w:line="240" w:lineRule="auto"/>
        <w:outlineLvl w:val="0"/>
        <w:rPr>
          <w:rFonts w:cs="Arial"/>
          <w:color w:val="000000" w:themeColor="text1"/>
          <w:szCs w:val="19"/>
          <w:lang w:val="en-GB"/>
        </w:rPr>
      </w:pPr>
      <w:r w:rsidRPr="000167D4">
        <w:rPr>
          <w:rFonts w:cs="Arial"/>
          <w:color w:val="000000" w:themeColor="text1"/>
          <w:szCs w:val="19"/>
          <w:lang w:val="en-GB"/>
        </w:rPr>
        <w:t>Between 2012 and 2020, the number of political party members decreased by 52.0 thousand people. The greatest involvement in the part</w:t>
      </w:r>
      <w:r>
        <w:rPr>
          <w:rFonts w:cs="Arial"/>
          <w:color w:val="000000" w:themeColor="text1"/>
          <w:szCs w:val="19"/>
          <w:lang w:val="en-GB"/>
        </w:rPr>
        <w:t>ies</w:t>
      </w:r>
      <w:r w:rsidRPr="000167D4">
        <w:rPr>
          <w:rFonts w:cs="Arial"/>
          <w:color w:val="000000" w:themeColor="text1"/>
          <w:szCs w:val="19"/>
          <w:lang w:val="en-GB"/>
        </w:rPr>
        <w:t xml:space="preserve"> activi</w:t>
      </w:r>
      <w:r>
        <w:rPr>
          <w:rFonts w:cs="Arial"/>
          <w:color w:val="000000" w:themeColor="text1"/>
          <w:szCs w:val="19"/>
          <w:lang w:val="en-GB"/>
        </w:rPr>
        <w:t>ty</w:t>
      </w:r>
      <w:r w:rsidRPr="000167D4">
        <w:rPr>
          <w:rFonts w:cs="Arial"/>
          <w:color w:val="000000" w:themeColor="text1"/>
          <w:szCs w:val="19"/>
          <w:lang w:val="en-GB"/>
        </w:rPr>
        <w:t xml:space="preserve"> was recorded in 2014, when the number of members amounted to 298.1 thousand people. Two years later, in 2016, the number of natural persons belonging to political groups decreased by 47.3 thousand and since then we have recorded a systematic decline in the number of political party members.</w:t>
      </w:r>
    </w:p>
    <w:p w14:paraId="0CDF7325" w14:textId="2265840D" w:rsidR="00A34AA3" w:rsidRPr="004C3F8C" w:rsidRDefault="003156F2" w:rsidP="00A34AA3">
      <w:pPr>
        <w:keepNext/>
        <w:spacing w:before="240" w:line="240" w:lineRule="auto"/>
        <w:outlineLvl w:val="0"/>
        <w:rPr>
          <w:rFonts w:ascii="Fira Sans SemiBold" w:eastAsia="Times New Roman" w:hAnsi="Fira Sans SemiBold" w:cs="Times New Roman"/>
          <w:bCs/>
          <w:color w:val="001D77"/>
          <w:szCs w:val="24"/>
          <w:shd w:val="clear" w:color="auto" w:fill="FFFFFF"/>
          <w:lang w:val="en-GB" w:eastAsia="pl-PL"/>
        </w:rPr>
      </w:pPr>
      <w:r>
        <w:rPr>
          <w:rFonts w:ascii="Fira Sans SemiBold" w:eastAsia="Times New Roman" w:hAnsi="Fira Sans SemiBold" w:cs="Times New Roman"/>
          <w:bCs/>
          <w:color w:val="001D77"/>
          <w:szCs w:val="24"/>
          <w:shd w:val="clear" w:color="auto" w:fill="FFFFFF"/>
          <w:lang w:val="en-GB" w:eastAsia="pl-PL"/>
        </w:rPr>
        <w:t>Volunteer work</w:t>
      </w:r>
    </w:p>
    <w:p w14:paraId="735115A6" w14:textId="70364087" w:rsidR="00A34AA3" w:rsidRPr="004C3F8C" w:rsidRDefault="00A34AA3" w:rsidP="00A34AA3">
      <w:pPr>
        <w:rPr>
          <w:rFonts w:eastAsia="Times New Roman" w:cs="Arial"/>
          <w:color w:val="000000" w:themeColor="text1"/>
          <w:szCs w:val="19"/>
          <w:lang w:val="en-GB" w:eastAsia="pl-PL"/>
        </w:rPr>
      </w:pPr>
      <w:r w:rsidRPr="004C3F8C">
        <w:rPr>
          <w:rFonts w:eastAsia="Times New Roman" w:cs="Arial"/>
          <w:color w:val="000000" w:themeColor="text1"/>
          <w:szCs w:val="19"/>
          <w:lang w:val="en-GB" w:eastAsia="pl-PL"/>
        </w:rPr>
        <w:t>All political parties active in 2020 declared to use the volunteer work of their members, and 18 groupings also benefited from external volunteers. Volunteer and unpaid work for the part</w:t>
      </w:r>
      <w:r w:rsidR="003156F2">
        <w:rPr>
          <w:rFonts w:eastAsia="Times New Roman" w:cs="Arial"/>
          <w:color w:val="000000" w:themeColor="text1"/>
          <w:szCs w:val="19"/>
          <w:lang w:val="en-GB" w:eastAsia="pl-PL"/>
        </w:rPr>
        <w:t>ies</w:t>
      </w:r>
      <w:r w:rsidRPr="004C3F8C">
        <w:rPr>
          <w:rFonts w:eastAsia="Times New Roman" w:cs="Arial"/>
          <w:color w:val="000000" w:themeColor="text1"/>
          <w:szCs w:val="19"/>
          <w:lang w:val="en-GB" w:eastAsia="pl-PL"/>
        </w:rPr>
        <w:t xml:space="preserve"> was provided by a total of 18.0 thousand</w:t>
      </w:r>
      <w:r w:rsidR="003156F2">
        <w:rPr>
          <w:rFonts w:eastAsia="Times New Roman" w:cs="Arial"/>
          <w:color w:val="000000" w:themeColor="text1"/>
          <w:szCs w:val="19"/>
          <w:lang w:val="en-GB" w:eastAsia="pl-PL"/>
        </w:rPr>
        <w:t xml:space="preserve"> persons</w:t>
      </w:r>
      <w:r w:rsidRPr="004C3F8C">
        <w:rPr>
          <w:rFonts w:eastAsia="Times New Roman" w:cs="Arial"/>
          <w:color w:val="000000" w:themeColor="text1"/>
          <w:szCs w:val="19"/>
          <w:lang w:val="en-GB" w:eastAsia="pl-PL"/>
        </w:rPr>
        <w:t xml:space="preserve">, of which 23.4% were women. Compared to 2018, the number of volunteer workers decreased more than 3 times, which was related to the COVID-19 epidemic limiting the possibilities of conducting an election campaign before the presidential elections, but also </w:t>
      </w:r>
      <w:r w:rsidR="003156F2">
        <w:rPr>
          <w:rFonts w:eastAsia="Times New Roman" w:cs="Arial"/>
          <w:color w:val="000000" w:themeColor="text1"/>
          <w:szCs w:val="19"/>
          <w:lang w:val="en-GB" w:eastAsia="pl-PL"/>
        </w:rPr>
        <w:t xml:space="preserve">to </w:t>
      </w:r>
      <w:r w:rsidRPr="004C3F8C">
        <w:rPr>
          <w:rFonts w:eastAsia="Times New Roman" w:cs="Arial"/>
          <w:color w:val="000000" w:themeColor="text1"/>
          <w:szCs w:val="19"/>
          <w:lang w:val="en-GB" w:eastAsia="pl-PL"/>
        </w:rPr>
        <w:t>the trend of shrinking the</w:t>
      </w:r>
      <w:r w:rsidR="003156F2">
        <w:rPr>
          <w:rFonts w:eastAsia="Times New Roman" w:cs="Arial"/>
          <w:color w:val="000000" w:themeColor="text1"/>
          <w:szCs w:val="19"/>
          <w:lang w:val="en-GB" w:eastAsia="pl-PL"/>
        </w:rPr>
        <w:t xml:space="preserve"> volunteer base </w:t>
      </w:r>
      <w:r w:rsidRPr="004C3F8C">
        <w:rPr>
          <w:rFonts w:eastAsia="Times New Roman" w:cs="Arial"/>
          <w:color w:val="000000" w:themeColor="text1"/>
          <w:szCs w:val="19"/>
          <w:lang w:val="en-GB" w:eastAsia="pl-PL"/>
        </w:rPr>
        <w:t>in parties, visible since 2014.</w:t>
      </w:r>
    </w:p>
    <w:p w14:paraId="08B87EE3" w14:textId="46209C81" w:rsidR="00A34AA3" w:rsidRPr="004C3F8C" w:rsidRDefault="00A34AA3" w:rsidP="00A34AA3">
      <w:pPr>
        <w:rPr>
          <w:rFonts w:cs="Arial"/>
          <w:color w:val="000000" w:themeColor="text1"/>
          <w:szCs w:val="19"/>
          <w:lang w:val="en-GB"/>
        </w:rPr>
      </w:pPr>
      <w:r w:rsidRPr="004C3F8C">
        <w:rPr>
          <w:rFonts w:eastAsia="Times New Roman" w:cs="Arial"/>
          <w:color w:val="000000" w:themeColor="text1"/>
          <w:szCs w:val="19"/>
          <w:lang w:val="en-GB" w:eastAsia="pl-PL"/>
        </w:rPr>
        <w:t xml:space="preserve">The average political party declared to use </w:t>
      </w:r>
      <w:r w:rsidR="003156F2">
        <w:rPr>
          <w:rFonts w:eastAsia="Times New Roman" w:cs="Arial"/>
          <w:color w:val="000000" w:themeColor="text1"/>
          <w:szCs w:val="19"/>
          <w:lang w:val="en-GB" w:eastAsia="pl-PL"/>
        </w:rPr>
        <w:t>volunteer work</w:t>
      </w:r>
      <w:r w:rsidR="00F8245A">
        <w:rPr>
          <w:rFonts w:eastAsia="Times New Roman" w:cs="Arial"/>
          <w:color w:val="000000" w:themeColor="text1"/>
          <w:szCs w:val="19"/>
          <w:lang w:val="en-GB" w:eastAsia="pl-PL"/>
        </w:rPr>
        <w:t xml:space="preserve"> </w:t>
      </w:r>
      <w:r w:rsidRPr="004C3F8C">
        <w:rPr>
          <w:rFonts w:eastAsia="Times New Roman" w:cs="Arial"/>
          <w:color w:val="000000" w:themeColor="text1"/>
          <w:szCs w:val="19"/>
          <w:lang w:val="en-GB" w:eastAsia="pl-PL"/>
        </w:rPr>
        <w:t xml:space="preserve">of 0.3 thousand people, and for half of the parties </w:t>
      </w:r>
      <w:r w:rsidR="003351D5">
        <w:rPr>
          <w:rFonts w:eastAsia="Times New Roman" w:cs="Arial"/>
          <w:color w:val="000000" w:themeColor="text1"/>
          <w:szCs w:val="19"/>
          <w:lang w:val="en-GB" w:eastAsia="pl-PL"/>
        </w:rPr>
        <w:t xml:space="preserve">the </w:t>
      </w:r>
      <w:r w:rsidR="003156F2">
        <w:rPr>
          <w:rFonts w:eastAsia="Times New Roman" w:cs="Arial"/>
          <w:color w:val="000000" w:themeColor="text1"/>
          <w:szCs w:val="19"/>
          <w:lang w:val="en-GB" w:eastAsia="pl-PL"/>
        </w:rPr>
        <w:t>number did not exceed</w:t>
      </w:r>
      <w:r w:rsidRPr="004C3F8C">
        <w:rPr>
          <w:rFonts w:eastAsia="Times New Roman" w:cs="Arial"/>
          <w:color w:val="000000" w:themeColor="text1"/>
          <w:szCs w:val="19"/>
          <w:lang w:val="en-GB" w:eastAsia="pl-PL"/>
        </w:rPr>
        <w:t xml:space="preserve"> 20 people. Compared to 2018, the average dropped by 0.8 thousand volunteers and the median by 16 people.</w:t>
      </w:r>
    </w:p>
    <w:p w14:paraId="28E88E6D" w14:textId="1F2EC386" w:rsidR="00A34AA3" w:rsidRPr="004C3F8C" w:rsidRDefault="00A34AA3" w:rsidP="00A34AA3">
      <w:pPr>
        <w:keepNext/>
        <w:tabs>
          <w:tab w:val="left" w:pos="1134"/>
        </w:tabs>
        <w:ind w:left="851" w:hanging="851"/>
        <w:rPr>
          <w:b/>
          <w:spacing w:val="-2"/>
          <w:sz w:val="18"/>
          <w:lang w:val="en-GB"/>
        </w:rPr>
      </w:pPr>
      <w:r w:rsidRPr="00C67BE7">
        <w:rPr>
          <w:rFonts w:asciiTheme="minorHAnsi" w:hAnsiTheme="minorHAnsi"/>
          <w:b/>
          <w:bCs/>
          <w:noProof/>
          <w:color w:val="00B050"/>
          <w:sz w:val="22"/>
          <w:szCs w:val="18"/>
          <w:lang w:eastAsia="pl-PL"/>
        </w:rPr>
        <w:lastRenderedPageBreak/>
        <w:drawing>
          <wp:anchor distT="0" distB="0" distL="114300" distR="114300" simplePos="0" relativeHeight="251765760" behindDoc="0" locked="0" layoutInCell="1" allowOverlap="1" wp14:anchorId="5CD2DFF6" wp14:editId="279E12A4">
            <wp:simplePos x="0" y="0"/>
            <wp:positionH relativeFrom="column">
              <wp:posOffset>-47625</wp:posOffset>
            </wp:positionH>
            <wp:positionV relativeFrom="paragraph">
              <wp:posOffset>420370</wp:posOffset>
            </wp:positionV>
            <wp:extent cx="5174615" cy="2562860"/>
            <wp:effectExtent l="0" t="0" r="6985" b="0"/>
            <wp:wrapTopAndBottom/>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4C3F8C">
        <w:rPr>
          <w:lang w:val="en-GB"/>
        </w:rPr>
        <w:t xml:space="preserve"> </w:t>
      </w:r>
      <w:r w:rsidRPr="004C3F8C">
        <w:rPr>
          <w:b/>
          <w:spacing w:val="-2"/>
          <w:sz w:val="18"/>
          <w:lang w:val="en-GB"/>
        </w:rPr>
        <w:t xml:space="preserve">Chart </w:t>
      </w:r>
      <w:r w:rsidR="00165D69">
        <w:rPr>
          <w:b/>
          <w:spacing w:val="-2"/>
          <w:sz w:val="18"/>
          <w:lang w:val="en-GB"/>
        </w:rPr>
        <w:t>5</w:t>
      </w:r>
      <w:r w:rsidRPr="004C3F8C">
        <w:rPr>
          <w:b/>
          <w:spacing w:val="-2"/>
          <w:sz w:val="18"/>
          <w:lang w:val="en-GB"/>
        </w:rPr>
        <w:t>. Number of people working voluntarily in political parties by type of party in 2020</w:t>
      </w:r>
    </w:p>
    <w:p w14:paraId="7CACBBC4" w14:textId="749AF8E0" w:rsidR="00A34AA3" w:rsidRDefault="00A34AA3" w:rsidP="00A34AA3">
      <w:pPr>
        <w:pStyle w:val="Nagwek1"/>
        <w:rPr>
          <w:rFonts w:ascii="Fira Sans" w:eastAsiaTheme="minorHAnsi" w:hAnsi="Fira Sans" w:cs="Arial"/>
          <w:bCs w:val="0"/>
          <w:color w:val="000000" w:themeColor="text1"/>
          <w:szCs w:val="19"/>
          <w:lang w:val="en-GB" w:eastAsia="en-US"/>
        </w:rPr>
      </w:pPr>
      <w:r w:rsidRPr="003D408C">
        <w:rPr>
          <w:rFonts w:ascii="Fira Sans" w:eastAsiaTheme="minorHAnsi" w:hAnsi="Fira Sans" w:cs="Arial"/>
          <w:bCs w:val="0"/>
          <w:color w:val="auto"/>
          <w:szCs w:val="19"/>
          <w:lang w:val="en-GB" w:eastAsia="en-US"/>
        </w:rPr>
        <w:t xml:space="preserve">As in </w:t>
      </w:r>
      <w:r w:rsidRPr="004C3F8C">
        <w:rPr>
          <w:rFonts w:ascii="Fira Sans" w:eastAsiaTheme="minorHAnsi" w:hAnsi="Fira Sans" w:cs="Arial"/>
          <w:bCs w:val="0"/>
          <w:color w:val="000000" w:themeColor="text1"/>
          <w:szCs w:val="19"/>
          <w:lang w:val="en-GB" w:eastAsia="en-US"/>
        </w:rPr>
        <w:t xml:space="preserve">2018, political party volunteers were mainly </w:t>
      </w:r>
      <w:r w:rsidR="00F8245A">
        <w:rPr>
          <w:rFonts w:ascii="Fira Sans" w:eastAsiaTheme="minorHAnsi" w:hAnsi="Fira Sans" w:cs="Arial"/>
          <w:bCs w:val="0"/>
          <w:color w:val="000000" w:themeColor="text1"/>
          <w:szCs w:val="19"/>
          <w:lang w:val="en-GB" w:eastAsia="en-US"/>
        </w:rPr>
        <w:t xml:space="preserve">party </w:t>
      </w:r>
      <w:r w:rsidRPr="004C3F8C">
        <w:rPr>
          <w:rFonts w:ascii="Fira Sans" w:eastAsiaTheme="minorHAnsi" w:hAnsi="Fira Sans" w:cs="Arial"/>
          <w:bCs w:val="0"/>
          <w:color w:val="000000" w:themeColor="text1"/>
          <w:szCs w:val="19"/>
          <w:lang w:val="en-GB" w:eastAsia="en-US"/>
        </w:rPr>
        <w:t xml:space="preserve">members - they constituted 93.9% of all persons providing voluntary and unpaid work for political parties. The share of women among people working voluntarily in parties </w:t>
      </w:r>
      <w:r w:rsidR="00587588">
        <w:rPr>
          <w:rFonts w:ascii="Fira Sans" w:eastAsiaTheme="minorHAnsi" w:hAnsi="Fira Sans" w:cs="Arial"/>
          <w:bCs w:val="0"/>
          <w:color w:val="000000" w:themeColor="text1"/>
          <w:szCs w:val="19"/>
          <w:lang w:val="en-GB" w:eastAsia="en-US"/>
        </w:rPr>
        <w:t>fell</w:t>
      </w:r>
      <w:r w:rsidRPr="004C3F8C">
        <w:rPr>
          <w:rFonts w:ascii="Fira Sans" w:eastAsiaTheme="minorHAnsi" w:hAnsi="Fira Sans" w:cs="Arial"/>
          <w:bCs w:val="0"/>
          <w:color w:val="000000" w:themeColor="text1"/>
          <w:szCs w:val="19"/>
          <w:lang w:val="en-GB" w:eastAsia="en-US"/>
        </w:rPr>
        <w:t xml:space="preserve"> by 4.8 percentage points compared to 2018. </w:t>
      </w:r>
    </w:p>
    <w:p w14:paraId="6CE7590E" w14:textId="77777777" w:rsidR="004E296F" w:rsidRPr="00D43ED3" w:rsidRDefault="004E296F" w:rsidP="004E296F">
      <w:pPr>
        <w:pStyle w:val="Nagwek1"/>
        <w:rPr>
          <w:lang w:val="en-GB"/>
        </w:rPr>
      </w:pPr>
      <w:r w:rsidRPr="00D43ED3">
        <w:rPr>
          <w:lang w:val="en-GB"/>
        </w:rPr>
        <w:t>Paid work</w:t>
      </w:r>
    </w:p>
    <w:p w14:paraId="0250647A" w14:textId="77777777" w:rsidR="004E296F" w:rsidRPr="00004417" w:rsidRDefault="004E296F" w:rsidP="004E296F">
      <w:pPr>
        <w:rPr>
          <w:lang w:val="en-GB" w:eastAsia="pl-PL"/>
        </w:rPr>
      </w:pPr>
      <w:r w:rsidRPr="00D43ED3">
        <w:rPr>
          <w:color w:val="000000" w:themeColor="text1"/>
          <w:lang w:val="en-GB" w:eastAsia="pl-PL"/>
        </w:rPr>
        <w:t xml:space="preserve">The majority of political parties did not rely on paid work in 2020. </w:t>
      </w:r>
      <w:r w:rsidRPr="00D43ED3">
        <w:rPr>
          <w:lang w:val="en-GB" w:eastAsia="pl-PL"/>
        </w:rPr>
        <w:t>Taking 62 units into account, 15 declared employing paid perso</w:t>
      </w:r>
      <w:r>
        <w:rPr>
          <w:lang w:val="en-GB" w:eastAsia="pl-PL"/>
        </w:rPr>
        <w:t>n</w:t>
      </w:r>
      <w:r w:rsidRPr="00D43ED3">
        <w:rPr>
          <w:lang w:val="en-GB" w:eastAsia="pl-PL"/>
        </w:rPr>
        <w:t xml:space="preserve">nel. Of these 15 parties, 9 possessed employment contract workers and 6 paid personnel consisted of civil contract workers only. In total, by the end of 2020, 222 persons carried out their work on the basis of </w:t>
      </w:r>
      <w:r>
        <w:rPr>
          <w:lang w:val="en-GB" w:eastAsia="pl-PL"/>
        </w:rPr>
        <w:t xml:space="preserve">an </w:t>
      </w:r>
      <w:r w:rsidRPr="00D43ED3">
        <w:rPr>
          <w:lang w:val="en-GB" w:eastAsia="pl-PL"/>
        </w:rPr>
        <w:t>employment contract, showing a reduction by 5.5</w:t>
      </w:r>
      <w:r>
        <w:rPr>
          <w:lang w:val="en-GB" w:eastAsia="pl-PL"/>
        </w:rPr>
        <w:t>%</w:t>
      </w:r>
      <w:r w:rsidRPr="00D43ED3">
        <w:rPr>
          <w:lang w:val="en-GB" w:eastAsia="pl-PL"/>
        </w:rPr>
        <w:t xml:space="preserve"> in comparison to 2018 . The number of civil contract workers fell by 0.5</w:t>
      </w:r>
      <w:r>
        <w:rPr>
          <w:lang w:val="en-GB" w:eastAsia="pl-PL"/>
        </w:rPr>
        <w:t>%</w:t>
      </w:r>
      <w:r w:rsidRPr="00D43ED3">
        <w:rPr>
          <w:lang w:val="en-GB" w:eastAsia="pl-PL"/>
        </w:rPr>
        <w:t xml:space="preserve"> (to 213 in total) Women comprised 52.7</w:t>
      </w:r>
      <w:r>
        <w:rPr>
          <w:lang w:val="en-GB" w:eastAsia="pl-PL"/>
        </w:rPr>
        <w:t>%</w:t>
      </w:r>
      <w:r w:rsidRPr="00D43ED3">
        <w:rPr>
          <w:lang w:val="en-GB" w:eastAsia="pl-PL"/>
        </w:rPr>
        <w:t xml:space="preserve"> of persons working on the basis </w:t>
      </w:r>
      <w:r>
        <w:rPr>
          <w:lang w:val="en-GB" w:eastAsia="pl-PL"/>
        </w:rPr>
        <w:t xml:space="preserve">of an </w:t>
      </w:r>
      <w:r w:rsidRPr="00004417">
        <w:rPr>
          <w:lang w:val="en-GB" w:eastAsia="pl-PL"/>
        </w:rPr>
        <w:t>employment contract, while among civil law contract holders one in three was a woman (32.9</w:t>
      </w:r>
      <w:r>
        <w:rPr>
          <w:lang w:val="en-GB" w:eastAsia="pl-PL"/>
        </w:rPr>
        <w:t>%</w:t>
      </w:r>
      <w:r w:rsidRPr="00004417">
        <w:rPr>
          <w:lang w:val="en-GB" w:eastAsia="pl-PL"/>
        </w:rPr>
        <w:t>).</w:t>
      </w:r>
    </w:p>
    <w:p w14:paraId="612B4F7F" w14:textId="77777777" w:rsidR="004E296F" w:rsidRPr="00004417" w:rsidRDefault="004E296F" w:rsidP="004E296F">
      <w:pPr>
        <w:rPr>
          <w:lang w:val="en-GB" w:eastAsia="pl-PL"/>
        </w:rPr>
      </w:pPr>
      <w:r w:rsidRPr="00004417">
        <w:rPr>
          <w:lang w:val="en-GB" w:eastAsia="pl-PL"/>
        </w:rPr>
        <w:t>The significant majority of both employment contract workers and those employed within the framework of the civil law contract, were on the payroll of parties which possessed their representatives in the parliament (97.7</w:t>
      </w:r>
      <w:r>
        <w:rPr>
          <w:lang w:val="en-GB" w:eastAsia="pl-PL"/>
        </w:rPr>
        <w:t>%</w:t>
      </w:r>
      <w:r w:rsidRPr="00004417">
        <w:rPr>
          <w:lang w:val="en-GB" w:eastAsia="pl-PL"/>
        </w:rPr>
        <w:t xml:space="preserve"> and 98.6</w:t>
      </w:r>
      <w:r>
        <w:rPr>
          <w:lang w:val="en-GB" w:eastAsia="pl-PL"/>
        </w:rPr>
        <w:t>%</w:t>
      </w:r>
      <w:r w:rsidRPr="00004417">
        <w:rPr>
          <w:lang w:val="en-GB" w:eastAsia="pl-PL"/>
        </w:rPr>
        <w:t>, respectively).</w:t>
      </w:r>
    </w:p>
    <w:p w14:paraId="5595974D" w14:textId="77777777" w:rsidR="004E296F" w:rsidRPr="00004417" w:rsidRDefault="004E296F" w:rsidP="004E296F">
      <w:pPr>
        <w:pStyle w:val="Nagwek1"/>
        <w:rPr>
          <w:lang w:val="en-GB"/>
        </w:rPr>
      </w:pPr>
      <w:r w:rsidRPr="00004417">
        <w:rPr>
          <w:lang w:val="en-GB"/>
        </w:rPr>
        <w:t xml:space="preserve">Revenues of political parties </w:t>
      </w:r>
    </w:p>
    <w:p w14:paraId="66DA3F7C" w14:textId="6221F27A" w:rsidR="004E296F" w:rsidRPr="00004417" w:rsidRDefault="004E296F" w:rsidP="004E296F">
      <w:pPr>
        <w:rPr>
          <w:lang w:val="en-GB" w:eastAsia="pl-PL"/>
        </w:rPr>
      </w:pPr>
      <w:r w:rsidRPr="00004417">
        <w:rPr>
          <w:lang w:val="en-GB" w:eastAsia="pl-PL"/>
        </w:rPr>
        <w:t>In 2020, the sum of revenues obtained by 55 political parties which generated revenues stood at PLN 163</w:t>
      </w:r>
      <w:r w:rsidR="00165D69">
        <w:rPr>
          <w:lang w:val="en-GB" w:eastAsia="pl-PL"/>
        </w:rPr>
        <w:t>.</w:t>
      </w:r>
      <w:r w:rsidR="005050FD">
        <w:rPr>
          <w:lang w:val="en-GB" w:eastAsia="pl-PL"/>
        </w:rPr>
        <w:t>2</w:t>
      </w:r>
      <w:r w:rsidRPr="00004417">
        <w:rPr>
          <w:lang w:val="en-GB" w:eastAsia="pl-PL"/>
        </w:rPr>
        <w:t xml:space="preserve"> million, larger by PLN 42.7 million than the corresponding sum from 2018. A specified-user (earmarked) subsidy, paid by the state budget after the autumn 2019 Sejm and Senate elections, comprise more than a half of total revenue.</w:t>
      </w:r>
    </w:p>
    <w:p w14:paraId="05392735" w14:textId="15A12506" w:rsidR="004E296F" w:rsidRPr="00D43ED3" w:rsidRDefault="004E296F" w:rsidP="004E296F">
      <w:pPr>
        <w:rPr>
          <w:lang w:val="en-GB" w:eastAsia="pl-PL"/>
        </w:rPr>
      </w:pPr>
      <w:r w:rsidRPr="00004417">
        <w:rPr>
          <w:lang w:val="en-GB" w:eastAsia="pl-PL"/>
        </w:rPr>
        <w:t>Parties with representatives in the parliament of the Republic of Poland acquired revenues equalling PLN 161.6 million, i.e. 99.0</w:t>
      </w:r>
      <w:r>
        <w:rPr>
          <w:lang w:val="en-GB" w:eastAsia="pl-PL"/>
        </w:rPr>
        <w:t>%</w:t>
      </w:r>
      <w:r w:rsidRPr="00004417">
        <w:rPr>
          <w:lang w:val="en-GB" w:eastAsia="pl-PL"/>
        </w:rPr>
        <w:t xml:space="preserve"> of revenues in total - to compare, the </w:t>
      </w:r>
      <w:r>
        <w:rPr>
          <w:lang w:val="en-GB" w:eastAsia="pl-PL"/>
        </w:rPr>
        <w:t>percentage</w:t>
      </w:r>
      <w:r w:rsidRPr="00D43ED3">
        <w:rPr>
          <w:lang w:val="en-GB" w:eastAsia="pl-PL"/>
        </w:rPr>
        <w:t xml:space="preserve"> stood at 80.6</w:t>
      </w:r>
      <w:r>
        <w:rPr>
          <w:lang w:val="en-GB" w:eastAsia="pl-PL"/>
        </w:rPr>
        <w:t>%</w:t>
      </w:r>
      <w:r w:rsidRPr="00D43ED3">
        <w:rPr>
          <w:lang w:val="en-GB" w:eastAsia="pl-PL"/>
        </w:rPr>
        <w:t xml:space="preserve"> in 2018. Parties that exercised </w:t>
      </w:r>
      <w:r>
        <w:rPr>
          <w:lang w:val="en-GB" w:eastAsia="pl-PL"/>
        </w:rPr>
        <w:t>authority</w:t>
      </w:r>
      <w:r w:rsidRPr="00D43ED3">
        <w:rPr>
          <w:lang w:val="en-GB" w:eastAsia="pl-PL"/>
        </w:rPr>
        <w:t xml:space="preserve"> only at the local government level obtained 0.6</w:t>
      </w:r>
      <w:r>
        <w:rPr>
          <w:lang w:val="en-GB" w:eastAsia="pl-PL"/>
        </w:rPr>
        <w:t>%</w:t>
      </w:r>
      <w:r w:rsidRPr="00D43ED3">
        <w:rPr>
          <w:lang w:val="en-GB" w:eastAsia="pl-PL"/>
        </w:rPr>
        <w:t xml:space="preserve"> of the total revenue in 2020, while the ones not </w:t>
      </w:r>
      <w:r w:rsidRPr="000D69C3">
        <w:rPr>
          <w:lang w:val="en-GB" w:eastAsia="pl-PL"/>
        </w:rPr>
        <w:t>exercising</w:t>
      </w:r>
      <w:r w:rsidRPr="00D43ED3">
        <w:rPr>
          <w:lang w:val="en-GB" w:eastAsia="pl-PL"/>
        </w:rPr>
        <w:t xml:space="preserve"> power – 0,4</w:t>
      </w:r>
      <w:r>
        <w:rPr>
          <w:lang w:val="en-GB" w:eastAsia="pl-PL"/>
        </w:rPr>
        <w:t>%</w:t>
      </w:r>
      <w:r w:rsidRPr="00D43ED3">
        <w:rPr>
          <w:lang w:val="en-GB" w:eastAsia="pl-PL"/>
        </w:rPr>
        <w:t>.</w:t>
      </w:r>
    </w:p>
    <w:p w14:paraId="656ED8D4" w14:textId="524E13B8" w:rsidR="004E296F" w:rsidRPr="00A310E3" w:rsidRDefault="004E296F" w:rsidP="000167D4">
      <w:pPr>
        <w:pStyle w:val="tytuwykresu"/>
        <w:rPr>
          <w:lang w:val="en-GB"/>
        </w:rPr>
      </w:pPr>
      <w:r w:rsidRPr="00BA2AA6">
        <w:rPr>
          <w:noProof/>
          <w:color w:val="000000" w:themeColor="text1"/>
          <w:sz w:val="20"/>
          <w:lang w:eastAsia="pl-PL"/>
        </w:rPr>
        <w:drawing>
          <wp:anchor distT="0" distB="0" distL="114300" distR="114300" simplePos="0" relativeHeight="251779072" behindDoc="0" locked="0" layoutInCell="1" allowOverlap="1" wp14:anchorId="12B81FEA" wp14:editId="2A0240E9">
            <wp:simplePos x="0" y="0"/>
            <wp:positionH relativeFrom="margin">
              <wp:posOffset>0</wp:posOffset>
            </wp:positionH>
            <wp:positionV relativeFrom="paragraph">
              <wp:posOffset>313055</wp:posOffset>
            </wp:positionV>
            <wp:extent cx="4873625" cy="1962150"/>
            <wp:effectExtent l="0" t="0" r="3175" b="0"/>
            <wp:wrapTopAndBottom/>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004417">
        <w:rPr>
          <w:lang w:val="en-GB"/>
        </w:rPr>
        <w:t xml:space="preserve">Chart </w:t>
      </w:r>
      <w:r w:rsidR="00165D69">
        <w:rPr>
          <w:lang w:val="en-GB"/>
        </w:rPr>
        <w:t>6</w:t>
      </w:r>
      <w:r w:rsidRPr="00004417">
        <w:rPr>
          <w:lang w:val="en-GB"/>
        </w:rPr>
        <w:t>. Party revenues by represent</w:t>
      </w:r>
      <w:r w:rsidR="0015186B">
        <w:rPr>
          <w:lang w:val="en-GB"/>
        </w:rPr>
        <w:t>ation in government</w:t>
      </w:r>
      <w:r w:rsidRPr="00FA4C53">
        <w:rPr>
          <w:noProof/>
          <w:lang w:eastAsia="pl-PL"/>
        </w:rPr>
        <mc:AlternateContent>
          <mc:Choice Requires="wps">
            <w:drawing>
              <wp:anchor distT="45720" distB="45720" distL="114300" distR="114300" simplePos="0" relativeHeight="251778048" behindDoc="1" locked="0" layoutInCell="1" allowOverlap="1" wp14:anchorId="55107133" wp14:editId="72D3A0CB">
                <wp:simplePos x="0" y="0"/>
                <wp:positionH relativeFrom="rightMargin">
                  <wp:posOffset>87630</wp:posOffset>
                </wp:positionH>
                <wp:positionV relativeFrom="paragraph">
                  <wp:posOffset>2212340</wp:posOffset>
                </wp:positionV>
                <wp:extent cx="1725295" cy="1047750"/>
                <wp:effectExtent l="0" t="0" r="0" b="0"/>
                <wp:wrapTight wrapText="bothSides">
                  <wp:wrapPolygon edited="0">
                    <wp:start x="715" y="0"/>
                    <wp:lineTo x="715" y="21207"/>
                    <wp:lineTo x="20749" y="21207"/>
                    <wp:lineTo x="20749" y="0"/>
                    <wp:lineTo x="715"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7750"/>
                        </a:xfrm>
                        <a:prstGeom prst="rect">
                          <a:avLst/>
                        </a:prstGeom>
                        <a:noFill/>
                        <a:ln w="9525">
                          <a:noFill/>
                          <a:miter lim="800000"/>
                          <a:headEnd/>
                          <a:tailEnd/>
                        </a:ln>
                      </wps:spPr>
                      <wps:txbx>
                        <w:txbxContent>
                          <w:p w14:paraId="1FED2AB7" w14:textId="77777777" w:rsidR="004E296F" w:rsidRPr="00FF7872" w:rsidRDefault="004E296F" w:rsidP="004E296F">
                            <w:pPr>
                              <w:pStyle w:val="tekstzboku"/>
                              <w:spacing w:before="0"/>
                              <w:rPr>
                                <w:lang w:val="en-GB"/>
                              </w:rPr>
                            </w:pPr>
                            <w:r w:rsidRPr="00FF7872">
                              <w:rPr>
                                <w:lang w:val="en-GB"/>
                              </w:rPr>
                              <w:t>In 2020 the average political party obtained PLN 3.0 million in revenues, but for one half of parties the number did not exceed PLN 10.2 thousand.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07133" id="Pole tekstowe 14" o:spid="_x0000_s1029" type="#_x0000_t202" style="position:absolute;margin-left:6.9pt;margin-top:174.2pt;width:135.85pt;height:82.5pt;z-index:-2515384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" filled="f" stroked="f">
                <v:textbox>
                  <w:txbxContent>
                    <w:p w14:paraId="1FED2AB7" w14:textId="77777777" w:rsidR="004E296F" w:rsidRPr="00FF7872" w:rsidRDefault="004E296F" w:rsidP="004E296F">
                      <w:pPr>
                        <w:pStyle w:val="tekstzboku"/>
                        <w:spacing w:before="0"/>
                        <w:rPr>
                          <w:lang w:val="en-GB"/>
                        </w:rPr>
                      </w:pPr>
                      <w:r w:rsidRPr="00FF7872">
                        <w:rPr>
                          <w:lang w:val="en-GB"/>
                        </w:rPr>
                        <w:t>In 2020 the average political party obtained PLN 3.0 million in revenues, but for one half of parties the number did not exceed PLN 10.2 thousand.</w:t>
                      </w:r>
                    </w:p>
                  </w:txbxContent>
                </v:textbox>
                <w10:wrap type="tight" anchorx="margin"/>
              </v:shape>
            </w:pict>
          </mc:Fallback>
        </mc:AlternateContent>
      </w:r>
    </w:p>
    <w:p w14:paraId="688135B9" w14:textId="77777777" w:rsidR="004E296F" w:rsidRPr="00A310E3" w:rsidRDefault="004E296F" w:rsidP="004E296F">
      <w:pPr>
        <w:rPr>
          <w:lang w:val="en-GB" w:eastAsia="pl-PL"/>
        </w:rPr>
      </w:pPr>
      <w:r w:rsidRPr="00A310E3">
        <w:rPr>
          <w:lang w:val="en-GB" w:eastAsia="pl-PL"/>
        </w:rPr>
        <w:lastRenderedPageBreak/>
        <w:t>Among parties possessing revenues, 28 units claimed having revenues not exceeding PLN 10 thousand. There were 27 parties with the sum exceeding PLN 10 thousand. Out of these, 7 parties obtained (as of 2020) revenues which were larger than PLN 1 million.</w:t>
      </w:r>
    </w:p>
    <w:p w14:paraId="3FF6EBF3" w14:textId="43319F5A" w:rsidR="004E296F" w:rsidRPr="00A310E3" w:rsidRDefault="004E296F" w:rsidP="004E296F">
      <w:pPr>
        <w:rPr>
          <w:lang w:val="en-GB" w:eastAsia="pl-PL"/>
        </w:rPr>
      </w:pPr>
      <w:r w:rsidRPr="00A310E3">
        <w:rPr>
          <w:color w:val="000000" w:themeColor="text1"/>
          <w:lang w:val="en-GB" w:eastAsia="pl-PL"/>
        </w:rPr>
        <w:t xml:space="preserve">Speaking of financial means, the average sum per party in 2020 reached PLN 3.0 million; however, one half of surveyed </w:t>
      </w:r>
      <w:r>
        <w:rPr>
          <w:color w:val="000000" w:themeColor="text1"/>
          <w:lang w:val="en-GB" w:eastAsia="pl-PL"/>
        </w:rPr>
        <w:t>groupings declared having</w:t>
      </w:r>
      <w:r w:rsidRPr="00A310E3">
        <w:rPr>
          <w:color w:val="000000" w:themeColor="text1"/>
          <w:lang w:val="en-GB" w:eastAsia="pl-PL"/>
        </w:rPr>
        <w:t xml:space="preserve"> revenues of PLN 10.2 thousand or lower</w:t>
      </w:r>
      <w:r w:rsidRPr="00A310E3">
        <w:rPr>
          <w:lang w:val="en-GB" w:eastAsia="pl-PL"/>
        </w:rPr>
        <w:t>. In 2018 the average value and the median stood at, respectively, PLN 2.1 million and PLN 10</w:t>
      </w:r>
      <w:r w:rsidR="00165D69">
        <w:rPr>
          <w:lang w:val="en-GB" w:eastAsia="pl-PL"/>
        </w:rPr>
        <w:t>.2</w:t>
      </w:r>
      <w:r w:rsidRPr="00A310E3">
        <w:rPr>
          <w:lang w:val="en-GB" w:eastAsia="pl-PL"/>
        </w:rPr>
        <w:t xml:space="preserve"> thousand. </w:t>
      </w:r>
    </w:p>
    <w:p w14:paraId="7EC698C6" w14:textId="77777777" w:rsidR="004E296F" w:rsidRPr="00A310E3" w:rsidRDefault="004E296F" w:rsidP="004E296F">
      <w:pPr>
        <w:rPr>
          <w:lang w:val="en-GB" w:eastAsia="pl-PL"/>
        </w:rPr>
      </w:pPr>
      <w:r w:rsidRPr="00A310E3">
        <w:rPr>
          <w:lang w:val="en-GB" w:eastAsia="pl-PL"/>
        </w:rPr>
        <w:t>The revenue structure of political parties for 2020 differed from the one in 2018 owing to local elections in 2018 and to parliamentary elections in the subsequent year. In 2018, means from natural persons (including donations, inheritances and bequests) comprised more than one half of revenues (53.2</w:t>
      </w:r>
      <w:r>
        <w:rPr>
          <w:lang w:val="en-GB" w:eastAsia="pl-PL"/>
        </w:rPr>
        <w:t>%</w:t>
      </w:r>
      <w:r w:rsidRPr="00A310E3">
        <w:rPr>
          <w:lang w:val="en-GB" w:eastAsia="pl-PL"/>
        </w:rPr>
        <w:t>). In turn, 2020 saw the overwhelming revenue share coming in the form of law-specified grants and subsides (91.4</w:t>
      </w:r>
      <w:r>
        <w:rPr>
          <w:lang w:val="en-GB" w:eastAsia="pl-PL"/>
        </w:rPr>
        <w:t>%</w:t>
      </w:r>
      <w:r w:rsidRPr="00A310E3">
        <w:rPr>
          <w:lang w:val="en-GB" w:eastAsia="pl-PL"/>
        </w:rPr>
        <w:t>). In total, political parties obtained PLN 149.2 million form the state budget in 2020; the corresponding figure for 2018 was PLN 52.0 million.</w:t>
      </w:r>
    </w:p>
    <w:p w14:paraId="23DFD96B" w14:textId="77777777" w:rsidR="004E296F" w:rsidRPr="00A310E3" w:rsidRDefault="004E296F" w:rsidP="004E296F">
      <w:pPr>
        <w:pStyle w:val="Nagwek1"/>
        <w:rPr>
          <w:lang w:val="en-GB"/>
        </w:rPr>
      </w:pPr>
      <w:r w:rsidRPr="00A310E3">
        <w:rPr>
          <w:lang w:val="en-GB"/>
        </w:rPr>
        <w:t>Impact of COVID-19 upon party activity</w:t>
      </w:r>
    </w:p>
    <w:p w14:paraId="5DA4B084" w14:textId="77777777" w:rsidR="004E296F" w:rsidRPr="00FF7872" w:rsidRDefault="004E296F" w:rsidP="004E296F">
      <w:pPr>
        <w:rPr>
          <w:lang w:val="en-GB" w:eastAsia="pl-PL"/>
        </w:rPr>
      </w:pPr>
      <w:r w:rsidRPr="00A310E3">
        <w:rPr>
          <w:lang w:val="en-GB" w:eastAsia="pl-PL"/>
        </w:rPr>
        <w:t xml:space="preserve">Due to the ongoing COVID-19 epidemic, an additional question concerning the influence of the current epidemiological conditions on party activity in 2020 was placed in the survey. Taking into account parties that submitted their reports, 46 informed about the negative influence the pandemic had on their actions. First and foremost, the </w:t>
      </w:r>
      <w:r w:rsidRPr="00067D16">
        <w:rPr>
          <w:lang w:val="en-GB" w:eastAsia="pl-PL"/>
        </w:rPr>
        <w:t>detrimental</w:t>
      </w:r>
      <w:r w:rsidRPr="00FF7872">
        <w:rPr>
          <w:lang w:val="en-GB" w:eastAsia="pl-PL"/>
        </w:rPr>
        <w:t xml:space="preserve"> impact took the form of limiting the possibility of organizing public gatherings and meetings with party members and supporters - 36 parties identified this as a challenge. 6 units reported problems with party congresses and party conventions as well as difficulties with running internal elections and campaigning in the presidential contest. One party in out of nine indicated that COVID-19 brought difficulties to communication with public institutions, with other parties, and in dealing with other organizations. Decreased activity of members as well as general weariness and reluctance to undertake activity were reported by 4 parties. Meanwhile, 3 parties informed about implementing a new form of work organization. </w:t>
      </w:r>
    </w:p>
    <w:p w14:paraId="12149F35" w14:textId="77777777" w:rsidR="004E296F" w:rsidRPr="00FF7872" w:rsidRDefault="004E296F" w:rsidP="004E296F">
      <w:pPr>
        <w:rPr>
          <w:lang w:val="en-GB" w:eastAsia="pl-PL"/>
        </w:rPr>
      </w:pPr>
    </w:p>
    <w:p w14:paraId="3C2C7345" w14:textId="6B995691" w:rsidR="004E296F" w:rsidRPr="00A310E3" w:rsidRDefault="004E296F" w:rsidP="004E296F">
      <w:pPr>
        <w:pStyle w:val="tytuwykresu"/>
        <w:rPr>
          <w:lang w:val="en-GB"/>
        </w:rPr>
      </w:pPr>
      <w:r w:rsidRPr="00C67BE7">
        <w:rPr>
          <w:b w:val="0"/>
          <w:noProof/>
          <w:lang w:eastAsia="pl-PL"/>
        </w:rPr>
        <w:drawing>
          <wp:anchor distT="0" distB="0" distL="114300" distR="114300" simplePos="0" relativeHeight="251780096" behindDoc="0" locked="0" layoutInCell="1" allowOverlap="1" wp14:anchorId="3BCC81D5" wp14:editId="2F9DAC69">
            <wp:simplePos x="0" y="0"/>
            <wp:positionH relativeFrom="column">
              <wp:posOffset>0</wp:posOffset>
            </wp:positionH>
            <wp:positionV relativeFrom="paragraph">
              <wp:posOffset>263525</wp:posOffset>
            </wp:positionV>
            <wp:extent cx="5110480" cy="2952750"/>
            <wp:effectExtent l="0" t="0" r="0" b="0"/>
            <wp:wrapTopAndBottom/>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A310E3">
        <w:rPr>
          <w:lang w:val="en-GB"/>
        </w:rPr>
        <w:t xml:space="preserve">Chart </w:t>
      </w:r>
      <w:r w:rsidR="00165D69">
        <w:rPr>
          <w:lang w:val="en-GB"/>
        </w:rPr>
        <w:t>7</w:t>
      </w:r>
      <w:r w:rsidRPr="00A310E3">
        <w:rPr>
          <w:lang w:val="en-GB"/>
        </w:rPr>
        <w:t>. Impact of COVID-19 pandemic on party activity in 2020.</w:t>
      </w:r>
    </w:p>
    <w:p w14:paraId="104EEEB1" w14:textId="77777777" w:rsidR="004E296F" w:rsidRPr="00A310E3" w:rsidRDefault="004E296F" w:rsidP="004E296F">
      <w:pPr>
        <w:pStyle w:val="tytuwykresu"/>
        <w:rPr>
          <w:lang w:val="en-GB"/>
        </w:rPr>
      </w:pPr>
    </w:p>
    <w:p w14:paraId="3F27C0DC" w14:textId="77777777" w:rsidR="004E296F" w:rsidRPr="00A310E3" w:rsidRDefault="004E296F" w:rsidP="004E296F">
      <w:pPr>
        <w:pStyle w:val="Nagwek1"/>
        <w:rPr>
          <w:lang w:val="en-GB"/>
        </w:rPr>
      </w:pPr>
      <w:r w:rsidRPr="00A310E3">
        <w:rPr>
          <w:lang w:val="en-GB"/>
        </w:rPr>
        <w:t>Methodological information regarding the survey</w:t>
      </w:r>
    </w:p>
    <w:p w14:paraId="731E997A" w14:textId="77777777" w:rsidR="004E296F" w:rsidRPr="00A310E3" w:rsidRDefault="004E296F" w:rsidP="004E296F">
      <w:pPr>
        <w:rPr>
          <w:lang w:val="en-GB" w:eastAsia="pl-PL"/>
        </w:rPr>
      </w:pPr>
      <w:r w:rsidRPr="00A310E3">
        <w:rPr>
          <w:lang w:val="en-GB" w:eastAsia="pl-PL"/>
        </w:rPr>
        <w:t xml:space="preserve">This news release was compiled on the basis of the Statistics Poland survey completed by the Statistical Office in Cracow in 2021 by means of the research form titled </w:t>
      </w:r>
      <w:r w:rsidRPr="00A310E3">
        <w:rPr>
          <w:i/>
          <w:lang w:val="en-GB" w:eastAsia="pl-PL"/>
        </w:rPr>
        <w:t>Political parties</w:t>
      </w:r>
      <w:r w:rsidRPr="00A310E3">
        <w:rPr>
          <w:lang w:val="en-GB" w:eastAsia="pl-PL"/>
        </w:rPr>
        <w:t xml:space="preserve"> (SOF-3) as well as with the assistance of administrative data (from District Court in Warsaw), National Electoral Commission and Social Insurance Institution). The survey covered 88 parties present in the Register of Political Parties. As a result of survey completion and on the basis of data from the National Election Commission, it was established that 62 parties conduct activity. For these 62 entities data was obtained with the help of the SOF-3 form. </w:t>
      </w:r>
    </w:p>
    <w:p w14:paraId="77F2CA30" w14:textId="77777777" w:rsidR="004E296F" w:rsidRPr="00D43ED3" w:rsidRDefault="004E296F" w:rsidP="004E296F">
      <w:pPr>
        <w:rPr>
          <w:lang w:val="en-GB" w:eastAsia="pl-PL"/>
        </w:rPr>
      </w:pPr>
      <w:r w:rsidRPr="00A310E3">
        <w:rPr>
          <w:lang w:val="en-GB" w:eastAsia="pl-PL"/>
        </w:rPr>
        <w:lastRenderedPageBreak/>
        <w:t xml:space="preserve">By means of the research form SOF-3 data regarding, among other subjects, the organizational structure, territorial scope and statutory form of party activity, membership, volunteer work, </w:t>
      </w:r>
      <w:r w:rsidRPr="00CC1FEB">
        <w:rPr>
          <w:lang w:val="en-GB" w:eastAsia="pl-PL"/>
        </w:rPr>
        <w:t>cooperation</w:t>
      </w:r>
      <w:r w:rsidRPr="00D43ED3">
        <w:rPr>
          <w:lang w:val="en-GB" w:eastAsia="pl-PL"/>
        </w:rPr>
        <w:t xml:space="preserve"> with other organizations and conditions,</w:t>
      </w:r>
      <w:r>
        <w:rPr>
          <w:lang w:val="en-GB" w:eastAsia="pl-PL"/>
        </w:rPr>
        <w:t xml:space="preserve"> </w:t>
      </w:r>
      <w:r w:rsidRPr="00D43ED3">
        <w:rPr>
          <w:lang w:val="en-GB" w:eastAsia="pl-PL"/>
        </w:rPr>
        <w:t>in which parties conduct their activities. On the other hand, administrative data allowed to establish information with regard to:</w:t>
      </w:r>
    </w:p>
    <w:p w14:paraId="384390CB" w14:textId="77777777" w:rsidR="004E296F" w:rsidRPr="00D43ED3" w:rsidRDefault="004E296F" w:rsidP="004E296F">
      <w:pPr>
        <w:pStyle w:val="Akapitzlist"/>
        <w:numPr>
          <w:ilvl w:val="0"/>
          <w:numId w:val="3"/>
        </w:numPr>
        <w:rPr>
          <w:lang w:val="en-GB" w:eastAsia="pl-PL"/>
        </w:rPr>
      </w:pPr>
      <w:r>
        <w:rPr>
          <w:lang w:val="en-GB" w:eastAsia="pl-PL"/>
        </w:rPr>
        <w:t>t</w:t>
      </w:r>
      <w:r w:rsidRPr="00D43ED3">
        <w:rPr>
          <w:lang w:val="en-GB" w:eastAsia="pl-PL"/>
        </w:rPr>
        <w:t xml:space="preserve">he number of parties in the Register of Political Parties (data from the District Court in Warsaw), </w:t>
      </w:r>
    </w:p>
    <w:p w14:paraId="1316913E" w14:textId="77777777" w:rsidR="004E296F" w:rsidRPr="00D43ED3" w:rsidRDefault="004E296F" w:rsidP="004E296F">
      <w:pPr>
        <w:pStyle w:val="Akapitzlist"/>
        <w:numPr>
          <w:ilvl w:val="0"/>
          <w:numId w:val="3"/>
        </w:numPr>
        <w:rPr>
          <w:lang w:val="en-GB" w:eastAsia="pl-PL"/>
        </w:rPr>
      </w:pPr>
      <w:r w:rsidRPr="00D43ED3">
        <w:rPr>
          <w:lang w:val="en-GB" w:eastAsia="pl-PL"/>
        </w:rPr>
        <w:t xml:space="preserve">the revenue structure, including sums from the state budget (data from National Electoral Commission), </w:t>
      </w:r>
    </w:p>
    <w:p w14:paraId="63CEB4AA" w14:textId="77777777" w:rsidR="004E296F" w:rsidRPr="00D43ED3" w:rsidRDefault="004E296F" w:rsidP="004E296F">
      <w:pPr>
        <w:pStyle w:val="Akapitzlist"/>
        <w:numPr>
          <w:ilvl w:val="0"/>
          <w:numId w:val="3"/>
        </w:numPr>
        <w:rPr>
          <w:lang w:val="en-GB" w:eastAsia="pl-PL"/>
        </w:rPr>
      </w:pPr>
      <w:r w:rsidRPr="00D43ED3">
        <w:rPr>
          <w:lang w:val="en-GB" w:eastAsia="pl-PL"/>
        </w:rPr>
        <w:t>the scope and type of employment (data from the Social Insurance Institution - ZUS).</w:t>
      </w:r>
    </w:p>
    <w:p w14:paraId="0BF5BFFE" w14:textId="77777777" w:rsidR="004E296F" w:rsidRPr="00D43ED3" w:rsidRDefault="004E296F" w:rsidP="004E296F">
      <w:pPr>
        <w:rPr>
          <w:lang w:val="en-GB" w:eastAsia="pl-PL"/>
        </w:rPr>
      </w:pPr>
    </w:p>
    <w:p w14:paraId="6DD32BC4" w14:textId="77777777" w:rsidR="004E296F" w:rsidRDefault="004E296F" w:rsidP="004E296F">
      <w:pPr>
        <w:contextualSpacing/>
        <w:rPr>
          <w:lang w:val="en-GB" w:eastAsia="pl-PL"/>
        </w:rPr>
      </w:pPr>
    </w:p>
    <w:p w14:paraId="5942FCC1" w14:textId="77777777" w:rsidR="004E296F" w:rsidRDefault="004E296F" w:rsidP="004E296F">
      <w:pPr>
        <w:contextualSpacing/>
        <w:rPr>
          <w:lang w:val="en-GB" w:eastAsia="pl-PL"/>
        </w:rPr>
      </w:pPr>
    </w:p>
    <w:p w14:paraId="79E7705F" w14:textId="77777777" w:rsidR="004E296F" w:rsidRDefault="004E296F" w:rsidP="004E296F">
      <w:pPr>
        <w:contextualSpacing/>
        <w:rPr>
          <w:lang w:val="en-GB" w:eastAsia="pl-PL"/>
        </w:rPr>
      </w:pPr>
    </w:p>
    <w:p w14:paraId="3ECEDACE" w14:textId="71DB3564" w:rsidR="004E296F" w:rsidRDefault="004E296F" w:rsidP="004E296F">
      <w:pPr>
        <w:contextualSpacing/>
        <w:rPr>
          <w:lang w:val="en-GB" w:eastAsia="pl-PL"/>
        </w:rPr>
      </w:pPr>
    </w:p>
    <w:p w14:paraId="019C3CEF" w14:textId="61DA5D30" w:rsidR="00165D69" w:rsidRDefault="00165D69" w:rsidP="004E296F">
      <w:pPr>
        <w:contextualSpacing/>
        <w:rPr>
          <w:lang w:val="en-GB" w:eastAsia="pl-PL"/>
        </w:rPr>
      </w:pPr>
    </w:p>
    <w:p w14:paraId="1135D568" w14:textId="5948A2FD" w:rsidR="00165D69" w:rsidRDefault="00165D69" w:rsidP="004E296F">
      <w:pPr>
        <w:contextualSpacing/>
        <w:rPr>
          <w:lang w:val="en-GB" w:eastAsia="pl-PL"/>
        </w:rPr>
      </w:pPr>
    </w:p>
    <w:p w14:paraId="52A1A431" w14:textId="1E24D54D" w:rsidR="00165D69" w:rsidRDefault="00165D69" w:rsidP="004E296F">
      <w:pPr>
        <w:contextualSpacing/>
        <w:rPr>
          <w:lang w:val="en-GB" w:eastAsia="pl-PL"/>
        </w:rPr>
      </w:pPr>
    </w:p>
    <w:p w14:paraId="0617BB3A" w14:textId="577641C9" w:rsidR="00165D69" w:rsidRDefault="00165D69" w:rsidP="004E296F">
      <w:pPr>
        <w:contextualSpacing/>
        <w:rPr>
          <w:lang w:val="en-GB" w:eastAsia="pl-PL"/>
        </w:rPr>
      </w:pPr>
    </w:p>
    <w:p w14:paraId="6EC6B22E" w14:textId="57AE79B5" w:rsidR="00165D69" w:rsidRDefault="00165D69" w:rsidP="004E296F">
      <w:pPr>
        <w:contextualSpacing/>
        <w:rPr>
          <w:lang w:val="en-GB" w:eastAsia="pl-PL"/>
        </w:rPr>
      </w:pPr>
    </w:p>
    <w:p w14:paraId="5B7FFD47" w14:textId="5824758B" w:rsidR="00165D69" w:rsidRDefault="00165D69" w:rsidP="004E296F">
      <w:pPr>
        <w:contextualSpacing/>
        <w:rPr>
          <w:lang w:val="en-GB" w:eastAsia="pl-PL"/>
        </w:rPr>
      </w:pPr>
    </w:p>
    <w:p w14:paraId="09BE2CCB" w14:textId="5FC90C4F" w:rsidR="00165D69" w:rsidRDefault="00165D69" w:rsidP="004E296F">
      <w:pPr>
        <w:contextualSpacing/>
        <w:rPr>
          <w:lang w:val="en-GB" w:eastAsia="pl-PL"/>
        </w:rPr>
      </w:pPr>
    </w:p>
    <w:p w14:paraId="3EEA251D" w14:textId="379EB163" w:rsidR="00165D69" w:rsidRDefault="00165D69" w:rsidP="004E296F">
      <w:pPr>
        <w:contextualSpacing/>
        <w:rPr>
          <w:lang w:val="en-GB" w:eastAsia="pl-PL"/>
        </w:rPr>
      </w:pPr>
    </w:p>
    <w:p w14:paraId="5E07F35D" w14:textId="72100CCD" w:rsidR="00165D69" w:rsidRDefault="00165D69" w:rsidP="004E296F">
      <w:pPr>
        <w:contextualSpacing/>
        <w:rPr>
          <w:lang w:val="en-GB" w:eastAsia="pl-PL"/>
        </w:rPr>
      </w:pPr>
    </w:p>
    <w:p w14:paraId="6CC80264" w14:textId="5010A226" w:rsidR="00165D69" w:rsidRDefault="00165D69" w:rsidP="004E296F">
      <w:pPr>
        <w:contextualSpacing/>
        <w:rPr>
          <w:lang w:val="en-GB" w:eastAsia="pl-PL"/>
        </w:rPr>
      </w:pPr>
    </w:p>
    <w:p w14:paraId="29297455" w14:textId="3660A344" w:rsidR="00165D69" w:rsidRDefault="00165D69" w:rsidP="004E296F">
      <w:pPr>
        <w:contextualSpacing/>
        <w:rPr>
          <w:lang w:val="en-GB" w:eastAsia="pl-PL"/>
        </w:rPr>
      </w:pPr>
    </w:p>
    <w:p w14:paraId="34643EFF" w14:textId="04D18792" w:rsidR="00165D69" w:rsidRDefault="00165D69" w:rsidP="004E296F">
      <w:pPr>
        <w:contextualSpacing/>
        <w:rPr>
          <w:lang w:val="en-GB" w:eastAsia="pl-PL"/>
        </w:rPr>
      </w:pPr>
    </w:p>
    <w:p w14:paraId="754A91BA" w14:textId="48C5746C" w:rsidR="00165D69" w:rsidRDefault="00165D69" w:rsidP="004E296F">
      <w:pPr>
        <w:contextualSpacing/>
        <w:rPr>
          <w:lang w:val="en-GB" w:eastAsia="pl-PL"/>
        </w:rPr>
      </w:pPr>
    </w:p>
    <w:p w14:paraId="5A1023C8" w14:textId="3839939D" w:rsidR="00165D69" w:rsidRDefault="00165D69" w:rsidP="004E296F">
      <w:pPr>
        <w:contextualSpacing/>
        <w:rPr>
          <w:lang w:val="en-GB" w:eastAsia="pl-PL"/>
        </w:rPr>
      </w:pPr>
    </w:p>
    <w:p w14:paraId="13E0AD5A" w14:textId="2D671BD4" w:rsidR="00165D69" w:rsidRDefault="00165D69" w:rsidP="004E296F">
      <w:pPr>
        <w:contextualSpacing/>
        <w:rPr>
          <w:lang w:val="en-GB" w:eastAsia="pl-PL"/>
        </w:rPr>
      </w:pPr>
    </w:p>
    <w:p w14:paraId="67A36E74" w14:textId="03D13B33" w:rsidR="00165D69" w:rsidRDefault="00165D69" w:rsidP="004E296F">
      <w:pPr>
        <w:contextualSpacing/>
        <w:rPr>
          <w:lang w:val="en-GB" w:eastAsia="pl-PL"/>
        </w:rPr>
      </w:pPr>
    </w:p>
    <w:p w14:paraId="0CD8CBF4" w14:textId="7414FA7F" w:rsidR="00165D69" w:rsidRDefault="00165D69" w:rsidP="004E296F">
      <w:pPr>
        <w:contextualSpacing/>
        <w:rPr>
          <w:lang w:val="en-GB" w:eastAsia="pl-PL"/>
        </w:rPr>
      </w:pPr>
    </w:p>
    <w:p w14:paraId="63DAD671" w14:textId="5D619413" w:rsidR="00165D69" w:rsidRDefault="00165D69" w:rsidP="004E296F">
      <w:pPr>
        <w:contextualSpacing/>
        <w:rPr>
          <w:lang w:val="en-GB" w:eastAsia="pl-PL"/>
        </w:rPr>
      </w:pPr>
    </w:p>
    <w:p w14:paraId="037A93BE" w14:textId="108296A6" w:rsidR="00165D69" w:rsidRDefault="00165D69" w:rsidP="004E296F">
      <w:pPr>
        <w:contextualSpacing/>
        <w:rPr>
          <w:lang w:val="en-GB" w:eastAsia="pl-PL"/>
        </w:rPr>
      </w:pPr>
    </w:p>
    <w:p w14:paraId="7CDA21BD" w14:textId="574D3BC8" w:rsidR="00165D69" w:rsidRDefault="00165D69" w:rsidP="004E296F">
      <w:pPr>
        <w:contextualSpacing/>
        <w:rPr>
          <w:lang w:val="en-GB" w:eastAsia="pl-PL"/>
        </w:rPr>
      </w:pPr>
    </w:p>
    <w:p w14:paraId="48FB45B1" w14:textId="6AAD6F90" w:rsidR="00165D69" w:rsidRDefault="00165D69" w:rsidP="004E296F">
      <w:pPr>
        <w:contextualSpacing/>
        <w:rPr>
          <w:lang w:val="en-GB" w:eastAsia="pl-PL"/>
        </w:rPr>
      </w:pPr>
    </w:p>
    <w:p w14:paraId="1A9DE678" w14:textId="369F4670" w:rsidR="00165D69" w:rsidRDefault="00165D69" w:rsidP="004E296F">
      <w:pPr>
        <w:contextualSpacing/>
        <w:rPr>
          <w:lang w:val="en-GB" w:eastAsia="pl-PL"/>
        </w:rPr>
      </w:pPr>
    </w:p>
    <w:p w14:paraId="175DFD0C" w14:textId="0BC17E58" w:rsidR="00165D69" w:rsidRDefault="00165D69" w:rsidP="004E296F">
      <w:pPr>
        <w:contextualSpacing/>
        <w:rPr>
          <w:lang w:val="en-GB" w:eastAsia="pl-PL"/>
        </w:rPr>
      </w:pPr>
    </w:p>
    <w:p w14:paraId="1918A64D" w14:textId="61B09184" w:rsidR="00165D69" w:rsidRDefault="00165D69" w:rsidP="004E296F">
      <w:pPr>
        <w:contextualSpacing/>
        <w:rPr>
          <w:lang w:val="en-GB" w:eastAsia="pl-PL"/>
        </w:rPr>
      </w:pPr>
    </w:p>
    <w:p w14:paraId="4DCB61F9" w14:textId="0E7A7250" w:rsidR="00165D69" w:rsidRDefault="00165D69" w:rsidP="004E296F">
      <w:pPr>
        <w:contextualSpacing/>
        <w:rPr>
          <w:lang w:val="en-GB" w:eastAsia="pl-PL"/>
        </w:rPr>
      </w:pPr>
    </w:p>
    <w:p w14:paraId="0A802D46" w14:textId="72559178" w:rsidR="00165D69" w:rsidRDefault="00165D69" w:rsidP="004E296F">
      <w:pPr>
        <w:contextualSpacing/>
        <w:rPr>
          <w:lang w:val="en-GB" w:eastAsia="pl-PL"/>
        </w:rPr>
      </w:pPr>
    </w:p>
    <w:p w14:paraId="57BAADE4" w14:textId="2FADE310" w:rsidR="00165D69" w:rsidRDefault="00165D69" w:rsidP="004E296F">
      <w:pPr>
        <w:contextualSpacing/>
        <w:rPr>
          <w:lang w:val="en-GB" w:eastAsia="pl-PL"/>
        </w:rPr>
      </w:pPr>
    </w:p>
    <w:p w14:paraId="3CECB17B" w14:textId="5F619F43" w:rsidR="00165D69" w:rsidRDefault="00165D69" w:rsidP="004E296F">
      <w:pPr>
        <w:contextualSpacing/>
        <w:rPr>
          <w:lang w:val="en-GB" w:eastAsia="pl-PL"/>
        </w:rPr>
      </w:pPr>
    </w:p>
    <w:p w14:paraId="3F27B68A" w14:textId="7192A6DE" w:rsidR="00165D69" w:rsidRDefault="00165D69" w:rsidP="004E296F">
      <w:pPr>
        <w:contextualSpacing/>
        <w:rPr>
          <w:lang w:val="en-GB" w:eastAsia="pl-PL"/>
        </w:rPr>
      </w:pPr>
    </w:p>
    <w:p w14:paraId="22189194" w14:textId="2395A938" w:rsidR="00165D69" w:rsidRDefault="00165D69" w:rsidP="004E296F">
      <w:pPr>
        <w:contextualSpacing/>
        <w:rPr>
          <w:lang w:val="en-GB" w:eastAsia="pl-PL"/>
        </w:rPr>
      </w:pPr>
    </w:p>
    <w:p w14:paraId="3F8983A3" w14:textId="198BEA32" w:rsidR="00165D69" w:rsidRDefault="00165D69" w:rsidP="004E296F">
      <w:pPr>
        <w:contextualSpacing/>
        <w:rPr>
          <w:lang w:val="en-GB" w:eastAsia="pl-PL"/>
        </w:rPr>
      </w:pPr>
    </w:p>
    <w:p w14:paraId="27A43BCF" w14:textId="62973E27" w:rsidR="00165D69" w:rsidRDefault="00165D69" w:rsidP="004E296F">
      <w:pPr>
        <w:contextualSpacing/>
        <w:rPr>
          <w:lang w:val="en-GB" w:eastAsia="pl-PL"/>
        </w:rPr>
      </w:pPr>
    </w:p>
    <w:p w14:paraId="5F3842B8" w14:textId="0C6483E9" w:rsidR="00165D69" w:rsidRDefault="00165D69" w:rsidP="004E296F">
      <w:pPr>
        <w:contextualSpacing/>
        <w:rPr>
          <w:lang w:val="en-GB" w:eastAsia="pl-PL"/>
        </w:rPr>
      </w:pPr>
    </w:p>
    <w:p w14:paraId="072526D0" w14:textId="374EB0A3" w:rsidR="00165D69" w:rsidRDefault="00165D69" w:rsidP="004E296F">
      <w:pPr>
        <w:contextualSpacing/>
        <w:rPr>
          <w:lang w:val="en-GB" w:eastAsia="pl-PL"/>
        </w:rPr>
      </w:pPr>
    </w:p>
    <w:p w14:paraId="60DB2418" w14:textId="5204A67A" w:rsidR="00165D69" w:rsidRDefault="00165D69" w:rsidP="004E296F">
      <w:pPr>
        <w:contextualSpacing/>
        <w:rPr>
          <w:lang w:val="en-GB" w:eastAsia="pl-PL"/>
        </w:rPr>
      </w:pPr>
    </w:p>
    <w:p w14:paraId="17737688" w14:textId="4396FB93" w:rsidR="00165D69" w:rsidRDefault="00165D69" w:rsidP="004E296F">
      <w:pPr>
        <w:contextualSpacing/>
        <w:rPr>
          <w:lang w:val="en-GB" w:eastAsia="pl-PL"/>
        </w:rPr>
      </w:pPr>
    </w:p>
    <w:p w14:paraId="123E0AC6" w14:textId="713015A2" w:rsidR="00165D69" w:rsidRDefault="00165D69" w:rsidP="004E296F">
      <w:pPr>
        <w:contextualSpacing/>
        <w:rPr>
          <w:lang w:val="en-GB" w:eastAsia="pl-PL"/>
        </w:rPr>
      </w:pPr>
    </w:p>
    <w:p w14:paraId="5CBAE189" w14:textId="086B1E03" w:rsidR="00165D69" w:rsidRDefault="00165D69" w:rsidP="004E296F">
      <w:pPr>
        <w:contextualSpacing/>
        <w:rPr>
          <w:lang w:val="en-GB" w:eastAsia="pl-PL"/>
        </w:rPr>
      </w:pPr>
    </w:p>
    <w:p w14:paraId="106B1962" w14:textId="77B9723B" w:rsidR="00165D69" w:rsidRDefault="00165D69" w:rsidP="004E296F">
      <w:pPr>
        <w:contextualSpacing/>
        <w:rPr>
          <w:lang w:val="en-GB" w:eastAsia="pl-PL"/>
        </w:rPr>
      </w:pPr>
    </w:p>
    <w:p w14:paraId="20603307" w14:textId="2592551B" w:rsidR="00165D69" w:rsidRDefault="00165D69" w:rsidP="004E296F">
      <w:pPr>
        <w:contextualSpacing/>
        <w:rPr>
          <w:lang w:val="en-GB" w:eastAsia="pl-PL"/>
        </w:rPr>
      </w:pPr>
    </w:p>
    <w:p w14:paraId="79D7C42C" w14:textId="658DC43E" w:rsidR="00165D69" w:rsidRDefault="00165D69" w:rsidP="004E296F">
      <w:pPr>
        <w:contextualSpacing/>
        <w:rPr>
          <w:lang w:val="en-GB" w:eastAsia="pl-PL"/>
        </w:rPr>
      </w:pPr>
    </w:p>
    <w:p w14:paraId="087E60BB" w14:textId="77777777" w:rsidR="00165D69" w:rsidRDefault="00165D69" w:rsidP="004E296F">
      <w:pPr>
        <w:contextualSpacing/>
        <w:rPr>
          <w:lang w:val="en-GB" w:eastAsia="pl-PL"/>
        </w:rPr>
      </w:pPr>
    </w:p>
    <w:p w14:paraId="20ACF910" w14:textId="77777777" w:rsidR="004E296F" w:rsidRPr="00CC1FEB" w:rsidRDefault="004E296F" w:rsidP="004E296F">
      <w:pPr>
        <w:contextualSpacing/>
        <w:rPr>
          <w:lang w:val="en-GB" w:eastAsia="pl-PL"/>
        </w:rPr>
      </w:pPr>
      <w:r>
        <w:rPr>
          <w:lang w:val="en-GB" w:eastAsia="pl-PL"/>
        </w:rPr>
        <w:t>I</w:t>
      </w:r>
      <w:r w:rsidRPr="00CC1FEB">
        <w:rPr>
          <w:lang w:val="en-GB" w:eastAsia="pl-PL"/>
        </w:rPr>
        <w:t xml:space="preserve">n the case of quoting data of Statistics Poland, please provide annotation: "Source data of </w:t>
      </w:r>
    </w:p>
    <w:p w14:paraId="26DBA7B1" w14:textId="77777777" w:rsidR="004E296F" w:rsidRPr="00CC1FEB" w:rsidRDefault="004E296F" w:rsidP="004E296F">
      <w:pPr>
        <w:contextualSpacing/>
        <w:rPr>
          <w:lang w:val="en-GB" w:eastAsia="pl-PL"/>
        </w:rPr>
      </w:pPr>
      <w:r w:rsidRPr="00CC1FEB">
        <w:rPr>
          <w:lang w:val="en-GB" w:eastAsia="pl-PL"/>
        </w:rPr>
        <w:t xml:space="preserve">Statistics Poland". When publishing calculations made on the data published by Statistics </w:t>
      </w:r>
    </w:p>
    <w:p w14:paraId="2D630581" w14:textId="1783FD58" w:rsidR="004E296F" w:rsidRDefault="004E296F" w:rsidP="004E296F">
      <w:pPr>
        <w:rPr>
          <w:lang w:val="en-GB" w:eastAsia="pl-PL"/>
        </w:rPr>
        <w:sectPr w:rsidR="004E296F" w:rsidSect="00BD7A47">
          <w:headerReference w:type="default" r:id="rId19"/>
          <w:footerReference w:type="default" r:id="rId20"/>
          <w:headerReference w:type="first" r:id="rId21"/>
          <w:footerReference w:type="first" r:id="rId22"/>
          <w:pgSz w:w="11906" w:h="16838"/>
          <w:pgMar w:top="720" w:right="3119" w:bottom="720" w:left="720" w:header="284" w:footer="284" w:gutter="0"/>
          <w:cols w:space="708"/>
          <w:titlePg/>
          <w:docGrid w:linePitch="360"/>
        </w:sectPr>
      </w:pPr>
      <w:r w:rsidRPr="00CC1FEB">
        <w:rPr>
          <w:lang w:val="en-GB" w:eastAsia="pl-PL"/>
        </w:rPr>
        <w:t>Poland, please include the following information: "Own elaboration based on data from Statistics Poland"</w:t>
      </w:r>
      <w:r w:rsidR="00F52052">
        <w:rPr>
          <w:lang w:val="en-GB" w:eastAsia="pl-PL"/>
        </w:rPr>
        <w:t>.</w:t>
      </w:r>
    </w:p>
    <w:p w14:paraId="0D10CDF4" w14:textId="77777777" w:rsidR="004E296F" w:rsidRPr="00D43ED3" w:rsidRDefault="004E296F" w:rsidP="004E296F">
      <w:pPr>
        <w:rPr>
          <w:sz w:val="20"/>
          <w:szCs w:val="20"/>
          <w:lang w:val="en-GB"/>
        </w:rPr>
      </w:pPr>
    </w:p>
    <w:tbl>
      <w:tblPr>
        <w:tblpPr w:leftFromText="141" w:rightFromText="141" w:vertAnchor="text" w:horzAnchor="margin" w:tblpXSpec="center" w:tblpY="-47"/>
        <w:tblW w:w="0" w:type="auto"/>
        <w:tblLook w:val="04A0" w:firstRow="1" w:lastRow="0" w:firstColumn="1" w:lastColumn="0" w:noHBand="0" w:noVBand="1"/>
      </w:tblPr>
      <w:tblGrid>
        <w:gridCol w:w="4215"/>
        <w:gridCol w:w="3852"/>
      </w:tblGrid>
      <w:tr w:rsidR="004E296F" w:rsidRPr="001168BE" w14:paraId="4804E0A9" w14:textId="77777777" w:rsidTr="00F52052">
        <w:trPr>
          <w:trHeight w:val="1912"/>
        </w:trPr>
        <w:tc>
          <w:tcPr>
            <w:tcW w:w="4215" w:type="dxa"/>
          </w:tcPr>
          <w:p w14:paraId="58B9D026" w14:textId="77777777" w:rsidR="004E296F" w:rsidRDefault="004E296F" w:rsidP="006014A2">
            <w:pPr>
              <w:spacing w:before="0" w:after="0" w:line="240" w:lineRule="auto"/>
              <w:rPr>
                <w:rFonts w:cs="Arial"/>
                <w:color w:val="000000" w:themeColor="text1"/>
                <w:sz w:val="20"/>
                <w:szCs w:val="20"/>
                <w:lang w:val="en-GB"/>
              </w:rPr>
            </w:pPr>
            <w:r w:rsidRPr="006D5217">
              <w:rPr>
                <w:rFonts w:cs="Arial"/>
                <w:color w:val="000000" w:themeColor="text1"/>
                <w:sz w:val="20"/>
                <w:szCs w:val="20"/>
                <w:lang w:val="en-GB"/>
              </w:rPr>
              <w:t>Prepared by:</w:t>
            </w:r>
          </w:p>
          <w:p w14:paraId="6B7318B8" w14:textId="77777777" w:rsidR="004E296F" w:rsidRPr="00D43ED3" w:rsidRDefault="004E296F" w:rsidP="006014A2">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Social Surveys Department</w:t>
            </w:r>
          </w:p>
          <w:p w14:paraId="39883FA8" w14:textId="77777777" w:rsidR="004E296F" w:rsidRPr="00D43ED3" w:rsidRDefault="004E296F" w:rsidP="006014A2">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Director: Piotr Łysoń, Ph.D.</w:t>
            </w:r>
          </w:p>
          <w:p w14:paraId="3AFEF0C4" w14:textId="77777777" w:rsidR="004E296F" w:rsidRPr="00D43ED3" w:rsidRDefault="004E296F" w:rsidP="006014A2">
            <w:pPr>
              <w:spacing w:before="0" w:after="0" w:line="240" w:lineRule="auto"/>
              <w:rPr>
                <w:rFonts w:cs="Arial"/>
                <w:color w:val="000000" w:themeColor="text1"/>
                <w:sz w:val="20"/>
                <w:szCs w:val="20"/>
                <w:lang w:val="en-GB"/>
              </w:rPr>
            </w:pPr>
            <w:r w:rsidRPr="00D43ED3">
              <w:rPr>
                <w:rFonts w:cs="Arial"/>
                <w:color w:val="000000" w:themeColor="text1"/>
                <w:sz w:val="20"/>
                <w:szCs w:val="20"/>
                <w:lang w:val="en-GB"/>
              </w:rPr>
              <w:t xml:space="preserve">Tel. </w:t>
            </w:r>
            <w:r>
              <w:rPr>
                <w:rFonts w:cs="Arial"/>
                <w:color w:val="000000" w:themeColor="text1"/>
                <w:sz w:val="20"/>
                <w:szCs w:val="20"/>
                <w:lang w:val="en-GB"/>
              </w:rPr>
              <w:t xml:space="preserve">+48 </w:t>
            </w:r>
            <w:r w:rsidRPr="00D43ED3">
              <w:rPr>
                <w:rFonts w:cs="Arial"/>
                <w:color w:val="000000" w:themeColor="text1"/>
                <w:sz w:val="20"/>
                <w:szCs w:val="20"/>
                <w:lang w:val="en-GB"/>
              </w:rPr>
              <w:t>22 449 40 27</w:t>
            </w:r>
          </w:p>
          <w:p w14:paraId="616755C9" w14:textId="77777777" w:rsidR="004E296F" w:rsidRPr="00D43ED3" w:rsidRDefault="004E296F" w:rsidP="006014A2">
            <w:pPr>
              <w:spacing w:before="0" w:after="0" w:line="276" w:lineRule="auto"/>
              <w:rPr>
                <w:rFonts w:cs="Arial"/>
                <w:b/>
                <w:color w:val="000000" w:themeColor="text1"/>
                <w:sz w:val="20"/>
                <w:szCs w:val="20"/>
                <w:lang w:val="en-GB"/>
              </w:rPr>
            </w:pPr>
          </w:p>
          <w:p w14:paraId="5452DDE7" w14:textId="77777777" w:rsidR="004E296F" w:rsidRPr="00D43ED3" w:rsidRDefault="004E296F" w:rsidP="006014A2">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 xml:space="preserve">Statistical Office in </w:t>
            </w:r>
            <w:r>
              <w:rPr>
                <w:rFonts w:cs="Arial"/>
                <w:b/>
                <w:color w:val="000000" w:themeColor="text1"/>
                <w:sz w:val="20"/>
                <w:szCs w:val="20"/>
                <w:lang w:val="en-GB"/>
              </w:rPr>
              <w:t>Kraków</w:t>
            </w:r>
          </w:p>
          <w:p w14:paraId="0A17D79D" w14:textId="77777777" w:rsidR="004E296F" w:rsidRPr="00D43ED3" w:rsidRDefault="004E296F" w:rsidP="006014A2">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 xml:space="preserve">Director: Agnieszka </w:t>
            </w:r>
            <w:proofErr w:type="spellStart"/>
            <w:r w:rsidRPr="00D43ED3">
              <w:rPr>
                <w:rFonts w:cs="Arial"/>
                <w:b/>
                <w:color w:val="000000" w:themeColor="text1"/>
                <w:sz w:val="20"/>
                <w:szCs w:val="20"/>
                <w:lang w:val="en-GB"/>
              </w:rPr>
              <w:t>Szlubowska</w:t>
            </w:r>
            <w:proofErr w:type="spellEnd"/>
          </w:p>
          <w:p w14:paraId="4FB75CB4" w14:textId="77777777" w:rsidR="004E296F" w:rsidRPr="007F4E65" w:rsidRDefault="004E296F" w:rsidP="006014A2">
            <w:pPr>
              <w:pStyle w:val="Nagwek3"/>
              <w:spacing w:before="0" w:line="240" w:lineRule="auto"/>
              <w:rPr>
                <w:rFonts w:ascii="Fira Sans" w:hAnsi="Fira Sans" w:cs="Arial"/>
                <w:color w:val="000000" w:themeColor="text1"/>
                <w:sz w:val="20"/>
                <w:szCs w:val="20"/>
                <w:lang w:val="en-US"/>
              </w:rPr>
            </w:pPr>
            <w:r w:rsidRPr="007F4E65">
              <w:rPr>
                <w:rFonts w:ascii="Fira Sans" w:hAnsi="Fira Sans" w:cs="Arial"/>
                <w:color w:val="000000" w:themeColor="text1"/>
                <w:sz w:val="20"/>
                <w:szCs w:val="20"/>
                <w:lang w:val="en-US"/>
              </w:rPr>
              <w:t xml:space="preserve">Tel: </w:t>
            </w:r>
            <w:r>
              <w:rPr>
                <w:rFonts w:ascii="Fira Sans" w:hAnsi="Fira Sans" w:cs="Arial"/>
                <w:color w:val="000000" w:themeColor="text1"/>
                <w:sz w:val="20"/>
                <w:szCs w:val="20"/>
                <w:lang w:val="en-US"/>
              </w:rPr>
              <w:t xml:space="preserve">+48 </w:t>
            </w:r>
            <w:r w:rsidRPr="007F4E65">
              <w:rPr>
                <w:rFonts w:ascii="Fira Sans" w:hAnsi="Fira Sans" w:cs="Arial"/>
                <w:color w:val="000000" w:themeColor="text1"/>
                <w:sz w:val="20"/>
                <w:szCs w:val="20"/>
                <w:lang w:val="en-US"/>
              </w:rPr>
              <w:t>12</w:t>
            </w:r>
            <w:r>
              <w:rPr>
                <w:rFonts w:ascii="Fira Sans" w:hAnsi="Fira Sans" w:cs="Arial"/>
                <w:color w:val="000000" w:themeColor="text1"/>
                <w:sz w:val="20"/>
                <w:szCs w:val="20"/>
                <w:lang w:val="en-US"/>
              </w:rPr>
              <w:t xml:space="preserve"> </w:t>
            </w:r>
            <w:r w:rsidRPr="007F4E65">
              <w:rPr>
                <w:rFonts w:ascii="Fira Sans" w:hAnsi="Fira Sans" w:cs="Arial"/>
                <w:color w:val="000000" w:themeColor="text1"/>
                <w:sz w:val="20"/>
                <w:szCs w:val="20"/>
                <w:lang w:val="en-US"/>
              </w:rPr>
              <w:t>420 40 50</w:t>
            </w:r>
          </w:p>
          <w:p w14:paraId="7A289A79" w14:textId="77777777" w:rsidR="004E296F" w:rsidRDefault="004E296F" w:rsidP="006014A2">
            <w:pPr>
              <w:spacing w:before="0" w:after="0" w:line="240" w:lineRule="auto"/>
              <w:rPr>
                <w:rFonts w:cs="Arial"/>
                <w:b/>
                <w:color w:val="000000" w:themeColor="text1"/>
                <w:sz w:val="20"/>
                <w:szCs w:val="20"/>
                <w:lang w:val="en-US"/>
              </w:rPr>
            </w:pPr>
          </w:p>
          <w:p w14:paraId="486C47D9" w14:textId="3D9AE3F9" w:rsidR="00F52052" w:rsidRPr="007F4E65" w:rsidRDefault="00F52052" w:rsidP="006014A2">
            <w:pPr>
              <w:spacing w:before="0" w:after="0" w:line="240" w:lineRule="auto"/>
              <w:rPr>
                <w:rFonts w:cs="Arial"/>
                <w:b/>
                <w:color w:val="000000" w:themeColor="text1"/>
                <w:sz w:val="20"/>
                <w:szCs w:val="20"/>
                <w:lang w:val="en-US"/>
              </w:rPr>
            </w:pPr>
          </w:p>
        </w:tc>
        <w:tc>
          <w:tcPr>
            <w:tcW w:w="3852" w:type="dxa"/>
          </w:tcPr>
          <w:p w14:paraId="7D0D1D3B" w14:textId="77777777" w:rsidR="004E296F" w:rsidRDefault="004E296F" w:rsidP="006014A2">
            <w:pPr>
              <w:spacing w:before="0" w:after="0" w:line="240" w:lineRule="auto"/>
              <w:rPr>
                <w:rFonts w:cs="Arial"/>
                <w:b/>
                <w:color w:val="000000" w:themeColor="text1"/>
                <w:sz w:val="20"/>
                <w:szCs w:val="20"/>
                <w:lang w:val="en-GB"/>
              </w:rPr>
            </w:pPr>
            <w:r w:rsidRPr="006D5217">
              <w:rPr>
                <w:rFonts w:cs="Arial"/>
                <w:color w:val="000000" w:themeColor="text1"/>
                <w:sz w:val="20"/>
                <w:szCs w:val="20"/>
                <w:lang w:val="en-GB"/>
              </w:rPr>
              <w:t>Issued by:</w:t>
            </w:r>
          </w:p>
          <w:p w14:paraId="7B27529F" w14:textId="77777777" w:rsidR="004E296F" w:rsidRPr="00D43ED3" w:rsidRDefault="004E296F" w:rsidP="006014A2">
            <w:pPr>
              <w:spacing w:before="0" w:after="0" w:line="240" w:lineRule="auto"/>
              <w:rPr>
                <w:rFonts w:cs="Arial"/>
                <w:b/>
                <w:color w:val="000000" w:themeColor="text1"/>
                <w:sz w:val="20"/>
                <w:szCs w:val="20"/>
                <w:lang w:val="en-GB"/>
              </w:rPr>
            </w:pPr>
            <w:r>
              <w:rPr>
                <w:rFonts w:cs="Arial"/>
                <w:b/>
                <w:color w:val="000000" w:themeColor="text1"/>
                <w:sz w:val="20"/>
                <w:szCs w:val="20"/>
                <w:lang w:val="en-GB"/>
              </w:rPr>
              <w:t xml:space="preserve">The </w:t>
            </w:r>
            <w:r w:rsidRPr="00D43ED3">
              <w:rPr>
                <w:rFonts w:cs="Arial"/>
                <w:b/>
                <w:color w:val="000000" w:themeColor="text1"/>
                <w:sz w:val="20"/>
                <w:szCs w:val="20"/>
                <w:lang w:val="en-GB"/>
              </w:rPr>
              <w:t>Spokesperson for the President</w:t>
            </w:r>
            <w:r w:rsidRPr="00D43ED3">
              <w:rPr>
                <w:rFonts w:cs="Arial"/>
                <w:b/>
                <w:color w:val="000000" w:themeColor="text1"/>
                <w:sz w:val="20"/>
                <w:szCs w:val="20"/>
                <w:lang w:val="en-GB"/>
              </w:rPr>
              <w:br/>
              <w:t>of Statistics Poland</w:t>
            </w:r>
          </w:p>
          <w:p w14:paraId="2E999712" w14:textId="77777777" w:rsidR="004E296F" w:rsidRPr="007F4E65" w:rsidRDefault="004E296F" w:rsidP="006014A2">
            <w:pPr>
              <w:pStyle w:val="Nagwek3"/>
              <w:spacing w:before="0" w:line="240" w:lineRule="auto"/>
              <w:rPr>
                <w:rFonts w:ascii="Fira Sans" w:hAnsi="Fira Sans" w:cs="Arial"/>
                <w:b/>
                <w:color w:val="000000" w:themeColor="text1"/>
                <w:sz w:val="20"/>
                <w:szCs w:val="20"/>
              </w:rPr>
            </w:pPr>
            <w:r w:rsidRPr="007F4E65">
              <w:rPr>
                <w:rFonts w:ascii="Fira Sans" w:hAnsi="Fira Sans" w:cs="Arial"/>
                <w:b/>
                <w:color w:val="000000" w:themeColor="text1"/>
                <w:sz w:val="20"/>
                <w:szCs w:val="20"/>
              </w:rPr>
              <w:t>Karolina</w:t>
            </w:r>
            <w:r w:rsidRPr="007F4E65">
              <w:rPr>
                <w:rFonts w:ascii="Fira Sans" w:hAnsi="Fira Sans" w:cs="Arial"/>
                <w:b/>
                <w:color w:val="auto"/>
                <w:sz w:val="20"/>
                <w:szCs w:val="20"/>
              </w:rPr>
              <w:t xml:space="preserve"> Banaszek</w:t>
            </w:r>
          </w:p>
          <w:p w14:paraId="55456A60" w14:textId="74C61C31" w:rsidR="004E296F" w:rsidRPr="009C5B22" w:rsidRDefault="004E296F" w:rsidP="006014A2">
            <w:pPr>
              <w:pStyle w:val="Nagwek3"/>
              <w:spacing w:before="0" w:line="240" w:lineRule="auto"/>
            </w:pPr>
            <w:r w:rsidRPr="007F4E65">
              <w:rPr>
                <w:rFonts w:ascii="Fira Sans" w:hAnsi="Fira Sans" w:cs="Arial"/>
                <w:color w:val="000000" w:themeColor="text1"/>
                <w:sz w:val="20"/>
                <w:szCs w:val="20"/>
                <w:lang w:val="fi-FI"/>
              </w:rPr>
              <w:t xml:space="preserve">Tel: </w:t>
            </w:r>
            <w:r w:rsidR="003A75E7">
              <w:rPr>
                <w:rFonts w:ascii="Fira Sans" w:hAnsi="Fira Sans" w:cs="Arial"/>
                <w:color w:val="000000" w:themeColor="text1"/>
                <w:sz w:val="20"/>
                <w:szCs w:val="20"/>
                <w:lang w:val="fi-FI"/>
              </w:rPr>
              <w:t xml:space="preserve">+48 </w:t>
            </w:r>
            <w:bookmarkStart w:id="0" w:name="_GoBack"/>
            <w:bookmarkEnd w:id="0"/>
            <w:r w:rsidR="004E7CBA">
              <w:rPr>
                <w:rFonts w:ascii="Fira Sans" w:hAnsi="Fira Sans" w:cs="Arial"/>
                <w:color w:val="000000" w:themeColor="text1"/>
                <w:sz w:val="20"/>
                <w:szCs w:val="20"/>
                <w:lang w:val="fi-FI"/>
              </w:rPr>
              <w:t>695 255 011</w:t>
            </w:r>
          </w:p>
          <w:p w14:paraId="630EC0BC" w14:textId="44BFC53D" w:rsidR="004E296F" w:rsidRPr="001168BE" w:rsidRDefault="004E296F" w:rsidP="006014A2">
            <w:pPr>
              <w:pStyle w:val="Nagwek3"/>
              <w:spacing w:before="0" w:line="240" w:lineRule="auto"/>
              <w:rPr>
                <w:rFonts w:ascii="Fira Sans" w:hAnsi="Fira Sans" w:cs="Arial"/>
                <w:b/>
                <w:color w:val="000000" w:themeColor="text1"/>
                <w:sz w:val="20"/>
                <w:szCs w:val="20"/>
                <w:lang w:val="fi-FI"/>
              </w:rPr>
            </w:pPr>
          </w:p>
        </w:tc>
      </w:tr>
    </w:tbl>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F52052" w14:paraId="6C72EE20" w14:textId="77777777" w:rsidTr="006014A2">
        <w:trPr>
          <w:trHeight w:val="610"/>
        </w:trPr>
        <w:tc>
          <w:tcPr>
            <w:tcW w:w="2721" w:type="pct"/>
            <w:vMerge w:val="restart"/>
          </w:tcPr>
          <w:p w14:paraId="4EDFCF71" w14:textId="77777777" w:rsidR="00F52052" w:rsidRPr="004A779D" w:rsidRDefault="00F52052" w:rsidP="006014A2">
            <w:pPr>
              <w:rPr>
                <w:b/>
                <w:sz w:val="20"/>
                <w:lang w:val="en-GB"/>
              </w:rPr>
            </w:pPr>
            <w:r w:rsidRPr="001168BE">
              <w:rPr>
                <w:b/>
                <w:sz w:val="20"/>
                <w:lang w:val="en-GB"/>
              </w:rPr>
              <w:t xml:space="preserve">Press </w:t>
            </w:r>
            <w:r>
              <w:rPr>
                <w:b/>
                <w:sz w:val="20"/>
                <w:lang w:val="en-GB"/>
              </w:rPr>
              <w:t>Office</w:t>
            </w:r>
          </w:p>
          <w:p w14:paraId="7B260999" w14:textId="77777777" w:rsidR="00F52052" w:rsidRPr="004A779D" w:rsidRDefault="00F52052" w:rsidP="006014A2">
            <w:pPr>
              <w:rPr>
                <w:sz w:val="20"/>
                <w:lang w:val="en-GB"/>
              </w:rPr>
            </w:pPr>
            <w:r w:rsidRPr="004A779D">
              <w:rPr>
                <w:sz w:val="20"/>
                <w:lang w:val="en-GB"/>
              </w:rPr>
              <w:t xml:space="preserve">Tel: </w:t>
            </w:r>
            <w:r>
              <w:rPr>
                <w:sz w:val="20"/>
                <w:lang w:val="en-GB"/>
              </w:rPr>
              <w:t xml:space="preserve">+48 </w:t>
            </w:r>
            <w:r w:rsidRPr="004A779D">
              <w:rPr>
                <w:sz w:val="20"/>
                <w:lang w:val="en-GB"/>
              </w:rPr>
              <w:t xml:space="preserve">22 608 34 91, </w:t>
            </w:r>
            <w:r>
              <w:rPr>
                <w:sz w:val="20"/>
                <w:lang w:val="en-GB"/>
              </w:rPr>
              <w:t xml:space="preserve">+48 </w:t>
            </w:r>
            <w:r w:rsidRPr="004A779D">
              <w:rPr>
                <w:sz w:val="20"/>
                <w:lang w:val="en-GB"/>
              </w:rPr>
              <w:t xml:space="preserve">22 608 38 04 </w:t>
            </w:r>
          </w:p>
          <w:p w14:paraId="7D4B33D4" w14:textId="77777777" w:rsidR="00F52052" w:rsidRPr="00134E76" w:rsidRDefault="00F52052" w:rsidP="006014A2">
            <w:pPr>
              <w:rPr>
                <w:sz w:val="18"/>
                <w:lang w:val="en-US"/>
              </w:rPr>
            </w:pPr>
            <w:r w:rsidRPr="00134E76">
              <w:rPr>
                <w:b/>
                <w:sz w:val="20"/>
                <w:lang w:val="en-US"/>
              </w:rPr>
              <w:t>e-mail:</w:t>
            </w:r>
            <w:r w:rsidRPr="00134E76">
              <w:rPr>
                <w:sz w:val="20"/>
                <w:lang w:val="en-US"/>
              </w:rPr>
              <w:t xml:space="preserve"> </w:t>
            </w:r>
            <w:hyperlink r:id="rId23" w:history="1">
              <w:r w:rsidRPr="00394E26">
                <w:rPr>
                  <w:rStyle w:val="Hipercze"/>
                  <w:rFonts w:eastAsiaTheme="majorEastAsia" w:cs="Arial"/>
                  <w:b/>
                  <w:color w:val="auto"/>
                  <w:sz w:val="20"/>
                  <w:szCs w:val="20"/>
                  <w:lang w:val="en-US"/>
                </w:rPr>
                <w:t>obslugaprasowa@stat.gov.pl</w:t>
              </w:r>
            </w:hyperlink>
          </w:p>
        </w:tc>
        <w:tc>
          <w:tcPr>
            <w:tcW w:w="369" w:type="pct"/>
            <w:vAlign w:val="center"/>
          </w:tcPr>
          <w:p w14:paraId="491058F5" w14:textId="77777777" w:rsidR="00F52052" w:rsidRPr="00134E76" w:rsidRDefault="00F52052" w:rsidP="006014A2">
            <w:pPr>
              <w:rPr>
                <w:sz w:val="18"/>
                <w:lang w:val="en-US"/>
              </w:rPr>
            </w:pPr>
            <w:r>
              <w:rPr>
                <w:noProof/>
                <w:sz w:val="20"/>
                <w:lang w:eastAsia="pl-PL"/>
              </w:rPr>
              <w:drawing>
                <wp:anchor distT="0" distB="0" distL="114300" distR="114300" simplePos="0" relativeHeight="251783168" behindDoc="0" locked="0" layoutInCell="1" allowOverlap="1" wp14:anchorId="7DA8886E" wp14:editId="4586D0E8">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13317C1C" w14:textId="77777777" w:rsidR="00F52052" w:rsidRDefault="00F52052" w:rsidP="006014A2">
            <w:pPr>
              <w:rPr>
                <w:sz w:val="18"/>
              </w:rPr>
            </w:pPr>
            <w:r w:rsidRPr="003D5F42">
              <w:rPr>
                <w:sz w:val="20"/>
              </w:rPr>
              <w:t>www.stat.gov.pl</w:t>
            </w:r>
          </w:p>
        </w:tc>
      </w:tr>
      <w:tr w:rsidR="00F52052" w14:paraId="37E440C5" w14:textId="77777777" w:rsidTr="006014A2">
        <w:trPr>
          <w:trHeight w:val="436"/>
        </w:trPr>
        <w:tc>
          <w:tcPr>
            <w:tcW w:w="2721" w:type="pct"/>
            <w:vMerge/>
            <w:vAlign w:val="center"/>
          </w:tcPr>
          <w:p w14:paraId="1026250F" w14:textId="77777777" w:rsidR="00F52052" w:rsidRDefault="00F52052" w:rsidP="006014A2">
            <w:pPr>
              <w:rPr>
                <w:sz w:val="18"/>
              </w:rPr>
            </w:pPr>
          </w:p>
        </w:tc>
        <w:tc>
          <w:tcPr>
            <w:tcW w:w="369" w:type="pct"/>
            <w:vAlign w:val="center"/>
          </w:tcPr>
          <w:p w14:paraId="2268656D" w14:textId="77777777" w:rsidR="00F52052" w:rsidRDefault="00F52052" w:rsidP="006014A2">
            <w:pPr>
              <w:rPr>
                <w:sz w:val="18"/>
              </w:rPr>
            </w:pPr>
            <w:r>
              <w:rPr>
                <w:noProof/>
                <w:sz w:val="20"/>
                <w:lang w:eastAsia="pl-PL"/>
              </w:rPr>
              <w:drawing>
                <wp:anchor distT="0" distB="0" distL="114300" distR="114300" simplePos="0" relativeHeight="251785216" behindDoc="0" locked="0" layoutInCell="1" allowOverlap="1" wp14:anchorId="60093251" wp14:editId="5BDC25B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1A07CA30" w14:textId="77777777" w:rsidR="00F52052" w:rsidRDefault="00F52052" w:rsidP="006014A2">
            <w:pPr>
              <w:rPr>
                <w:sz w:val="18"/>
              </w:rPr>
            </w:pPr>
            <w:r w:rsidRPr="003D5F42">
              <w:rPr>
                <w:sz w:val="20"/>
              </w:rPr>
              <w:t>@</w:t>
            </w:r>
            <w:r>
              <w:t xml:space="preserve"> </w:t>
            </w:r>
            <w:proofErr w:type="spellStart"/>
            <w:r>
              <w:t>StatPoland</w:t>
            </w:r>
            <w:proofErr w:type="spellEnd"/>
          </w:p>
        </w:tc>
      </w:tr>
      <w:tr w:rsidR="00F52052" w14:paraId="3CF55D7B" w14:textId="77777777" w:rsidTr="006014A2">
        <w:trPr>
          <w:trHeight w:val="436"/>
        </w:trPr>
        <w:tc>
          <w:tcPr>
            <w:tcW w:w="2721" w:type="pct"/>
            <w:vMerge/>
            <w:vAlign w:val="center"/>
          </w:tcPr>
          <w:p w14:paraId="4A959B49" w14:textId="77777777" w:rsidR="00F52052" w:rsidRDefault="00F52052" w:rsidP="006014A2">
            <w:pPr>
              <w:rPr>
                <w:sz w:val="18"/>
              </w:rPr>
            </w:pPr>
          </w:p>
        </w:tc>
        <w:tc>
          <w:tcPr>
            <w:tcW w:w="369" w:type="pct"/>
            <w:vAlign w:val="center"/>
          </w:tcPr>
          <w:p w14:paraId="68731190" w14:textId="77777777" w:rsidR="00F52052" w:rsidRDefault="00F52052" w:rsidP="006014A2">
            <w:pPr>
              <w:rPr>
                <w:sz w:val="18"/>
              </w:rPr>
            </w:pPr>
            <w:r>
              <w:rPr>
                <w:noProof/>
                <w:sz w:val="20"/>
                <w:lang w:eastAsia="pl-PL"/>
              </w:rPr>
              <w:drawing>
                <wp:anchor distT="0" distB="0" distL="114300" distR="114300" simplePos="0" relativeHeight="251784192" behindDoc="0" locked="0" layoutInCell="1" allowOverlap="1" wp14:anchorId="279ED018" wp14:editId="12A1E590">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175BD8C" w14:textId="77777777" w:rsidR="00F52052" w:rsidRDefault="00F52052" w:rsidP="006014A2">
            <w:pPr>
              <w:rPr>
                <w:sz w:val="20"/>
              </w:rPr>
            </w:pPr>
            <w:r w:rsidRPr="003D5F42">
              <w:rPr>
                <w:sz w:val="20"/>
              </w:rPr>
              <w:t>@</w:t>
            </w:r>
            <w:proofErr w:type="spellStart"/>
            <w:r w:rsidRPr="003D5F42">
              <w:rPr>
                <w:sz w:val="20"/>
              </w:rPr>
              <w:t>GlownyUrzadStatystyczny</w:t>
            </w:r>
            <w:proofErr w:type="spellEnd"/>
          </w:p>
        </w:tc>
      </w:tr>
    </w:tbl>
    <w:p w14:paraId="2C100550" w14:textId="77777777" w:rsidR="00F52052" w:rsidRPr="00001C5B" w:rsidRDefault="00F52052" w:rsidP="00F52052">
      <w:pPr>
        <w:rPr>
          <w:sz w:val="18"/>
        </w:rPr>
      </w:pPr>
      <w:r w:rsidRPr="00001C5B">
        <w:rPr>
          <w:noProof/>
          <w:sz w:val="18"/>
          <w:lang w:eastAsia="pl-PL"/>
        </w:rPr>
        <mc:AlternateContent>
          <mc:Choice Requires="wps">
            <w:drawing>
              <wp:anchor distT="45720" distB="45720" distL="114300" distR="114300" simplePos="0" relativeHeight="251782144" behindDoc="0" locked="0" layoutInCell="1" allowOverlap="1" wp14:anchorId="67F08BAB" wp14:editId="122B0E78">
                <wp:simplePos x="0" y="0"/>
                <wp:positionH relativeFrom="margin">
                  <wp:posOffset>25400</wp:posOffset>
                </wp:positionH>
                <wp:positionV relativeFrom="paragraph">
                  <wp:posOffset>422910</wp:posOffset>
                </wp:positionV>
                <wp:extent cx="6559550" cy="1155700"/>
                <wp:effectExtent l="0" t="0" r="12700" b="2540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155700"/>
                        </a:xfrm>
                        <a:prstGeom prst="rect">
                          <a:avLst/>
                        </a:prstGeom>
                        <a:solidFill>
                          <a:schemeClr val="bg1">
                            <a:lumMod val="95000"/>
                          </a:schemeClr>
                        </a:solidFill>
                        <a:ln w="9525">
                          <a:solidFill>
                            <a:schemeClr val="bg1"/>
                          </a:solidFill>
                          <a:miter lim="800000"/>
                          <a:headEnd/>
                          <a:tailEnd/>
                        </a:ln>
                      </wps:spPr>
                      <wps:txbx>
                        <w:txbxContent>
                          <w:p w14:paraId="5A2B2CD7" w14:textId="77777777" w:rsidR="00F52052" w:rsidRDefault="00F52052" w:rsidP="00F52052">
                            <w:pPr>
                              <w:rPr>
                                <w:b/>
                              </w:rPr>
                            </w:pPr>
                          </w:p>
                          <w:p w14:paraId="456424B9" w14:textId="77777777" w:rsidR="00F52052" w:rsidRPr="004A779D" w:rsidRDefault="00F52052" w:rsidP="00F52052">
                            <w:pPr>
                              <w:rPr>
                                <w:b/>
                                <w:lang w:val="en-GB"/>
                              </w:rPr>
                            </w:pPr>
                            <w:r w:rsidRPr="004A779D">
                              <w:rPr>
                                <w:b/>
                                <w:lang w:val="en-GB"/>
                              </w:rPr>
                              <w:t>Related publications</w:t>
                            </w:r>
                          </w:p>
                          <w:p w14:paraId="2DE1A746" w14:textId="77777777" w:rsidR="00F52052" w:rsidRPr="00916B28" w:rsidRDefault="003A75E7" w:rsidP="00F52052">
                            <w:pPr>
                              <w:rPr>
                                <w:rStyle w:val="Hipercze"/>
                                <w:color w:val="001D77"/>
                                <w:sz w:val="18"/>
                                <w:szCs w:val="18"/>
                                <w:lang w:val="en-GB"/>
                              </w:rPr>
                            </w:pPr>
                            <w:r>
                              <w:fldChar w:fldCharType="begin"/>
                            </w:r>
                            <w:r w:rsidRPr="004E7CBA">
                              <w:rPr>
                                <w:lang w:val="en-GB"/>
                              </w:rPr>
                              <w:instrText xml:space="preserve"> HYPERLINK "https://stat.gov.pl/en/topics/social-economy/social-economy-third-sector/the-non-profit-sector-in-2018,1,6.html" </w:instrText>
                            </w:r>
                            <w:r>
                              <w:fldChar w:fldCharType="separate"/>
                            </w:r>
                            <w:r w:rsidR="00F52052" w:rsidRPr="009C5B22">
                              <w:rPr>
                                <w:rStyle w:val="Hipercze"/>
                                <w:color w:val="001D77"/>
                                <w:sz w:val="18"/>
                                <w:szCs w:val="18"/>
                                <w:lang w:val="en-GB"/>
                              </w:rPr>
                              <w:t>The non-profit sector in 2018</w:t>
                            </w:r>
                            <w:r>
                              <w:rPr>
                                <w:rStyle w:val="Hipercze"/>
                                <w:color w:val="001D77"/>
                                <w:sz w:val="18"/>
                                <w:szCs w:val="18"/>
                                <w:lang w:val="en-GB"/>
                              </w:rPr>
                              <w:fldChar w:fldCharType="end"/>
                            </w:r>
                          </w:p>
                          <w:p w14:paraId="44DAE8A5" w14:textId="77777777" w:rsidR="00F52052" w:rsidRPr="009C5B22" w:rsidRDefault="00F52052" w:rsidP="00F52052">
                            <w:pPr>
                              <w:rPr>
                                <w:b/>
                                <w:color w:val="000000" w:themeColor="text1"/>
                                <w:szCs w:val="24"/>
                                <w:lang w:val="en-GB"/>
                              </w:rPr>
                            </w:pPr>
                          </w:p>
                          <w:p w14:paraId="1D1BCEF8" w14:textId="77777777" w:rsidR="00F52052" w:rsidRPr="009C5B22" w:rsidRDefault="00F52052" w:rsidP="00F52052">
                            <w:pPr>
                              <w:rPr>
                                <w:b/>
                                <w:color w:val="000000" w:themeColor="text1"/>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08BAB" id="_x0000_t202" coordsize="21600,21600" o:spt="202" path="m,l,21600r21600,l21600,xe">
                <v:stroke joinstyle="miter"/>
                <v:path gradientshapeok="t" o:connecttype="rect"/>
              </v:shapetype>
              <v:shape id="_x0000_s1030" type="#_x0000_t202" style="position:absolute;margin-left:2pt;margin-top:33.3pt;width:516.5pt;height:91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" fillcolor="#f2f2f2 [3052]" strokecolor="white [3212]">
                <v:textbox>
                  <w:txbxContent>
                    <w:p w14:paraId="5A2B2CD7" w14:textId="77777777" w:rsidR="00F52052" w:rsidRDefault="00F52052" w:rsidP="00F52052">
                      <w:pPr>
                        <w:rPr>
                          <w:b/>
                        </w:rPr>
                      </w:pPr>
                    </w:p>
                    <w:p w14:paraId="456424B9" w14:textId="77777777" w:rsidR="00F52052" w:rsidRPr="004A779D" w:rsidRDefault="00F52052" w:rsidP="00F52052">
                      <w:pPr>
                        <w:rPr>
                          <w:b/>
                          <w:lang w:val="en-GB"/>
                        </w:rPr>
                      </w:pPr>
                      <w:r w:rsidRPr="004A779D">
                        <w:rPr>
                          <w:b/>
                          <w:lang w:val="en-GB"/>
                        </w:rPr>
                        <w:t>Related publications</w:t>
                      </w:r>
                    </w:p>
                    <w:p w14:paraId="2DE1A746" w14:textId="77777777" w:rsidR="00F52052" w:rsidRPr="00916B28" w:rsidRDefault="003A75E7" w:rsidP="00F52052">
                      <w:pPr>
                        <w:rPr>
                          <w:rStyle w:val="Hipercze"/>
                          <w:color w:val="001D77"/>
                          <w:sz w:val="18"/>
                          <w:szCs w:val="18"/>
                          <w:lang w:val="en-GB"/>
                        </w:rPr>
                      </w:pPr>
                      <w:r>
                        <w:fldChar w:fldCharType="begin"/>
                      </w:r>
                      <w:r w:rsidRPr="004E7CBA">
                        <w:rPr>
                          <w:lang w:val="en-GB"/>
                        </w:rPr>
                        <w:instrText xml:space="preserve"> HYPERLINK "https://stat.gov.pl/en/topics/social-economy/social-economy-third-sector/the-non-profit-sector-in-2018,1,6.html" </w:instrText>
                      </w:r>
                      <w:r>
                        <w:fldChar w:fldCharType="separate"/>
                      </w:r>
                      <w:r w:rsidR="00F52052" w:rsidRPr="009C5B22">
                        <w:rPr>
                          <w:rStyle w:val="Hipercze"/>
                          <w:color w:val="001D77"/>
                          <w:sz w:val="18"/>
                          <w:szCs w:val="18"/>
                          <w:lang w:val="en-GB"/>
                        </w:rPr>
                        <w:t>The non-profit sector in 2018</w:t>
                      </w:r>
                      <w:r>
                        <w:rPr>
                          <w:rStyle w:val="Hipercze"/>
                          <w:color w:val="001D77"/>
                          <w:sz w:val="18"/>
                          <w:szCs w:val="18"/>
                          <w:lang w:val="en-GB"/>
                        </w:rPr>
                        <w:fldChar w:fldCharType="end"/>
                      </w:r>
                    </w:p>
                    <w:p w14:paraId="44DAE8A5" w14:textId="77777777" w:rsidR="00F52052" w:rsidRPr="009C5B22" w:rsidRDefault="00F52052" w:rsidP="00F52052">
                      <w:pPr>
                        <w:rPr>
                          <w:b/>
                          <w:color w:val="000000" w:themeColor="text1"/>
                          <w:szCs w:val="24"/>
                          <w:lang w:val="en-GB"/>
                        </w:rPr>
                      </w:pPr>
                    </w:p>
                    <w:p w14:paraId="1D1BCEF8" w14:textId="77777777" w:rsidR="00F52052" w:rsidRPr="009C5B22" w:rsidRDefault="00F52052" w:rsidP="00F52052">
                      <w:pPr>
                        <w:rPr>
                          <w:b/>
                          <w:color w:val="000000" w:themeColor="text1"/>
                          <w:szCs w:val="24"/>
                          <w:lang w:val="en-GB"/>
                        </w:rPr>
                      </w:pPr>
                    </w:p>
                  </w:txbxContent>
                </v:textbox>
                <w10:wrap type="square" anchorx="margin"/>
              </v:shape>
            </w:pict>
          </mc:Fallback>
        </mc:AlternateContent>
      </w:r>
    </w:p>
    <w:p w14:paraId="48650F07" w14:textId="77777777" w:rsidR="000470AA" w:rsidRPr="00A34AA3" w:rsidRDefault="000470AA" w:rsidP="000470AA">
      <w:pPr>
        <w:rPr>
          <w:sz w:val="20"/>
          <w:szCs w:val="20"/>
          <w:lang w:val="en-GB"/>
        </w:rPr>
      </w:pPr>
    </w:p>
    <w:sectPr w:rsidR="000470AA" w:rsidRPr="00A34AA3"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15470" w14:textId="77777777" w:rsidR="006C59FB" w:rsidRDefault="006C59FB" w:rsidP="000662E2">
      <w:pPr>
        <w:spacing w:after="0" w:line="240" w:lineRule="auto"/>
      </w:pPr>
      <w:r>
        <w:separator/>
      </w:r>
    </w:p>
  </w:endnote>
  <w:endnote w:type="continuationSeparator" w:id="0">
    <w:p w14:paraId="44937307" w14:textId="77777777" w:rsidR="006C59FB" w:rsidRDefault="006C59F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421C321-13F7-42E2-9B07-66240281E551}"/>
    <w:embedBold r:id="rId2" w:fontKey="{8A2CC7AE-12D4-458D-B8AB-F1E786A6C8AE}"/>
    <w:embedItalic r:id="rId3" w:fontKey="{06A65D8F-A7AB-4429-9287-B2A2F4D12B7B}"/>
  </w:font>
  <w:font w:name="Fira Sans">
    <w:panose1 w:val="020B0503050000020004"/>
    <w:charset w:val="EE"/>
    <w:family w:val="swiss"/>
    <w:pitch w:val="variable"/>
    <w:sig w:usb0="600002FF" w:usb1="02000001" w:usb2="00000000" w:usb3="00000000" w:csb0="0000019F" w:csb1="00000000"/>
    <w:embedRegular r:id="rId4" w:fontKey="{A9B1A780-703D-4DBF-ACDE-F2688EEC943F}"/>
    <w:embedBold r:id="rId5" w:fontKey="{15B6CED5-F477-43FB-B9CB-885D3C5D29C1}"/>
    <w:embedItalic r:id="rId6" w:fontKey="{856044EB-A417-4149-8AE9-DBCC348A3CDE}"/>
  </w:font>
  <w:font w:name="Fira Sans SemiBold">
    <w:altName w:val="Calibri"/>
    <w:panose1 w:val="020B0603050000020004"/>
    <w:charset w:val="EE"/>
    <w:family w:val="swiss"/>
    <w:pitch w:val="variable"/>
    <w:sig w:usb0="600002FF" w:usb1="02000001" w:usb2="00000000" w:usb3="00000000" w:csb0="0000019F" w:csb1="00000000"/>
    <w:embedRegular r:id="rId7" w:fontKey="{7E3F303F-0B63-40A6-AC53-09945F29F247}"/>
  </w:font>
  <w:font w:name="Fira Sans Medium">
    <w:panose1 w:val="020B0603050000020004"/>
    <w:charset w:val="EE"/>
    <w:family w:val="swiss"/>
    <w:pitch w:val="variable"/>
    <w:sig w:usb0="600002FF" w:usb1="02000001" w:usb2="00000000" w:usb3="00000000" w:csb0="0000019F" w:csb1="00000000"/>
    <w:embedRegular r:id="rId8" w:fontKey="{662CB3C1-D775-4666-AA5F-2752ED82F5DB}"/>
    <w:embedItalic r:id="rId9" w:fontKey="{24D3A1C8-8906-4C39-A22B-7849843F510F}"/>
  </w:font>
  <w:font w:name="Segoe UI">
    <w:panose1 w:val="020B0502040204020203"/>
    <w:charset w:val="EE"/>
    <w:family w:val="swiss"/>
    <w:pitch w:val="variable"/>
    <w:sig w:usb0="E4002EFF" w:usb1="C000E47F" w:usb2="00000009" w:usb3="00000000" w:csb0="000001FF" w:csb1="00000000"/>
    <w:embedRegular r:id="rId10" w:fontKey="{EA808143-3744-48C5-92FF-BFF958C93F74}"/>
  </w:font>
  <w:font w:name="Fira Sans Extra Condensed SemiB">
    <w:altName w:val="Fira Sans SemiBold"/>
    <w:panose1 w:val="020B0603050000020004"/>
    <w:charset w:val="EE"/>
    <w:family w:val="swiss"/>
    <w:pitch w:val="variable"/>
    <w:sig w:usb0="600002FF" w:usb1="00000001" w:usb2="00000000" w:usb3="00000000" w:csb0="0000019F" w:csb1="00000000"/>
    <w:embedRegular r:id="rId11" w:fontKey="{2D3AC157-EF18-4EFC-9D85-6AB926970E8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9559801"/>
      <w:docPartObj>
        <w:docPartGallery w:val="Page Numbers (Bottom of Page)"/>
        <w:docPartUnique/>
      </w:docPartObj>
    </w:sdtPr>
    <w:sdtEndPr/>
    <w:sdtContent>
      <w:p w14:paraId="41C560B6" w14:textId="77777777" w:rsidR="00EB556D" w:rsidRDefault="00541E6E" w:rsidP="003B18B6">
        <w:pPr>
          <w:pStyle w:val="Stopka"/>
          <w:jc w:val="center"/>
        </w:pPr>
        <w:r>
          <w:fldChar w:fldCharType="begin"/>
        </w:r>
        <w:r>
          <w:instrText>PAGE   \* MERGEFORMAT</w:instrText>
        </w:r>
        <w:r>
          <w:fldChar w:fldCharType="separate"/>
        </w:r>
        <w:r w:rsidR="0015186B">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850706"/>
      <w:docPartObj>
        <w:docPartGallery w:val="Page Numbers (Bottom of Page)"/>
        <w:docPartUnique/>
      </w:docPartObj>
    </w:sdtPr>
    <w:sdtEndPr/>
    <w:sdtContent>
      <w:p w14:paraId="4B9F0D49" w14:textId="77777777" w:rsidR="00EB556D" w:rsidRDefault="00541E6E" w:rsidP="003B18B6">
        <w:pPr>
          <w:pStyle w:val="Stopka"/>
          <w:jc w:val="center"/>
        </w:pPr>
        <w:r>
          <w:fldChar w:fldCharType="begin"/>
        </w:r>
        <w:r>
          <w:instrText>PAGE   \* MERGEFORMAT</w:instrText>
        </w:r>
        <w:r>
          <w:fldChar w:fldCharType="separate"/>
        </w:r>
        <w:r w:rsidR="0015186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92013C5" w14:textId="77777777" w:rsidR="003B18B6" w:rsidRDefault="003B18B6" w:rsidP="003B18B6">
        <w:pPr>
          <w:pStyle w:val="Stopka"/>
          <w:jc w:val="center"/>
        </w:pPr>
        <w:r>
          <w:fldChar w:fldCharType="begin"/>
        </w:r>
        <w:r>
          <w:instrText>PAGE   \* MERGEFORMAT</w:instrText>
        </w:r>
        <w:r>
          <w:fldChar w:fldCharType="separate"/>
        </w:r>
        <w:r w:rsidR="0015186B">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3DF8A" w14:textId="77777777" w:rsidR="006C59FB" w:rsidRDefault="006C59FB" w:rsidP="000662E2">
      <w:pPr>
        <w:spacing w:after="0" w:line="240" w:lineRule="auto"/>
      </w:pPr>
      <w:r>
        <w:separator/>
      </w:r>
    </w:p>
  </w:footnote>
  <w:footnote w:type="continuationSeparator" w:id="0">
    <w:p w14:paraId="533A495C" w14:textId="77777777" w:rsidR="006C59FB" w:rsidRDefault="006C59F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31516" w14:textId="0874E62C" w:rsidR="000662E2" w:rsidRDefault="004E296F">
    <w:pPr>
      <w:pStyle w:val="Nagwek"/>
    </w:pPr>
    <w:r>
      <w:rPr>
        <w:noProof/>
        <w:lang w:eastAsia="pl-PL"/>
      </w:rPr>
      <mc:AlternateContent>
        <mc:Choice Requires="wps">
          <w:drawing>
            <wp:anchor distT="0" distB="0" distL="114300" distR="114300" simplePos="0" relativeHeight="251662336" behindDoc="1" locked="0" layoutInCell="1" allowOverlap="1" wp14:anchorId="59015208" wp14:editId="5BC7BF4B">
              <wp:simplePos x="0" y="0"/>
              <wp:positionH relativeFrom="column">
                <wp:posOffset>5210175</wp:posOffset>
              </wp:positionH>
              <wp:positionV relativeFrom="page">
                <wp:posOffset>0</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EFC7D" id="Prostokąt 24" o:spid="_x0000_s1026" style="position:absolute;margin-left:410.25pt;margin-top:0;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" fillcolor="#f2f2f2 [3052]" stroked="f" strokeweight="1pt">
              <w10:wrap anchory="page"/>
            </v:rect>
          </w:pict>
        </mc:Fallback>
      </mc:AlternateContent>
    </w:r>
  </w:p>
  <w:p w14:paraId="113CB12E" w14:textId="5CD84965"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6011A" w14:textId="6F036A6F" w:rsidR="00F32749" w:rsidRDefault="004D3410">
    <w:pPr>
      <w:pStyle w:val="Nagwek"/>
      <w:rPr>
        <w:noProof/>
        <w:lang w:eastAsia="pl-PL"/>
      </w:rPr>
    </w:pPr>
    <w:r>
      <w:rPr>
        <w:noProof/>
        <w:lang w:eastAsia="pl-PL"/>
      </w:rPr>
      <mc:AlternateContent>
        <mc:Choice Requires="wps">
          <w:drawing>
            <wp:anchor distT="45720" distB="45720" distL="114300" distR="114300" simplePos="0" relativeHeight="251671552" behindDoc="0" locked="0" layoutInCell="1" allowOverlap="1" wp14:anchorId="16DAA448" wp14:editId="51F47140">
              <wp:simplePos x="0" y="0"/>
              <wp:positionH relativeFrom="column">
                <wp:posOffset>5294630</wp:posOffset>
              </wp:positionH>
              <wp:positionV relativeFrom="paragraph">
                <wp:posOffset>967400</wp:posOffset>
              </wp:positionV>
              <wp:extent cx="1675130" cy="467360"/>
              <wp:effectExtent l="0" t="0" r="0" b="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467360"/>
                      </a:xfrm>
                      <a:prstGeom prst="rect">
                        <a:avLst/>
                      </a:prstGeom>
                      <a:noFill/>
                      <a:ln w="9525">
                        <a:noFill/>
                        <a:miter lim="800000"/>
                        <a:headEnd/>
                        <a:tailEnd/>
                      </a:ln>
                    </wps:spPr>
                    <wps:txbx>
                      <w:txbxContent>
                        <w:p w14:paraId="305F706F" w14:textId="77777777" w:rsidR="004D3410" w:rsidRPr="00C97596" w:rsidRDefault="004D3410" w:rsidP="004D3410">
                          <w:pPr>
                            <w:jc w:val="both"/>
                            <w:rPr>
                              <w:rFonts w:ascii="Fira Sans SemiBold" w:hAnsi="Fira Sans SemiBold"/>
                              <w:color w:val="001D77"/>
                            </w:rPr>
                          </w:pPr>
                          <w:r>
                            <w:rPr>
                              <w:rFonts w:ascii="Fira Sans SemiBold" w:hAnsi="Fira Sans SemiBold"/>
                              <w:color w:val="001D77"/>
                            </w:rPr>
                            <w:t>31.01.2022</w:t>
                          </w:r>
                        </w:p>
                        <w:p w14:paraId="0DE70534" w14:textId="1A926654" w:rsidR="004D3410" w:rsidRDefault="004D34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DAA448" id="_x0000_t202" coordsize="21600,21600" o:spt="202" path="m,l,21600r21600,l21600,xe">
              <v:stroke joinstyle="miter"/>
              <v:path gradientshapeok="t" o:connecttype="rect"/>
            </v:shapetype>
            <v:shape id="_x0000_s1031" type="#_x0000_t202" style="position:absolute;margin-left:416.9pt;margin-top:76.15pt;width:131.9pt;height:36.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" filled="f" stroked="f">
              <v:textbox>
                <w:txbxContent>
                  <w:p w14:paraId="305F706F" w14:textId="77777777" w:rsidR="004D3410" w:rsidRPr="00C97596" w:rsidRDefault="004D3410" w:rsidP="004D3410">
                    <w:pPr>
                      <w:jc w:val="both"/>
                      <w:rPr>
                        <w:rFonts w:ascii="Fira Sans SemiBold" w:hAnsi="Fira Sans SemiBold"/>
                        <w:color w:val="001D77"/>
                      </w:rPr>
                    </w:pPr>
                    <w:r>
                      <w:rPr>
                        <w:rFonts w:ascii="Fira Sans SemiBold" w:hAnsi="Fira Sans SemiBold"/>
                        <w:color w:val="001D77"/>
                      </w:rPr>
                      <w:t>31.01.2022</w:t>
                    </w:r>
                  </w:p>
                  <w:p w14:paraId="0DE70534" w14:textId="1A926654" w:rsidR="004D3410" w:rsidRDefault="004D3410"/>
                </w:txbxContent>
              </v:textbox>
              <w10:wrap type="square"/>
            </v:shape>
          </w:pict>
        </mc:Fallback>
      </mc:AlternateContent>
    </w:r>
    <w:r w:rsidR="00B37E4B">
      <w:rPr>
        <w:noProof/>
        <w:lang w:eastAsia="pl-PL"/>
      </w:rPr>
      <w:drawing>
        <wp:inline distT="0" distB="0" distL="0" distR="0" wp14:anchorId="48707766" wp14:editId="1DA15CD9">
          <wp:extent cx="2080867" cy="720000"/>
          <wp:effectExtent l="0" t="0" r="0" b="444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sidR="00AE2D4B" w:rsidRPr="00F37172">
      <w:rPr>
        <w:noProof/>
        <w:lang w:eastAsia="pl-PL"/>
      </w:rPr>
      <mc:AlternateContent>
        <mc:Choice Requires="wps">
          <w:drawing>
            <wp:anchor distT="0" distB="0" distL="114300" distR="114300" simplePos="0" relativeHeight="251668480" behindDoc="0" locked="0" layoutInCell="1" allowOverlap="1" wp14:anchorId="7215C76E" wp14:editId="4890BC1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2A2567" w14:textId="1C43F40A" w:rsidR="00F37172" w:rsidRPr="003C6C8D" w:rsidRDefault="00A34AA3" w:rsidP="00074DD8">
                          <w:pPr>
                            <w:spacing w:before="0" w:after="0" w:line="240" w:lineRule="auto"/>
                            <w:ind w:left="227"/>
                            <w:jc w:val="both"/>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5C76E" id="Schemat blokowy: opóźnienie 6" o:spid="_x0000_s1032"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Tv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GICRO87BgAAESwAAA4AAAAAAAAA&#10;AAAAAAAALgIAAGRycy9lMm9Eb2MueG1sUEsBAi0AFAAGAAgAAAAhADBPDPX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2A2567" w14:textId="1C43F40A" w:rsidR="00F37172" w:rsidRPr="003C6C8D" w:rsidRDefault="00A34AA3" w:rsidP="00074DD8">
                    <w:pPr>
                      <w:spacing w:before="0" w:after="0" w:line="240" w:lineRule="auto"/>
                      <w:ind w:left="227"/>
                      <w:jc w:val="both"/>
                      <w:rPr>
                        <w:rFonts w:ascii="Fira Sans SemiBold" w:hAnsi="Fira Sans SemiBold"/>
                      </w:rPr>
                    </w:pPr>
                    <w:r>
                      <w:rPr>
                        <w:rFonts w:ascii="Fira Sans SemiBold" w:hAnsi="Fira Sans SemiBold"/>
                      </w:rPr>
                      <w:t>NEWS RELEASE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38BFB24" wp14:editId="5C2E96E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1C2A0"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C7346B" w:rsidRPr="00F37172">
      <w:rPr>
        <w:noProof/>
        <w:lang w:eastAsia="pl-PL"/>
      </w:rPr>
      <mc:AlternateContent>
        <mc:Choice Requires="wps">
          <w:drawing>
            <wp:anchor distT="45720" distB="45720" distL="114300" distR="114300" simplePos="0" relativeHeight="251669504" behindDoc="0" locked="0" layoutInCell="1" allowOverlap="1" wp14:anchorId="025FFB75" wp14:editId="450659D4">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2165F8F" w14:textId="7B25F3DB" w:rsidR="00F37172" w:rsidRPr="00C97596" w:rsidRDefault="00485AE3" w:rsidP="00F37172">
                          <w:pPr>
                            <w:jc w:val="both"/>
                            <w:rPr>
                              <w:rFonts w:ascii="Fira Sans SemiBold" w:hAnsi="Fira Sans SemiBold"/>
                              <w:color w:val="001D77"/>
                            </w:rPr>
                          </w:pPr>
                          <w:r>
                            <w:rPr>
                              <w:rFonts w:ascii="Fira Sans SemiBold" w:hAnsi="Fira Sans SemiBold"/>
                              <w:color w:val="001D77"/>
                            </w:rPr>
                            <w:t>31</w:t>
                          </w:r>
                          <w:r w:rsidR="00A810F9">
                            <w:rPr>
                              <w:rFonts w:ascii="Fira Sans SemiBold" w:hAnsi="Fira Sans SemiBold"/>
                              <w:color w:val="001D77"/>
                            </w:rPr>
                            <w:t>.</w:t>
                          </w:r>
                          <w:r>
                            <w:rPr>
                              <w:rFonts w:ascii="Fira Sans SemiBold" w:hAnsi="Fira Sans SemiBold"/>
                              <w:color w:val="001D77"/>
                            </w:rPr>
                            <w:t>01</w:t>
                          </w:r>
                          <w:r w:rsidR="00A810F9">
                            <w:rPr>
                              <w:rFonts w:ascii="Fira Sans SemiBold" w:hAnsi="Fira Sans SemiBold"/>
                              <w:color w:val="001D77"/>
                            </w:rPr>
                            <w:t>.</w:t>
                          </w:r>
                          <w:r w:rsidR="004E3015">
                            <w:rPr>
                              <w:rFonts w:ascii="Fira Sans SemiBold" w:hAnsi="Fira Sans SemiBold"/>
                              <w:color w:val="001D77"/>
                            </w:rPr>
                            <w:t>202</w:t>
                          </w:r>
                          <w:r>
                            <w:rPr>
                              <w:rFonts w:ascii="Fira Sans SemiBold" w:hAnsi="Fira Sans SemiBold"/>
                              <w:color w:val="001D77"/>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FFB75" id="_x0000_s1033"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kMEAIAAP4DAAAOAAAAZHJzL2Uyb0RvYy54bWysU1Fv0zAQfkfiP1h+p2nTdqxR02lsDCEN&#10;mDT4AVfHaazZPmO7Tcav39npSg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Wu28yF+kmhY2tTc0/gz&#10;OhzuQ0zdQPV6JRWzeKe0zhbQlvU1Xy3LZU44ixgVyaFaGZJomr7RM4nkR9vk5AhKj3sqoO2RdSI6&#10;Uo7Ddsgan8TcYvNMMngcDUkPiDYd+l+c9WTGmoefe/CSM/3ZkpSr2WKR3JsPi+X7kg7+PLI9j4AV&#10;BFXzyNm4vYnZ8SPla5K8VVmNNJuxk2PLZLIs0vFBJBefn/Ot38928wI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2x3kM&#10;EAIAAP4DAAAOAAAAAAAAAAAAAAAAAC4CAABkcnMvZTJvRG9jLnhtbFBLAQItABQABgAIAAAAIQBr&#10;Z3Ed3gAAAAoBAAAPAAAAAAAAAAAAAAAAAGoEAABkcnMvZG93bnJldi54bWxQSwUGAAAAAAQABADz&#10;AAAAdQUAAAAA&#10;" filled="f" stroked="f">
              <v:textbox>
                <w:txbxContent>
                  <w:p w14:paraId="42165F8F" w14:textId="7B25F3DB" w:rsidR="00F37172" w:rsidRPr="00C97596" w:rsidRDefault="00485AE3" w:rsidP="00F37172">
                    <w:pPr>
                      <w:jc w:val="both"/>
                      <w:rPr>
                        <w:rFonts w:ascii="Fira Sans SemiBold" w:hAnsi="Fira Sans SemiBold"/>
                        <w:color w:val="001D77"/>
                      </w:rPr>
                    </w:pPr>
                    <w:r>
                      <w:rPr>
                        <w:rFonts w:ascii="Fira Sans SemiBold" w:hAnsi="Fira Sans SemiBold"/>
                        <w:color w:val="001D77"/>
                      </w:rPr>
                      <w:t>31</w:t>
                    </w:r>
                    <w:r w:rsidR="00A810F9">
                      <w:rPr>
                        <w:rFonts w:ascii="Fira Sans SemiBold" w:hAnsi="Fira Sans SemiBold"/>
                        <w:color w:val="001D77"/>
                      </w:rPr>
                      <w:t>.</w:t>
                    </w:r>
                    <w:r>
                      <w:rPr>
                        <w:rFonts w:ascii="Fira Sans SemiBold" w:hAnsi="Fira Sans SemiBold"/>
                        <w:color w:val="001D77"/>
                      </w:rPr>
                      <w:t>01</w:t>
                    </w:r>
                    <w:r w:rsidR="00A810F9">
                      <w:rPr>
                        <w:rFonts w:ascii="Fira Sans SemiBold" w:hAnsi="Fira Sans SemiBold"/>
                        <w:color w:val="001D77"/>
                      </w:rPr>
                      <w:t>.</w:t>
                    </w:r>
                    <w:r w:rsidR="004E3015">
                      <w:rPr>
                        <w:rFonts w:ascii="Fira Sans SemiBold" w:hAnsi="Fira Sans SemiBold"/>
                        <w:color w:val="001D77"/>
                      </w:rPr>
                      <w:t>202</w:t>
                    </w:r>
                    <w:r>
                      <w:rPr>
                        <w:rFonts w:ascii="Fira Sans SemiBold" w:hAnsi="Fira Sans SemiBold"/>
                        <w:color w:val="001D77"/>
                      </w:rPr>
                      <w:t>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E250" w14:textId="77777777" w:rsidR="00607CC5" w:rsidRDefault="00607CC5">
    <w:pPr>
      <w:pStyle w:val="Nagwek"/>
    </w:pPr>
  </w:p>
  <w:p w14:paraId="735E12C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2.25pt;height:122.25pt;visibility:visible;mso-wrap-style:square" o:bullet="t">
        <v:imagedata r:id="rId1" o:title=""/>
      </v:shape>
    </w:pict>
  </w:numPicBullet>
  <w:numPicBullet w:numPicBulletId="1">
    <w:pict>
      <v:shape id="_x0000_i1030" type="#_x0000_t75" style="width:122.25pt;height:122.25pt;visibility:visible;mso-wrap-style:square" o:bullet="t">
        <v:imagedata r:id="rId2" o:title=""/>
      </v:shape>
    </w:pict>
  </w:numPicBullet>
  <w:numPicBullet w:numPicBulletId="2">
    <w:pict>
      <v:shape id="_x0000_i1031" type="#_x0000_t75" style="width:28.5pt;height:28.5pt;visibility:visible;mso-wrap-style:square" o:bullet="t">
        <v:imagedata r:id="rId3"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E3C2A88"/>
    <w:multiLevelType w:val="hybridMultilevel"/>
    <w:tmpl w:val="9676B7EC"/>
    <w:lvl w:ilvl="0" w:tplc="9106096C">
      <w:start w:val="1"/>
      <w:numFmt w:val="bullet"/>
      <w:lvlText w:val=""/>
      <w:lvlPicBulletId w:val="2"/>
      <w:lvlJc w:val="left"/>
      <w:pPr>
        <w:tabs>
          <w:tab w:val="num" w:pos="720"/>
        </w:tabs>
        <w:ind w:left="720" w:hanging="360"/>
      </w:pPr>
      <w:rPr>
        <w:rFonts w:ascii="Symbol" w:hAnsi="Symbol" w:hint="default"/>
      </w:rPr>
    </w:lvl>
    <w:lvl w:ilvl="1" w:tplc="F1FCCFDE" w:tentative="1">
      <w:start w:val="1"/>
      <w:numFmt w:val="bullet"/>
      <w:lvlText w:val=""/>
      <w:lvlJc w:val="left"/>
      <w:pPr>
        <w:tabs>
          <w:tab w:val="num" w:pos="1440"/>
        </w:tabs>
        <w:ind w:left="1440" w:hanging="360"/>
      </w:pPr>
      <w:rPr>
        <w:rFonts w:ascii="Symbol" w:hAnsi="Symbol" w:hint="default"/>
      </w:rPr>
    </w:lvl>
    <w:lvl w:ilvl="2" w:tplc="164A6680" w:tentative="1">
      <w:start w:val="1"/>
      <w:numFmt w:val="bullet"/>
      <w:lvlText w:val=""/>
      <w:lvlJc w:val="left"/>
      <w:pPr>
        <w:tabs>
          <w:tab w:val="num" w:pos="2160"/>
        </w:tabs>
        <w:ind w:left="2160" w:hanging="360"/>
      </w:pPr>
      <w:rPr>
        <w:rFonts w:ascii="Symbol" w:hAnsi="Symbol" w:hint="default"/>
      </w:rPr>
    </w:lvl>
    <w:lvl w:ilvl="3" w:tplc="9528C914" w:tentative="1">
      <w:start w:val="1"/>
      <w:numFmt w:val="bullet"/>
      <w:lvlText w:val=""/>
      <w:lvlJc w:val="left"/>
      <w:pPr>
        <w:tabs>
          <w:tab w:val="num" w:pos="2880"/>
        </w:tabs>
        <w:ind w:left="2880" w:hanging="360"/>
      </w:pPr>
      <w:rPr>
        <w:rFonts w:ascii="Symbol" w:hAnsi="Symbol" w:hint="default"/>
      </w:rPr>
    </w:lvl>
    <w:lvl w:ilvl="4" w:tplc="BBE6EC86" w:tentative="1">
      <w:start w:val="1"/>
      <w:numFmt w:val="bullet"/>
      <w:lvlText w:val=""/>
      <w:lvlJc w:val="left"/>
      <w:pPr>
        <w:tabs>
          <w:tab w:val="num" w:pos="3600"/>
        </w:tabs>
        <w:ind w:left="3600" w:hanging="360"/>
      </w:pPr>
      <w:rPr>
        <w:rFonts w:ascii="Symbol" w:hAnsi="Symbol" w:hint="default"/>
      </w:rPr>
    </w:lvl>
    <w:lvl w:ilvl="5" w:tplc="6B9225BC" w:tentative="1">
      <w:start w:val="1"/>
      <w:numFmt w:val="bullet"/>
      <w:lvlText w:val=""/>
      <w:lvlJc w:val="left"/>
      <w:pPr>
        <w:tabs>
          <w:tab w:val="num" w:pos="4320"/>
        </w:tabs>
        <w:ind w:left="4320" w:hanging="360"/>
      </w:pPr>
      <w:rPr>
        <w:rFonts w:ascii="Symbol" w:hAnsi="Symbol" w:hint="default"/>
      </w:rPr>
    </w:lvl>
    <w:lvl w:ilvl="6" w:tplc="0B2A9AD0" w:tentative="1">
      <w:start w:val="1"/>
      <w:numFmt w:val="bullet"/>
      <w:lvlText w:val=""/>
      <w:lvlJc w:val="left"/>
      <w:pPr>
        <w:tabs>
          <w:tab w:val="num" w:pos="5040"/>
        </w:tabs>
        <w:ind w:left="5040" w:hanging="360"/>
      </w:pPr>
      <w:rPr>
        <w:rFonts w:ascii="Symbol" w:hAnsi="Symbol" w:hint="default"/>
      </w:rPr>
    </w:lvl>
    <w:lvl w:ilvl="7" w:tplc="B2A6FA64" w:tentative="1">
      <w:start w:val="1"/>
      <w:numFmt w:val="bullet"/>
      <w:lvlText w:val=""/>
      <w:lvlJc w:val="left"/>
      <w:pPr>
        <w:tabs>
          <w:tab w:val="num" w:pos="5760"/>
        </w:tabs>
        <w:ind w:left="5760" w:hanging="360"/>
      </w:pPr>
      <w:rPr>
        <w:rFonts w:ascii="Symbol" w:hAnsi="Symbol" w:hint="default"/>
      </w:rPr>
    </w:lvl>
    <w:lvl w:ilvl="8" w:tplc="8D28DCD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95C1900"/>
    <w:multiLevelType w:val="hybridMultilevel"/>
    <w:tmpl w:val="A12C90D6"/>
    <w:lvl w:ilvl="0" w:tplc="AFC83B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7542F6"/>
    <w:multiLevelType w:val="hybridMultilevel"/>
    <w:tmpl w:val="366E9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912"/>
    <w:rsid w:val="00005E73"/>
    <w:rsid w:val="0000709F"/>
    <w:rsid w:val="000108B8"/>
    <w:rsid w:val="00011071"/>
    <w:rsid w:val="000152F5"/>
    <w:rsid w:val="000167D4"/>
    <w:rsid w:val="00020E32"/>
    <w:rsid w:val="00021F58"/>
    <w:rsid w:val="00021FE0"/>
    <w:rsid w:val="000233B0"/>
    <w:rsid w:val="00023F83"/>
    <w:rsid w:val="00024B95"/>
    <w:rsid w:val="00030C5D"/>
    <w:rsid w:val="00031FB7"/>
    <w:rsid w:val="0003264B"/>
    <w:rsid w:val="00037EBC"/>
    <w:rsid w:val="00042C31"/>
    <w:rsid w:val="00044726"/>
    <w:rsid w:val="0004582E"/>
    <w:rsid w:val="000470AA"/>
    <w:rsid w:val="0005561B"/>
    <w:rsid w:val="00056BC6"/>
    <w:rsid w:val="00056C72"/>
    <w:rsid w:val="00056CE5"/>
    <w:rsid w:val="00057CA1"/>
    <w:rsid w:val="00064616"/>
    <w:rsid w:val="000658BD"/>
    <w:rsid w:val="000662E2"/>
    <w:rsid w:val="00066883"/>
    <w:rsid w:val="00074DD8"/>
    <w:rsid w:val="00075759"/>
    <w:rsid w:val="000806F7"/>
    <w:rsid w:val="00081203"/>
    <w:rsid w:val="00087C72"/>
    <w:rsid w:val="00094690"/>
    <w:rsid w:val="00097840"/>
    <w:rsid w:val="000A430A"/>
    <w:rsid w:val="000B0727"/>
    <w:rsid w:val="000B1C7C"/>
    <w:rsid w:val="000B5F21"/>
    <w:rsid w:val="000C0256"/>
    <w:rsid w:val="000C135D"/>
    <w:rsid w:val="000C521A"/>
    <w:rsid w:val="000C7D6C"/>
    <w:rsid w:val="000D142C"/>
    <w:rsid w:val="000D1462"/>
    <w:rsid w:val="000D1D43"/>
    <w:rsid w:val="000D225C"/>
    <w:rsid w:val="000D2A5C"/>
    <w:rsid w:val="000D2F74"/>
    <w:rsid w:val="000D3026"/>
    <w:rsid w:val="000D4B1C"/>
    <w:rsid w:val="000D4BFC"/>
    <w:rsid w:val="000E0918"/>
    <w:rsid w:val="000E770A"/>
    <w:rsid w:val="000E79A9"/>
    <w:rsid w:val="001011C3"/>
    <w:rsid w:val="0010256C"/>
    <w:rsid w:val="00103867"/>
    <w:rsid w:val="00107B2B"/>
    <w:rsid w:val="00110205"/>
    <w:rsid w:val="00110D87"/>
    <w:rsid w:val="00111F8A"/>
    <w:rsid w:val="00114DB9"/>
    <w:rsid w:val="00116087"/>
    <w:rsid w:val="00117BCA"/>
    <w:rsid w:val="00117FD1"/>
    <w:rsid w:val="001214EF"/>
    <w:rsid w:val="00130296"/>
    <w:rsid w:val="001305F8"/>
    <w:rsid w:val="00134E76"/>
    <w:rsid w:val="00136736"/>
    <w:rsid w:val="001423B6"/>
    <w:rsid w:val="001448A7"/>
    <w:rsid w:val="00146621"/>
    <w:rsid w:val="00151664"/>
    <w:rsid w:val="0015186B"/>
    <w:rsid w:val="001552B2"/>
    <w:rsid w:val="001617E3"/>
    <w:rsid w:val="00161E04"/>
    <w:rsid w:val="00162325"/>
    <w:rsid w:val="00165D69"/>
    <w:rsid w:val="00174C58"/>
    <w:rsid w:val="00182481"/>
    <w:rsid w:val="001923D8"/>
    <w:rsid w:val="00193427"/>
    <w:rsid w:val="001951DA"/>
    <w:rsid w:val="001A4CC5"/>
    <w:rsid w:val="001B2EA3"/>
    <w:rsid w:val="001B4713"/>
    <w:rsid w:val="001C3269"/>
    <w:rsid w:val="001C6EC3"/>
    <w:rsid w:val="001C7A7F"/>
    <w:rsid w:val="001D05D4"/>
    <w:rsid w:val="001D1DB4"/>
    <w:rsid w:val="001D61ED"/>
    <w:rsid w:val="001D6D1D"/>
    <w:rsid w:val="001D75B4"/>
    <w:rsid w:val="001E39B9"/>
    <w:rsid w:val="001F37D6"/>
    <w:rsid w:val="001F4290"/>
    <w:rsid w:val="001F4582"/>
    <w:rsid w:val="001F4610"/>
    <w:rsid w:val="001F5DEB"/>
    <w:rsid w:val="00201A02"/>
    <w:rsid w:val="002165F0"/>
    <w:rsid w:val="00230E15"/>
    <w:rsid w:val="00233C54"/>
    <w:rsid w:val="0024035C"/>
    <w:rsid w:val="00255CE3"/>
    <w:rsid w:val="002574F9"/>
    <w:rsid w:val="00262B61"/>
    <w:rsid w:val="00263E08"/>
    <w:rsid w:val="002648E0"/>
    <w:rsid w:val="00265ABC"/>
    <w:rsid w:val="002747B3"/>
    <w:rsid w:val="00274B45"/>
    <w:rsid w:val="00276811"/>
    <w:rsid w:val="002777E9"/>
    <w:rsid w:val="00282699"/>
    <w:rsid w:val="002910A5"/>
    <w:rsid w:val="002926DF"/>
    <w:rsid w:val="0029647A"/>
    <w:rsid w:val="00296697"/>
    <w:rsid w:val="002A4307"/>
    <w:rsid w:val="002B0472"/>
    <w:rsid w:val="002B6B12"/>
    <w:rsid w:val="002B7468"/>
    <w:rsid w:val="002D18D3"/>
    <w:rsid w:val="002D2CF8"/>
    <w:rsid w:val="002D30E0"/>
    <w:rsid w:val="002D4ED6"/>
    <w:rsid w:val="002D5131"/>
    <w:rsid w:val="002D6D1B"/>
    <w:rsid w:val="002E60E2"/>
    <w:rsid w:val="002E6140"/>
    <w:rsid w:val="002E6985"/>
    <w:rsid w:val="002E71B6"/>
    <w:rsid w:val="002F77C8"/>
    <w:rsid w:val="00302C8C"/>
    <w:rsid w:val="00304205"/>
    <w:rsid w:val="00304F22"/>
    <w:rsid w:val="00306C7C"/>
    <w:rsid w:val="003103DE"/>
    <w:rsid w:val="00311B61"/>
    <w:rsid w:val="00313A0D"/>
    <w:rsid w:val="003156F2"/>
    <w:rsid w:val="00315B37"/>
    <w:rsid w:val="00317F4D"/>
    <w:rsid w:val="00322EDD"/>
    <w:rsid w:val="003309FA"/>
    <w:rsid w:val="00332320"/>
    <w:rsid w:val="003351D5"/>
    <w:rsid w:val="00346DA1"/>
    <w:rsid w:val="00347D72"/>
    <w:rsid w:val="003509DA"/>
    <w:rsid w:val="00350F89"/>
    <w:rsid w:val="00352D4B"/>
    <w:rsid w:val="00353F45"/>
    <w:rsid w:val="003551CF"/>
    <w:rsid w:val="00357611"/>
    <w:rsid w:val="0036141E"/>
    <w:rsid w:val="00364CCD"/>
    <w:rsid w:val="00366124"/>
    <w:rsid w:val="00367237"/>
    <w:rsid w:val="0037077F"/>
    <w:rsid w:val="0037129D"/>
    <w:rsid w:val="00372411"/>
    <w:rsid w:val="00373882"/>
    <w:rsid w:val="00375937"/>
    <w:rsid w:val="00376FB7"/>
    <w:rsid w:val="00382DFA"/>
    <w:rsid w:val="003843DB"/>
    <w:rsid w:val="00393761"/>
    <w:rsid w:val="00394E26"/>
    <w:rsid w:val="00396691"/>
    <w:rsid w:val="00397278"/>
    <w:rsid w:val="00397D18"/>
    <w:rsid w:val="003A1B36"/>
    <w:rsid w:val="003A1E55"/>
    <w:rsid w:val="003A75E7"/>
    <w:rsid w:val="003A7FB9"/>
    <w:rsid w:val="003B1454"/>
    <w:rsid w:val="003B18B6"/>
    <w:rsid w:val="003B1AD0"/>
    <w:rsid w:val="003B467C"/>
    <w:rsid w:val="003B7820"/>
    <w:rsid w:val="003C12C7"/>
    <w:rsid w:val="003C161B"/>
    <w:rsid w:val="003C16D6"/>
    <w:rsid w:val="003C476B"/>
    <w:rsid w:val="003C59E0"/>
    <w:rsid w:val="003C5E13"/>
    <w:rsid w:val="003C6C8D"/>
    <w:rsid w:val="003C76BA"/>
    <w:rsid w:val="003D0003"/>
    <w:rsid w:val="003D2656"/>
    <w:rsid w:val="003D4F95"/>
    <w:rsid w:val="003D5F42"/>
    <w:rsid w:val="003D60A9"/>
    <w:rsid w:val="003D70C2"/>
    <w:rsid w:val="003E54C3"/>
    <w:rsid w:val="003E66CE"/>
    <w:rsid w:val="003F19A9"/>
    <w:rsid w:val="003F3B96"/>
    <w:rsid w:val="003F4C97"/>
    <w:rsid w:val="003F666D"/>
    <w:rsid w:val="003F7FE6"/>
    <w:rsid w:val="00400193"/>
    <w:rsid w:val="00401F7C"/>
    <w:rsid w:val="004033EE"/>
    <w:rsid w:val="00405DF6"/>
    <w:rsid w:val="00412147"/>
    <w:rsid w:val="00415491"/>
    <w:rsid w:val="004212E7"/>
    <w:rsid w:val="00421A44"/>
    <w:rsid w:val="00422613"/>
    <w:rsid w:val="00423C88"/>
    <w:rsid w:val="0042446D"/>
    <w:rsid w:val="00427BF8"/>
    <w:rsid w:val="00431C02"/>
    <w:rsid w:val="00433C2F"/>
    <w:rsid w:val="00437395"/>
    <w:rsid w:val="00442F51"/>
    <w:rsid w:val="00445047"/>
    <w:rsid w:val="004561AF"/>
    <w:rsid w:val="00463E39"/>
    <w:rsid w:val="00464DE9"/>
    <w:rsid w:val="004657FC"/>
    <w:rsid w:val="00465869"/>
    <w:rsid w:val="004733F6"/>
    <w:rsid w:val="0047475F"/>
    <w:rsid w:val="00474E69"/>
    <w:rsid w:val="00485AE3"/>
    <w:rsid w:val="00495210"/>
    <w:rsid w:val="0049621B"/>
    <w:rsid w:val="00497D9A"/>
    <w:rsid w:val="004A0543"/>
    <w:rsid w:val="004A550F"/>
    <w:rsid w:val="004B0636"/>
    <w:rsid w:val="004B156E"/>
    <w:rsid w:val="004B6220"/>
    <w:rsid w:val="004B696C"/>
    <w:rsid w:val="004C0FA4"/>
    <w:rsid w:val="004C1895"/>
    <w:rsid w:val="004C6D40"/>
    <w:rsid w:val="004D1B68"/>
    <w:rsid w:val="004D3410"/>
    <w:rsid w:val="004D52F3"/>
    <w:rsid w:val="004D5322"/>
    <w:rsid w:val="004E296F"/>
    <w:rsid w:val="004E3015"/>
    <w:rsid w:val="004E6AA8"/>
    <w:rsid w:val="004E7CBA"/>
    <w:rsid w:val="004F0734"/>
    <w:rsid w:val="004F0C3C"/>
    <w:rsid w:val="004F63FC"/>
    <w:rsid w:val="00501686"/>
    <w:rsid w:val="005050FD"/>
    <w:rsid w:val="00505A92"/>
    <w:rsid w:val="00511194"/>
    <w:rsid w:val="00511307"/>
    <w:rsid w:val="005203F1"/>
    <w:rsid w:val="00521BC3"/>
    <w:rsid w:val="00527E79"/>
    <w:rsid w:val="00533632"/>
    <w:rsid w:val="00540C5C"/>
    <w:rsid w:val="00541E6E"/>
    <w:rsid w:val="0054251F"/>
    <w:rsid w:val="00543C93"/>
    <w:rsid w:val="00546D81"/>
    <w:rsid w:val="00551DFF"/>
    <w:rsid w:val="005520D8"/>
    <w:rsid w:val="00552A74"/>
    <w:rsid w:val="00552E5D"/>
    <w:rsid w:val="00556CF1"/>
    <w:rsid w:val="00564A08"/>
    <w:rsid w:val="00564ECE"/>
    <w:rsid w:val="00576250"/>
    <w:rsid w:val="005762A7"/>
    <w:rsid w:val="00584E26"/>
    <w:rsid w:val="00585DC1"/>
    <w:rsid w:val="005866BE"/>
    <w:rsid w:val="00587588"/>
    <w:rsid w:val="0059101D"/>
    <w:rsid w:val="005916D7"/>
    <w:rsid w:val="0059427F"/>
    <w:rsid w:val="005A367E"/>
    <w:rsid w:val="005A698C"/>
    <w:rsid w:val="005A7760"/>
    <w:rsid w:val="005B34A7"/>
    <w:rsid w:val="005B5E9F"/>
    <w:rsid w:val="005B7730"/>
    <w:rsid w:val="005C12CB"/>
    <w:rsid w:val="005C68FC"/>
    <w:rsid w:val="005C7DF1"/>
    <w:rsid w:val="005D1D83"/>
    <w:rsid w:val="005D4696"/>
    <w:rsid w:val="005D4A71"/>
    <w:rsid w:val="005D75ED"/>
    <w:rsid w:val="005E0799"/>
    <w:rsid w:val="005F0112"/>
    <w:rsid w:val="005F0E0D"/>
    <w:rsid w:val="005F5A80"/>
    <w:rsid w:val="005F7E07"/>
    <w:rsid w:val="006003C7"/>
    <w:rsid w:val="00600BD7"/>
    <w:rsid w:val="00600D8F"/>
    <w:rsid w:val="006044FF"/>
    <w:rsid w:val="00604607"/>
    <w:rsid w:val="00604FA2"/>
    <w:rsid w:val="00607CC5"/>
    <w:rsid w:val="00607CC7"/>
    <w:rsid w:val="0061090C"/>
    <w:rsid w:val="006125F9"/>
    <w:rsid w:val="00614CEE"/>
    <w:rsid w:val="00615373"/>
    <w:rsid w:val="0061608A"/>
    <w:rsid w:val="00620281"/>
    <w:rsid w:val="00621324"/>
    <w:rsid w:val="00633014"/>
    <w:rsid w:val="00634076"/>
    <w:rsid w:val="0063437B"/>
    <w:rsid w:val="00634BB5"/>
    <w:rsid w:val="00642C13"/>
    <w:rsid w:val="00652885"/>
    <w:rsid w:val="00652ADA"/>
    <w:rsid w:val="00653314"/>
    <w:rsid w:val="0065614E"/>
    <w:rsid w:val="00664B0F"/>
    <w:rsid w:val="0066587A"/>
    <w:rsid w:val="006673CA"/>
    <w:rsid w:val="006715B1"/>
    <w:rsid w:val="00673C26"/>
    <w:rsid w:val="0067496D"/>
    <w:rsid w:val="00674DE5"/>
    <w:rsid w:val="006812AF"/>
    <w:rsid w:val="0068327D"/>
    <w:rsid w:val="00685B9E"/>
    <w:rsid w:val="00691534"/>
    <w:rsid w:val="00691751"/>
    <w:rsid w:val="00692F32"/>
    <w:rsid w:val="00694AF0"/>
    <w:rsid w:val="006A4686"/>
    <w:rsid w:val="006A6405"/>
    <w:rsid w:val="006A6772"/>
    <w:rsid w:val="006B0E9E"/>
    <w:rsid w:val="006B340E"/>
    <w:rsid w:val="006B5AE4"/>
    <w:rsid w:val="006C59FB"/>
    <w:rsid w:val="006C6B3C"/>
    <w:rsid w:val="006C7AB2"/>
    <w:rsid w:val="006D09C4"/>
    <w:rsid w:val="006D117B"/>
    <w:rsid w:val="006D1507"/>
    <w:rsid w:val="006D1907"/>
    <w:rsid w:val="006D4054"/>
    <w:rsid w:val="006D65D7"/>
    <w:rsid w:val="006D7160"/>
    <w:rsid w:val="006D7E54"/>
    <w:rsid w:val="006E02EC"/>
    <w:rsid w:val="006E0FAB"/>
    <w:rsid w:val="006E1B8E"/>
    <w:rsid w:val="006E73E6"/>
    <w:rsid w:val="006F4C35"/>
    <w:rsid w:val="006F794C"/>
    <w:rsid w:val="007018A3"/>
    <w:rsid w:val="00703E4E"/>
    <w:rsid w:val="00714CBC"/>
    <w:rsid w:val="007153A7"/>
    <w:rsid w:val="007211B1"/>
    <w:rsid w:val="0072658D"/>
    <w:rsid w:val="007268EF"/>
    <w:rsid w:val="007277DA"/>
    <w:rsid w:val="00731CBD"/>
    <w:rsid w:val="007364C2"/>
    <w:rsid w:val="007412A3"/>
    <w:rsid w:val="007447ED"/>
    <w:rsid w:val="007458F3"/>
    <w:rsid w:val="00745E1E"/>
    <w:rsid w:val="00746187"/>
    <w:rsid w:val="00751C6F"/>
    <w:rsid w:val="0076254F"/>
    <w:rsid w:val="007801F5"/>
    <w:rsid w:val="00782A20"/>
    <w:rsid w:val="00782C5D"/>
    <w:rsid w:val="00783CA4"/>
    <w:rsid w:val="007842FB"/>
    <w:rsid w:val="00786124"/>
    <w:rsid w:val="0079514B"/>
    <w:rsid w:val="00795252"/>
    <w:rsid w:val="00795616"/>
    <w:rsid w:val="0079672F"/>
    <w:rsid w:val="00796DAA"/>
    <w:rsid w:val="007A2DC1"/>
    <w:rsid w:val="007C049C"/>
    <w:rsid w:val="007C1A26"/>
    <w:rsid w:val="007C2F5C"/>
    <w:rsid w:val="007D14C4"/>
    <w:rsid w:val="007D3319"/>
    <w:rsid w:val="007D335D"/>
    <w:rsid w:val="007D72CF"/>
    <w:rsid w:val="007D7FE4"/>
    <w:rsid w:val="007E0B14"/>
    <w:rsid w:val="007E3314"/>
    <w:rsid w:val="007E4B03"/>
    <w:rsid w:val="007E5B04"/>
    <w:rsid w:val="007E6492"/>
    <w:rsid w:val="007F324B"/>
    <w:rsid w:val="007F4E65"/>
    <w:rsid w:val="007F6878"/>
    <w:rsid w:val="0080045A"/>
    <w:rsid w:val="0080553C"/>
    <w:rsid w:val="00805B46"/>
    <w:rsid w:val="00806DFE"/>
    <w:rsid w:val="00811D20"/>
    <w:rsid w:val="00821DD1"/>
    <w:rsid w:val="00825DC2"/>
    <w:rsid w:val="008278D5"/>
    <w:rsid w:val="00830000"/>
    <w:rsid w:val="008319BC"/>
    <w:rsid w:val="00834AD3"/>
    <w:rsid w:val="008364B1"/>
    <w:rsid w:val="00840674"/>
    <w:rsid w:val="00842DE3"/>
    <w:rsid w:val="00843795"/>
    <w:rsid w:val="0084492D"/>
    <w:rsid w:val="008474A7"/>
    <w:rsid w:val="00847F0F"/>
    <w:rsid w:val="00852448"/>
    <w:rsid w:val="00863E75"/>
    <w:rsid w:val="00867647"/>
    <w:rsid w:val="00867A73"/>
    <w:rsid w:val="008722C9"/>
    <w:rsid w:val="00877668"/>
    <w:rsid w:val="00877F6C"/>
    <w:rsid w:val="0088258A"/>
    <w:rsid w:val="00883893"/>
    <w:rsid w:val="00886332"/>
    <w:rsid w:val="00892F0E"/>
    <w:rsid w:val="0089448A"/>
    <w:rsid w:val="0089491D"/>
    <w:rsid w:val="00895DCB"/>
    <w:rsid w:val="00897877"/>
    <w:rsid w:val="00897D53"/>
    <w:rsid w:val="008A26D9"/>
    <w:rsid w:val="008A6BA1"/>
    <w:rsid w:val="008A7035"/>
    <w:rsid w:val="008A7B5B"/>
    <w:rsid w:val="008A7FC6"/>
    <w:rsid w:val="008B0BFE"/>
    <w:rsid w:val="008B34C8"/>
    <w:rsid w:val="008C0C29"/>
    <w:rsid w:val="008D31E7"/>
    <w:rsid w:val="008D35A1"/>
    <w:rsid w:val="008D36D3"/>
    <w:rsid w:val="008D42ED"/>
    <w:rsid w:val="008D76BC"/>
    <w:rsid w:val="008E12DB"/>
    <w:rsid w:val="008E21F1"/>
    <w:rsid w:val="008E61F7"/>
    <w:rsid w:val="008E7DBA"/>
    <w:rsid w:val="008F0829"/>
    <w:rsid w:val="008F3638"/>
    <w:rsid w:val="008F4441"/>
    <w:rsid w:val="008F5A0F"/>
    <w:rsid w:val="008F6B20"/>
    <w:rsid w:val="008F6F31"/>
    <w:rsid w:val="008F74DF"/>
    <w:rsid w:val="0090131E"/>
    <w:rsid w:val="009127BA"/>
    <w:rsid w:val="00915060"/>
    <w:rsid w:val="009169BD"/>
    <w:rsid w:val="009227A6"/>
    <w:rsid w:val="009240D0"/>
    <w:rsid w:val="00926592"/>
    <w:rsid w:val="0093130E"/>
    <w:rsid w:val="00933EC1"/>
    <w:rsid w:val="00946F53"/>
    <w:rsid w:val="009530DB"/>
    <w:rsid w:val="00953676"/>
    <w:rsid w:val="00953B87"/>
    <w:rsid w:val="00956F30"/>
    <w:rsid w:val="009643F8"/>
    <w:rsid w:val="00966908"/>
    <w:rsid w:val="009705EE"/>
    <w:rsid w:val="0097136D"/>
    <w:rsid w:val="00977927"/>
    <w:rsid w:val="0098135C"/>
    <w:rsid w:val="0098156A"/>
    <w:rsid w:val="00991BAC"/>
    <w:rsid w:val="00995CF9"/>
    <w:rsid w:val="009A33D0"/>
    <w:rsid w:val="009A6EA0"/>
    <w:rsid w:val="009C12A7"/>
    <w:rsid w:val="009C1335"/>
    <w:rsid w:val="009C1AB2"/>
    <w:rsid w:val="009C21DE"/>
    <w:rsid w:val="009C3C1B"/>
    <w:rsid w:val="009C6DA1"/>
    <w:rsid w:val="009C7251"/>
    <w:rsid w:val="009C7372"/>
    <w:rsid w:val="009C7DB3"/>
    <w:rsid w:val="009D2F63"/>
    <w:rsid w:val="009E2E91"/>
    <w:rsid w:val="009F5172"/>
    <w:rsid w:val="009F6589"/>
    <w:rsid w:val="00A018F3"/>
    <w:rsid w:val="00A021B7"/>
    <w:rsid w:val="00A046BA"/>
    <w:rsid w:val="00A04B28"/>
    <w:rsid w:val="00A108B2"/>
    <w:rsid w:val="00A139F5"/>
    <w:rsid w:val="00A13DE3"/>
    <w:rsid w:val="00A16D94"/>
    <w:rsid w:val="00A26A25"/>
    <w:rsid w:val="00A3070E"/>
    <w:rsid w:val="00A34AA3"/>
    <w:rsid w:val="00A365F4"/>
    <w:rsid w:val="00A45E23"/>
    <w:rsid w:val="00A471F0"/>
    <w:rsid w:val="00A47D80"/>
    <w:rsid w:val="00A50E72"/>
    <w:rsid w:val="00A5217F"/>
    <w:rsid w:val="00A53132"/>
    <w:rsid w:val="00A55C2B"/>
    <w:rsid w:val="00A563F2"/>
    <w:rsid w:val="00A566E8"/>
    <w:rsid w:val="00A73A9B"/>
    <w:rsid w:val="00A76F92"/>
    <w:rsid w:val="00A810F9"/>
    <w:rsid w:val="00A854E5"/>
    <w:rsid w:val="00A86ECC"/>
    <w:rsid w:val="00A86FCC"/>
    <w:rsid w:val="00A924FF"/>
    <w:rsid w:val="00A9647E"/>
    <w:rsid w:val="00AA710D"/>
    <w:rsid w:val="00AB432E"/>
    <w:rsid w:val="00AB64F3"/>
    <w:rsid w:val="00AB6D25"/>
    <w:rsid w:val="00AC3938"/>
    <w:rsid w:val="00AC5E53"/>
    <w:rsid w:val="00AC7FB0"/>
    <w:rsid w:val="00AD262E"/>
    <w:rsid w:val="00AE2A55"/>
    <w:rsid w:val="00AE2D4B"/>
    <w:rsid w:val="00AE3164"/>
    <w:rsid w:val="00AE4F99"/>
    <w:rsid w:val="00AF2EAF"/>
    <w:rsid w:val="00AF3BE7"/>
    <w:rsid w:val="00AF57A7"/>
    <w:rsid w:val="00B02EF4"/>
    <w:rsid w:val="00B04C74"/>
    <w:rsid w:val="00B11B69"/>
    <w:rsid w:val="00B14952"/>
    <w:rsid w:val="00B212F4"/>
    <w:rsid w:val="00B2233D"/>
    <w:rsid w:val="00B22B2E"/>
    <w:rsid w:val="00B31E5A"/>
    <w:rsid w:val="00B37E4B"/>
    <w:rsid w:val="00B4061A"/>
    <w:rsid w:val="00B50DE9"/>
    <w:rsid w:val="00B62525"/>
    <w:rsid w:val="00B653AB"/>
    <w:rsid w:val="00B65F9E"/>
    <w:rsid w:val="00B66B19"/>
    <w:rsid w:val="00B7119A"/>
    <w:rsid w:val="00B71873"/>
    <w:rsid w:val="00B72FE4"/>
    <w:rsid w:val="00B7441D"/>
    <w:rsid w:val="00B75527"/>
    <w:rsid w:val="00B83518"/>
    <w:rsid w:val="00B8518B"/>
    <w:rsid w:val="00B86904"/>
    <w:rsid w:val="00B914E9"/>
    <w:rsid w:val="00B956EE"/>
    <w:rsid w:val="00BA262A"/>
    <w:rsid w:val="00BA2AA6"/>
    <w:rsid w:val="00BA2BA1"/>
    <w:rsid w:val="00BA3447"/>
    <w:rsid w:val="00BA34C6"/>
    <w:rsid w:val="00BA3562"/>
    <w:rsid w:val="00BA52C5"/>
    <w:rsid w:val="00BB22A8"/>
    <w:rsid w:val="00BB2E5A"/>
    <w:rsid w:val="00BB4F09"/>
    <w:rsid w:val="00BB67DF"/>
    <w:rsid w:val="00BC10C2"/>
    <w:rsid w:val="00BC2D9A"/>
    <w:rsid w:val="00BD4879"/>
    <w:rsid w:val="00BD4E33"/>
    <w:rsid w:val="00BD7A47"/>
    <w:rsid w:val="00BD7B99"/>
    <w:rsid w:val="00BF1AFA"/>
    <w:rsid w:val="00BF7F54"/>
    <w:rsid w:val="00C030DE"/>
    <w:rsid w:val="00C051A8"/>
    <w:rsid w:val="00C06A7D"/>
    <w:rsid w:val="00C12CAB"/>
    <w:rsid w:val="00C16784"/>
    <w:rsid w:val="00C22105"/>
    <w:rsid w:val="00C244B6"/>
    <w:rsid w:val="00C270E3"/>
    <w:rsid w:val="00C27BF1"/>
    <w:rsid w:val="00C30A5D"/>
    <w:rsid w:val="00C3641A"/>
    <w:rsid w:val="00C36B1F"/>
    <w:rsid w:val="00C3702F"/>
    <w:rsid w:val="00C4500A"/>
    <w:rsid w:val="00C576C0"/>
    <w:rsid w:val="00C61E95"/>
    <w:rsid w:val="00C620EE"/>
    <w:rsid w:val="00C64A37"/>
    <w:rsid w:val="00C67BE7"/>
    <w:rsid w:val="00C7158E"/>
    <w:rsid w:val="00C7250B"/>
    <w:rsid w:val="00C7346B"/>
    <w:rsid w:val="00C7459A"/>
    <w:rsid w:val="00C77C0E"/>
    <w:rsid w:val="00C839E6"/>
    <w:rsid w:val="00C873C3"/>
    <w:rsid w:val="00C91687"/>
    <w:rsid w:val="00C924A8"/>
    <w:rsid w:val="00C945FE"/>
    <w:rsid w:val="00C96EBC"/>
    <w:rsid w:val="00C96FAA"/>
    <w:rsid w:val="00C97A04"/>
    <w:rsid w:val="00CA107B"/>
    <w:rsid w:val="00CA484D"/>
    <w:rsid w:val="00CA4FB6"/>
    <w:rsid w:val="00CA5E6C"/>
    <w:rsid w:val="00CB2F90"/>
    <w:rsid w:val="00CB4051"/>
    <w:rsid w:val="00CB5205"/>
    <w:rsid w:val="00CC1AFB"/>
    <w:rsid w:val="00CC3657"/>
    <w:rsid w:val="00CC3B68"/>
    <w:rsid w:val="00CC5C51"/>
    <w:rsid w:val="00CC739E"/>
    <w:rsid w:val="00CD36F8"/>
    <w:rsid w:val="00CD58B7"/>
    <w:rsid w:val="00CD762B"/>
    <w:rsid w:val="00CE1319"/>
    <w:rsid w:val="00CE60F7"/>
    <w:rsid w:val="00CE6A89"/>
    <w:rsid w:val="00CF055E"/>
    <w:rsid w:val="00CF4099"/>
    <w:rsid w:val="00CF7D39"/>
    <w:rsid w:val="00D00796"/>
    <w:rsid w:val="00D0093C"/>
    <w:rsid w:val="00D016C9"/>
    <w:rsid w:val="00D10AA6"/>
    <w:rsid w:val="00D11F10"/>
    <w:rsid w:val="00D12F86"/>
    <w:rsid w:val="00D2451E"/>
    <w:rsid w:val="00D261A2"/>
    <w:rsid w:val="00D2712A"/>
    <w:rsid w:val="00D34E82"/>
    <w:rsid w:val="00D37D4D"/>
    <w:rsid w:val="00D40107"/>
    <w:rsid w:val="00D537BA"/>
    <w:rsid w:val="00D53B66"/>
    <w:rsid w:val="00D616D2"/>
    <w:rsid w:val="00D63B5F"/>
    <w:rsid w:val="00D661C3"/>
    <w:rsid w:val="00D70EF7"/>
    <w:rsid w:val="00D767E2"/>
    <w:rsid w:val="00D8397C"/>
    <w:rsid w:val="00D90AAE"/>
    <w:rsid w:val="00D94EED"/>
    <w:rsid w:val="00D96026"/>
    <w:rsid w:val="00D978D6"/>
    <w:rsid w:val="00DA7C1C"/>
    <w:rsid w:val="00DB147A"/>
    <w:rsid w:val="00DB1B7A"/>
    <w:rsid w:val="00DB648E"/>
    <w:rsid w:val="00DB70BF"/>
    <w:rsid w:val="00DC3B9B"/>
    <w:rsid w:val="00DC5820"/>
    <w:rsid w:val="00DC6708"/>
    <w:rsid w:val="00DD011A"/>
    <w:rsid w:val="00DD3EB0"/>
    <w:rsid w:val="00DD4440"/>
    <w:rsid w:val="00DE00C0"/>
    <w:rsid w:val="00DE42ED"/>
    <w:rsid w:val="00DE4602"/>
    <w:rsid w:val="00DE52F2"/>
    <w:rsid w:val="00DF7B97"/>
    <w:rsid w:val="00E01436"/>
    <w:rsid w:val="00E036E5"/>
    <w:rsid w:val="00E045BD"/>
    <w:rsid w:val="00E10D88"/>
    <w:rsid w:val="00E179B7"/>
    <w:rsid w:val="00E17B77"/>
    <w:rsid w:val="00E205B2"/>
    <w:rsid w:val="00E23337"/>
    <w:rsid w:val="00E249FA"/>
    <w:rsid w:val="00E24DEF"/>
    <w:rsid w:val="00E259EA"/>
    <w:rsid w:val="00E32061"/>
    <w:rsid w:val="00E42FF9"/>
    <w:rsid w:val="00E4714C"/>
    <w:rsid w:val="00E51AEB"/>
    <w:rsid w:val="00E51EEF"/>
    <w:rsid w:val="00E522A7"/>
    <w:rsid w:val="00E53A44"/>
    <w:rsid w:val="00E54452"/>
    <w:rsid w:val="00E63B0C"/>
    <w:rsid w:val="00E65A15"/>
    <w:rsid w:val="00E65A5C"/>
    <w:rsid w:val="00E664C5"/>
    <w:rsid w:val="00E671A2"/>
    <w:rsid w:val="00E741E8"/>
    <w:rsid w:val="00E75791"/>
    <w:rsid w:val="00E76D26"/>
    <w:rsid w:val="00E76EE5"/>
    <w:rsid w:val="00E80790"/>
    <w:rsid w:val="00E85688"/>
    <w:rsid w:val="00E85A05"/>
    <w:rsid w:val="00E97850"/>
    <w:rsid w:val="00EA1B11"/>
    <w:rsid w:val="00EB121B"/>
    <w:rsid w:val="00EB1390"/>
    <w:rsid w:val="00EB2C71"/>
    <w:rsid w:val="00EB3069"/>
    <w:rsid w:val="00EB3333"/>
    <w:rsid w:val="00EB4340"/>
    <w:rsid w:val="00EB556D"/>
    <w:rsid w:val="00EB593E"/>
    <w:rsid w:val="00EB5A7D"/>
    <w:rsid w:val="00EC39DE"/>
    <w:rsid w:val="00EC7B22"/>
    <w:rsid w:val="00EC7D7B"/>
    <w:rsid w:val="00ED1B29"/>
    <w:rsid w:val="00ED2DC6"/>
    <w:rsid w:val="00ED50D6"/>
    <w:rsid w:val="00ED55C0"/>
    <w:rsid w:val="00ED682B"/>
    <w:rsid w:val="00ED6A6F"/>
    <w:rsid w:val="00EE20C7"/>
    <w:rsid w:val="00EE41D5"/>
    <w:rsid w:val="00EF41C4"/>
    <w:rsid w:val="00EF5009"/>
    <w:rsid w:val="00F037A4"/>
    <w:rsid w:val="00F074D6"/>
    <w:rsid w:val="00F15B9E"/>
    <w:rsid w:val="00F27C8F"/>
    <w:rsid w:val="00F32749"/>
    <w:rsid w:val="00F363C4"/>
    <w:rsid w:val="00F37172"/>
    <w:rsid w:val="00F4477E"/>
    <w:rsid w:val="00F46269"/>
    <w:rsid w:val="00F52052"/>
    <w:rsid w:val="00F54CD1"/>
    <w:rsid w:val="00F55664"/>
    <w:rsid w:val="00F60BA8"/>
    <w:rsid w:val="00F67D8F"/>
    <w:rsid w:val="00F71E93"/>
    <w:rsid w:val="00F77718"/>
    <w:rsid w:val="00F77925"/>
    <w:rsid w:val="00F802BE"/>
    <w:rsid w:val="00F80E93"/>
    <w:rsid w:val="00F818AE"/>
    <w:rsid w:val="00F8245A"/>
    <w:rsid w:val="00F85811"/>
    <w:rsid w:val="00F86024"/>
    <w:rsid w:val="00F8611A"/>
    <w:rsid w:val="00F86D2B"/>
    <w:rsid w:val="00F97E9A"/>
    <w:rsid w:val="00FA1A96"/>
    <w:rsid w:val="00FA2C2F"/>
    <w:rsid w:val="00FA4C53"/>
    <w:rsid w:val="00FA5128"/>
    <w:rsid w:val="00FB2945"/>
    <w:rsid w:val="00FB42D4"/>
    <w:rsid w:val="00FB46AB"/>
    <w:rsid w:val="00FB5358"/>
    <w:rsid w:val="00FB5906"/>
    <w:rsid w:val="00FB6EC2"/>
    <w:rsid w:val="00FB762F"/>
    <w:rsid w:val="00FB7B25"/>
    <w:rsid w:val="00FC0413"/>
    <w:rsid w:val="00FC1E3C"/>
    <w:rsid w:val="00FC2AED"/>
    <w:rsid w:val="00FC3CCB"/>
    <w:rsid w:val="00FD313C"/>
    <w:rsid w:val="00FD42AE"/>
    <w:rsid w:val="00FD5EA7"/>
    <w:rsid w:val="00FD6140"/>
    <w:rsid w:val="00FD6463"/>
    <w:rsid w:val="00FE2504"/>
    <w:rsid w:val="00FE3329"/>
    <w:rsid w:val="00FF1A47"/>
    <w:rsid w:val="00FF5C30"/>
    <w:rsid w:val="00FF7031"/>
    <w:rsid w:val="00FF76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AE70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NormalnyWeb">
    <w:name w:val="Normal (Web)"/>
    <w:basedOn w:val="Normalny"/>
    <w:uiPriority w:val="99"/>
    <w:unhideWhenUsed/>
    <w:rsid w:val="00FA4C53"/>
    <w:pPr>
      <w:spacing w:before="100" w:beforeAutospacing="1" w:after="100" w:afterAutospacing="1" w:line="240" w:lineRule="auto"/>
    </w:pPr>
    <w:rPr>
      <w:rFonts w:ascii="Arial" w:eastAsia="Times New Roman" w:hAnsi="Arial" w:cs="Arial"/>
      <w:color w:val="000000"/>
      <w:sz w:val="18"/>
      <w:szCs w:val="18"/>
      <w:lang w:eastAsia="pl-PL"/>
    </w:rPr>
  </w:style>
  <w:style w:type="paragraph" w:styleId="Tekstkomentarza">
    <w:name w:val="annotation text"/>
    <w:basedOn w:val="Normalny"/>
    <w:link w:val="TekstkomentarzaZnak"/>
    <w:uiPriority w:val="99"/>
    <w:semiHidden/>
    <w:unhideWhenUsed/>
    <w:rsid w:val="00C67BE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67BE7"/>
    <w:rPr>
      <w:rFonts w:ascii="Fira Sans" w:hAnsi="Fira Sans"/>
      <w:sz w:val="20"/>
      <w:szCs w:val="20"/>
    </w:rPr>
  </w:style>
  <w:style w:type="character" w:styleId="Odwoaniedokomentarza">
    <w:name w:val="annotation reference"/>
    <w:basedOn w:val="Domylnaczcionkaakapitu"/>
    <w:uiPriority w:val="99"/>
    <w:semiHidden/>
    <w:unhideWhenUsed/>
    <w:rsid w:val="00C67BE7"/>
    <w:rPr>
      <w:sz w:val="16"/>
      <w:szCs w:val="16"/>
    </w:rPr>
  </w:style>
  <w:style w:type="paragraph" w:styleId="Tematkomentarza">
    <w:name w:val="annotation subject"/>
    <w:basedOn w:val="Tekstkomentarza"/>
    <w:next w:val="Tekstkomentarza"/>
    <w:link w:val="TematkomentarzaZnak"/>
    <w:uiPriority w:val="99"/>
    <w:semiHidden/>
    <w:unhideWhenUsed/>
    <w:rsid w:val="00634076"/>
    <w:rPr>
      <w:b/>
      <w:bCs/>
    </w:rPr>
  </w:style>
  <w:style w:type="character" w:customStyle="1" w:styleId="TematkomentarzaZnak">
    <w:name w:val="Temat komentarza Znak"/>
    <w:basedOn w:val="TekstkomentarzaZnak"/>
    <w:link w:val="Tematkomentarza"/>
    <w:uiPriority w:val="99"/>
    <w:semiHidden/>
    <w:rsid w:val="00634076"/>
    <w:rPr>
      <w:rFonts w:ascii="Fira Sans" w:hAnsi="Fira Sans"/>
      <w:b/>
      <w:bCs/>
      <w:sz w:val="20"/>
      <w:szCs w:val="20"/>
    </w:rPr>
  </w:style>
  <w:style w:type="paragraph" w:styleId="Poprawka">
    <w:name w:val="Revision"/>
    <w:hidden/>
    <w:uiPriority w:val="99"/>
    <w:semiHidden/>
    <w:rsid w:val="00FD42AE"/>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5C7D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97179828">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wmf"/><Relationship Id="rId24" Type="http://schemas.openxmlformats.org/officeDocument/2006/relationships/image" Target="media/image5.png"/><Relationship Id="rId5"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hyperlink" Target="mailto:obslugaprasowa@stat.gov.pl" TargetMode="External"/><Relationship Id="rId28"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wiatekj1\Desktop\Zeszyt3.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333863896866215E-2"/>
          <c:y val="0.30592473012003202"/>
          <c:w val="0.93166808055437456"/>
          <c:h val="0.57935841353164186"/>
        </c:manualLayout>
      </c:layout>
      <c:barChart>
        <c:barDir val="col"/>
        <c:grouping val="clustered"/>
        <c:varyColors val="0"/>
        <c:ser>
          <c:idx val="0"/>
          <c:order val="0"/>
          <c:tx>
            <c:strRef>
              <c:f>Arkusz1!$B$1</c:f>
              <c:strCache>
                <c:ptCount val="1"/>
                <c:pt idx="0">
                  <c:v>number of new entries in the register </c:v>
                </c:pt>
              </c:strCache>
            </c:strRef>
          </c:tx>
          <c:spPr>
            <a:solidFill>
              <a:srgbClr val="99A5C9"/>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Arkusz1!$B$2:$B$12</c:f>
              <c:numCache>
                <c:formatCode>General</c:formatCode>
                <c:ptCount val="11"/>
                <c:pt idx="0">
                  <c:v>8</c:v>
                </c:pt>
                <c:pt idx="1">
                  <c:v>8</c:v>
                </c:pt>
                <c:pt idx="2">
                  <c:v>4</c:v>
                </c:pt>
                <c:pt idx="3">
                  <c:v>5</c:v>
                </c:pt>
                <c:pt idx="4">
                  <c:v>5</c:v>
                </c:pt>
                <c:pt idx="5">
                  <c:v>19</c:v>
                </c:pt>
                <c:pt idx="6">
                  <c:v>2</c:v>
                </c:pt>
                <c:pt idx="7">
                  <c:v>1</c:v>
                </c:pt>
                <c:pt idx="8">
                  <c:v>15</c:v>
                </c:pt>
                <c:pt idx="9">
                  <c:v>14</c:v>
                </c:pt>
                <c:pt idx="10">
                  <c:v>3</c:v>
                </c:pt>
              </c:numCache>
            </c:numRef>
          </c:val>
          <c:extLst>
            <c:ext xmlns:c16="http://schemas.microsoft.com/office/drawing/2014/chart" uri="{C3380CC4-5D6E-409C-BE32-E72D297353CC}">
              <c16:uniqueId val="{00000000-0E3F-4DBC-81AB-AF284AE975C6}"/>
            </c:ext>
          </c:extLst>
        </c:ser>
        <c:ser>
          <c:idx val="1"/>
          <c:order val="1"/>
          <c:tx>
            <c:strRef>
              <c:f>Arkusz1!$C$1</c:f>
              <c:strCache>
                <c:ptCount val="1"/>
                <c:pt idx="0">
                  <c:v>number of entries deleted from the register </c:v>
                </c:pt>
              </c:strCache>
            </c:strRef>
          </c:tx>
          <c:spPr>
            <a:solidFill>
              <a:srgbClr val="6677AD"/>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Arkusz1!$C$2:$C$12</c:f>
              <c:numCache>
                <c:formatCode>General</c:formatCode>
                <c:ptCount val="11"/>
                <c:pt idx="0">
                  <c:v>12</c:v>
                </c:pt>
                <c:pt idx="1">
                  <c:v>5</c:v>
                </c:pt>
                <c:pt idx="2">
                  <c:v>2</c:v>
                </c:pt>
                <c:pt idx="3">
                  <c:v>10</c:v>
                </c:pt>
                <c:pt idx="4">
                  <c:v>9</c:v>
                </c:pt>
                <c:pt idx="5">
                  <c:v>7</c:v>
                </c:pt>
                <c:pt idx="6">
                  <c:v>1</c:v>
                </c:pt>
                <c:pt idx="7">
                  <c:v>16</c:v>
                </c:pt>
                <c:pt idx="8">
                  <c:v>3</c:v>
                </c:pt>
                <c:pt idx="9">
                  <c:v>12</c:v>
                </c:pt>
                <c:pt idx="10">
                  <c:v>0</c:v>
                </c:pt>
              </c:numCache>
            </c:numRef>
          </c:val>
          <c:extLst>
            <c:ext xmlns:c16="http://schemas.microsoft.com/office/drawing/2014/chart" uri="{C3380CC4-5D6E-409C-BE32-E72D297353CC}">
              <c16:uniqueId val="{00000001-0E3F-4DBC-81AB-AF284AE975C6}"/>
            </c:ext>
          </c:extLst>
        </c:ser>
        <c:ser>
          <c:idx val="2"/>
          <c:order val="2"/>
          <c:tx>
            <c:strRef>
              <c:f>Arkusz1!$D$1</c:f>
              <c:strCache>
                <c:ptCount val="1"/>
                <c:pt idx="0">
                  <c:v>number of parties entered in the register at the end of the year </c:v>
                </c:pt>
              </c:strCache>
            </c:strRef>
          </c:tx>
          <c:spPr>
            <a:solidFill>
              <a:srgbClr val="001D77"/>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Arkusz1!$D$2:$D$12</c:f>
              <c:numCache>
                <c:formatCode>General</c:formatCode>
                <c:ptCount val="11"/>
                <c:pt idx="0">
                  <c:v>77</c:v>
                </c:pt>
                <c:pt idx="1">
                  <c:v>80</c:v>
                </c:pt>
                <c:pt idx="2">
                  <c:v>82</c:v>
                </c:pt>
                <c:pt idx="3">
                  <c:v>77</c:v>
                </c:pt>
                <c:pt idx="4">
                  <c:v>73</c:v>
                </c:pt>
                <c:pt idx="5">
                  <c:v>85</c:v>
                </c:pt>
                <c:pt idx="6">
                  <c:v>86</c:v>
                </c:pt>
                <c:pt idx="7">
                  <c:v>71</c:v>
                </c:pt>
                <c:pt idx="8">
                  <c:v>83</c:v>
                </c:pt>
                <c:pt idx="9">
                  <c:v>85</c:v>
                </c:pt>
                <c:pt idx="10">
                  <c:v>88</c:v>
                </c:pt>
              </c:numCache>
            </c:numRef>
          </c:val>
          <c:extLst>
            <c:ext xmlns:c16="http://schemas.microsoft.com/office/drawing/2014/chart" uri="{C3380CC4-5D6E-409C-BE32-E72D297353CC}">
              <c16:uniqueId val="{00000002-0E3F-4DBC-81AB-AF284AE975C6}"/>
            </c:ext>
          </c:extLst>
        </c:ser>
        <c:dLbls>
          <c:showLegendKey val="0"/>
          <c:showVal val="0"/>
          <c:showCatName val="0"/>
          <c:showSerName val="0"/>
          <c:showPercent val="0"/>
          <c:showBubbleSize val="0"/>
        </c:dLbls>
        <c:gapWidth val="150"/>
        <c:axId val="366776176"/>
        <c:axId val="366776720"/>
      </c:barChart>
      <c:catAx>
        <c:axId val="366776176"/>
        <c:scaling>
          <c:orientation val="minMax"/>
        </c:scaling>
        <c:delete val="0"/>
        <c:axPos val="b"/>
        <c:numFmt formatCode="General" sourceLinked="1"/>
        <c:majorTickMark val="none"/>
        <c:minorTickMark val="none"/>
        <c:tickLblPos val="nextTo"/>
        <c:crossAx val="366776720"/>
        <c:crosses val="autoZero"/>
        <c:auto val="1"/>
        <c:lblAlgn val="ctr"/>
        <c:lblOffset val="100"/>
        <c:noMultiLvlLbl val="0"/>
      </c:catAx>
      <c:valAx>
        <c:axId val="366776720"/>
        <c:scaling>
          <c:orientation val="minMax"/>
          <c:max val="90"/>
        </c:scaling>
        <c:delete val="0"/>
        <c:axPos val="l"/>
        <c:numFmt formatCode="General" sourceLinked="1"/>
        <c:majorTickMark val="out"/>
        <c:minorTickMark val="none"/>
        <c:tickLblPos val="nextTo"/>
        <c:crossAx val="366776176"/>
        <c:crosses val="autoZero"/>
        <c:crossBetween val="between"/>
        <c:majorUnit val="90"/>
      </c:valAx>
      <c:spPr>
        <a:noFill/>
        <a:ln>
          <a:noFill/>
        </a:ln>
      </c:spPr>
    </c:plotArea>
    <c:legend>
      <c:legendPos val="t"/>
      <c:layout>
        <c:manualLayout>
          <c:xMode val="edge"/>
          <c:yMode val="edge"/>
          <c:x val="0"/>
          <c:y val="2.5708606507868527E-2"/>
          <c:w val="1"/>
          <c:h val="0.1856001054261523"/>
        </c:manualLayout>
      </c:layout>
      <c:overlay val="0"/>
    </c:legend>
    <c:plotVisOnly val="1"/>
    <c:dispBlanksAs val="gap"/>
    <c:showDLblsOverMax val="0"/>
  </c:chart>
  <c:spPr>
    <a:solidFill>
      <a:schemeClr val="bg1"/>
    </a:solidFill>
    <a:ln>
      <a:noFill/>
    </a:ln>
  </c:spPr>
  <c:txPr>
    <a:bodyPr/>
    <a:lstStyle/>
    <a:p>
      <a:pPr>
        <a:defRPr sz="85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297960269876803"/>
          <c:y val="8.9645854127388999E-2"/>
          <c:w val="0.50921951774938035"/>
          <c:h val="0.88970530911358847"/>
        </c:manualLayout>
      </c:layout>
      <c:barChart>
        <c:barDir val="bar"/>
        <c:grouping val="clustered"/>
        <c:varyColors val="0"/>
        <c:ser>
          <c:idx val="0"/>
          <c:order val="0"/>
          <c:tx>
            <c:strRef>
              <c:f>Arkusz1!$B$1</c:f>
              <c:strCache>
                <c:ptCount val="1"/>
                <c:pt idx="0">
                  <c:v>2020</c:v>
                </c:pt>
              </c:strCache>
            </c:strRef>
          </c:tx>
          <c:spPr>
            <a:solidFill>
              <a:srgbClr val="001D77"/>
            </a:solidFill>
            <a:ln>
              <a:noFill/>
            </a:ln>
            <a:effectLst/>
          </c:spPr>
          <c:invertIfNegative val="0"/>
          <c:dLbls>
            <c:spPr>
              <a:noFill/>
              <a:ln>
                <a:noFill/>
              </a:ln>
              <a:effectLst/>
            </c:spPr>
            <c:txPr>
              <a:bodyPr wrap="square" lIns="38100" tIns="19050" rIns="38100" bIns="19050" anchor="ctr">
                <a:spAutoFit/>
              </a:bodyPr>
              <a:lstStyle/>
              <a:p>
                <a:pPr>
                  <a:defRPr>
                    <a:solidFill>
                      <a:schemeClr val="tx1"/>
                    </a:solidFill>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participation in public debate, social education </c:v>
                </c:pt>
                <c:pt idx="1">
                  <c:v>organizing demonstrations and other public gatherings </c:v>
                </c:pt>
                <c:pt idx="2">
                  <c:v>organizing other civic activity </c:v>
                </c:pt>
                <c:pt idx="3">
                  <c:v>interventions for individuals </c:v>
                </c:pt>
                <c:pt idx="4">
                  <c:v>interventions to solve the problems of groups of people </c:v>
                </c:pt>
                <c:pt idx="5">
                  <c:v>publishing </c:v>
                </c:pt>
                <c:pt idx="6">
                  <c:v>preparation of draft legal acts </c:v>
                </c:pt>
                <c:pt idx="7">
                  <c:v>research activity </c:v>
                </c:pt>
              </c:strCache>
            </c:strRef>
          </c:cat>
          <c:val>
            <c:numRef>
              <c:f>Arkusz1!$B$2:$B$9</c:f>
              <c:numCache>
                <c:formatCode>General</c:formatCode>
                <c:ptCount val="8"/>
                <c:pt idx="0">
                  <c:v>48</c:v>
                </c:pt>
                <c:pt idx="1">
                  <c:v>26</c:v>
                </c:pt>
                <c:pt idx="2">
                  <c:v>38</c:v>
                </c:pt>
                <c:pt idx="3">
                  <c:v>36</c:v>
                </c:pt>
                <c:pt idx="4">
                  <c:v>31</c:v>
                </c:pt>
                <c:pt idx="5">
                  <c:v>26</c:v>
                </c:pt>
                <c:pt idx="6">
                  <c:v>23</c:v>
                </c:pt>
                <c:pt idx="7">
                  <c:v>12</c:v>
                </c:pt>
              </c:numCache>
            </c:numRef>
          </c:val>
          <c:extLst>
            <c:ext xmlns:c16="http://schemas.microsoft.com/office/drawing/2014/chart" uri="{C3380CC4-5D6E-409C-BE32-E72D297353CC}">
              <c16:uniqueId val="{00000000-AADF-4FA3-91DB-108A3EA31B6F}"/>
            </c:ext>
          </c:extLst>
        </c:ser>
        <c:ser>
          <c:idx val="1"/>
          <c:order val="1"/>
          <c:tx>
            <c:strRef>
              <c:f>Arkusz1!$C$1</c:f>
              <c:strCache>
                <c:ptCount val="1"/>
                <c:pt idx="0">
                  <c:v>2018</c:v>
                </c:pt>
              </c:strCache>
            </c:strRef>
          </c:tx>
          <c:spPr>
            <a:solidFill>
              <a:srgbClr val="99A5C9"/>
            </a:solidFill>
            <a:ln>
              <a:noFill/>
            </a:ln>
            <a:effectLst/>
          </c:spPr>
          <c:invertIfNegative val="0"/>
          <c:dLbls>
            <c:spPr>
              <a:noFill/>
              <a:ln>
                <a:noFill/>
              </a:ln>
              <a:effectLst/>
            </c:spPr>
            <c:txPr>
              <a:bodyPr wrap="square" lIns="38100" tIns="19050" rIns="38100" bIns="19050" anchor="ctr">
                <a:spAutoFit/>
              </a:bodyPr>
              <a:lstStyle/>
              <a:p>
                <a:pPr>
                  <a:defRPr>
                    <a:solidFill>
                      <a:schemeClr val="tx1"/>
                    </a:solidFill>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participation in public debate, social education </c:v>
                </c:pt>
                <c:pt idx="1">
                  <c:v>organizing demonstrations and other public gatherings </c:v>
                </c:pt>
                <c:pt idx="2">
                  <c:v>organizing other civic activity </c:v>
                </c:pt>
                <c:pt idx="3">
                  <c:v>interventions for individuals </c:v>
                </c:pt>
                <c:pt idx="4">
                  <c:v>interventions to solve the problems of groups of people </c:v>
                </c:pt>
                <c:pt idx="5">
                  <c:v>publishing </c:v>
                </c:pt>
                <c:pt idx="6">
                  <c:v>preparation of draft legal acts </c:v>
                </c:pt>
                <c:pt idx="7">
                  <c:v>research activity </c:v>
                </c:pt>
              </c:strCache>
            </c:strRef>
          </c:cat>
          <c:val>
            <c:numRef>
              <c:f>Arkusz1!$C$2:$C$9</c:f>
              <c:numCache>
                <c:formatCode>General</c:formatCode>
                <c:ptCount val="8"/>
                <c:pt idx="0">
                  <c:v>44</c:v>
                </c:pt>
                <c:pt idx="1">
                  <c:v>30</c:v>
                </c:pt>
                <c:pt idx="2">
                  <c:v>34</c:v>
                </c:pt>
                <c:pt idx="3">
                  <c:v>28</c:v>
                </c:pt>
                <c:pt idx="4">
                  <c:v>24</c:v>
                </c:pt>
                <c:pt idx="5">
                  <c:v>33</c:v>
                </c:pt>
                <c:pt idx="6">
                  <c:v>13</c:v>
                </c:pt>
                <c:pt idx="7">
                  <c:v>7</c:v>
                </c:pt>
              </c:numCache>
            </c:numRef>
          </c:val>
          <c:extLst>
            <c:ext xmlns:c16="http://schemas.microsoft.com/office/drawing/2014/chart" uri="{C3380CC4-5D6E-409C-BE32-E72D297353CC}">
              <c16:uniqueId val="{00000001-AADF-4FA3-91DB-108A3EA31B6F}"/>
            </c:ext>
          </c:extLst>
        </c:ser>
        <c:dLbls>
          <c:showLegendKey val="0"/>
          <c:showVal val="0"/>
          <c:showCatName val="0"/>
          <c:showSerName val="0"/>
          <c:showPercent val="0"/>
          <c:showBubbleSize val="0"/>
        </c:dLbls>
        <c:gapWidth val="100"/>
        <c:axId val="366767472"/>
        <c:axId val="366768016"/>
      </c:barChart>
      <c:catAx>
        <c:axId val="366767472"/>
        <c:scaling>
          <c:orientation val="maxMin"/>
        </c:scaling>
        <c:delete val="0"/>
        <c:axPos val="l"/>
        <c:numFmt formatCode="General" sourceLinked="1"/>
        <c:majorTickMark val="none"/>
        <c:minorTickMark val="none"/>
        <c:tickLblPos val="nextTo"/>
        <c:spPr>
          <a:noFill/>
          <a:ln w="6350" cap="flat" cmpd="sng" algn="ctr">
            <a:solidFill>
              <a:srgbClr val="898989"/>
            </a:solidFill>
            <a:round/>
          </a:ln>
          <a:effectLst/>
        </c:spPr>
        <c:txPr>
          <a:bodyPr rot="-60000000" vert="horz"/>
          <a:lstStyle/>
          <a:p>
            <a:pPr>
              <a:defRPr/>
            </a:pPr>
            <a:endParaRPr lang="pl-PL"/>
          </a:p>
        </c:txPr>
        <c:crossAx val="366768016"/>
        <c:crosses val="autoZero"/>
        <c:auto val="1"/>
        <c:lblAlgn val="ctr"/>
        <c:lblOffset val="100"/>
        <c:noMultiLvlLbl val="0"/>
      </c:catAx>
      <c:valAx>
        <c:axId val="366768016"/>
        <c:scaling>
          <c:orientation val="minMax"/>
          <c:max val="50"/>
        </c:scaling>
        <c:delete val="0"/>
        <c:axPos val="t"/>
        <c:numFmt formatCode="General" sourceLinked="1"/>
        <c:majorTickMark val="out"/>
        <c:minorTickMark val="none"/>
        <c:tickLblPos val="nextTo"/>
        <c:spPr>
          <a:noFill/>
          <a:ln w="6350">
            <a:solidFill>
              <a:srgbClr val="898989"/>
            </a:solidFill>
          </a:ln>
          <a:effectLst/>
        </c:spPr>
        <c:txPr>
          <a:bodyPr rot="-60000000" vert="horz"/>
          <a:lstStyle/>
          <a:p>
            <a:pPr>
              <a:defRPr/>
            </a:pPr>
            <a:endParaRPr lang="pl-PL"/>
          </a:p>
        </c:txPr>
        <c:crossAx val="366767472"/>
        <c:crosses val="autoZero"/>
        <c:crossBetween val="between"/>
        <c:majorUnit val="50"/>
      </c:valAx>
      <c:spPr>
        <a:noFill/>
        <a:ln>
          <a:noFill/>
        </a:ln>
        <a:effectLst/>
      </c:spPr>
    </c:plotArea>
    <c:legend>
      <c:legendPos val="t"/>
      <c:legendEntry>
        <c:idx val="0"/>
        <c:txPr>
          <a:bodyPr rot="0" vert="horz"/>
          <a:lstStyle/>
          <a:p>
            <a:pPr>
              <a:defRPr/>
            </a:pPr>
            <a:endParaRPr lang="pl-PL"/>
          </a:p>
        </c:txPr>
      </c:legendEntry>
      <c:legendEntry>
        <c:idx val="1"/>
        <c:txPr>
          <a:bodyPr rot="0" vert="horz"/>
          <a:lstStyle/>
          <a:p>
            <a:pPr>
              <a:defRPr/>
            </a:pPr>
            <a:endParaRPr lang="pl-PL"/>
          </a:p>
        </c:txPr>
      </c:legendEntry>
      <c:layout>
        <c:manualLayout>
          <c:xMode val="edge"/>
          <c:yMode val="edge"/>
          <c:x val="0.20465626724356897"/>
          <c:y val="0"/>
          <c:w val="0.19621567820236899"/>
          <c:h val="7.4880411075376144E-2"/>
        </c:manualLayout>
      </c:layout>
      <c:overlay val="0"/>
      <c:spPr>
        <a:noFill/>
        <a:ln>
          <a:noFill/>
        </a:ln>
        <a:effectLst/>
      </c:spPr>
      <c:txPr>
        <a:bodyPr rot="0" vert="horz"/>
        <a:lstStyle/>
        <a:p>
          <a:pPr>
            <a:defRPr/>
          </a:pPr>
          <a:endParaRPr lang="pl-PL"/>
        </a:p>
      </c:txPr>
    </c:legend>
    <c:plotVisOnly val="1"/>
    <c:dispBlanksAs val="gap"/>
    <c:showDLblsOverMax val="0"/>
  </c:chart>
  <c:spPr>
    <a:noFill/>
    <a:ln w="9525" cap="flat" cmpd="sng" algn="ctr">
      <a:noFill/>
      <a:round/>
    </a:ln>
    <a:effectLst/>
  </c:spPr>
  <c:txPr>
    <a:bodyPr/>
    <a:lstStyle/>
    <a:p>
      <a:pPr>
        <a:defRPr sz="85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85778572336221"/>
          <c:y val="4.0994471435751384E-2"/>
          <c:w val="0.86723614014533323"/>
          <c:h val="0.73767356003576479"/>
        </c:manualLayout>
      </c:layout>
      <c:barChart>
        <c:barDir val="col"/>
        <c:grouping val="clustered"/>
        <c:varyColors val="0"/>
        <c:ser>
          <c:idx val="0"/>
          <c:order val="0"/>
          <c:tx>
            <c:strRef>
              <c:f>Arkusz1!$B$1</c:f>
              <c:strCache>
                <c:ptCount val="1"/>
                <c:pt idx="0">
                  <c:v>Partie polityczne zrzeszające:</c:v>
                </c:pt>
              </c:strCache>
            </c:strRef>
          </c:tx>
          <c:spPr>
            <a:ln>
              <a:noFill/>
            </a:ln>
          </c:spPr>
          <c:invertIfNegative val="0"/>
          <c:dPt>
            <c:idx val="0"/>
            <c:invertIfNegative val="0"/>
            <c:bubble3D val="0"/>
            <c:spPr>
              <a:solidFill>
                <a:srgbClr val="D0D5E6"/>
              </a:solidFill>
              <a:ln>
                <a:noFill/>
              </a:ln>
            </c:spPr>
            <c:extLst>
              <c:ext xmlns:c16="http://schemas.microsoft.com/office/drawing/2014/chart" uri="{C3380CC4-5D6E-409C-BE32-E72D297353CC}">
                <c16:uniqueId val="{00000001-AD61-485A-B21A-A1D267D44F3B}"/>
              </c:ext>
            </c:extLst>
          </c:dPt>
          <c:dPt>
            <c:idx val="1"/>
            <c:invertIfNegative val="0"/>
            <c:bubble3D val="0"/>
            <c:spPr>
              <a:solidFill>
                <a:srgbClr val="99A5C9"/>
              </a:solidFill>
              <a:ln>
                <a:noFill/>
              </a:ln>
            </c:spPr>
            <c:extLst>
              <c:ext xmlns:c16="http://schemas.microsoft.com/office/drawing/2014/chart" uri="{C3380CC4-5D6E-409C-BE32-E72D297353CC}">
                <c16:uniqueId val="{00000003-AD61-485A-B21A-A1D267D44F3B}"/>
              </c:ext>
            </c:extLst>
          </c:dPt>
          <c:dPt>
            <c:idx val="2"/>
            <c:invertIfNegative val="0"/>
            <c:bubble3D val="0"/>
            <c:spPr>
              <a:solidFill>
                <a:srgbClr val="6677AD"/>
              </a:solidFill>
              <a:ln>
                <a:noFill/>
              </a:ln>
            </c:spPr>
            <c:extLst>
              <c:ext xmlns:c16="http://schemas.microsoft.com/office/drawing/2014/chart" uri="{C3380CC4-5D6E-409C-BE32-E72D297353CC}">
                <c16:uniqueId val="{00000005-AD61-485A-B21A-A1D267D44F3B}"/>
              </c:ext>
            </c:extLst>
          </c:dPt>
          <c:dPt>
            <c:idx val="3"/>
            <c:invertIfNegative val="0"/>
            <c:bubble3D val="0"/>
            <c:spPr>
              <a:solidFill>
                <a:srgbClr val="001D77"/>
              </a:solidFill>
              <a:ln>
                <a:noFill/>
              </a:ln>
            </c:spPr>
            <c:extLst>
              <c:ext xmlns:c16="http://schemas.microsoft.com/office/drawing/2014/chart" uri="{C3380CC4-5D6E-409C-BE32-E72D297353CC}">
                <c16:uniqueId val="{00000007-AD61-485A-B21A-A1D267D44F3B}"/>
              </c:ext>
            </c:extLst>
          </c:dPt>
          <c:dLbls>
            <c:dLbl>
              <c:idx val="0"/>
              <c:layout>
                <c:manualLayout>
                  <c:x val="-2.4881811395869621E-3"/>
                  <c:y val="0.13186813186813187"/>
                </c:manualLayout>
              </c:layout>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61-485A-B21A-A1D267D44F3B}"/>
                </c:ext>
              </c:extLst>
            </c:dLbl>
            <c:dLbl>
              <c:idx val="1"/>
              <c:layout>
                <c:manualLayout>
                  <c:x val="0"/>
                  <c:y val="0.14652014652014644"/>
                </c:manualLayout>
              </c:layout>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61-485A-B21A-A1D267D44F3B}"/>
                </c:ext>
              </c:extLst>
            </c:dLbl>
            <c:dLbl>
              <c:idx val="2"/>
              <c:layout>
                <c:manualLayout>
                  <c:x val="0"/>
                  <c:y val="0.14652014652014653"/>
                </c:manualLayout>
              </c:layout>
              <c:tx>
                <c:rich>
                  <a:bodyPr wrap="square" lIns="38100" tIns="19050" rIns="38100" bIns="19050" anchor="ctr">
                    <a:spAutoFit/>
                  </a:bodyPr>
                  <a:lstStyle/>
                  <a:p>
                    <a:pPr>
                      <a:defRPr sz="850">
                        <a:solidFill>
                          <a:schemeClr val="bg1"/>
                        </a:solidFill>
                        <a:latin typeface="Fira Sans" panose="020B0503050000020004" pitchFamily="34" charset="0"/>
                        <a:ea typeface="Fira Sans" panose="020B0503050000020004" pitchFamily="34" charset="0"/>
                      </a:defRPr>
                    </a:pPr>
                    <a:r>
                      <a:rPr lang="en-US">
                        <a:solidFill>
                          <a:schemeClr val="bg1"/>
                        </a:solidFill>
                      </a:rPr>
                      <a:t>15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61-485A-B21A-A1D267D44F3B}"/>
                </c:ext>
              </c:extLst>
            </c:dLbl>
            <c:dLbl>
              <c:idx val="3"/>
              <c:layout>
                <c:manualLayout>
                  <c:x val="0"/>
                  <c:y val="0.11721611721611708"/>
                </c:manualLayout>
              </c:layout>
              <c:tx>
                <c:rich>
                  <a:bodyPr wrap="square" lIns="38100" tIns="19050" rIns="38100" bIns="19050" anchor="ctr">
                    <a:spAutoFit/>
                  </a:bodyPr>
                  <a:lstStyle/>
                  <a:p>
                    <a:pPr>
                      <a:defRPr sz="850">
                        <a:solidFill>
                          <a:schemeClr val="bg1"/>
                        </a:solidFill>
                        <a:latin typeface="Fira Sans" panose="020B0503050000020004" pitchFamily="34" charset="0"/>
                        <a:ea typeface="Fira Sans" panose="020B0503050000020004" pitchFamily="34" charset="0"/>
                      </a:defRPr>
                    </a:pPr>
                    <a:r>
                      <a:rPr lang="en-US">
                        <a:solidFill>
                          <a:schemeClr val="bg1"/>
                        </a:solidFill>
                      </a:rPr>
                      <a:t>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61-485A-B21A-A1D267D44F3B}"/>
                </c:ext>
              </c:extLst>
            </c:dLbl>
            <c:spPr>
              <a:noFill/>
              <a:ln>
                <a:noFill/>
              </a:ln>
              <a:effectLst/>
            </c:spPr>
            <c:txPr>
              <a:bodyPr wrap="square" lIns="38100" tIns="19050" rIns="38100" bIns="19050" anchor="ctr">
                <a:spAutoFit/>
              </a:bodyPr>
              <a:lstStyle/>
              <a:p>
                <a:pPr>
                  <a:defRPr sz="850">
                    <a:latin typeface="Fira Sans" panose="020B0503050000020004" pitchFamily="34" charset="0"/>
                    <a:ea typeface="Fira Sans" panose="020B05030500000200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Arkusz1!$A$2:$A$5</c:f>
              <c:strCache>
                <c:ptCount val="4"/>
                <c:pt idx="0">
                  <c:v>up to 100 members </c:v>
                </c:pt>
                <c:pt idx="1">
                  <c:v>over 100 to 1 thousand members </c:v>
                </c:pt>
                <c:pt idx="2">
                  <c:v>over 1 thousand up to 10 thousand members </c:v>
                </c:pt>
                <c:pt idx="3">
                  <c:v>over 10 thousand members </c:v>
                </c:pt>
              </c:strCache>
            </c:strRef>
          </c:cat>
          <c:val>
            <c:numRef>
              <c:f>Arkusz1!$B$2:$B$5</c:f>
              <c:numCache>
                <c:formatCode>0.0</c:formatCode>
                <c:ptCount val="4"/>
                <c:pt idx="0">
                  <c:v>24</c:v>
                </c:pt>
                <c:pt idx="1">
                  <c:v>19</c:v>
                </c:pt>
                <c:pt idx="2">
                  <c:v>15</c:v>
                </c:pt>
                <c:pt idx="3">
                  <c:v>4</c:v>
                </c:pt>
              </c:numCache>
            </c:numRef>
          </c:val>
          <c:extLst>
            <c:ext xmlns:c16="http://schemas.microsoft.com/office/drawing/2014/chart" uri="{C3380CC4-5D6E-409C-BE32-E72D297353CC}">
              <c16:uniqueId val="{00000008-AD61-485A-B21A-A1D267D44F3B}"/>
            </c:ext>
          </c:extLst>
        </c:ser>
        <c:dLbls>
          <c:showLegendKey val="0"/>
          <c:showVal val="0"/>
          <c:showCatName val="0"/>
          <c:showSerName val="0"/>
          <c:showPercent val="0"/>
          <c:showBubbleSize val="0"/>
        </c:dLbls>
        <c:gapWidth val="100"/>
        <c:axId val="441733120"/>
        <c:axId val="441729312"/>
      </c:barChart>
      <c:catAx>
        <c:axId val="441733120"/>
        <c:scaling>
          <c:orientation val="minMax"/>
        </c:scaling>
        <c:delete val="0"/>
        <c:axPos val="b"/>
        <c:numFmt formatCode="General" sourceLinked="1"/>
        <c:majorTickMark val="none"/>
        <c:minorTickMark val="none"/>
        <c:tickLblPos val="nextTo"/>
        <c:txPr>
          <a:bodyPr/>
          <a:lstStyle/>
          <a:p>
            <a:pPr>
              <a:defRPr sz="800">
                <a:latin typeface="Fira Sans" panose="020B0503050000020004" pitchFamily="34" charset="0"/>
                <a:ea typeface="Fira Sans" panose="020B0503050000020004" pitchFamily="34" charset="0"/>
              </a:defRPr>
            </a:pPr>
            <a:endParaRPr lang="pl-PL"/>
          </a:p>
        </c:txPr>
        <c:crossAx val="441729312"/>
        <c:crosses val="autoZero"/>
        <c:auto val="1"/>
        <c:lblAlgn val="ctr"/>
        <c:lblOffset val="100"/>
        <c:noMultiLvlLbl val="0"/>
      </c:catAx>
      <c:valAx>
        <c:axId val="441729312"/>
        <c:scaling>
          <c:orientation val="minMax"/>
        </c:scaling>
        <c:delete val="0"/>
        <c:axPos val="l"/>
        <c:numFmt formatCode="0" sourceLinked="0"/>
        <c:majorTickMark val="out"/>
        <c:minorTickMark val="none"/>
        <c:tickLblPos val="nextTo"/>
        <c:txPr>
          <a:bodyPr/>
          <a:lstStyle/>
          <a:p>
            <a:pPr>
              <a:defRPr sz="850">
                <a:latin typeface="Fira Sans" panose="020B0503050000020004" pitchFamily="34" charset="0"/>
                <a:ea typeface="Fira Sans" panose="020B0503050000020004" pitchFamily="34" charset="0"/>
              </a:defRPr>
            </a:pPr>
            <a:endParaRPr lang="pl-PL"/>
          </a:p>
        </c:txPr>
        <c:crossAx val="441733120"/>
        <c:crosses val="autoZero"/>
        <c:crossBetween val="between"/>
        <c:majorUnit val="30"/>
      </c:valAx>
    </c:plotArea>
    <c:plotVisOnly val="1"/>
    <c:dispBlanksAs val="gap"/>
    <c:showDLblsOverMax val="0"/>
  </c:chart>
  <c:spPr>
    <a:noFill/>
    <a:ln>
      <a:noFill/>
    </a:ln>
  </c:spPr>
  <c:txPr>
    <a:bodyPr/>
    <a:lstStyle/>
    <a:p>
      <a:pPr>
        <a:defRPr>
          <a:latin typeface="Arial" panose="020B0604020202020204" pitchFamily="34" charset="0"/>
          <a:cs typeface="Arial" panose="020B0604020202020204" pitchFamily="34" charset="0"/>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1D77"/>
            </a:solidFill>
            <a:ln>
              <a:noFill/>
            </a:ln>
            <a:effectLst/>
          </c:spPr>
          <c:invertIfNegative val="0"/>
          <c:dLbls>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(Arkusz4!$C$5,Arkusz4!$C$6,Arkusz4!$C$7,Arkusz4!$C$8,Arkusz4!$C$9)</c:f>
              <c:numCache>
                <c:formatCode>General</c:formatCode>
                <c:ptCount val="5"/>
                <c:pt idx="0">
                  <c:v>2012</c:v>
                </c:pt>
                <c:pt idx="1">
                  <c:v>2014</c:v>
                </c:pt>
                <c:pt idx="2">
                  <c:v>2016</c:v>
                </c:pt>
                <c:pt idx="3">
                  <c:v>2018</c:v>
                </c:pt>
                <c:pt idx="4">
                  <c:v>2020</c:v>
                </c:pt>
              </c:numCache>
            </c:numRef>
          </c:cat>
          <c:val>
            <c:numRef>
              <c:f>Arkusz4!$D$5:$D$9</c:f>
              <c:numCache>
                <c:formatCode>General</c:formatCode>
                <c:ptCount val="5"/>
                <c:pt idx="0">
                  <c:v>291.89999999999998</c:v>
                </c:pt>
                <c:pt idx="1">
                  <c:v>298.10000000000002</c:v>
                </c:pt>
                <c:pt idx="2">
                  <c:v>250.8</c:v>
                </c:pt>
                <c:pt idx="3">
                  <c:v>241.6</c:v>
                </c:pt>
                <c:pt idx="4">
                  <c:v>239.9</c:v>
                </c:pt>
              </c:numCache>
            </c:numRef>
          </c:val>
          <c:extLst>
            <c:ext xmlns:c16="http://schemas.microsoft.com/office/drawing/2014/chart" uri="{C3380CC4-5D6E-409C-BE32-E72D297353CC}">
              <c16:uniqueId val="{00000000-9597-42C9-AE54-E2C6000AD0B3}"/>
            </c:ext>
          </c:extLst>
        </c:ser>
        <c:dLbls>
          <c:dLblPos val="outEnd"/>
          <c:showLegendKey val="0"/>
          <c:showVal val="1"/>
          <c:showCatName val="0"/>
          <c:showSerName val="0"/>
          <c:showPercent val="0"/>
          <c:showBubbleSize val="0"/>
        </c:dLbls>
        <c:gapWidth val="150"/>
        <c:axId val="1336757872"/>
        <c:axId val="1254970704"/>
      </c:barChart>
      <c:catAx>
        <c:axId val="13367578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54970704"/>
        <c:crosses val="autoZero"/>
        <c:auto val="1"/>
        <c:lblAlgn val="ctr"/>
        <c:lblOffset val="100"/>
        <c:noMultiLvlLbl val="0"/>
      </c:catAx>
      <c:valAx>
        <c:axId val="1254970704"/>
        <c:scaling>
          <c:orientation val="minMax"/>
          <c:max val="300"/>
        </c:scaling>
        <c:delete val="0"/>
        <c:axPos val="l"/>
        <c:majorGridlines>
          <c:spPr>
            <a:ln w="9525" cap="flat" cmpd="sng" algn="ctr">
              <a:noFill/>
              <a:round/>
            </a:ln>
            <a:effectLst/>
          </c:spPr>
        </c:majorGridlines>
        <c:numFmt formatCode="#,##0.0&quot; thousand&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336757872"/>
        <c:crosses val="autoZero"/>
        <c:crossBetween val="between"/>
        <c:majorUnit val="3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59477981918926"/>
          <c:y val="0.19477977604870395"/>
          <c:w val="0.75654655147273253"/>
          <c:h val="0.56480377083042121"/>
        </c:manualLayout>
      </c:layout>
      <c:barChart>
        <c:barDir val="col"/>
        <c:grouping val="clustered"/>
        <c:varyColors val="0"/>
        <c:ser>
          <c:idx val="1"/>
          <c:order val="1"/>
          <c:tx>
            <c:strRef>
              <c:f>Arkusz1!$C$1</c:f>
              <c:strCache>
                <c:ptCount val="1"/>
                <c:pt idx="0">
                  <c:v>number of people working voluntarily</c:v>
                </c:pt>
              </c:strCache>
            </c:strRef>
          </c:tx>
          <c:spPr>
            <a:solidFill>
              <a:srgbClr val="001D77"/>
            </a:solidFill>
            <a:ln>
              <a:noFill/>
            </a:ln>
          </c:spPr>
          <c:invertIfNegative val="0"/>
          <c:dLbls>
            <c:dLbl>
              <c:idx val="0"/>
              <c:layout>
                <c:manualLayout>
                  <c:x val="-4.5497261564831343E-17"/>
                  <c:y val="0.48562933597621405"/>
                </c:manualLayout>
              </c:layout>
              <c:tx>
                <c:rich>
                  <a:bodyPr/>
                  <a:lstStyle/>
                  <a:p>
                    <a:fld id="{6C4020FB-B23F-44D7-99F4-382B7608F9C0}" type="VALUE">
                      <a:rPr lang="en-US"/>
                      <a:pPr/>
                      <a:t>[WARTOŚĆ]</a:t>
                    </a:fld>
                    <a:r>
                      <a:rPr lang="en-US"/>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B68-47C0-B5EF-C4DC6B5E20CA}"/>
                </c:ext>
              </c:extLst>
            </c:dLbl>
            <c:dLbl>
              <c:idx val="1"/>
              <c:layout>
                <c:manualLayout>
                  <c:x val="0"/>
                  <c:y val="0.381565906838453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68-47C0-B5EF-C4DC6B5E20CA}"/>
                </c:ext>
              </c:extLst>
            </c:dLbl>
            <c:dLbl>
              <c:idx val="2"/>
              <c:layout>
                <c:manualLayout>
                  <c:x val="0"/>
                  <c:y val="7.4331020812685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68-47C0-B5EF-C4DC6B5E20CA}"/>
                </c:ext>
              </c:extLst>
            </c:dLbl>
            <c:dLbl>
              <c:idx val="3"/>
              <c:layout>
                <c:manualLayout>
                  <c:x val="0"/>
                  <c:y val="7.4331020812685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68-47C0-B5EF-C4DC6B5E20CA}"/>
                </c:ext>
              </c:extLst>
            </c:dLbl>
            <c:spPr>
              <a:noFill/>
              <a:ln>
                <a:noFill/>
              </a:ln>
              <a:effectLst/>
            </c:spPr>
            <c:txPr>
              <a:bodyPr/>
              <a:lstStyle/>
              <a:p>
                <a:pPr>
                  <a:defRPr>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Arkusz1!$A$2:$A$5</c:f>
              <c:strCache>
                <c:ptCount val="4"/>
                <c:pt idx="0">
                  <c:v>Total</c:v>
                </c:pt>
                <c:pt idx="1">
                  <c:v>parties represented in the parliament of the Republic of Poland </c:v>
                </c:pt>
                <c:pt idx="2">
                  <c:v>parties represented only in local-government structures </c:v>
                </c:pt>
                <c:pt idx="3">
                  <c:v>other parties </c:v>
                </c:pt>
              </c:strCache>
            </c:strRef>
          </c:cat>
          <c:val>
            <c:numRef>
              <c:f>Arkusz1!$C$2:$C$5</c:f>
              <c:numCache>
                <c:formatCode>General</c:formatCode>
                <c:ptCount val="4"/>
                <c:pt idx="0">
                  <c:v>18</c:v>
                </c:pt>
                <c:pt idx="1">
                  <c:v>13.9</c:v>
                </c:pt>
                <c:pt idx="2" formatCode="0.0">
                  <c:v>2</c:v>
                </c:pt>
                <c:pt idx="3" formatCode="0.0">
                  <c:v>2.1</c:v>
                </c:pt>
              </c:numCache>
            </c:numRef>
          </c:val>
          <c:extLst>
            <c:ext xmlns:c16="http://schemas.microsoft.com/office/drawing/2014/chart" uri="{C3380CC4-5D6E-409C-BE32-E72D297353CC}">
              <c16:uniqueId val="{00000004-3B68-47C0-B5EF-C4DC6B5E20CA}"/>
            </c:ext>
          </c:extLst>
        </c:ser>
        <c:dLbls>
          <c:showLegendKey val="0"/>
          <c:showVal val="0"/>
          <c:showCatName val="0"/>
          <c:showSerName val="0"/>
          <c:showPercent val="0"/>
          <c:showBubbleSize val="0"/>
        </c:dLbls>
        <c:gapWidth val="150"/>
        <c:axId val="441733664"/>
        <c:axId val="441738560"/>
      </c:barChart>
      <c:barChart>
        <c:barDir val="col"/>
        <c:grouping val="clustered"/>
        <c:varyColors val="0"/>
        <c:ser>
          <c:idx val="0"/>
          <c:order val="0"/>
          <c:tx>
            <c:strRef>
              <c:f>Arkusz1!$B$1</c:f>
              <c:strCache>
                <c:ptCount val="1"/>
                <c:pt idx="0">
                  <c:v>average number of people working voluntarily </c:v>
                </c:pt>
              </c:strCache>
            </c:strRef>
          </c:tx>
          <c:spPr>
            <a:noFill/>
          </c:spPr>
          <c:invertIfNegative val="0"/>
          <c:dLbls>
            <c:dLbl>
              <c:idx val="0"/>
              <c:tx>
                <c:rich>
                  <a:bodyPr/>
                  <a:lstStyle/>
                  <a:p>
                    <a:r>
                      <a:rPr lang="en-US"/>
                      <a:t>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68-47C0-B5EF-C4DC6B5E20CA}"/>
                </c:ext>
              </c:extLst>
            </c:dLbl>
            <c:dLbl>
              <c:idx val="1"/>
              <c:layout>
                <c:manualLayout>
                  <c:x val="0"/>
                  <c:y val="4.9554013875123884E-2"/>
                </c:manualLayout>
              </c:layout>
              <c:tx>
                <c:rich>
                  <a:bodyPr/>
                  <a:lstStyle/>
                  <a:p>
                    <a:fld id="{C2C74070-2616-4301-9EF2-78F2EEFEEDC6}" type="VALUE">
                      <a:rPr lang="en-US"/>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3B68-47C0-B5EF-C4DC6B5E20CA}"/>
                </c:ext>
              </c:extLst>
            </c:dLbl>
            <c:dLbl>
              <c:idx val="2"/>
              <c:layout>
                <c:manualLayout>
                  <c:x val="0"/>
                  <c:y val="1.2118882810610021E-2"/>
                </c:manualLayout>
              </c:layout>
              <c:tx>
                <c:rich>
                  <a:bodyPr/>
                  <a:lstStyle/>
                  <a:p>
                    <a:r>
                      <a:rPr lang="en-US"/>
                      <a:t>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68-47C0-B5EF-C4DC6B5E20CA}"/>
                </c:ext>
              </c:extLst>
            </c:dLbl>
            <c:dLbl>
              <c:idx val="3"/>
              <c:layout>
                <c:manualLayout>
                  <c:x val="0"/>
                  <c:y val="-4.0199219366920107E-2"/>
                </c:manualLayout>
              </c:layout>
              <c:tx>
                <c:rich>
                  <a:bodyPr/>
                  <a:lstStyle/>
                  <a:p>
                    <a:r>
                      <a:rPr lang="en-US"/>
                      <a:t>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B68-47C0-B5EF-C4DC6B5E20CA}"/>
                </c:ext>
              </c:extLst>
            </c:dLbl>
            <c:spPr>
              <a:solidFill>
                <a:srgbClr val="B3BCD7"/>
              </a:solidFill>
              <a:ln>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Total</c:v>
                </c:pt>
                <c:pt idx="1">
                  <c:v>parties represented in the parliament of the Republic of Poland </c:v>
                </c:pt>
                <c:pt idx="2">
                  <c:v>parties represented only in local-government structures </c:v>
                </c:pt>
                <c:pt idx="3">
                  <c:v>other parties </c:v>
                </c:pt>
              </c:strCache>
            </c:strRef>
          </c:cat>
          <c:val>
            <c:numRef>
              <c:f>Arkusz1!$B$2:$B$5</c:f>
              <c:numCache>
                <c:formatCode>General</c:formatCode>
                <c:ptCount val="4"/>
                <c:pt idx="0">
                  <c:v>0.3</c:v>
                </c:pt>
                <c:pt idx="1">
                  <c:v>0.8</c:v>
                </c:pt>
                <c:pt idx="2">
                  <c:v>0.3</c:v>
                </c:pt>
                <c:pt idx="3">
                  <c:v>0.1</c:v>
                </c:pt>
              </c:numCache>
            </c:numRef>
          </c:val>
          <c:extLst>
            <c:ext xmlns:c16="http://schemas.microsoft.com/office/drawing/2014/chart" uri="{C3380CC4-5D6E-409C-BE32-E72D297353CC}">
              <c16:uniqueId val="{00000009-3B68-47C0-B5EF-C4DC6B5E20CA}"/>
            </c:ext>
          </c:extLst>
        </c:ser>
        <c:dLbls>
          <c:showLegendKey val="0"/>
          <c:showVal val="0"/>
          <c:showCatName val="0"/>
          <c:showSerName val="0"/>
          <c:showPercent val="0"/>
          <c:showBubbleSize val="0"/>
        </c:dLbls>
        <c:gapWidth val="150"/>
        <c:axId val="441739648"/>
        <c:axId val="441739104"/>
      </c:barChart>
      <c:catAx>
        <c:axId val="441733664"/>
        <c:scaling>
          <c:orientation val="minMax"/>
        </c:scaling>
        <c:delete val="0"/>
        <c:axPos val="b"/>
        <c:numFmt formatCode="General" sourceLinked="0"/>
        <c:majorTickMark val="none"/>
        <c:minorTickMark val="none"/>
        <c:tickLblPos val="nextTo"/>
        <c:crossAx val="441738560"/>
        <c:crosses val="autoZero"/>
        <c:auto val="1"/>
        <c:lblAlgn val="ctr"/>
        <c:lblOffset val="100"/>
        <c:noMultiLvlLbl val="0"/>
      </c:catAx>
      <c:valAx>
        <c:axId val="441738560"/>
        <c:scaling>
          <c:orientation val="minMax"/>
          <c:max val="20"/>
          <c:min val="0"/>
        </c:scaling>
        <c:delete val="0"/>
        <c:axPos val="l"/>
        <c:numFmt formatCode="#,##0.0&quot; thousand&quot;" sourceLinked="0"/>
        <c:majorTickMark val="out"/>
        <c:minorTickMark val="none"/>
        <c:tickLblPos val="nextTo"/>
        <c:spPr>
          <a:solidFill>
            <a:srgbClr val="001D77"/>
          </a:solidFill>
        </c:spPr>
        <c:txPr>
          <a:bodyPr/>
          <a:lstStyle/>
          <a:p>
            <a:pPr>
              <a:defRPr>
                <a:solidFill>
                  <a:schemeClr val="bg1"/>
                </a:solidFill>
              </a:defRPr>
            </a:pPr>
            <a:endParaRPr lang="pl-PL"/>
          </a:p>
        </c:txPr>
        <c:crossAx val="441733664"/>
        <c:crosses val="autoZero"/>
        <c:crossBetween val="between"/>
        <c:majorUnit val="20"/>
      </c:valAx>
      <c:valAx>
        <c:axId val="441739104"/>
        <c:scaling>
          <c:orientation val="minMax"/>
          <c:max val="1"/>
          <c:min val="0"/>
        </c:scaling>
        <c:delete val="0"/>
        <c:axPos val="r"/>
        <c:numFmt formatCode="#,##0.0&quot; thousand&quot;" sourceLinked="0"/>
        <c:majorTickMark val="out"/>
        <c:minorTickMark val="none"/>
        <c:tickLblPos val="nextTo"/>
        <c:spPr>
          <a:solidFill>
            <a:srgbClr val="B3BCD7"/>
          </a:solidFill>
        </c:spPr>
        <c:crossAx val="441739648"/>
        <c:crosses val="max"/>
        <c:crossBetween val="between"/>
        <c:majorUnit val="1"/>
      </c:valAx>
      <c:catAx>
        <c:axId val="441739648"/>
        <c:scaling>
          <c:orientation val="minMax"/>
        </c:scaling>
        <c:delete val="1"/>
        <c:axPos val="b"/>
        <c:numFmt formatCode="General" sourceLinked="1"/>
        <c:majorTickMark val="out"/>
        <c:minorTickMark val="none"/>
        <c:tickLblPos val="nextTo"/>
        <c:crossAx val="441739104"/>
        <c:crosses val="autoZero"/>
        <c:auto val="1"/>
        <c:lblAlgn val="ctr"/>
        <c:lblOffset val="100"/>
        <c:noMultiLvlLbl val="0"/>
      </c:catAx>
    </c:plotArea>
    <c:legend>
      <c:legendPos val="t"/>
      <c:overlay val="0"/>
    </c:legend>
    <c:plotVisOnly val="1"/>
    <c:dispBlanksAs val="gap"/>
    <c:showDLblsOverMax val="0"/>
  </c:chart>
  <c:spPr>
    <a:noFill/>
    <a:ln>
      <a:noFill/>
    </a:ln>
  </c:spPr>
  <c:txPr>
    <a:bodyPr/>
    <a:lstStyle/>
    <a:p>
      <a:pPr>
        <a:defRPr sz="85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73051373464309"/>
          <c:y val="6.535947712418301E-2"/>
          <c:w val="0.83326948626535691"/>
          <c:h val="0.70100390204332808"/>
        </c:manualLayout>
      </c:layout>
      <c:barChart>
        <c:barDir val="col"/>
        <c:grouping val="clustered"/>
        <c:varyColors val="0"/>
        <c:ser>
          <c:idx val="1"/>
          <c:order val="0"/>
          <c:tx>
            <c:strRef>
              <c:f>Arkusz1!$C$1</c:f>
              <c:strCache>
                <c:ptCount val="1"/>
                <c:pt idx="0">
                  <c:v>2020</c:v>
                </c:pt>
              </c:strCache>
            </c:strRef>
          </c:tx>
          <c:spPr>
            <a:solidFill>
              <a:srgbClr val="001D77"/>
            </a:solidFill>
            <a:ln>
              <a:noFill/>
            </a:ln>
            <a:effectLst/>
          </c:spPr>
          <c:invertIfNegative val="0"/>
          <c:dLbls>
            <c:numFmt formatCode="#,##0.0" sourceLinked="0"/>
            <c:spPr>
              <a:noFill/>
              <a:ln>
                <a:noFill/>
              </a:ln>
              <a:effectLst/>
            </c:spPr>
            <c:txPr>
              <a:bodyPr rot="0" vert="horz"/>
              <a:lstStyle/>
              <a:p>
                <a:pPr>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3"/>
                <c:pt idx="0">
                  <c:v>parties with representatives in the parliament</c:v>
                </c:pt>
                <c:pt idx="1">
                  <c:v>parties with representatives only in local government</c:v>
                </c:pt>
                <c:pt idx="2">
                  <c:v>parties without representation in government</c:v>
                </c:pt>
              </c:strCache>
            </c:strRef>
          </c:cat>
          <c:val>
            <c:numRef>
              <c:f>Arkusz1!$C$2:$C$5</c:f>
              <c:numCache>
                <c:formatCode>0.0</c:formatCode>
                <c:ptCount val="3"/>
                <c:pt idx="0">
                  <c:v>161.6</c:v>
                </c:pt>
                <c:pt idx="1">
                  <c:v>0.9</c:v>
                </c:pt>
                <c:pt idx="2">
                  <c:v>0.7</c:v>
                </c:pt>
              </c:numCache>
            </c:numRef>
          </c:val>
          <c:extLst>
            <c:ext xmlns:c16="http://schemas.microsoft.com/office/drawing/2014/chart" uri="{C3380CC4-5D6E-409C-BE32-E72D297353CC}">
              <c16:uniqueId val="{00000000-2257-42A2-8ECC-658BC53D19B5}"/>
            </c:ext>
          </c:extLst>
        </c:ser>
        <c:ser>
          <c:idx val="0"/>
          <c:order val="1"/>
          <c:tx>
            <c:strRef>
              <c:f>Arkusz1!$B$1</c:f>
              <c:strCache>
                <c:ptCount val="1"/>
                <c:pt idx="0">
                  <c:v>2018</c:v>
                </c:pt>
              </c:strCache>
            </c:strRef>
          </c:tx>
          <c:spPr>
            <a:solidFill>
              <a:srgbClr val="6677AD"/>
            </a:solidFill>
            <a:ln>
              <a:noFill/>
            </a:ln>
            <a:effectLst/>
          </c:spPr>
          <c:invertIfNegative val="0"/>
          <c:dLbls>
            <c:numFmt formatCode="#,##0.0" sourceLinked="0"/>
            <c:spPr>
              <a:noFill/>
              <a:ln>
                <a:noFill/>
              </a:ln>
              <a:effectLst/>
            </c:spPr>
            <c:txPr>
              <a:bodyPr rot="0" vert="horz"/>
              <a:lstStyle/>
              <a:p>
                <a:pPr>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3"/>
                <c:pt idx="0">
                  <c:v>parties with representatives in the parliament</c:v>
                </c:pt>
                <c:pt idx="1">
                  <c:v>parties with representatives only in local government</c:v>
                </c:pt>
                <c:pt idx="2">
                  <c:v>parties without representation in government</c:v>
                </c:pt>
              </c:strCache>
            </c:strRef>
          </c:cat>
          <c:val>
            <c:numRef>
              <c:f>Arkusz1!$B$2:$B$5</c:f>
              <c:numCache>
                <c:formatCode>0.0</c:formatCode>
                <c:ptCount val="3"/>
                <c:pt idx="0">
                  <c:v>97.232613999999998</c:v>
                </c:pt>
                <c:pt idx="1">
                  <c:v>17.769825999999998</c:v>
                </c:pt>
                <c:pt idx="2">
                  <c:v>5.5690910000000002</c:v>
                </c:pt>
              </c:numCache>
            </c:numRef>
          </c:val>
          <c:extLst>
            <c:ext xmlns:c16="http://schemas.microsoft.com/office/drawing/2014/chart" uri="{C3380CC4-5D6E-409C-BE32-E72D297353CC}">
              <c16:uniqueId val="{00000001-2257-42A2-8ECC-658BC53D19B5}"/>
            </c:ext>
          </c:extLst>
        </c:ser>
        <c:dLbls>
          <c:dLblPos val="outEnd"/>
          <c:showLegendKey val="0"/>
          <c:showVal val="1"/>
          <c:showCatName val="0"/>
          <c:showSerName val="0"/>
          <c:showPercent val="0"/>
          <c:showBubbleSize val="0"/>
        </c:dLbls>
        <c:gapWidth val="219"/>
        <c:overlap val="-27"/>
        <c:axId val="441740736"/>
        <c:axId val="441734208"/>
      </c:barChart>
      <c:catAx>
        <c:axId val="441740736"/>
        <c:scaling>
          <c:orientation val="minMax"/>
        </c:scaling>
        <c:delete val="0"/>
        <c:axPos val="b"/>
        <c:numFmt formatCode="General" sourceLinked="1"/>
        <c:majorTickMark val="none"/>
        <c:minorTickMark val="none"/>
        <c:tickLblPos val="nextTo"/>
        <c:spPr>
          <a:noFill/>
          <a:ln w="9525" cap="flat" cmpd="sng" algn="ctr">
            <a:solidFill>
              <a:srgbClr val="898989"/>
            </a:solidFill>
            <a:round/>
          </a:ln>
          <a:effectLst/>
        </c:spPr>
        <c:txPr>
          <a:bodyPr rot="-60000000" vert="horz"/>
          <a:lstStyle/>
          <a:p>
            <a:pPr>
              <a:defRPr/>
            </a:pPr>
            <a:endParaRPr lang="pl-PL"/>
          </a:p>
        </c:txPr>
        <c:crossAx val="441734208"/>
        <c:crosses val="autoZero"/>
        <c:auto val="1"/>
        <c:lblAlgn val="ctr"/>
        <c:lblOffset val="100"/>
        <c:noMultiLvlLbl val="0"/>
      </c:catAx>
      <c:valAx>
        <c:axId val="441734208"/>
        <c:scaling>
          <c:orientation val="minMax"/>
        </c:scaling>
        <c:delete val="0"/>
        <c:axPos val="l"/>
        <c:numFmt formatCode="#,##0.0&quot; mln PLN&quot;" sourceLinked="0"/>
        <c:majorTickMark val="out"/>
        <c:minorTickMark val="none"/>
        <c:tickLblPos val="nextTo"/>
        <c:spPr>
          <a:noFill/>
          <a:ln>
            <a:solidFill>
              <a:srgbClr val="898989"/>
            </a:solidFill>
          </a:ln>
          <a:effectLst/>
        </c:spPr>
        <c:txPr>
          <a:bodyPr rot="-60000000" vert="horz"/>
          <a:lstStyle/>
          <a:p>
            <a:pPr>
              <a:defRPr/>
            </a:pPr>
            <a:endParaRPr lang="pl-PL"/>
          </a:p>
        </c:txPr>
        <c:crossAx val="441740736"/>
        <c:crosses val="autoZero"/>
        <c:crossBetween val="between"/>
        <c:majorUnit val="200"/>
      </c:valAx>
      <c:spPr>
        <a:noFill/>
        <a:ln>
          <a:noFill/>
        </a:ln>
        <a:effectLst/>
      </c:spPr>
    </c:plotArea>
    <c:legend>
      <c:legendPos val="b"/>
      <c:layout>
        <c:manualLayout>
          <c:xMode val="edge"/>
          <c:yMode val="edge"/>
          <c:x val="0.41194191559078536"/>
          <c:y val="1.0662787933035938E-3"/>
          <c:w val="0.19761975065616799"/>
          <c:h val="9.7347090338830239E-2"/>
        </c:manualLayout>
      </c:layout>
      <c:overlay val="0"/>
      <c:spPr>
        <a:noFill/>
        <a:ln>
          <a:noFill/>
        </a:ln>
        <a:effectLst/>
      </c:spPr>
      <c:txPr>
        <a:bodyPr rot="0" vert="horz"/>
        <a:lstStyle/>
        <a:p>
          <a:pPr>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5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183505267606954"/>
          <c:y val="8.9645854127388999E-2"/>
          <c:w val="0.4497368153285014"/>
          <c:h val="0.88970530911358847"/>
        </c:manualLayout>
      </c:layout>
      <c:barChart>
        <c:barDir val="bar"/>
        <c:grouping val="clustered"/>
        <c:varyColors val="0"/>
        <c:ser>
          <c:idx val="0"/>
          <c:order val="0"/>
          <c:tx>
            <c:strRef>
              <c:f>Arkusz1!$B$1</c:f>
              <c:strCache>
                <c:ptCount val="1"/>
                <c:pt idx="0">
                  <c:v>2020</c:v>
                </c:pt>
              </c:strCache>
            </c:strRef>
          </c:tx>
          <c:spPr>
            <a:solidFill>
              <a:srgbClr val="001D77"/>
            </a:solidFill>
            <a:ln>
              <a:noFill/>
            </a:ln>
            <a:effectLst/>
          </c:spPr>
          <c:invertIfNegative val="0"/>
          <c:dLbls>
            <c:dLbl>
              <c:idx val="1"/>
              <c:tx>
                <c:rich>
                  <a:bodyPr/>
                  <a:lstStyle/>
                  <a:p>
                    <a:fld id="{42DFE5E4-361D-4BA9-AC94-0161D9A38F99}" type="VALUE">
                      <a:rPr lang="en-US"/>
                      <a:pPr/>
                      <a:t>[WARTOŚĆ]</a:t>
                    </a:fld>
                    <a:endParaRPr lang="pl-PL"/>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C6B-44D8-8740-A36856A9AD08}"/>
                </c:ext>
              </c:extLst>
            </c:dLbl>
            <c:spPr>
              <a:noFill/>
              <a:ln>
                <a:noFill/>
              </a:ln>
              <a:effectLst/>
            </c:spPr>
            <c:txPr>
              <a:bodyPr wrap="square" lIns="38100" tIns="19050" rIns="38100" bIns="19050" anchor="ctr">
                <a:spAutoFit/>
              </a:bodyPr>
              <a:lstStyle/>
              <a:p>
                <a:pPr>
                  <a:defRPr>
                    <a:solidFill>
                      <a:schemeClr val="tx1"/>
                    </a:solidFill>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Reduced frequency of intra-party meetings, contacts with electorate and public gatherings</c:v>
                </c:pt>
                <c:pt idx="1">
                  <c:v>Problems with organizing party congresses and conventions; difficulties with running internal elections and campaigning in the presidential contest</c:v>
                </c:pt>
                <c:pt idx="2">
                  <c:v>Difficulties in communication with public institutions, with other parties, and in dealing with other organizations</c:v>
                </c:pt>
                <c:pt idx="3">
                  <c:v>Decreased activity of party members </c:v>
                </c:pt>
                <c:pt idx="4">
                  <c:v>Change of work organization (implementation of electronic services/remote work)</c:v>
                </c:pt>
              </c:strCache>
            </c:strRef>
          </c:cat>
          <c:val>
            <c:numRef>
              <c:f>Arkusz1!$B$2:$B$6</c:f>
              <c:numCache>
                <c:formatCode>General</c:formatCode>
                <c:ptCount val="5"/>
                <c:pt idx="0">
                  <c:v>36</c:v>
                </c:pt>
                <c:pt idx="1">
                  <c:v>6</c:v>
                </c:pt>
                <c:pt idx="2">
                  <c:v>5</c:v>
                </c:pt>
                <c:pt idx="3">
                  <c:v>4</c:v>
                </c:pt>
                <c:pt idx="4">
                  <c:v>3</c:v>
                </c:pt>
              </c:numCache>
            </c:numRef>
          </c:val>
          <c:extLst>
            <c:ext xmlns:c16="http://schemas.microsoft.com/office/drawing/2014/chart" uri="{C3380CC4-5D6E-409C-BE32-E72D297353CC}">
              <c16:uniqueId val="{00000001-AC6B-44D8-8740-A36856A9AD08}"/>
            </c:ext>
          </c:extLst>
        </c:ser>
        <c:dLbls>
          <c:showLegendKey val="0"/>
          <c:showVal val="0"/>
          <c:showCatName val="0"/>
          <c:showSerName val="0"/>
          <c:showPercent val="0"/>
          <c:showBubbleSize val="0"/>
        </c:dLbls>
        <c:gapWidth val="122"/>
        <c:axId val="441732576"/>
        <c:axId val="441725504"/>
      </c:barChart>
      <c:catAx>
        <c:axId val="441732576"/>
        <c:scaling>
          <c:orientation val="maxMin"/>
        </c:scaling>
        <c:delete val="0"/>
        <c:axPos val="l"/>
        <c:numFmt formatCode="General" sourceLinked="1"/>
        <c:majorTickMark val="none"/>
        <c:minorTickMark val="none"/>
        <c:tickLblPos val="nextTo"/>
        <c:spPr>
          <a:noFill/>
          <a:ln w="6350" cap="flat" cmpd="sng" algn="ctr">
            <a:solidFill>
              <a:srgbClr val="898989"/>
            </a:solidFill>
            <a:round/>
          </a:ln>
          <a:effectLst/>
        </c:spPr>
        <c:txPr>
          <a:bodyPr rot="-60000000" vert="horz"/>
          <a:lstStyle/>
          <a:p>
            <a:pPr>
              <a:defRPr/>
            </a:pPr>
            <a:endParaRPr lang="pl-PL"/>
          </a:p>
        </c:txPr>
        <c:crossAx val="441725504"/>
        <c:crosses val="autoZero"/>
        <c:auto val="1"/>
        <c:lblAlgn val="ctr"/>
        <c:lblOffset val="100"/>
        <c:noMultiLvlLbl val="0"/>
      </c:catAx>
      <c:valAx>
        <c:axId val="441725504"/>
        <c:scaling>
          <c:orientation val="minMax"/>
          <c:max val="40"/>
        </c:scaling>
        <c:delete val="0"/>
        <c:axPos val="t"/>
        <c:numFmt formatCode="General" sourceLinked="0"/>
        <c:majorTickMark val="out"/>
        <c:minorTickMark val="none"/>
        <c:tickLblPos val="nextTo"/>
        <c:spPr>
          <a:noFill/>
          <a:ln w="6350">
            <a:solidFill>
              <a:srgbClr val="898989"/>
            </a:solidFill>
          </a:ln>
          <a:effectLst/>
        </c:spPr>
        <c:txPr>
          <a:bodyPr rot="-60000000" vert="horz"/>
          <a:lstStyle/>
          <a:p>
            <a:pPr>
              <a:defRPr/>
            </a:pPr>
            <a:endParaRPr lang="pl-PL"/>
          </a:p>
        </c:txPr>
        <c:crossAx val="441732576"/>
        <c:crosses val="autoZero"/>
        <c:crossBetween val="between"/>
        <c:majorUnit val="40"/>
      </c:valAx>
      <c:spPr>
        <a:noFill/>
        <a:ln>
          <a:noFill/>
        </a:ln>
        <a:effectLst/>
      </c:spPr>
    </c:plotArea>
    <c:plotVisOnly val="1"/>
    <c:dispBlanksAs val="gap"/>
    <c:showDLblsOverMax val="0"/>
  </c:chart>
  <c:spPr>
    <a:noFill/>
    <a:ln w="9525" cap="flat" cmpd="sng" algn="ctr">
      <a:noFill/>
      <a:round/>
    </a:ln>
    <a:effectLst/>
  </c:spPr>
  <c:txPr>
    <a:bodyPr/>
    <a:lstStyle/>
    <a:p>
      <a:pPr>
        <a:defRPr sz="85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0.47608</cdr:x>
      <cdr:y>0.05647</cdr:y>
    </cdr:from>
    <cdr:to>
      <cdr:x>0.48754</cdr:x>
      <cdr:y>0.08005</cdr:y>
    </cdr:to>
    <cdr:sp macro="" textlink="">
      <cdr:nvSpPr>
        <cdr:cNvPr id="2" name="Prostokąt 1"/>
        <cdr:cNvSpPr/>
      </cdr:nvSpPr>
      <cdr:spPr>
        <a:xfrm xmlns:a="http://schemas.openxmlformats.org/drawingml/2006/main">
          <a:off x="2463508" y="144725"/>
          <a:ext cx="59315" cy="60436"/>
        </a:xfrm>
        <a:prstGeom xmlns:a="http://schemas.openxmlformats.org/drawingml/2006/main" prst="rect">
          <a:avLst/>
        </a:prstGeom>
        <a:solidFill xmlns:a="http://schemas.openxmlformats.org/drawingml/2006/main">
          <a:srgbClr val="B3BCD7"/>
        </a:solidFill>
        <a:ln xmlns:a="http://schemas.openxmlformats.org/drawingml/2006/main" w="12700">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otat_partie_2012">
    <a:dk1>
      <a:srgbClr val="000000"/>
    </a:dk1>
    <a:lt1>
      <a:sysClr val="window" lastClr="FFFFFF"/>
    </a:lt1>
    <a:dk2>
      <a:srgbClr val="7F7F7F"/>
    </a:dk2>
    <a:lt2>
      <a:srgbClr val="FFFFFF"/>
    </a:lt2>
    <a:accent1>
      <a:srgbClr val="CCCCFF"/>
    </a:accent1>
    <a:accent2>
      <a:srgbClr val="6565FF"/>
    </a:accent2>
    <a:accent3>
      <a:srgbClr val="B48FFF"/>
    </a:accent3>
    <a:accent4>
      <a:srgbClr val="9999FF"/>
    </a:accent4>
    <a:accent5>
      <a:srgbClr val="9933FF"/>
    </a:accent5>
    <a:accent6>
      <a:srgbClr val="6600FF"/>
    </a:accent6>
    <a:hlink>
      <a:srgbClr val="002060"/>
    </a:hlink>
    <a:folHlink>
      <a:srgbClr val="7030A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notat_partie_2012">
    <a:dk1>
      <a:srgbClr val="000000"/>
    </a:dk1>
    <a:lt1>
      <a:sysClr val="window" lastClr="FFFFFF"/>
    </a:lt1>
    <a:dk2>
      <a:srgbClr val="7F7F7F"/>
    </a:dk2>
    <a:lt2>
      <a:srgbClr val="FFFFFF"/>
    </a:lt2>
    <a:accent1>
      <a:srgbClr val="CCCCFF"/>
    </a:accent1>
    <a:accent2>
      <a:srgbClr val="6565FF"/>
    </a:accent2>
    <a:accent3>
      <a:srgbClr val="B48FFF"/>
    </a:accent3>
    <a:accent4>
      <a:srgbClr val="9999FF"/>
    </a:accent4>
    <a:accent5>
      <a:srgbClr val="9933FF"/>
    </a:accent5>
    <a:accent6>
      <a:srgbClr val="6600FF"/>
    </a:accent6>
    <a:hlink>
      <a:srgbClr val="002060"/>
    </a:hlink>
    <a:folHlink>
      <a:srgbClr val="7030A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8C029B3F-2CC4-4A59-AF0D-A90575FA3373" xsi:nil="true"/>
    <Osoba xmlns="8C029B3F-2CC4-4A59-AF0D-A90575FA3373">STAT\SWIATEKJ1</Osoba>
    <NazwaPliku xmlns="8C029B3F-2CC4-4A59-AF0D-A90575FA3373">Political parties in 2020.docx.docx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A550E-26DC-4902-87BA-BFF03B238D28}"/>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43FAA48-33D9-47B9-824C-6CB96122F006}"/>
</file>

<file path=docProps/app.xml><?xml version="1.0" encoding="utf-8"?>
<Properties xmlns="http://schemas.openxmlformats.org/officeDocument/2006/extended-properties" xmlns:vt="http://schemas.openxmlformats.org/officeDocument/2006/docPropsVTypes">
  <Template>Normal</Template>
  <TotalTime>400</TotalTime>
  <Pages>7</Pages>
  <Words>1892</Words>
  <Characters>11357</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2020-02-04T14:32:00Z</cp:lastPrinted>
  <dcterms:created xsi:type="dcterms:W3CDTF">2021-12-30T14:04:00Z</dcterms:created>
  <dcterms:modified xsi:type="dcterms:W3CDTF">2022-01-19T06:38:00Z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