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54443CE8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January-</w:t>
      </w:r>
      <w:r w:rsidR="00FF4261">
        <w:rPr>
          <w:szCs w:val="32"/>
          <w:lang w:val="en-GB"/>
        </w:rPr>
        <w:t>November</w:t>
      </w:r>
      <w:r w:rsidR="00D860E0">
        <w:rPr>
          <w:szCs w:val="32"/>
          <w:lang w:val="en-GB"/>
        </w:rPr>
        <w:t xml:space="preserve"> </w:t>
      </w:r>
      <w:r w:rsidR="00A4625F">
        <w:rPr>
          <w:szCs w:val="32"/>
          <w:shd w:val="clear" w:color="auto" w:fill="FFFFFF"/>
          <w:lang w:val="en-GB"/>
        </w:rPr>
        <w:t>2022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5A8B9A9D" w:rsidR="00095A18" w:rsidRPr="004829B9" w:rsidRDefault="00941380" w:rsidP="00896EB9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6FCA749F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1.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08023E3B" w:rsidR="00A4625F" w:rsidRPr="00A4625F" w:rsidRDefault="00D860E0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="00A4625F"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331E5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101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FF426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7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101.7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" fillcolor="#001d77" stroked="f">
                <v:stroke joinstyle="miter"/>
                <v:textbox>
                  <w:txbxContent>
                    <w:p w14:paraId="0C77FD05" w14:textId="08023E3B" w:rsidR="00A4625F" w:rsidRPr="00A4625F" w:rsidRDefault="00D860E0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="00A4625F"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331E5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101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FF426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7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87AD0" w:rsidRPr="00087AD0">
        <w:rPr>
          <w:lang w:val="en-GB"/>
        </w:rPr>
        <w:t xml:space="preserve">From January </w:t>
      </w:r>
      <w:r w:rsidR="00087AD0">
        <w:rPr>
          <w:lang w:val="en-GB"/>
        </w:rPr>
        <w:t>to</w:t>
      </w:r>
      <w:r w:rsidR="00087AD0" w:rsidRPr="00087AD0">
        <w:rPr>
          <w:lang w:val="en-GB"/>
        </w:rPr>
        <w:t xml:space="preserve"> </w:t>
      </w:r>
      <w:r w:rsidR="00087AD0">
        <w:rPr>
          <w:lang w:val="en-GB"/>
        </w:rPr>
        <w:t xml:space="preserve">the </w:t>
      </w:r>
      <w:r w:rsidR="00087AD0" w:rsidRPr="00087AD0">
        <w:rPr>
          <w:lang w:val="en-GB"/>
        </w:rPr>
        <w:t xml:space="preserve">end of </w:t>
      </w:r>
      <w:r w:rsidR="00FF4261">
        <w:rPr>
          <w:lang w:val="en-GB"/>
        </w:rPr>
        <w:t>November</w:t>
      </w:r>
      <w:r w:rsidR="00A4625F" w:rsidRPr="00087AD0">
        <w:rPr>
          <w:lang w:val="en-GB"/>
        </w:rPr>
        <w:t xml:space="preserve"> </w:t>
      </w:r>
      <w:r w:rsidR="00087AD0">
        <w:rPr>
          <w:lang w:val="en-GB"/>
        </w:rPr>
        <w:t>this year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860E0">
        <w:rPr>
          <w:lang w:val="en-GB"/>
        </w:rPr>
        <w:t xml:space="preserve">more </w:t>
      </w:r>
      <w:r w:rsidR="00AD1492" w:rsidRPr="004829B9">
        <w:rPr>
          <w:lang w:val="en-GB"/>
        </w:rPr>
        <w:t xml:space="preserve">dwellings completed than the year before. </w:t>
      </w:r>
      <w:r w:rsidR="00D860E0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6C1C395C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0.5% and 38.0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1E506985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B40D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F4261">
                              <w:rPr>
                                <w:lang w:val="en-US"/>
                              </w:rPr>
                              <w:t>60</w:t>
                            </w:r>
                            <w:r w:rsidR="005744C0" w:rsidRPr="006D53F2">
                              <w:rPr>
                                <w:lang w:val="en-US"/>
                              </w:rPr>
                              <w:t>.</w:t>
                            </w:r>
                            <w:r w:rsidR="00FF4261">
                              <w:rPr>
                                <w:lang w:val="en-US"/>
                              </w:rPr>
                              <w:t>5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FF4261">
                              <w:rPr>
                                <w:lang w:val="en-US"/>
                              </w:rPr>
                              <w:t>38.0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Developers and private investors completed respectively: 60.5% and 38.0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B1cqfrXwIAAHEEAAAOAAAAAAAAAAAAAAAAAC4CAABkcnMvZTJvRG9j&#10;LnhtbFBLAQItABQABgAIAAAAIQC5xbe23QAAAAkBAAAPAAAAAAAAAAAAAAAAALkEAABkcnMvZG93&#10;bnJldi54bWxQSwUGAAAAAAQABADzAAAAwwUAAAAA&#10;" filled="f" stroked="f">
                <v:textbox>
                  <w:txbxContent>
                    <w:p w14:paraId="55217834" w14:textId="1E506985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B40D7D">
                        <w:rPr>
                          <w:lang w:val="en-US"/>
                        </w:rPr>
                        <w:t xml:space="preserve"> </w:t>
                      </w:r>
                      <w:r w:rsidR="00FF4261">
                        <w:rPr>
                          <w:lang w:val="en-US"/>
                        </w:rPr>
                        <w:t>60</w:t>
                      </w:r>
                      <w:r w:rsidR="005744C0" w:rsidRPr="006D53F2">
                        <w:rPr>
                          <w:lang w:val="en-US"/>
                        </w:rPr>
                        <w:t>.</w:t>
                      </w:r>
                      <w:r w:rsidR="00FF4261">
                        <w:rPr>
                          <w:lang w:val="en-US"/>
                        </w:rPr>
                        <w:t>5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FF4261">
                        <w:rPr>
                          <w:lang w:val="en-US"/>
                        </w:rPr>
                        <w:t>38.0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4479D792" w:rsidR="0042048D" w:rsidRPr="0080490A" w:rsidRDefault="00AD1492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="00F5450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111FD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D20CD1">
        <w:rPr>
          <w:rFonts w:eastAsia="Times New Roman" w:cs="Times New Roman"/>
          <w:spacing w:val="-2"/>
          <w:szCs w:val="19"/>
          <w:lang w:val="en-GB" w:eastAsia="pl-PL"/>
        </w:rPr>
        <w:t>214.2</w:t>
      </w:r>
      <w:r w:rsidR="00581162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="008B239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="007432D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period </w:t>
      </w:r>
      <w:r w:rsidR="004E1FC1" w:rsidRPr="0080490A">
        <w:rPr>
          <w:rFonts w:eastAsia="Times New Roman" w:cs="Times New Roman"/>
          <w:spacing w:val="-2"/>
          <w:szCs w:val="19"/>
          <w:lang w:val="en-GB" w:eastAsia="pl-PL"/>
        </w:rPr>
        <w:t>of</w:t>
      </w:r>
      <w:r w:rsidR="004862A6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331E59" w:rsidRPr="0080490A">
        <w:rPr>
          <w:rFonts w:eastAsia="Times New Roman" w:cs="Times New Roman"/>
          <w:spacing w:val="-2"/>
          <w:szCs w:val="19"/>
          <w:lang w:val="en-GB" w:eastAsia="pl-PL"/>
        </w:rPr>
        <w:t>January-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November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4862A6" w:rsidRPr="0080490A">
        <w:rPr>
          <w:rFonts w:eastAsia="Times New Roman" w:cs="Times New Roman"/>
          <w:spacing w:val="-2"/>
          <w:szCs w:val="19"/>
          <w:lang w:val="en-GB" w:eastAsia="pl-PL"/>
        </w:rPr>
        <w:t>2022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1.7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>% more than in the previous year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="0058073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129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2C751B" w:rsidRPr="0080490A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="00243A60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="00016549" w:rsidRPr="0080490A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1.5</w:t>
      </w:r>
      <w:r w:rsidR="000E65E1" w:rsidRPr="0080490A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7D6064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than in </w:t>
      </w:r>
      <w:r w:rsidR="004E4BB8" w:rsidRPr="0080490A">
        <w:rPr>
          <w:rFonts w:eastAsia="Times New Roman" w:cs="Times New Roman"/>
          <w:spacing w:val="-2"/>
          <w:szCs w:val="19"/>
          <w:lang w:val="en-GB" w:eastAsia="pl-PL"/>
        </w:rPr>
        <w:t>2021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81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="00A7208C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970194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7165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="0043528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="00651D40" w:rsidRPr="0080490A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="00E724BA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="008B64BD" w:rsidRPr="0080490A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="001C1808" w:rsidRPr="0080490A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.2 </w:t>
      </w:r>
      <w:r w:rsidR="00DE2F35" w:rsidRP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="00DE2F35">
        <w:rPr>
          <w:rFonts w:eastAsia="Times New Roman" w:cs="Times New Roman"/>
          <w:spacing w:val="-2"/>
          <w:szCs w:val="19"/>
          <w:lang w:val="en-GB" w:eastAsia="pl-PL"/>
        </w:rPr>
        <w:t>.3</w:t>
      </w:r>
      <w:r w:rsidR="003B4D4B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DE2F35" w:rsidRP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="009000D6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6DA771CF" w14:textId="7AEA7CA3" w:rsidR="00054314" w:rsidRPr="0080490A" w:rsidRDefault="000A7C88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="00D72B39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="006A0E22" w:rsidRPr="0080490A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19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m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837231" w:rsidRPr="008A3D22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4E4BB8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="00C214E1" w:rsidRPr="0080490A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="005E382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="00BF61F6" w:rsidRPr="0080490A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="00C625B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="003460D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92</w:t>
      </w:r>
      <w:r w:rsidR="005D25AB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="009A4851" w:rsidRPr="009A4851" w14:paraId="13F2CC01" w14:textId="77777777" w:rsidTr="0059068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0F477704" w:rsidR="009A4851" w:rsidRPr="00D860E0" w:rsidRDefault="00FF426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2868194E" w:rsidR="009A4851" w:rsidRPr="00D860E0" w:rsidRDefault="00FF426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01-11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2F027FA1" w14:textId="77777777" w:rsidTr="0059068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63C4150C" w:rsidR="009A4851" w:rsidRPr="00D860E0" w:rsidRDefault="00FF426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46A02354" w:rsidR="009A4851" w:rsidRPr="00D860E0" w:rsidRDefault="00FF426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6B12EF3B" w:rsidR="009A4851" w:rsidRPr="00D860E0" w:rsidRDefault="00FF426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01-11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FF4261" w:rsidRPr="009A4851" w14:paraId="74C961E1" w14:textId="77777777" w:rsidTr="0059068B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FF4261" w:rsidRPr="00D860E0" w:rsidRDefault="00FF4261" w:rsidP="00FF426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4ED01BD" w14:textId="67C9160A" w:rsidR="00FF4261" w:rsidRPr="00652E3E" w:rsidRDefault="00FF4261" w:rsidP="00FF4261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25 135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368A5D2" w14:textId="52E6BAB9" w:rsidR="00FF4261" w:rsidRPr="00652E3E" w:rsidRDefault="00243185" w:rsidP="00FF4261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102.</w:t>
            </w:r>
            <w:r w:rsidR="00FF4261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0AE545D" w14:textId="7E627EC1" w:rsidR="00FF4261" w:rsidRPr="00AC083C" w:rsidRDefault="00243185" w:rsidP="00FF426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115.</w:t>
            </w:r>
            <w:r w:rsidR="00FF426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AE73CEA" w14:textId="72058698" w:rsidR="00FF4261" w:rsidRPr="00652E3E" w:rsidRDefault="00FF4261" w:rsidP="00FF4261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214 234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7418C1A2" w14:textId="70F74D37" w:rsidR="00FF4261" w:rsidRPr="00AC083C" w:rsidRDefault="00243185" w:rsidP="00FF426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</w:t>
            </w:r>
            <w:r w:rsidR="00FF4261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FF4261" w:rsidRPr="009A4851" w14:paraId="1DBFB85F" w14:textId="77777777" w:rsidTr="0059068B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FF4261" w:rsidRPr="00D860E0" w:rsidRDefault="00FF4261" w:rsidP="00FF42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255032DB" w14:textId="0CE5B184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8 473</w:t>
            </w:r>
          </w:p>
        </w:tc>
        <w:tc>
          <w:tcPr>
            <w:tcW w:w="1134" w:type="dxa"/>
            <w:vAlign w:val="center"/>
          </w:tcPr>
          <w:p w14:paraId="10BBBDB9" w14:textId="7F8B63CE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6A2499" w14:textId="314B7F5D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0AB283" w14:textId="428F246A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81 430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16F1686" w14:textId="6FD643E9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F4261" w:rsidRPr="009A4851" w14:paraId="6E2F06BB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5F10D600" w14:textId="2BD51A89" w:rsidR="00FF4261" w:rsidRPr="00D860E0" w:rsidRDefault="00FF4261" w:rsidP="00FF42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23EE99E7" w14:textId="11546B42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16 070</w:t>
            </w:r>
          </w:p>
        </w:tc>
        <w:tc>
          <w:tcPr>
            <w:tcW w:w="1134" w:type="dxa"/>
            <w:vAlign w:val="center"/>
          </w:tcPr>
          <w:p w14:paraId="1392F143" w14:textId="4A9F13D7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73E4F9D" w14:textId="02853CCB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C80FD51" w14:textId="32FD2859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129 558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B8310F8" w14:textId="2EC5E6F3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FF4261" w:rsidRPr="009A4851" w14:paraId="24AD4DF0" w14:textId="77777777" w:rsidTr="009669D2">
        <w:trPr>
          <w:trHeight w:val="341"/>
        </w:trPr>
        <w:tc>
          <w:tcPr>
            <w:tcW w:w="2268" w:type="dxa"/>
            <w:vAlign w:val="center"/>
          </w:tcPr>
          <w:p w14:paraId="1D2231E4" w14:textId="0D64CDE9" w:rsidR="00FF4261" w:rsidRPr="00D860E0" w:rsidRDefault="00FF4261" w:rsidP="00FF426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vAlign w:val="center"/>
          </w:tcPr>
          <w:p w14:paraId="43E0B857" w14:textId="386F1743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1134" w:type="dxa"/>
            <w:vAlign w:val="center"/>
          </w:tcPr>
          <w:p w14:paraId="1F0CCA82" w14:textId="76E11169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496.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48C19C17" w14:textId="2D0210D7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215.</w:t>
            </w:r>
            <w:r w:rsidR="00FF42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468E0768" w14:textId="40905DB4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1 925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51BEED95" w14:textId="667BBA27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FF4261" w:rsidRPr="009A4851" w14:paraId="4DBF5999" w14:textId="77777777" w:rsidTr="0059068B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FF4261" w:rsidRPr="00D860E0" w:rsidRDefault="00FF4261" w:rsidP="00FF4261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69E2D56C" w14:textId="4965CA01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413</w:t>
            </w:r>
          </w:p>
        </w:tc>
        <w:tc>
          <w:tcPr>
            <w:tcW w:w="1134" w:type="dxa"/>
            <w:vAlign w:val="center"/>
          </w:tcPr>
          <w:p w14:paraId="3E22814D" w14:textId="5EAF37A1" w:rsidR="00FF4261" w:rsidRPr="00E104E2" w:rsidRDefault="00243185" w:rsidP="00E104E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195.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CC7447C" w14:textId="20BE63A3" w:rsidR="00FF4261" w:rsidRPr="00E104E2" w:rsidRDefault="00243185" w:rsidP="00E104E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444.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39B16E7" w14:textId="2275BCDF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1 450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FCA44D4" w14:textId="2792FB23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FF4261" w:rsidRPr="009A4851" w14:paraId="2FCEF9DB" w14:textId="77777777" w:rsidTr="0059068B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FF4261" w:rsidRPr="00D860E0" w:rsidRDefault="00FF4261" w:rsidP="00FF426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vAlign w:val="center"/>
          </w:tcPr>
          <w:p w14:paraId="7E5E83FB" w14:textId="04AA1A13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14:paraId="0AFA2421" w14:textId="2B87A5F3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948C7DA" w14:textId="68B7F902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827C313" w14:textId="42308877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477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8737150" w14:textId="41E24B46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FF4261" w:rsidRPr="009A4851" w14:paraId="79AE12F9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325420B3" w14:textId="669AE064" w:rsidR="00FF4261" w:rsidRPr="00D860E0" w:rsidRDefault="00FF4261" w:rsidP="00FF42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vAlign w:val="center"/>
          </w:tcPr>
          <w:p w14:paraId="60773A35" w14:textId="671284A1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134" w:type="dxa"/>
            <w:vAlign w:val="center"/>
          </w:tcPr>
          <w:p w14:paraId="5900F285" w14:textId="03F0CC95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464CE68" w14:textId="1CD1BAFD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A4F2972" w14:textId="5C5CA5C6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1 283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49F5E70F" w14:textId="3A50E730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125.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FF4261" w:rsidRPr="009A4851" w14:paraId="16EEE8B3" w14:textId="77777777" w:rsidTr="0059068B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FF4261" w:rsidRPr="00D860E0" w:rsidRDefault="00FF4261" w:rsidP="00FF42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BBF9FB1" w14:textId="4DC822E7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15E4888" w14:textId="3B962B63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09114D5F" w14:textId="49AD5F99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7D1DF52" w14:textId="7EEBEE49" w:rsidR="00FF4261" w:rsidRPr="00652E3E" w:rsidRDefault="00FF4261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49713444" w14:textId="1047188A" w:rsidR="00FF4261" w:rsidRPr="00652E3E" w:rsidRDefault="00243185" w:rsidP="00FF426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48.</w:t>
            </w:r>
            <w:r w:rsidR="00FF426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bookmarkEnd w:id="0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2433C17" w14:textId="1303F6B3" w:rsidR="002716F3" w:rsidRDefault="002716F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14:paraId="2D03BCD7" w14:textId="5F68602A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2E833572">
                <wp:simplePos x="0" y="0"/>
                <wp:positionH relativeFrom="rightMargin">
                  <wp:posOffset>140740</wp:posOffset>
                </wp:positionH>
                <wp:positionV relativeFrom="paragraph">
                  <wp:posOffset>258699</wp:posOffset>
                </wp:positionV>
                <wp:extent cx="17916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01-11 2022 by 9.9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6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69C65D6E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651D40">
                              <w:rPr>
                                <w:lang w:val="en-US"/>
                              </w:rPr>
                              <w:t xml:space="preserve">the period </w:t>
                            </w:r>
                            <w:r w:rsidR="00965A18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0A6C57">
                              <w:rPr>
                                <w:lang w:val="en-US"/>
                              </w:rPr>
                              <w:t>01-11</w:t>
                            </w:r>
                            <w:r w:rsidR="00921A7C" w:rsidRPr="00F5200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D4B7C" w:rsidRPr="00F5200E">
                              <w:rPr>
                                <w:lang w:val="en-US"/>
                              </w:rPr>
                              <w:t>2022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4D196A">
                              <w:rPr>
                                <w:lang w:val="en-US"/>
                              </w:rPr>
                              <w:t>9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0A6C57">
                              <w:rPr>
                                <w:lang w:val="en-US"/>
                              </w:rPr>
                              <w:t>9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the period of 01-11 2022 by 9.9% y/y " style="position:absolute;margin-left:11.1pt;margin-top:20.35pt;width:141.0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" filled="f" stroked="f" strokeweight=".5pt">
                <v:textbox>
                  <w:txbxContent>
                    <w:p w14:paraId="35DCCB4E" w14:textId="69C65D6E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 xml:space="preserve">in </w:t>
                      </w:r>
                      <w:r w:rsidR="00651D40">
                        <w:rPr>
                          <w:lang w:val="en-US"/>
                        </w:rPr>
                        <w:t xml:space="preserve">the period </w:t>
                      </w:r>
                      <w:r w:rsidR="00965A18">
                        <w:rPr>
                          <w:lang w:val="en-US"/>
                        </w:rPr>
                        <w:t xml:space="preserve">of </w:t>
                      </w:r>
                      <w:r w:rsidR="000A6C57">
                        <w:rPr>
                          <w:lang w:val="en-US"/>
                        </w:rPr>
                        <w:t>01-11</w:t>
                      </w:r>
                      <w:r w:rsidR="00921A7C" w:rsidRPr="00F5200E">
                        <w:rPr>
                          <w:lang w:val="en-US"/>
                        </w:rPr>
                        <w:t xml:space="preserve"> </w:t>
                      </w:r>
                      <w:r w:rsidR="00ED4B7C" w:rsidRPr="00F5200E">
                        <w:rPr>
                          <w:lang w:val="en-US"/>
                        </w:rPr>
                        <w:t>2022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4D196A">
                        <w:rPr>
                          <w:lang w:val="en-US"/>
                        </w:rPr>
                        <w:t>9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0A6C57">
                        <w:rPr>
                          <w:lang w:val="en-US"/>
                        </w:rPr>
                        <w:t>9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59C0CF02" w:rsidR="00C47CE4" w:rsidRPr="0080490A" w:rsidRDefault="00FD02E4" w:rsidP="009300BA">
      <w:pPr>
        <w:pStyle w:val="Tablicagwkarodek"/>
        <w:jc w:val="left"/>
        <w:rPr>
          <w:noProof/>
          <w:lang w:val="en-GB"/>
        </w:rPr>
      </w:pPr>
      <w:r w:rsidRPr="00087AD0">
        <w:rPr>
          <w:noProof/>
          <w:lang w:val="en-GB"/>
        </w:rPr>
        <w:t xml:space="preserve">In the period of </w:t>
      </w:r>
      <w:r w:rsidR="00FF4261">
        <w:rPr>
          <w:noProof/>
          <w:lang w:val="en-GB"/>
        </w:rPr>
        <w:t>eleven</w:t>
      </w:r>
      <w:r w:rsidRPr="00087AD0">
        <w:rPr>
          <w:noProof/>
          <w:lang w:val="en-GB"/>
        </w:rPr>
        <w:t xml:space="preserve"> months </w:t>
      </w:r>
      <w:r w:rsidR="000F016F" w:rsidRPr="00087AD0">
        <w:rPr>
          <w:noProof/>
          <w:lang w:val="en-GB"/>
        </w:rPr>
        <w:t>of</w:t>
      </w:r>
      <w:r w:rsidR="00B40D7D" w:rsidRPr="00087AD0">
        <w:rPr>
          <w:noProof/>
          <w:lang w:val="en-GB"/>
        </w:rPr>
        <w:t xml:space="preserve"> </w:t>
      </w:r>
      <w:r w:rsidR="004862A6" w:rsidRPr="00087AD0">
        <w:rPr>
          <w:noProof/>
          <w:lang w:val="en-GB"/>
        </w:rPr>
        <w:t>2022</w:t>
      </w:r>
      <w:r w:rsidR="000348CC" w:rsidRPr="0080490A">
        <w:rPr>
          <w:noProof/>
          <w:lang w:val="en-GB"/>
        </w:rPr>
        <w:t>,</w:t>
      </w:r>
      <w:r w:rsidR="00BD1D7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>permits and registrations have been granted for</w:t>
      </w:r>
      <w:r w:rsidR="0031400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 xml:space="preserve">construction of </w:t>
      </w:r>
      <w:r w:rsidR="00FF4261">
        <w:rPr>
          <w:noProof/>
          <w:lang w:val="en-GB"/>
        </w:rPr>
        <w:t>277</w:t>
      </w:r>
      <w:r w:rsidR="00DE7DD4" w:rsidRPr="0080490A">
        <w:rPr>
          <w:noProof/>
          <w:lang w:val="en-GB"/>
        </w:rPr>
        <w:t>.</w:t>
      </w:r>
      <w:r w:rsidR="00FF4261">
        <w:rPr>
          <w:noProof/>
          <w:lang w:val="en-GB"/>
        </w:rPr>
        <w:t>4</w:t>
      </w:r>
      <w:r w:rsidR="00C571F3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FD0C2F" w:rsidRPr="0080490A">
        <w:rPr>
          <w:noProof/>
          <w:lang w:val="en-GB"/>
        </w:rPr>
        <w:t xml:space="preserve"> dwellings, </w:t>
      </w:r>
      <w:r w:rsidR="00C47CE4" w:rsidRPr="0080490A">
        <w:rPr>
          <w:noProof/>
          <w:lang w:val="en-GB"/>
        </w:rPr>
        <w:t xml:space="preserve">i.e. by </w:t>
      </w:r>
      <w:r>
        <w:rPr>
          <w:noProof/>
          <w:lang w:val="en-GB"/>
        </w:rPr>
        <w:t>9</w:t>
      </w:r>
      <w:r w:rsidR="00E245E1" w:rsidRPr="0080490A">
        <w:rPr>
          <w:noProof/>
          <w:lang w:val="en-GB"/>
        </w:rPr>
        <w:t>.</w:t>
      </w:r>
      <w:r w:rsidR="00FF4261">
        <w:rPr>
          <w:noProof/>
          <w:lang w:val="en-GB"/>
        </w:rPr>
        <w:t>9</w:t>
      </w:r>
      <w:r w:rsidR="00C47CE4" w:rsidRPr="0080490A">
        <w:rPr>
          <w:noProof/>
          <w:lang w:val="en-GB"/>
        </w:rPr>
        <w:t xml:space="preserve">% </w:t>
      </w:r>
      <w:r w:rsidR="004862A6" w:rsidRPr="0080490A">
        <w:rPr>
          <w:noProof/>
          <w:lang w:val="en-GB"/>
        </w:rPr>
        <w:t>less</w:t>
      </w:r>
      <w:r w:rsidR="00C47CE4" w:rsidRPr="0080490A">
        <w:rPr>
          <w:noProof/>
          <w:lang w:val="en-GB"/>
        </w:rPr>
        <w:t xml:space="preserve"> than in</w:t>
      </w:r>
      <w:r w:rsidR="00ED4B7C" w:rsidRPr="0080490A">
        <w:rPr>
          <w:noProof/>
          <w:lang w:val="en-GB"/>
        </w:rPr>
        <w:t xml:space="preserve"> the corresponding </w:t>
      </w:r>
      <w:r w:rsidR="00B769F0" w:rsidRPr="0080490A">
        <w:rPr>
          <w:noProof/>
          <w:lang w:val="en-GB"/>
        </w:rPr>
        <w:t>period</w:t>
      </w:r>
      <w:r w:rsidR="00ED4B7C" w:rsidRPr="0080490A">
        <w:rPr>
          <w:noProof/>
          <w:lang w:val="en-GB"/>
        </w:rPr>
        <w:t xml:space="preserve"> of</w:t>
      </w:r>
      <w:r w:rsidR="00C47CE4" w:rsidRPr="0080490A">
        <w:rPr>
          <w:noProof/>
          <w:lang w:val="en-GB"/>
        </w:rPr>
        <w:t xml:space="preserve"> </w:t>
      </w:r>
      <w:r w:rsidR="00ED4B7C" w:rsidRPr="0080490A">
        <w:rPr>
          <w:noProof/>
          <w:lang w:val="en-GB"/>
        </w:rPr>
        <w:t>2021</w:t>
      </w:r>
      <w:r w:rsidR="00856FE3" w:rsidRPr="0080490A">
        <w:rPr>
          <w:noProof/>
          <w:lang w:val="en-GB"/>
        </w:rPr>
        <w:t xml:space="preserve">. </w:t>
      </w:r>
      <w:r w:rsidR="00C47CE4" w:rsidRPr="0080490A">
        <w:rPr>
          <w:noProof/>
          <w:lang w:val="en-GB"/>
        </w:rPr>
        <w:t>Permits for construction of the biggest nu</w:t>
      </w:r>
      <w:r w:rsidR="00D20CD1">
        <w:rPr>
          <w:noProof/>
          <w:lang w:val="en-GB"/>
        </w:rPr>
        <w:t xml:space="preserve">mber of dwellings were given to </w:t>
      </w:r>
      <w:r w:rsidR="00435283" w:rsidRPr="0080490A">
        <w:rPr>
          <w:noProof/>
          <w:lang w:val="en-GB"/>
        </w:rPr>
        <w:t xml:space="preserve">developers </w:t>
      </w:r>
      <w:r w:rsidR="00BD1D77" w:rsidRPr="0080490A">
        <w:rPr>
          <w:noProof/>
          <w:lang w:val="en-GB"/>
        </w:rPr>
        <w:t>(</w:t>
      </w:r>
      <w:r w:rsidR="00FF4261">
        <w:rPr>
          <w:noProof/>
          <w:lang w:val="en-GB"/>
        </w:rPr>
        <w:t>188.8</w:t>
      </w:r>
      <w:r w:rsidR="000D0D69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FF4261">
        <w:rPr>
          <w:noProof/>
          <w:lang w:val="en-GB"/>
        </w:rPr>
        <w:t>, a decrease of 0.5</w:t>
      </w:r>
      <w:r w:rsidR="008A130C" w:rsidRPr="0080490A">
        <w:rPr>
          <w:noProof/>
          <w:lang w:val="en-GB"/>
        </w:rPr>
        <w:t>%</w:t>
      </w:r>
      <w:r w:rsidR="00FE3A83" w:rsidRPr="0080490A">
        <w:rPr>
          <w:noProof/>
          <w:lang w:val="en-GB"/>
        </w:rPr>
        <w:t xml:space="preserve"> y/y</w:t>
      </w:r>
      <w:r w:rsidR="00BD1D77" w:rsidRPr="0080490A">
        <w:rPr>
          <w:noProof/>
          <w:lang w:val="en-GB"/>
        </w:rPr>
        <w:t>)</w:t>
      </w:r>
      <w:r w:rsidR="00C47CE4" w:rsidRPr="0080490A">
        <w:rPr>
          <w:noProof/>
          <w:lang w:val="en-GB"/>
        </w:rPr>
        <w:t xml:space="preserve"> and to private investors</w:t>
      </w:r>
      <w:r w:rsidR="00BD1D77" w:rsidRPr="0080490A">
        <w:rPr>
          <w:noProof/>
          <w:lang w:val="en-GB"/>
        </w:rPr>
        <w:t xml:space="preserve"> (</w:t>
      </w:r>
      <w:r w:rsidR="00FF4261">
        <w:rPr>
          <w:noProof/>
          <w:lang w:val="en-GB"/>
        </w:rPr>
        <w:t>84</w:t>
      </w:r>
      <w:r w:rsidR="00DE7DD4" w:rsidRPr="0080490A">
        <w:rPr>
          <w:noProof/>
          <w:lang w:val="en-GB"/>
        </w:rPr>
        <w:t>.</w:t>
      </w:r>
      <w:r w:rsidR="00FF4261">
        <w:rPr>
          <w:noProof/>
          <w:lang w:val="en-GB"/>
        </w:rPr>
        <w:t>3</w:t>
      </w:r>
      <w:r w:rsidR="00B11C46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>
        <w:rPr>
          <w:noProof/>
          <w:lang w:val="en-GB"/>
        </w:rPr>
        <w:t xml:space="preserve">, a decrease of </w:t>
      </w:r>
      <w:r w:rsidR="000A6C57">
        <w:rPr>
          <w:noProof/>
          <w:lang w:val="en-GB"/>
        </w:rPr>
        <w:t>26.5</w:t>
      </w:r>
      <w:r w:rsidR="00FE3A83" w:rsidRPr="0080490A">
        <w:rPr>
          <w:noProof/>
          <w:lang w:val="en-GB"/>
        </w:rPr>
        <w:t>%</w:t>
      </w:r>
      <w:r w:rsidR="00BD1D77" w:rsidRPr="0080490A">
        <w:rPr>
          <w:noProof/>
          <w:lang w:val="en-GB"/>
        </w:rPr>
        <w:t>)</w:t>
      </w:r>
      <w:r w:rsidR="00CF36C5" w:rsidRPr="0080490A">
        <w:rPr>
          <w:noProof/>
          <w:lang w:val="en-GB"/>
        </w:rPr>
        <w:t xml:space="preserve">. </w:t>
      </w:r>
      <w:r w:rsidR="000A40DF" w:rsidRPr="0080490A">
        <w:rPr>
          <w:noProof/>
          <w:lang w:val="en-GB"/>
        </w:rPr>
        <w:t>W</w:t>
      </w:r>
      <w:r w:rsidR="003B05CF" w:rsidRPr="0080490A">
        <w:rPr>
          <w:noProof/>
          <w:lang w:val="en-GB"/>
        </w:rPr>
        <w:t>ithin</w:t>
      </w:r>
      <w:r w:rsidR="00507D43" w:rsidRPr="0080490A">
        <w:rPr>
          <w:noProof/>
          <w:lang w:val="en-GB"/>
        </w:rPr>
        <w:t xml:space="preserve"> </w:t>
      </w:r>
      <w:r w:rsidR="000A7C88" w:rsidRPr="0080490A">
        <w:rPr>
          <w:noProof/>
          <w:lang w:val="en-GB"/>
        </w:rPr>
        <w:t xml:space="preserve">these forms </w:t>
      </w:r>
      <w:r w:rsidR="003D5833" w:rsidRPr="0080490A">
        <w:rPr>
          <w:noProof/>
          <w:lang w:val="en-GB"/>
        </w:rPr>
        <w:t>of construction</w:t>
      </w:r>
      <w:r w:rsidR="000A40DF" w:rsidRPr="0080490A">
        <w:rPr>
          <w:noProof/>
          <w:lang w:val="en-GB"/>
        </w:rPr>
        <w:t xml:space="preserve">, </w:t>
      </w:r>
      <w:r w:rsidR="00AE2B3C" w:rsidRPr="0080490A">
        <w:rPr>
          <w:noProof/>
          <w:lang w:val="en-GB"/>
        </w:rPr>
        <w:t xml:space="preserve">permits have been granted </w:t>
      </w:r>
      <w:r w:rsidR="000A40DF" w:rsidRPr="0080490A">
        <w:rPr>
          <w:noProof/>
          <w:lang w:val="en-GB"/>
        </w:rPr>
        <w:t>and registrations with a construction project were made for</w:t>
      </w:r>
      <w:r w:rsidR="007E7CF5" w:rsidRPr="0080490A">
        <w:rPr>
          <w:noProof/>
          <w:lang w:val="en-GB"/>
        </w:rPr>
        <w:t xml:space="preserve"> 98</w:t>
      </w:r>
      <w:r w:rsidR="001A1F89" w:rsidRPr="0080490A">
        <w:rPr>
          <w:noProof/>
          <w:lang w:val="en-GB"/>
        </w:rPr>
        <w:t>.</w:t>
      </w:r>
      <w:r w:rsidR="000A6C57">
        <w:rPr>
          <w:noProof/>
          <w:lang w:val="en-GB"/>
        </w:rPr>
        <w:t>5</w:t>
      </w:r>
      <w:r w:rsidR="000A7C88" w:rsidRPr="0080490A">
        <w:rPr>
          <w:noProof/>
          <w:lang w:val="en-GB"/>
        </w:rPr>
        <w:t>% of dwellings</w:t>
      </w:r>
      <w:r w:rsidR="000A40DF" w:rsidRPr="0080490A">
        <w:rPr>
          <w:noProof/>
          <w:lang w:val="en-GB"/>
        </w:rPr>
        <w:t xml:space="preserve"> in total</w:t>
      </w:r>
      <w:r w:rsidR="00507D43" w:rsidRPr="0080490A">
        <w:rPr>
          <w:noProof/>
          <w:lang w:val="en-GB"/>
        </w:rPr>
        <w:t xml:space="preserve">. </w:t>
      </w:r>
      <w:r w:rsidR="00A7208C" w:rsidRPr="0080490A">
        <w:rPr>
          <w:noProof/>
          <w:lang w:val="en-GB"/>
        </w:rPr>
        <w:t>In</w:t>
      </w:r>
      <w:r w:rsidR="00C214E1" w:rsidRPr="0080490A">
        <w:rPr>
          <w:noProof/>
          <w:lang w:val="en-GB"/>
        </w:rPr>
        <w:t xml:space="preserve"> </w:t>
      </w:r>
      <w:r w:rsidR="00B64363" w:rsidRPr="0080490A">
        <w:rPr>
          <w:noProof/>
          <w:lang w:val="en-GB"/>
        </w:rPr>
        <w:t xml:space="preserve">other forms of construction </w:t>
      </w:r>
      <w:r w:rsidR="000A6C57">
        <w:rPr>
          <w:noProof/>
          <w:lang w:val="en-GB"/>
        </w:rPr>
        <w:t>4</w:t>
      </w:r>
      <w:r w:rsidR="00DE2F35">
        <w:rPr>
          <w:noProof/>
          <w:lang w:val="en-GB"/>
        </w:rPr>
        <w:t xml:space="preserve">.3 </w:t>
      </w:r>
      <w:r w:rsidR="00DE2F35" w:rsidRPr="00DE2F35">
        <w:rPr>
          <w:noProof/>
          <w:lang w:val="en-GB"/>
        </w:rPr>
        <w:t xml:space="preserve">thousand </w:t>
      </w:r>
      <w:r w:rsidR="00B64363" w:rsidRPr="0080490A">
        <w:rPr>
          <w:noProof/>
          <w:lang w:val="en-GB"/>
        </w:rPr>
        <w:t xml:space="preserve">dwellings </w:t>
      </w:r>
      <w:r w:rsidR="00507D43" w:rsidRPr="0080490A">
        <w:rPr>
          <w:noProof/>
          <w:lang w:val="en-GB"/>
        </w:rPr>
        <w:t xml:space="preserve">for which permits have been granted or which have been registered </w:t>
      </w:r>
      <w:r w:rsidR="000E65E1" w:rsidRPr="0080490A">
        <w:rPr>
          <w:noProof/>
          <w:lang w:val="en-GB"/>
        </w:rPr>
        <w:t>with a </w:t>
      </w:r>
      <w:r w:rsidR="00507D43" w:rsidRPr="0080490A">
        <w:rPr>
          <w:noProof/>
          <w:lang w:val="en-GB"/>
        </w:rPr>
        <w:t xml:space="preserve">construction project </w:t>
      </w:r>
      <w:r w:rsidR="00C47CE4" w:rsidRPr="0080490A">
        <w:rPr>
          <w:noProof/>
          <w:lang w:val="en-GB"/>
        </w:rPr>
        <w:t xml:space="preserve">were </w:t>
      </w:r>
      <w:r w:rsidR="00CD44F1" w:rsidRPr="0080490A">
        <w:rPr>
          <w:noProof/>
          <w:lang w:val="en-GB"/>
        </w:rPr>
        <w:t>not</w:t>
      </w:r>
      <w:r w:rsidR="00507D43" w:rsidRPr="0080490A">
        <w:rPr>
          <w:noProof/>
          <w:lang w:val="en-GB"/>
        </w:rPr>
        <w:t>ed</w:t>
      </w:r>
      <w:r w:rsidR="00C214E1" w:rsidRPr="0080490A">
        <w:rPr>
          <w:noProof/>
          <w:lang w:val="en-GB"/>
        </w:rPr>
        <w:t xml:space="preserve"> (</w:t>
      </w:r>
      <w:r>
        <w:rPr>
          <w:noProof/>
          <w:lang w:val="en-GB"/>
        </w:rPr>
        <w:t>3</w:t>
      </w:r>
      <w:r w:rsidR="00DE2F35">
        <w:rPr>
          <w:noProof/>
          <w:lang w:val="en-GB"/>
        </w:rPr>
        <w:t xml:space="preserve">.5 </w:t>
      </w:r>
      <w:r w:rsidR="00DE2F35" w:rsidRPr="00DE2F35">
        <w:rPr>
          <w:noProof/>
          <w:lang w:val="en-GB"/>
        </w:rPr>
        <w:t xml:space="preserve">thousand </w:t>
      </w:r>
      <w:r>
        <w:rPr>
          <w:noProof/>
          <w:lang w:val="en-GB"/>
        </w:rPr>
        <w:t xml:space="preserve">dwellings in the </w:t>
      </w:r>
      <w:r w:rsidR="00C214E1" w:rsidRPr="0080490A">
        <w:rPr>
          <w:noProof/>
          <w:lang w:val="en-GB"/>
        </w:rPr>
        <w:t>previous</w:t>
      </w:r>
      <w:r>
        <w:rPr>
          <w:noProof/>
          <w:lang w:val="en-GB"/>
        </w:rPr>
        <w:t xml:space="preserve"> </w:t>
      </w:r>
      <w:r w:rsidR="00C214E1" w:rsidRPr="0080490A">
        <w:rPr>
          <w:noProof/>
          <w:lang w:val="en-GB"/>
        </w:rPr>
        <w:t>year</w:t>
      </w:r>
      <w:r w:rsidR="00B64363" w:rsidRPr="0080490A">
        <w:rPr>
          <w:noProof/>
          <w:lang w:val="en-GB"/>
        </w:rPr>
        <w:t>).</w:t>
      </w:r>
    </w:p>
    <w:p w14:paraId="073E70B2" w14:textId="48AEAACB" w:rsidR="00896EB9" w:rsidRPr="007E02D8" w:rsidRDefault="0059068B" w:rsidP="00FE1642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="00603549" w:rsidRPr="00F97C1E" w14:paraId="3982B774" w14:textId="77777777" w:rsidTr="0024318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603549" w:rsidRPr="00DE2F35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DE2F35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79A74533" w:rsidR="00603549" w:rsidRPr="00DE2F35" w:rsidRDefault="005303D3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DE2F35">
              <w:rPr>
                <w:color w:val="000000" w:themeColor="text1"/>
                <w:sz w:val="15"/>
                <w:szCs w:val="15"/>
              </w:rPr>
              <w:t>11</w:t>
            </w:r>
            <w:r w:rsidR="00603549" w:rsidRPr="00DE2F35">
              <w:rPr>
                <w:color w:val="000000" w:themeColor="text1"/>
                <w:sz w:val="15"/>
                <w:szCs w:val="15"/>
              </w:rPr>
              <w:t xml:space="preserve"> 2022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C84461E" w14:textId="63B24FE4" w:rsidR="00603549" w:rsidRPr="00DE2F35" w:rsidRDefault="005303D3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DE2F35">
              <w:rPr>
                <w:color w:val="000000" w:themeColor="text1"/>
                <w:sz w:val="15"/>
                <w:szCs w:val="15"/>
              </w:rPr>
              <w:t>01-11</w:t>
            </w:r>
            <w:r w:rsidR="00603549" w:rsidRPr="00DE2F35">
              <w:rPr>
                <w:color w:val="000000" w:themeColor="text1"/>
                <w:sz w:val="15"/>
                <w:szCs w:val="15"/>
              </w:rPr>
              <w:t xml:space="preserve"> 2022</w:t>
            </w:r>
          </w:p>
        </w:tc>
      </w:tr>
      <w:tr w:rsidR="00603549" w:rsidRPr="00F97C1E" w14:paraId="40010199" w14:textId="77777777" w:rsidTr="00243185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603549" w:rsidRPr="00DE2F35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77777777" w:rsidR="00603549" w:rsidRPr="00DE2F35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DE2F35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DE2F35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DE2F35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DE2F35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11BB8463" w:rsidR="00603549" w:rsidRPr="00DE2F35" w:rsidRDefault="005303D3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DE2F35">
              <w:rPr>
                <w:color w:val="000000" w:themeColor="text1"/>
                <w:sz w:val="15"/>
                <w:szCs w:val="15"/>
              </w:rPr>
              <w:t>11</w:t>
            </w:r>
            <w:r w:rsidR="00603549" w:rsidRPr="00DE2F35">
              <w:rPr>
                <w:color w:val="000000" w:themeColor="text1"/>
                <w:sz w:val="15"/>
                <w:szCs w:val="15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02FAB9" w14:textId="41A1C428" w:rsidR="00603549" w:rsidRPr="00DE2F35" w:rsidRDefault="005303D3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DE2F35">
              <w:rPr>
                <w:color w:val="000000" w:themeColor="text1"/>
                <w:sz w:val="15"/>
                <w:szCs w:val="15"/>
              </w:rPr>
              <w:t>10</w:t>
            </w:r>
            <w:r w:rsidR="00764B2F" w:rsidRPr="00DE2F35">
              <w:rPr>
                <w:color w:val="000000" w:themeColor="text1"/>
                <w:sz w:val="15"/>
                <w:szCs w:val="15"/>
              </w:rPr>
              <w:t xml:space="preserve"> </w:t>
            </w:r>
            <w:r w:rsidR="00603549" w:rsidRPr="00DE2F35">
              <w:rPr>
                <w:color w:val="000000" w:themeColor="text1"/>
                <w:sz w:val="15"/>
                <w:szCs w:val="15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5596D11" w14:textId="77777777" w:rsidR="00603549" w:rsidRPr="00DE2F35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DE2F35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DE2F35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DE2F35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DE2F35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2B9E131" w14:textId="5BFF139D" w:rsidR="00603549" w:rsidRPr="00DE2F35" w:rsidRDefault="005303D3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DE2F35">
              <w:rPr>
                <w:color w:val="000000" w:themeColor="text1"/>
                <w:sz w:val="15"/>
                <w:szCs w:val="15"/>
              </w:rPr>
              <w:t>01-11</w:t>
            </w:r>
            <w:r w:rsidR="00603549" w:rsidRPr="00DE2F35">
              <w:rPr>
                <w:color w:val="000000" w:themeColor="text1"/>
                <w:sz w:val="15"/>
                <w:szCs w:val="15"/>
              </w:rPr>
              <w:t xml:space="preserve"> </w:t>
            </w:r>
            <w:r w:rsidR="00603549" w:rsidRPr="00DE2F35">
              <w:rPr>
                <w:color w:val="000000" w:themeColor="text1"/>
                <w:sz w:val="15"/>
                <w:szCs w:val="15"/>
              </w:rPr>
              <w:br/>
              <w:t>2021=100</w:t>
            </w:r>
          </w:p>
        </w:tc>
      </w:tr>
      <w:tr w:rsidR="005303D3" w:rsidRPr="009A4851" w14:paraId="4960FBEE" w14:textId="77777777" w:rsidTr="00243185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1A71A89" w14:textId="77777777" w:rsidR="005303D3" w:rsidRPr="00DE2F35" w:rsidRDefault="005303D3" w:rsidP="005303D3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DE2F35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2B1A5FB" w14:textId="0108C59E" w:rsidR="005303D3" w:rsidRPr="00DE2F35" w:rsidRDefault="005303D3" w:rsidP="005303D3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DE2F35">
              <w:rPr>
                <w:rFonts w:cs="Arial"/>
                <w:b/>
                <w:color w:val="000000" w:themeColor="text1"/>
                <w:sz w:val="15"/>
                <w:szCs w:val="15"/>
              </w:rPr>
              <w:t>19 363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439481A" w14:textId="1C0F742B" w:rsidR="005303D3" w:rsidRPr="00DE2F35" w:rsidRDefault="00770806" w:rsidP="005303D3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80.</w:t>
            </w:r>
            <w:r w:rsidR="005303D3" w:rsidRPr="00DE2F35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4900271" w14:textId="1CAFDC4A" w:rsidR="005303D3" w:rsidRPr="00DE2F35" w:rsidRDefault="0074197F" w:rsidP="005303D3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</w:rPr>
              <w:t>94.</w:t>
            </w:r>
            <w:r w:rsidR="005303D3" w:rsidRPr="00DE2F35">
              <w:rPr>
                <w:rFonts w:cs="Arial"/>
                <w:b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33BA976C" w14:textId="1C327F24" w:rsidR="005303D3" w:rsidRPr="00DE2F35" w:rsidRDefault="005303D3" w:rsidP="005303D3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DE2F35">
              <w:rPr>
                <w:rFonts w:cs="Arial"/>
                <w:b/>
                <w:color w:val="000000" w:themeColor="text1"/>
                <w:sz w:val="15"/>
                <w:szCs w:val="15"/>
              </w:rPr>
              <w:t>277 434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</w:tcPr>
          <w:p w14:paraId="184FD311" w14:textId="26092042" w:rsidR="005303D3" w:rsidRPr="00DE2F35" w:rsidRDefault="00770806" w:rsidP="005303D3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</w:rPr>
              <w:t>90.</w:t>
            </w:r>
            <w:r w:rsidR="005303D3" w:rsidRPr="00DE2F35">
              <w:rPr>
                <w:rFonts w:cs="Arial"/>
                <w:b/>
                <w:color w:val="000000" w:themeColor="text1"/>
                <w:sz w:val="15"/>
                <w:szCs w:val="15"/>
              </w:rPr>
              <w:t>1</w:t>
            </w:r>
          </w:p>
        </w:tc>
      </w:tr>
      <w:tr w:rsidR="005303D3" w:rsidRPr="009A4851" w14:paraId="1DF47858" w14:textId="77777777" w:rsidTr="00243185">
        <w:trPr>
          <w:trHeight w:val="54"/>
        </w:trPr>
        <w:tc>
          <w:tcPr>
            <w:tcW w:w="2268" w:type="dxa"/>
            <w:vAlign w:val="center"/>
          </w:tcPr>
          <w:p w14:paraId="28ADC19D" w14:textId="77777777" w:rsidR="005303D3" w:rsidRPr="00DE2F35" w:rsidRDefault="005303D3" w:rsidP="005303D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DE2F3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2CE969F2" w14:textId="382B460F" w:rsidR="005303D3" w:rsidRPr="00DE2F35" w:rsidRDefault="005303D3" w:rsidP="005303D3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5 652</w:t>
            </w:r>
          </w:p>
        </w:tc>
        <w:tc>
          <w:tcPr>
            <w:tcW w:w="1134" w:type="dxa"/>
            <w:vAlign w:val="center"/>
          </w:tcPr>
          <w:p w14:paraId="11922E73" w14:textId="149B9B40" w:rsidR="005303D3" w:rsidRPr="00DE2F35" w:rsidRDefault="00770806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59.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0CBAD5" w14:textId="0480F19C" w:rsidR="005303D3" w:rsidRPr="00DE2F35" w:rsidRDefault="0074197F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88.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</w:tcPr>
          <w:p w14:paraId="73685B09" w14:textId="42DC3EC3" w:rsidR="005303D3" w:rsidRPr="00DE2F35" w:rsidRDefault="005303D3" w:rsidP="005303D3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84 315</w:t>
            </w:r>
          </w:p>
        </w:tc>
        <w:tc>
          <w:tcPr>
            <w:tcW w:w="1200" w:type="dxa"/>
            <w:tcBorders>
              <w:right w:val="nil"/>
            </w:tcBorders>
          </w:tcPr>
          <w:p w14:paraId="05796A6D" w14:textId="319CC3FF" w:rsidR="005303D3" w:rsidRPr="00DE2F35" w:rsidRDefault="00770806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73.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</w:tr>
      <w:tr w:rsidR="005303D3" w:rsidRPr="009A4851" w14:paraId="0D1B9431" w14:textId="77777777" w:rsidTr="00243185">
        <w:trPr>
          <w:trHeight w:val="348"/>
        </w:trPr>
        <w:tc>
          <w:tcPr>
            <w:tcW w:w="2268" w:type="dxa"/>
            <w:vAlign w:val="center"/>
          </w:tcPr>
          <w:p w14:paraId="46B989E8" w14:textId="77777777" w:rsidR="005303D3" w:rsidRPr="00DE2F35" w:rsidRDefault="005303D3" w:rsidP="005303D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DE2F3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56EC5D20" w14:textId="319CC693" w:rsidR="005303D3" w:rsidRPr="00DE2F35" w:rsidRDefault="005303D3" w:rsidP="005303D3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13 148</w:t>
            </w:r>
          </w:p>
        </w:tc>
        <w:tc>
          <w:tcPr>
            <w:tcW w:w="1134" w:type="dxa"/>
            <w:vAlign w:val="center"/>
          </w:tcPr>
          <w:p w14:paraId="44BD7848" w14:textId="6E6936FB" w:rsidR="005303D3" w:rsidRPr="00DE2F35" w:rsidRDefault="00770806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92.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3BC2BF6" w14:textId="16A2F631" w:rsidR="005303D3" w:rsidRPr="00DE2F35" w:rsidRDefault="0074197F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94.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4EF52FC" w14:textId="6D5E7F47" w:rsidR="005303D3" w:rsidRPr="00DE2F35" w:rsidRDefault="005303D3" w:rsidP="005303D3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188 849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C4F667C" w14:textId="0EBFF80E" w:rsidR="005303D3" w:rsidRPr="00DE2F35" w:rsidRDefault="00770806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99.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</w:tr>
      <w:tr w:rsidR="005303D3" w:rsidRPr="009A4851" w14:paraId="50E23A83" w14:textId="77777777" w:rsidTr="00243185">
        <w:trPr>
          <w:trHeight w:val="344"/>
        </w:trPr>
        <w:tc>
          <w:tcPr>
            <w:tcW w:w="2268" w:type="dxa"/>
            <w:vAlign w:val="center"/>
          </w:tcPr>
          <w:p w14:paraId="4A77B5C6" w14:textId="77777777" w:rsidR="005303D3" w:rsidRPr="00DE2F35" w:rsidRDefault="005303D3" w:rsidP="005303D3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DE2F35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6D853C93" w14:textId="2D2DB36C" w:rsidR="005303D3" w:rsidRPr="00DE2F35" w:rsidRDefault="005303D3" w:rsidP="005303D3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1134" w:type="dxa"/>
            <w:vAlign w:val="center"/>
          </w:tcPr>
          <w:p w14:paraId="2B71D6D4" w14:textId="76537E77" w:rsidR="005303D3" w:rsidRPr="00DE2F35" w:rsidRDefault="00770806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216.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4B4D92" w14:textId="15ACC6B4" w:rsidR="005303D3" w:rsidRPr="00DE2F35" w:rsidRDefault="0074197F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46.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8EBA99C" w14:textId="18A64855" w:rsidR="005303D3" w:rsidRPr="00DE2F35" w:rsidRDefault="005303D3" w:rsidP="005303D3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639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3D6C221" w14:textId="2FB7811A" w:rsidR="005303D3" w:rsidRPr="00DE2F35" w:rsidRDefault="00770806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86.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</w:p>
        </w:tc>
      </w:tr>
      <w:tr w:rsidR="005303D3" w:rsidRPr="009A4851" w14:paraId="67CD548E" w14:textId="77777777" w:rsidTr="00243185">
        <w:trPr>
          <w:trHeight w:val="239"/>
        </w:trPr>
        <w:tc>
          <w:tcPr>
            <w:tcW w:w="2268" w:type="dxa"/>
            <w:vAlign w:val="center"/>
          </w:tcPr>
          <w:p w14:paraId="11EB9B38" w14:textId="77777777" w:rsidR="005303D3" w:rsidRPr="00DE2F35" w:rsidRDefault="005303D3" w:rsidP="00D20CD1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DE2F35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16AE6ED7" w14:textId="3CC45E6E" w:rsidR="005303D3" w:rsidRPr="00DE2F35" w:rsidRDefault="005303D3" w:rsidP="00D20CD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DE2F35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251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CDEEA20" w14:textId="4833D241" w:rsidR="005303D3" w:rsidRPr="00DE2F35" w:rsidRDefault="00770806" w:rsidP="00D20CD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557.</w:t>
            </w:r>
            <w:r w:rsidR="00DE2F35" w:rsidRPr="00DE2F35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4EC8940F" w14:textId="52C1FC97" w:rsidR="005303D3" w:rsidRPr="00DE2F35" w:rsidRDefault="0074197F" w:rsidP="00D20CD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456.</w:t>
            </w:r>
            <w:r w:rsidR="005303D3" w:rsidRPr="00DE2F35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7FE4D365" w14:textId="035DD989" w:rsidR="005303D3" w:rsidRPr="00DE2F35" w:rsidRDefault="00F97C1E" w:rsidP="00D20CD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DE2F35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1939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</w:tcPr>
          <w:p w14:paraId="088EC2A1" w14:textId="52094C92" w:rsidR="005303D3" w:rsidRPr="00DE2F35" w:rsidRDefault="00F97C1E" w:rsidP="00D20CD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DE2F35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215.7</w:t>
            </w:r>
          </w:p>
        </w:tc>
      </w:tr>
      <w:tr w:rsidR="005303D3" w:rsidRPr="009A4851" w14:paraId="10BA3CE7" w14:textId="77777777" w:rsidTr="00243185">
        <w:trPr>
          <w:trHeight w:val="348"/>
        </w:trPr>
        <w:tc>
          <w:tcPr>
            <w:tcW w:w="2268" w:type="dxa"/>
            <w:vAlign w:val="center"/>
          </w:tcPr>
          <w:p w14:paraId="4B31C305" w14:textId="77777777" w:rsidR="005303D3" w:rsidRPr="00DE2F35" w:rsidRDefault="005303D3" w:rsidP="005303D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DE2F35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4F13852F" w14:textId="115A9657" w:rsidR="005303D3" w:rsidRPr="00DE2F35" w:rsidRDefault="005303D3" w:rsidP="005303D3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AE94B45" w14:textId="542E0A47" w:rsidR="005303D3" w:rsidRPr="00DE2F35" w:rsidRDefault="00770806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186.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2F95ED3" w14:textId="0A374B21" w:rsidR="005303D3" w:rsidRPr="00DE2F35" w:rsidRDefault="0074197F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200.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53B78670" w14:textId="0A6EF36C" w:rsidR="005303D3" w:rsidRPr="00DE2F35" w:rsidRDefault="005303D3" w:rsidP="005303D3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1 643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42AD62F6" w14:textId="23EA2D3F" w:rsidR="005303D3" w:rsidRPr="00DE2F35" w:rsidRDefault="00770806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98.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4</w:t>
            </w:r>
          </w:p>
        </w:tc>
      </w:tr>
      <w:tr w:rsidR="005303D3" w:rsidRPr="009A4851" w14:paraId="5A330376" w14:textId="77777777" w:rsidTr="00243185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3BF32F9" w14:textId="77777777" w:rsidR="005303D3" w:rsidRPr="00DE2F35" w:rsidRDefault="005303D3" w:rsidP="005303D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DE2F35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913581D" w14:textId="03966F2A" w:rsidR="005303D3" w:rsidRPr="00DE2F35" w:rsidRDefault="005303D3" w:rsidP="005303D3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262852B0" w14:textId="7ACBFB22" w:rsidR="005303D3" w:rsidRPr="00DE2F35" w:rsidRDefault="00770806" w:rsidP="005303D3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100.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3F8F0F7" w14:textId="38522B7B" w:rsidR="005303D3" w:rsidRPr="00DE2F35" w:rsidRDefault="005303D3" w:rsidP="005303D3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30413B6D" w14:textId="216909BF" w:rsidR="005303D3" w:rsidRPr="00DE2F35" w:rsidRDefault="00F97C1E" w:rsidP="00F97C1E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49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51919CA3" w14:textId="67C485BA" w:rsidR="005303D3" w:rsidRPr="00A06AB5" w:rsidRDefault="00770806" w:rsidP="00A06AB5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26.</w:t>
            </w:r>
            <w:r w:rsidR="005303D3" w:rsidRPr="00DE2F35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  <w:bookmarkStart w:id="1" w:name="_GoBack"/>
      <w:bookmarkEnd w:id="1"/>
    </w:p>
    <w:p w14:paraId="6DE247AC" w14:textId="7146F1A1" w:rsidR="00967B91" w:rsidRPr="0080490A" w:rsidRDefault="00F00F20" w:rsidP="009300BA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From January </w:t>
      </w:r>
      <w:r w:rsidR="00B25CF7">
        <w:rPr>
          <w:noProof/>
          <w:spacing w:val="-2"/>
          <w:lang w:val="en-GB"/>
        </w:rPr>
        <w:t>to</w:t>
      </w:r>
      <w:r w:rsidRPr="0080490A">
        <w:rPr>
          <w:noProof/>
          <w:spacing w:val="-2"/>
          <w:lang w:val="en-GB"/>
        </w:rPr>
        <w:t xml:space="preserve"> </w:t>
      </w:r>
      <w:r w:rsidR="008045D3">
        <w:rPr>
          <w:noProof/>
          <w:spacing w:val="-2"/>
          <w:lang w:val="en-GB"/>
        </w:rPr>
        <w:t>November</w:t>
      </w:r>
      <w:r w:rsidRPr="0080490A">
        <w:rPr>
          <w:noProof/>
          <w:spacing w:val="-2"/>
          <w:lang w:val="en-GB"/>
        </w:rPr>
        <w:t xml:space="preserve"> 2022</w:t>
      </w:r>
      <w:r w:rsidR="00133F23" w:rsidRPr="0080490A">
        <w:rPr>
          <w:noProof/>
          <w:spacing w:val="-2"/>
          <w:lang w:val="en-GB"/>
        </w:rPr>
        <w:t>,</w:t>
      </w:r>
      <w:r w:rsidR="00BD1D77" w:rsidRPr="0080490A">
        <w:rPr>
          <w:noProof/>
          <w:spacing w:val="-2"/>
          <w:lang w:val="en-GB"/>
        </w:rPr>
        <w:t xml:space="preserve"> t</w:t>
      </w:r>
      <w:r w:rsidR="00095A18" w:rsidRPr="0080490A">
        <w:rPr>
          <w:noProof/>
          <w:spacing w:val="-2"/>
          <w:lang w:val="en-GB"/>
        </w:rPr>
        <w:t>he number of dwellings in</w:t>
      </w:r>
      <w:r w:rsidR="00A76D03" w:rsidRPr="0080490A">
        <w:rPr>
          <w:noProof/>
          <w:spacing w:val="-2"/>
          <w:lang w:val="en-GB"/>
        </w:rPr>
        <w:t> </w:t>
      </w:r>
      <w:r w:rsidR="00095A18" w:rsidRPr="0080490A">
        <w:rPr>
          <w:noProof/>
          <w:spacing w:val="-2"/>
          <w:lang w:val="en-GB"/>
        </w:rPr>
        <w:t xml:space="preserve">which construction has begun </w:t>
      </w:r>
      <w:r w:rsidR="00610B5E" w:rsidRPr="0080490A">
        <w:rPr>
          <w:noProof/>
          <w:spacing w:val="-2"/>
          <w:lang w:val="en-GB"/>
        </w:rPr>
        <w:t xml:space="preserve">was </w:t>
      </w:r>
      <w:r w:rsidR="008045D3">
        <w:rPr>
          <w:noProof/>
          <w:spacing w:val="-2"/>
          <w:lang w:val="en-GB"/>
        </w:rPr>
        <w:t>190.4</w:t>
      </w:r>
      <w:r w:rsidR="004A3A9A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8045D3">
        <w:rPr>
          <w:noProof/>
          <w:spacing w:val="-2"/>
          <w:lang w:val="en-GB"/>
        </w:rPr>
        <w:t>, i.e. by 26.8</w:t>
      </w:r>
      <w:r w:rsidR="00856FE3" w:rsidRPr="0080490A">
        <w:rPr>
          <w:noProof/>
          <w:spacing w:val="-2"/>
          <w:lang w:val="en-GB"/>
        </w:rPr>
        <w:t>%</w:t>
      </w:r>
      <w:r w:rsidR="00D76E73" w:rsidRPr="0080490A">
        <w:rPr>
          <w:noProof/>
          <w:spacing w:val="-2"/>
          <w:lang w:val="en-GB"/>
        </w:rPr>
        <w:t xml:space="preserve"> </w:t>
      </w:r>
      <w:r w:rsidR="00F26939" w:rsidRPr="0080490A">
        <w:rPr>
          <w:noProof/>
          <w:spacing w:val="-2"/>
          <w:lang w:val="en-GB"/>
        </w:rPr>
        <w:t>less</w:t>
      </w:r>
      <w:r w:rsidR="00D76E73" w:rsidRPr="0080490A">
        <w:rPr>
          <w:noProof/>
          <w:spacing w:val="-2"/>
          <w:lang w:val="en-GB"/>
        </w:rPr>
        <w:t xml:space="preserve"> than </w:t>
      </w:r>
      <w:r w:rsidR="009118D4" w:rsidRPr="0080490A">
        <w:rPr>
          <w:noProof/>
          <w:spacing w:val="-2"/>
          <w:lang w:val="en-GB"/>
        </w:rPr>
        <w:t>a year ago</w:t>
      </w:r>
      <w:r w:rsidR="00B2646D" w:rsidRPr="0080490A">
        <w:rPr>
          <w:noProof/>
          <w:spacing w:val="-2"/>
          <w:lang w:val="en-GB"/>
        </w:rPr>
        <w:t>. D</w:t>
      </w:r>
      <w:r w:rsidR="00095A18" w:rsidRPr="0080490A">
        <w:rPr>
          <w:noProof/>
          <w:spacing w:val="-2"/>
          <w:lang w:val="en-GB"/>
        </w:rPr>
        <w:t xml:space="preserve">evelopers have started construction of </w:t>
      </w:r>
      <w:r w:rsidR="008045D3">
        <w:rPr>
          <w:noProof/>
          <w:spacing w:val="-2"/>
          <w:lang w:val="en-GB"/>
        </w:rPr>
        <w:t>108</w:t>
      </w:r>
      <w:r w:rsidR="00CC4866" w:rsidRPr="0080490A">
        <w:rPr>
          <w:noProof/>
          <w:spacing w:val="-2"/>
          <w:lang w:val="en-GB"/>
        </w:rPr>
        <w:t>.</w:t>
      </w:r>
      <w:r w:rsidR="008045D3">
        <w:rPr>
          <w:noProof/>
          <w:spacing w:val="-2"/>
          <w:lang w:val="en-GB"/>
        </w:rPr>
        <w:t>3</w:t>
      </w:r>
      <w:r w:rsidR="000E269F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095A18" w:rsidRPr="0080490A">
        <w:rPr>
          <w:noProof/>
          <w:spacing w:val="-2"/>
          <w:lang w:val="en-GB"/>
        </w:rPr>
        <w:t xml:space="preserve"> </w:t>
      </w:r>
      <w:r w:rsidR="0046238A" w:rsidRPr="0080490A">
        <w:rPr>
          <w:noProof/>
          <w:spacing w:val="-2"/>
          <w:lang w:val="en-GB"/>
        </w:rPr>
        <w:t>d</w:t>
      </w:r>
      <w:r w:rsidR="00095A18" w:rsidRPr="0080490A">
        <w:rPr>
          <w:noProof/>
          <w:spacing w:val="-2"/>
          <w:lang w:val="en-GB"/>
        </w:rPr>
        <w:t>wellings</w:t>
      </w:r>
      <w:r w:rsidR="00EB69AF" w:rsidRPr="0080490A">
        <w:rPr>
          <w:noProof/>
          <w:spacing w:val="-2"/>
          <w:lang w:val="en-GB"/>
        </w:rPr>
        <w:t xml:space="preserve"> (</w:t>
      </w:r>
      <w:r w:rsidR="00133F23" w:rsidRPr="0080490A">
        <w:rPr>
          <w:noProof/>
          <w:spacing w:val="-2"/>
          <w:lang w:val="en-GB"/>
        </w:rPr>
        <w:t xml:space="preserve">by </w:t>
      </w:r>
      <w:r w:rsidR="008045D3">
        <w:rPr>
          <w:noProof/>
          <w:spacing w:val="-2"/>
          <w:lang w:val="en-GB"/>
        </w:rPr>
        <w:t>29</w:t>
      </w:r>
      <w:r w:rsidR="00954347" w:rsidRPr="0080490A">
        <w:rPr>
          <w:noProof/>
          <w:spacing w:val="-2"/>
          <w:lang w:val="en-GB"/>
        </w:rPr>
        <w:t>.</w:t>
      </w:r>
      <w:r w:rsidR="008045D3">
        <w:rPr>
          <w:noProof/>
          <w:spacing w:val="-2"/>
          <w:lang w:val="en-GB"/>
        </w:rPr>
        <w:t>5</w:t>
      </w:r>
      <w:r w:rsidR="00EB69AF" w:rsidRPr="0080490A">
        <w:rPr>
          <w:noProof/>
          <w:spacing w:val="-2"/>
          <w:lang w:val="en-GB"/>
        </w:rPr>
        <w:t xml:space="preserve">% </w:t>
      </w:r>
      <w:r w:rsidR="003969D1" w:rsidRPr="0080490A">
        <w:rPr>
          <w:noProof/>
          <w:spacing w:val="-2"/>
          <w:lang w:val="en-GB"/>
        </w:rPr>
        <w:t>less</w:t>
      </w:r>
      <w:r w:rsidR="00EB69AF" w:rsidRPr="0080490A">
        <w:rPr>
          <w:noProof/>
          <w:spacing w:val="-2"/>
          <w:lang w:val="en-GB"/>
        </w:rPr>
        <w:t>)</w:t>
      </w:r>
      <w:r w:rsidR="00095A18" w:rsidRPr="0080490A">
        <w:rPr>
          <w:noProof/>
          <w:spacing w:val="-2"/>
          <w:lang w:val="en-GB"/>
        </w:rPr>
        <w:t xml:space="preserve">, </w:t>
      </w:r>
      <w:r w:rsidR="00CD44F1" w:rsidRPr="0080490A">
        <w:rPr>
          <w:noProof/>
          <w:spacing w:val="-2"/>
          <w:lang w:val="en-GB"/>
        </w:rPr>
        <w:t xml:space="preserve">and </w:t>
      </w:r>
      <w:r w:rsidR="00095A18" w:rsidRPr="0080490A">
        <w:rPr>
          <w:noProof/>
          <w:spacing w:val="-2"/>
          <w:lang w:val="en-GB"/>
        </w:rPr>
        <w:t xml:space="preserve">private </w:t>
      </w:r>
      <w:r w:rsidR="008857DD" w:rsidRPr="0080490A">
        <w:rPr>
          <w:noProof/>
          <w:spacing w:val="-2"/>
          <w:lang w:val="en-GB"/>
        </w:rPr>
        <w:t xml:space="preserve">investors of </w:t>
      </w:r>
      <w:r w:rsidR="008045D3">
        <w:rPr>
          <w:noProof/>
          <w:spacing w:val="-2"/>
          <w:lang w:val="en-GB"/>
        </w:rPr>
        <w:t>79</w:t>
      </w:r>
      <w:r w:rsidR="00CC4866" w:rsidRPr="0080490A">
        <w:rPr>
          <w:noProof/>
          <w:spacing w:val="-2"/>
          <w:lang w:val="en-GB"/>
        </w:rPr>
        <w:t>.</w:t>
      </w:r>
      <w:r w:rsidR="008045D3">
        <w:rPr>
          <w:noProof/>
          <w:spacing w:val="-2"/>
          <w:lang w:val="en-GB"/>
        </w:rPr>
        <w:t>3</w:t>
      </w:r>
      <w:r w:rsidR="007E7CF5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71658F" w:rsidRPr="0080490A">
        <w:rPr>
          <w:noProof/>
          <w:spacing w:val="-2"/>
          <w:lang w:val="en-GB"/>
        </w:rPr>
        <w:t xml:space="preserve"> </w:t>
      </w:r>
      <w:r w:rsidR="008045D3">
        <w:rPr>
          <w:noProof/>
          <w:spacing w:val="-2"/>
          <w:lang w:val="en-GB"/>
        </w:rPr>
        <w:t>(by 21.8</w:t>
      </w:r>
      <w:r w:rsidR="00854717" w:rsidRPr="0080490A">
        <w:rPr>
          <w:noProof/>
          <w:spacing w:val="-2"/>
          <w:lang w:val="en-GB"/>
        </w:rPr>
        <w:t xml:space="preserve">% </w:t>
      </w:r>
      <w:r w:rsidR="007E7CF5" w:rsidRPr="0080490A">
        <w:rPr>
          <w:noProof/>
          <w:spacing w:val="-2"/>
          <w:lang w:val="en-GB"/>
        </w:rPr>
        <w:t>less</w:t>
      </w:r>
      <w:r w:rsidR="00B77062" w:rsidRPr="0080490A">
        <w:rPr>
          <w:noProof/>
          <w:spacing w:val="-2"/>
          <w:lang w:val="en-GB"/>
        </w:rPr>
        <w:t>). A</w:t>
      </w:r>
      <w:r w:rsidR="0046238A" w:rsidRPr="0080490A">
        <w:rPr>
          <w:noProof/>
          <w:spacing w:val="-2"/>
          <w:lang w:val="en-GB"/>
        </w:rPr>
        <w:t>ltogether</w:t>
      </w:r>
      <w:r w:rsidR="003029E3" w:rsidRPr="0080490A">
        <w:rPr>
          <w:noProof/>
          <w:spacing w:val="-2"/>
          <w:lang w:val="en-GB"/>
        </w:rPr>
        <w:t xml:space="preserve"> the share of these forms of construction</w:t>
      </w:r>
      <w:r w:rsidR="0046238A" w:rsidRPr="0080490A">
        <w:rPr>
          <w:noProof/>
          <w:spacing w:val="-2"/>
          <w:lang w:val="en-GB"/>
        </w:rPr>
        <w:t xml:space="preserve"> </w:t>
      </w:r>
      <w:r w:rsidR="003029E3" w:rsidRPr="0080490A">
        <w:rPr>
          <w:noProof/>
          <w:spacing w:val="-2"/>
          <w:lang w:val="en-GB"/>
        </w:rPr>
        <w:t>was</w:t>
      </w:r>
      <w:r w:rsidR="00133F23" w:rsidRPr="0080490A">
        <w:rPr>
          <w:noProof/>
          <w:spacing w:val="-2"/>
          <w:lang w:val="en-GB"/>
        </w:rPr>
        <w:t xml:space="preserve"> </w:t>
      </w:r>
      <w:r w:rsidR="006A4AA8" w:rsidRPr="0080490A">
        <w:rPr>
          <w:noProof/>
          <w:spacing w:val="-2"/>
          <w:lang w:val="en-GB"/>
        </w:rPr>
        <w:t>98</w:t>
      </w:r>
      <w:r w:rsidR="00CC4866" w:rsidRPr="0080490A">
        <w:rPr>
          <w:noProof/>
          <w:spacing w:val="-2"/>
          <w:lang w:val="en-GB"/>
        </w:rPr>
        <w:t>.</w:t>
      </w:r>
      <w:r w:rsidR="008045D3">
        <w:rPr>
          <w:noProof/>
          <w:spacing w:val="-2"/>
          <w:lang w:val="en-GB"/>
        </w:rPr>
        <w:t>5</w:t>
      </w:r>
      <w:r w:rsidR="00B77EC9" w:rsidRPr="0080490A">
        <w:rPr>
          <w:noProof/>
          <w:spacing w:val="-2"/>
          <w:lang w:val="en-GB"/>
        </w:rPr>
        <w:t>%</w:t>
      </w:r>
      <w:r w:rsidR="001C1808" w:rsidRPr="0080490A">
        <w:rPr>
          <w:noProof/>
          <w:spacing w:val="-2"/>
          <w:lang w:val="en-GB"/>
        </w:rPr>
        <w:t xml:space="preserve"> of</w:t>
      </w:r>
      <w:r w:rsidR="00CD44F1" w:rsidRPr="0080490A">
        <w:rPr>
          <w:noProof/>
          <w:spacing w:val="-2"/>
          <w:lang w:val="en-GB"/>
        </w:rPr>
        <w:t xml:space="preserve"> </w:t>
      </w:r>
      <w:r w:rsidR="008B64BD" w:rsidRPr="0080490A">
        <w:rPr>
          <w:noProof/>
          <w:spacing w:val="-2"/>
          <w:lang w:val="en-GB"/>
        </w:rPr>
        <w:t>the</w:t>
      </w:r>
      <w:r w:rsidR="00C03049" w:rsidRPr="0080490A">
        <w:rPr>
          <w:noProof/>
          <w:spacing w:val="-2"/>
          <w:lang w:val="en-GB"/>
        </w:rPr>
        <w:t> </w:t>
      </w:r>
      <w:r w:rsidR="001C1808" w:rsidRPr="0080490A">
        <w:rPr>
          <w:noProof/>
          <w:spacing w:val="-2"/>
          <w:lang w:val="en-GB"/>
        </w:rPr>
        <w:t>total number of dwellings</w:t>
      </w:r>
      <w:r w:rsidR="00B77EC9" w:rsidRPr="0080490A">
        <w:rPr>
          <w:noProof/>
          <w:spacing w:val="-2"/>
          <w:lang w:val="en-GB"/>
        </w:rPr>
        <w:t xml:space="preserve">. </w:t>
      </w:r>
      <w:r w:rsidR="00B77062" w:rsidRPr="0080490A">
        <w:rPr>
          <w:noProof/>
          <w:spacing w:val="-2"/>
          <w:lang w:val="en-GB"/>
        </w:rPr>
        <w:t xml:space="preserve">In </w:t>
      </w:r>
      <w:r w:rsidR="00497FB5" w:rsidRPr="0080490A">
        <w:rPr>
          <w:noProof/>
          <w:spacing w:val="-2"/>
          <w:lang w:val="en-GB"/>
        </w:rPr>
        <w:t xml:space="preserve">other forms of </w:t>
      </w:r>
      <w:r w:rsidR="00B77062" w:rsidRPr="0080490A">
        <w:rPr>
          <w:noProof/>
          <w:spacing w:val="-2"/>
          <w:lang w:val="en-GB"/>
        </w:rPr>
        <w:t>construction the number of</w:t>
      </w:r>
      <w:r w:rsidR="009300BA" w:rsidRPr="0080490A">
        <w:rPr>
          <w:noProof/>
          <w:spacing w:val="-2"/>
          <w:lang w:val="en-GB"/>
        </w:rPr>
        <w:t> </w:t>
      </w:r>
      <w:r w:rsidR="00B77062" w:rsidRPr="0080490A">
        <w:rPr>
          <w:noProof/>
          <w:spacing w:val="-2"/>
          <w:lang w:val="en-GB"/>
        </w:rPr>
        <w:t xml:space="preserve">dwellings in which construction has begun was </w:t>
      </w:r>
      <w:r w:rsidR="00B11C46" w:rsidRPr="0080490A">
        <w:rPr>
          <w:noProof/>
          <w:spacing w:val="-2"/>
          <w:lang w:val="en-GB"/>
        </w:rPr>
        <w:t>2</w:t>
      </w:r>
      <w:r w:rsidR="00DE2F35">
        <w:rPr>
          <w:noProof/>
          <w:spacing w:val="-2"/>
          <w:lang w:val="en-GB"/>
        </w:rPr>
        <w:t xml:space="preserve">.8 </w:t>
      </w:r>
      <w:r w:rsidR="00DE2F35" w:rsidRPr="00DE2F35">
        <w:rPr>
          <w:noProof/>
          <w:spacing w:val="-2"/>
          <w:lang w:val="en-GB"/>
        </w:rPr>
        <w:t xml:space="preserve">thousand </w:t>
      </w:r>
      <w:r w:rsidR="00B77EC9" w:rsidRPr="0080490A">
        <w:rPr>
          <w:noProof/>
          <w:spacing w:val="-2"/>
          <w:lang w:val="en-GB"/>
        </w:rPr>
        <w:t>(</w:t>
      </w:r>
      <w:r w:rsidR="00DE2F35">
        <w:rPr>
          <w:noProof/>
          <w:spacing w:val="-2"/>
          <w:lang w:val="en-GB"/>
        </w:rPr>
        <w:t xml:space="preserve">5.0 </w:t>
      </w:r>
      <w:r w:rsidR="00DE2F35" w:rsidRPr="00DE2F35">
        <w:rPr>
          <w:noProof/>
          <w:spacing w:val="-2"/>
          <w:lang w:val="en-GB"/>
        </w:rPr>
        <w:t xml:space="preserve">thousand </w:t>
      </w:r>
      <w:r w:rsidR="00B77062" w:rsidRPr="0080490A">
        <w:rPr>
          <w:noProof/>
          <w:spacing w:val="-2"/>
          <w:lang w:val="en-GB"/>
        </w:rPr>
        <w:t>in the previous year</w:t>
      </w:r>
      <w:r w:rsidR="00677574" w:rsidRPr="0080490A">
        <w:rPr>
          <w:noProof/>
          <w:spacing w:val="-2"/>
          <w:lang w:val="en-GB"/>
        </w:rPr>
        <w:t>)</w:t>
      </w:r>
      <w:r w:rsidR="00497FB5" w:rsidRPr="0080490A">
        <w:rPr>
          <w:noProof/>
          <w:spacing w:val="-2"/>
          <w:lang w:val="en-GB"/>
        </w:rPr>
        <w:t>.</w:t>
      </w:r>
    </w:p>
    <w:p w14:paraId="398571FB" w14:textId="4226270B" w:rsidR="00E26291" w:rsidRDefault="00B4601E" w:rsidP="00FE1642">
      <w:pPr>
        <w:pStyle w:val="Tytutablicy"/>
        <w:spacing w:before="24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="00603549" w:rsidRPr="009A4851" w14:paraId="34F47625" w14:textId="77777777" w:rsidTr="00DE2F3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603549" w:rsidRPr="00DE2F35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DE2F35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450D3C1C" w:rsidR="00603549" w:rsidRPr="00DE2F35" w:rsidRDefault="00D20CD1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DE2F35">
              <w:rPr>
                <w:color w:val="000000" w:themeColor="text1"/>
                <w:sz w:val="15"/>
                <w:szCs w:val="15"/>
              </w:rPr>
              <w:t>11</w:t>
            </w:r>
            <w:r w:rsidR="00603549" w:rsidRPr="00DE2F35">
              <w:rPr>
                <w:color w:val="000000" w:themeColor="text1"/>
                <w:sz w:val="15"/>
                <w:szCs w:val="15"/>
              </w:rPr>
              <w:t xml:space="preserve"> 2022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D912991" w14:textId="5E7A3E72" w:rsidR="00603549" w:rsidRPr="00DE2F35" w:rsidRDefault="00D20CD1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DE2F35">
              <w:rPr>
                <w:color w:val="000000" w:themeColor="text1"/>
                <w:sz w:val="15"/>
                <w:szCs w:val="15"/>
              </w:rPr>
              <w:t>01-11</w:t>
            </w:r>
            <w:r w:rsidR="00603549" w:rsidRPr="00DE2F35">
              <w:rPr>
                <w:color w:val="000000" w:themeColor="text1"/>
                <w:sz w:val="15"/>
                <w:szCs w:val="15"/>
              </w:rPr>
              <w:t xml:space="preserve"> 2022</w:t>
            </w:r>
          </w:p>
        </w:tc>
      </w:tr>
      <w:tr w:rsidR="00603549" w:rsidRPr="009A4851" w14:paraId="57BC7BB1" w14:textId="77777777" w:rsidTr="00A06AB5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603549" w:rsidRPr="00DE2F35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77777777" w:rsidR="00603549" w:rsidRPr="00DE2F35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DE2F35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DE2F35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DE2F35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DE2F35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49B65C22" w:rsidR="00603549" w:rsidRPr="00DE2F35" w:rsidRDefault="00D20CD1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DE2F35">
              <w:rPr>
                <w:color w:val="000000" w:themeColor="text1"/>
                <w:sz w:val="15"/>
                <w:szCs w:val="15"/>
              </w:rPr>
              <w:t>11</w:t>
            </w:r>
            <w:r w:rsidR="00603549" w:rsidRPr="00DE2F35">
              <w:rPr>
                <w:color w:val="000000" w:themeColor="text1"/>
                <w:sz w:val="15"/>
                <w:szCs w:val="15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109C3DB" w14:textId="2E9F36FE" w:rsidR="00603549" w:rsidRPr="00DE2F35" w:rsidRDefault="00D20CD1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DE2F35">
              <w:rPr>
                <w:color w:val="000000" w:themeColor="text1"/>
                <w:sz w:val="15"/>
                <w:szCs w:val="15"/>
              </w:rPr>
              <w:t>10</w:t>
            </w:r>
            <w:r w:rsidR="00603549" w:rsidRPr="00DE2F35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EABA16B" w14:textId="77777777" w:rsidR="00603549" w:rsidRPr="00DE2F35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DE2F35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DE2F35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DE2F35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DE2F35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95C5F30" w14:textId="00F6771B" w:rsidR="00603549" w:rsidRPr="00DE2F35" w:rsidRDefault="00D20CD1" w:rsidP="004873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DE2F35">
              <w:rPr>
                <w:color w:val="000000" w:themeColor="text1"/>
                <w:sz w:val="15"/>
                <w:szCs w:val="15"/>
              </w:rPr>
              <w:t>01-11</w:t>
            </w:r>
            <w:r w:rsidR="00603549" w:rsidRPr="00DE2F35">
              <w:rPr>
                <w:color w:val="000000" w:themeColor="text1"/>
                <w:sz w:val="15"/>
                <w:szCs w:val="15"/>
              </w:rPr>
              <w:t xml:space="preserve"> </w:t>
            </w:r>
            <w:r w:rsidR="00603549" w:rsidRPr="00DE2F35">
              <w:rPr>
                <w:color w:val="000000" w:themeColor="text1"/>
                <w:sz w:val="15"/>
                <w:szCs w:val="15"/>
              </w:rPr>
              <w:br/>
              <w:t>2021=100</w:t>
            </w:r>
          </w:p>
        </w:tc>
      </w:tr>
      <w:tr w:rsidR="00D20CD1" w:rsidRPr="009A4851" w14:paraId="0E4114AC" w14:textId="77777777" w:rsidTr="00A06AB5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4E22B89" w14:textId="77777777" w:rsidR="00D20CD1" w:rsidRPr="00DE2F35" w:rsidRDefault="00D20CD1" w:rsidP="00D20CD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DE2F35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3AD18BD" w14:textId="49D7634D" w:rsidR="00D20CD1" w:rsidRPr="00DE2F35" w:rsidRDefault="00D20CD1" w:rsidP="00D20CD1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DE2F35">
              <w:rPr>
                <w:rFonts w:cs="Arial"/>
                <w:b/>
                <w:color w:val="000000" w:themeColor="text1"/>
                <w:sz w:val="15"/>
                <w:szCs w:val="15"/>
              </w:rPr>
              <w:t>12 117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29AC8C7" w14:textId="00B19CA8" w:rsidR="00D20CD1" w:rsidRPr="00DE2F35" w:rsidRDefault="00770806" w:rsidP="00D20CD1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57.</w:t>
            </w:r>
            <w:r w:rsidR="00D20CD1" w:rsidRPr="00DE2F35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47154406" w14:textId="4D4A3CA1" w:rsidR="00D20CD1" w:rsidRPr="00DE2F35" w:rsidRDefault="00770806" w:rsidP="00D20CD1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</w:rPr>
              <w:t>89.</w:t>
            </w:r>
            <w:r w:rsidR="00D20CD1" w:rsidRPr="00DE2F35">
              <w:rPr>
                <w:rFonts w:cs="Arial"/>
                <w:b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15DF69D5" w14:textId="04034803" w:rsidR="00D20CD1" w:rsidRPr="00DE2F35" w:rsidRDefault="00D20CD1" w:rsidP="00D20CD1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DE2F35">
              <w:rPr>
                <w:rFonts w:cs="Arial"/>
                <w:b/>
                <w:color w:val="000000" w:themeColor="text1"/>
                <w:sz w:val="15"/>
                <w:szCs w:val="15"/>
              </w:rPr>
              <w:t>190 444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14:paraId="36EBC714" w14:textId="72E60939" w:rsidR="00D20CD1" w:rsidRPr="00DE2F35" w:rsidRDefault="00770806" w:rsidP="00D20CD1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</w:rPr>
              <w:t>73.</w:t>
            </w:r>
            <w:r w:rsidR="00D20CD1" w:rsidRPr="00DE2F35">
              <w:rPr>
                <w:rFonts w:cs="Arial"/>
                <w:b/>
                <w:color w:val="000000" w:themeColor="text1"/>
                <w:sz w:val="15"/>
                <w:szCs w:val="15"/>
              </w:rPr>
              <w:t>2</w:t>
            </w:r>
          </w:p>
        </w:tc>
      </w:tr>
      <w:tr w:rsidR="00D20CD1" w:rsidRPr="009A4851" w14:paraId="1FF029D5" w14:textId="77777777" w:rsidTr="00A06AB5">
        <w:trPr>
          <w:trHeight w:val="54"/>
        </w:trPr>
        <w:tc>
          <w:tcPr>
            <w:tcW w:w="2268" w:type="dxa"/>
            <w:vAlign w:val="center"/>
          </w:tcPr>
          <w:p w14:paraId="71C2CC1E" w14:textId="77777777" w:rsidR="00D20CD1" w:rsidRPr="00DE2F35" w:rsidRDefault="00D20CD1" w:rsidP="00D20CD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DE2F3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591D9F98" w14:textId="73292DB4" w:rsidR="00D20CD1" w:rsidRPr="00DE2F35" w:rsidRDefault="00D20CD1" w:rsidP="00D20CD1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4 528</w:t>
            </w:r>
          </w:p>
        </w:tc>
        <w:tc>
          <w:tcPr>
            <w:tcW w:w="1134" w:type="dxa"/>
            <w:vAlign w:val="center"/>
          </w:tcPr>
          <w:p w14:paraId="60807E6E" w14:textId="78FB93A5" w:rsidR="00D20CD1" w:rsidRPr="00DE2F35" w:rsidRDefault="00770806" w:rsidP="00D20C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60.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7F3799" w14:textId="358B1122" w:rsidR="00D20CD1" w:rsidRPr="00DE2F35" w:rsidRDefault="00770806" w:rsidP="00D20C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72.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784C929" w14:textId="2A008FBE" w:rsidR="00D20CD1" w:rsidRPr="00DE2F35" w:rsidRDefault="00D20CD1" w:rsidP="00D20CD1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79 323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3C262F44" w14:textId="75BEE9E9" w:rsidR="00D20CD1" w:rsidRPr="00DE2F35" w:rsidRDefault="00770806" w:rsidP="00D20C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78.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</w:p>
        </w:tc>
      </w:tr>
      <w:tr w:rsidR="00D20CD1" w:rsidRPr="009A4851" w14:paraId="304B4633" w14:textId="77777777" w:rsidTr="00A06AB5">
        <w:trPr>
          <w:trHeight w:val="348"/>
        </w:trPr>
        <w:tc>
          <w:tcPr>
            <w:tcW w:w="2268" w:type="dxa"/>
            <w:vAlign w:val="center"/>
          </w:tcPr>
          <w:p w14:paraId="5B8199F5" w14:textId="77777777" w:rsidR="00D20CD1" w:rsidRPr="00DE2F35" w:rsidRDefault="00D20CD1" w:rsidP="00D20CD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DE2F3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15FC3415" w14:textId="577E0458" w:rsidR="00D20CD1" w:rsidRPr="00DE2F35" w:rsidRDefault="00D20CD1" w:rsidP="00D20CD1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7 367</w:t>
            </w:r>
          </w:p>
        </w:tc>
        <w:tc>
          <w:tcPr>
            <w:tcW w:w="1134" w:type="dxa"/>
            <w:vAlign w:val="center"/>
          </w:tcPr>
          <w:p w14:paraId="0766C893" w14:textId="0C0AE9CD" w:rsidR="00D20CD1" w:rsidRPr="00DE2F35" w:rsidRDefault="00770806" w:rsidP="00D20C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57.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2952B2" w14:textId="42CA9B01" w:rsidR="00D20CD1" w:rsidRPr="00DE2F35" w:rsidRDefault="00770806" w:rsidP="00D20C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103.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5563F59" w14:textId="0B153749" w:rsidR="00D20CD1" w:rsidRPr="00DE2F35" w:rsidRDefault="00D20CD1" w:rsidP="00D20CD1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108 336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58C8F426" w14:textId="1F2534BA" w:rsidR="00D20CD1" w:rsidRPr="00DE2F35" w:rsidRDefault="00770806" w:rsidP="00D20C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70.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</w:tr>
      <w:tr w:rsidR="00D20CD1" w:rsidRPr="009A4851" w14:paraId="04BD52CD" w14:textId="77777777" w:rsidTr="00A06AB5">
        <w:trPr>
          <w:trHeight w:val="347"/>
        </w:trPr>
        <w:tc>
          <w:tcPr>
            <w:tcW w:w="2268" w:type="dxa"/>
            <w:vAlign w:val="center"/>
          </w:tcPr>
          <w:p w14:paraId="52D0D7AF" w14:textId="77777777" w:rsidR="00D20CD1" w:rsidRPr="00DE2F35" w:rsidRDefault="00D20CD1" w:rsidP="00D20CD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vertAlign w:val="superscript"/>
              </w:rPr>
            </w:pPr>
            <w:r w:rsidRPr="00DE2F3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30EF4784" w14:textId="1D46EA1B" w:rsidR="00D20CD1" w:rsidRPr="0047027C" w:rsidRDefault="00D20CD1" w:rsidP="0047027C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1134" w:type="dxa"/>
            <w:vAlign w:val="center"/>
          </w:tcPr>
          <w:p w14:paraId="66975EDA" w14:textId="494EA92F" w:rsidR="00D20CD1" w:rsidRPr="00DE2F35" w:rsidRDefault="00D20CD1" w:rsidP="00D20CD1">
            <w:pPr>
              <w:spacing w:before="0" w:after="0"/>
              <w:jc w:val="right"/>
              <w:rPr>
                <w:sz w:val="15"/>
                <w:szCs w:val="15"/>
              </w:rPr>
            </w:pPr>
            <w:proofErr w:type="spellStart"/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over</w:t>
            </w:r>
            <w:proofErr w:type="spellEnd"/>
            <w:r w:rsidR="00F97C1E" w:rsidRPr="00DE2F35">
              <w:rPr>
                <w:rFonts w:cs="Arial"/>
                <w:color w:val="000000" w:themeColor="text1"/>
                <w:sz w:val="15"/>
                <w:szCs w:val="15"/>
              </w:rPr>
              <w:t xml:space="preserve"> 20-</w:t>
            </w: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fold less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81ED179" w14:textId="09C77D54" w:rsidR="00D20CD1" w:rsidRPr="00DE2F35" w:rsidRDefault="00770806" w:rsidP="00D20CD1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200.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156E799" w14:textId="6850F973" w:rsidR="00D20CD1" w:rsidRPr="0047027C" w:rsidRDefault="00D20CD1" w:rsidP="0047027C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412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DFFADD9" w14:textId="0DB5D7A9" w:rsidR="00D20CD1" w:rsidRPr="0047027C" w:rsidRDefault="00770806" w:rsidP="0047027C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28.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</w:p>
        </w:tc>
      </w:tr>
      <w:tr w:rsidR="00D20CD1" w:rsidRPr="009A4851" w14:paraId="22E5F8B5" w14:textId="77777777" w:rsidTr="00A06AB5">
        <w:trPr>
          <w:trHeight w:val="359"/>
        </w:trPr>
        <w:tc>
          <w:tcPr>
            <w:tcW w:w="2268" w:type="dxa"/>
            <w:vAlign w:val="center"/>
          </w:tcPr>
          <w:p w14:paraId="6E1E246A" w14:textId="77777777" w:rsidR="00D20CD1" w:rsidRPr="00DE2F35" w:rsidRDefault="00D20CD1" w:rsidP="00D20CD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DE2F35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1567DB37" w14:textId="634B7DF5" w:rsidR="00D20CD1" w:rsidRPr="00DE2F35" w:rsidRDefault="00D20CD1" w:rsidP="00D20CD1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85</w:t>
            </w:r>
          </w:p>
        </w:tc>
        <w:tc>
          <w:tcPr>
            <w:tcW w:w="1134" w:type="dxa"/>
            <w:vAlign w:val="center"/>
          </w:tcPr>
          <w:p w14:paraId="4C518540" w14:textId="62379343" w:rsidR="00D20CD1" w:rsidRPr="00DE2F35" w:rsidRDefault="00770806" w:rsidP="00D20C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23.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E71D1E5" w14:textId="224E2C7E" w:rsidR="00D20CD1" w:rsidRPr="00DE2F35" w:rsidRDefault="00770806" w:rsidP="00D20C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472.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F8E42BE" w14:textId="07733E84" w:rsidR="00D20CD1" w:rsidRPr="00DE2F35" w:rsidRDefault="00D20CD1" w:rsidP="00D20CD1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687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2FA332F0" w14:textId="6FA910C7" w:rsidR="00D20CD1" w:rsidRPr="00DE2F35" w:rsidRDefault="00770806" w:rsidP="00D20C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35.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</w:tr>
      <w:tr w:rsidR="00D20CD1" w:rsidRPr="009A4851" w14:paraId="4820AC1A" w14:textId="77777777" w:rsidTr="00A06AB5">
        <w:trPr>
          <w:trHeight w:val="366"/>
        </w:trPr>
        <w:tc>
          <w:tcPr>
            <w:tcW w:w="2268" w:type="dxa"/>
            <w:vAlign w:val="center"/>
          </w:tcPr>
          <w:p w14:paraId="6B82F139" w14:textId="77777777" w:rsidR="00D20CD1" w:rsidRPr="00DE2F35" w:rsidRDefault="00D20CD1" w:rsidP="00D20CD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DE2F35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196CFDC3" w14:textId="12CDB61C" w:rsidR="00D20CD1" w:rsidRPr="0047027C" w:rsidRDefault="00D20CD1" w:rsidP="0047027C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54FE49B" w14:textId="73EF25CF" w:rsidR="00D20CD1" w:rsidRPr="00DE2F35" w:rsidRDefault="00D20CD1" w:rsidP="00D20CD1">
            <w:pPr>
              <w:spacing w:before="0" w:after="0"/>
              <w:jc w:val="right"/>
              <w:rPr>
                <w:sz w:val="15"/>
                <w:szCs w:val="15"/>
              </w:rPr>
            </w:pPr>
            <w:proofErr w:type="spellStart"/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over</w:t>
            </w:r>
            <w:proofErr w:type="spellEnd"/>
            <w:r w:rsidR="00F97C1E" w:rsidRPr="00DE2F35">
              <w:rPr>
                <w:rFonts w:cs="Arial"/>
                <w:color w:val="000000" w:themeColor="text1"/>
                <w:sz w:val="15"/>
                <w:szCs w:val="15"/>
              </w:rPr>
              <w:t xml:space="preserve"> 30-</w:t>
            </w: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fold less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501BBB7" w14:textId="6870E735" w:rsidR="00D20CD1" w:rsidRPr="00DE2F35" w:rsidRDefault="00770806" w:rsidP="00D20CD1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25.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0E8B382C" w14:textId="3462628B" w:rsidR="00D20CD1" w:rsidRPr="0047027C" w:rsidRDefault="00D20CD1" w:rsidP="0047027C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817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0DF6978D" w14:textId="6B13D18F" w:rsidR="00D20CD1" w:rsidRPr="0047027C" w:rsidRDefault="00770806" w:rsidP="0047027C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82.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</w:tr>
      <w:tr w:rsidR="00D20CD1" w:rsidRPr="009A4851" w14:paraId="347BB134" w14:textId="77777777" w:rsidTr="00A06AB5">
        <w:trPr>
          <w:trHeight w:val="348"/>
        </w:trPr>
        <w:tc>
          <w:tcPr>
            <w:tcW w:w="2268" w:type="dxa"/>
            <w:vAlign w:val="center"/>
          </w:tcPr>
          <w:p w14:paraId="28773DE9" w14:textId="77777777" w:rsidR="00D20CD1" w:rsidRPr="00DE2F35" w:rsidRDefault="00D20CD1" w:rsidP="00D20CD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DE2F35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018ECCAB" w14:textId="01A17E85" w:rsidR="00D20CD1" w:rsidRPr="00DE2F35" w:rsidRDefault="00D20CD1" w:rsidP="00D20CD1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130</w:t>
            </w:r>
          </w:p>
        </w:tc>
        <w:tc>
          <w:tcPr>
            <w:tcW w:w="1134" w:type="dxa"/>
            <w:vAlign w:val="center"/>
          </w:tcPr>
          <w:p w14:paraId="5E4E785D" w14:textId="7CDCD429" w:rsidR="00D20CD1" w:rsidRPr="00DE2F35" w:rsidRDefault="00770806" w:rsidP="00D20C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43.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36C6321" w14:textId="3892F1D0" w:rsidR="00D20CD1" w:rsidRPr="00DE2F35" w:rsidRDefault="00770806" w:rsidP="00D20C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92.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02391AC" w14:textId="011ED6EF" w:rsidR="00D20CD1" w:rsidRPr="00DE2F35" w:rsidRDefault="00D20CD1" w:rsidP="00D20CD1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1 197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1F986587" w14:textId="64A7C19C" w:rsidR="00D20CD1" w:rsidRPr="00DE2F35" w:rsidRDefault="00770806" w:rsidP="00D20C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63.</w:t>
            </w:r>
            <w:r w:rsidR="00D20CD1" w:rsidRPr="00DE2F35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</w:p>
        </w:tc>
      </w:tr>
      <w:tr w:rsidR="00D20CD1" w:rsidRPr="009A4851" w14:paraId="104777EA" w14:textId="77777777" w:rsidTr="00A06AB5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72B32D20" w:rsidR="00D20CD1" w:rsidRPr="00DE2F35" w:rsidRDefault="00D20CD1" w:rsidP="00D20CD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DE2F35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15CE9B80" w14:textId="6BE89A55" w:rsidR="00D20CD1" w:rsidRPr="00DE2F35" w:rsidRDefault="00D20CD1" w:rsidP="00D20CD1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230310D" w14:textId="19C5A41D" w:rsidR="00D20CD1" w:rsidRPr="00DE2F35" w:rsidRDefault="00D20CD1" w:rsidP="00D20CD1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DD6985C" w14:textId="3DF51AE4" w:rsidR="00D20CD1" w:rsidRPr="00DE2F35" w:rsidRDefault="00D20CD1" w:rsidP="00D20CD1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C9FFD0E" w14:textId="5299A444" w:rsidR="00D20CD1" w:rsidRPr="00DE2F35" w:rsidRDefault="00D20CD1" w:rsidP="00D20CD1">
            <w:pPr>
              <w:spacing w:after="0"/>
              <w:jc w:val="right"/>
              <w:rPr>
                <w:sz w:val="15"/>
                <w:szCs w:val="15"/>
              </w:rPr>
            </w:pPr>
            <w:r w:rsidRPr="00DE2F35">
              <w:rPr>
                <w:rFonts w:cs="Arial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10BBD0D7" w14:textId="3D04159E" w:rsidR="00D20CD1" w:rsidRPr="00243185" w:rsidRDefault="00770806" w:rsidP="00D20CD1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44.</w:t>
            </w:r>
            <w:r w:rsidR="00F97C1E" w:rsidRPr="00DE2F35">
              <w:rPr>
                <w:rFonts w:cs="Arial"/>
                <w:color w:val="000000" w:themeColor="text1"/>
                <w:sz w:val="15"/>
                <w:szCs w:val="15"/>
              </w:rPr>
              <w:t>4</w:t>
            </w:r>
          </w:p>
        </w:tc>
      </w:tr>
    </w:tbl>
    <w:p w14:paraId="34D75009" w14:textId="7A6297EE" w:rsidR="00154AC9" w:rsidRPr="00B11C46" w:rsidRDefault="005D23AA" w:rsidP="0059068B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="008B64BD" w:rsidRPr="004829B9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D20CD1">
        <w:rPr>
          <w:szCs w:val="19"/>
          <w:shd w:val="clear" w:color="auto" w:fill="FFFFFF"/>
          <w:lang w:val="en-GB"/>
        </w:rPr>
        <w:t>November</w:t>
      </w:r>
      <w:r w:rsidR="003969D1">
        <w:rPr>
          <w:szCs w:val="19"/>
          <w:shd w:val="clear" w:color="auto" w:fill="FFFFFF"/>
          <w:lang w:val="en-GB"/>
        </w:rPr>
        <w:t xml:space="preserve"> 2022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D20CD1">
        <w:rPr>
          <w:szCs w:val="19"/>
          <w:shd w:val="clear" w:color="auto" w:fill="FFFFFF"/>
          <w:lang w:val="en-GB"/>
        </w:rPr>
        <w:t>847</w:t>
      </w:r>
      <w:r w:rsidR="00D93EA6">
        <w:rPr>
          <w:szCs w:val="19"/>
          <w:shd w:val="clear" w:color="auto" w:fill="FFFFFF"/>
          <w:lang w:val="en-GB"/>
        </w:rPr>
        <w:t>.</w:t>
      </w:r>
      <w:r w:rsidR="00D20CD1">
        <w:rPr>
          <w:szCs w:val="19"/>
          <w:shd w:val="clear" w:color="auto" w:fill="FFFFFF"/>
          <w:lang w:val="en-GB"/>
        </w:rPr>
        <w:t>5</w:t>
      </w:r>
      <w:r w:rsidR="00D93EA6" w:rsidRP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D20CD1">
        <w:rPr>
          <w:szCs w:val="19"/>
          <w:shd w:val="clear" w:color="auto" w:fill="FFFFFF"/>
          <w:lang w:val="en-GB"/>
        </w:rPr>
        <w:t>3.5</w:t>
      </w:r>
      <w:r w:rsidRPr="004829B9">
        <w:rPr>
          <w:szCs w:val="19"/>
          <w:shd w:val="clear" w:color="auto" w:fill="FFFFFF"/>
          <w:lang w:val="en-GB"/>
        </w:rPr>
        <w:t xml:space="preserve">% </w:t>
      </w:r>
      <w:r w:rsidR="00EC74D0">
        <w:rPr>
          <w:szCs w:val="19"/>
          <w:shd w:val="clear" w:color="auto" w:fill="FFFFFF"/>
          <w:lang w:val="en-GB"/>
        </w:rPr>
        <w:t>less</w:t>
      </w:r>
      <w:r w:rsidRPr="004829B9">
        <w:rPr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332CA8">
        <w:rPr>
          <w:szCs w:val="19"/>
          <w:shd w:val="clear" w:color="auto" w:fill="FFFFFF"/>
          <w:lang w:val="en-GB"/>
        </w:rPr>
        <w:t>period</w:t>
      </w:r>
      <w:r w:rsidR="003969D1">
        <w:rPr>
          <w:szCs w:val="19"/>
          <w:shd w:val="clear" w:color="auto" w:fill="FFFFFF"/>
          <w:lang w:val="en-GB"/>
        </w:rPr>
        <w:t xml:space="preserve"> of 2021</w:t>
      </w:r>
      <w:r w:rsidR="00AA22EE" w:rsidRPr="004829B9">
        <w:rPr>
          <w:szCs w:val="19"/>
          <w:shd w:val="clear" w:color="auto" w:fill="FFFFFF"/>
          <w:lang w:val="en-GB"/>
        </w:rPr>
        <w:t>.</w:t>
      </w:r>
    </w:p>
    <w:p w14:paraId="4BA5550F" w14:textId="212D92B0" w:rsidR="00FE1642" w:rsidRPr="00FE1642" w:rsidRDefault="00FE1642" w:rsidP="00FE1642">
      <w:pPr>
        <w:pStyle w:val="Tytutablicy"/>
        <w:spacing w:before="240" w:after="0"/>
        <w:rPr>
          <w:bCs w:val="0"/>
          <w:shd w:val="clear" w:color="auto" w:fill="FFFFFF"/>
          <w:lang w:val="en-GB"/>
        </w:rPr>
      </w:pPr>
      <w:r w:rsidRPr="009038EF">
        <w:rPr>
          <w:szCs w:val="18"/>
          <w:lang w:val="en-GB"/>
        </w:rPr>
        <w:t>Chart 1.</w:t>
      </w:r>
      <w:r w:rsidRPr="007E02D8">
        <w:rPr>
          <w:lang w:val="en-GB"/>
        </w:rPr>
        <w:t xml:space="preserve"> </w:t>
      </w:r>
      <w:r w:rsidRPr="009038EF">
        <w:rPr>
          <w:szCs w:val="18"/>
          <w:lang w:val="en-GB"/>
        </w:rPr>
        <w:t>Construction activity in the scope of residential construction in</w:t>
      </w:r>
      <w:r w:rsidRPr="00FE1642">
        <w:rPr>
          <w:szCs w:val="18"/>
          <w:lang w:val="en-GB"/>
        </w:rPr>
        <w:t xml:space="preserve"> </w:t>
      </w:r>
      <w:r w:rsidRPr="009038EF">
        <w:rPr>
          <w:szCs w:val="18"/>
          <w:lang w:val="en-GB"/>
        </w:rPr>
        <w:t>Poland</w:t>
      </w:r>
    </w:p>
    <w:p w14:paraId="051C1979" w14:textId="6C61291A" w:rsidR="00185C4C" w:rsidRDefault="00011EFD" w:rsidP="009300BA">
      <w:pPr>
        <w:spacing w:after="0" w:line="288" w:lineRule="auto"/>
        <w:rPr>
          <w:noProof/>
          <w:spacing w:val="-2"/>
          <w:lang w:val="en-GB"/>
        </w:rPr>
      </w:pPr>
      <w:r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779929A8">
                <wp:simplePos x="0" y="0"/>
                <wp:positionH relativeFrom="page">
                  <wp:posOffset>5650839</wp:posOffset>
                </wp:positionH>
                <wp:positionV relativeFrom="paragraph">
                  <wp:posOffset>79756</wp:posOffset>
                </wp:positionV>
                <wp:extent cx="1819275" cy="2305050"/>
                <wp:effectExtent l="0" t="0" r="0" b="0"/>
                <wp:wrapSquare wrapText="bothSides"/>
                <wp:docPr id="9" name="Pole tekstowe 2" descr="In November, compared to October 2022, the number of dwellings completed increased (by 15.4%), whereas the number of dwellings for which permits have been granted or which have been registered with a construction project decreased and the number of dwellings in which construction has begun decreased (respectively by 5.9% and 10.7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41EC9578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D20C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D20C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="00EC74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</w:t>
                            </w:r>
                            <w:r w:rsidR="00A97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 w:rsidR="004347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reased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1</w:t>
                            </w:r>
                            <w:r w:rsidR="00D20C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5.4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for which permits have been granted or which have been registered with a construction 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project</w:t>
                            </w:r>
                            <w:r w:rsidR="00736F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decreased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has begun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decreased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5B1A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D20C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5.9</w:t>
                            </w:r>
                            <w:r w:rsidR="005B1A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="00D20C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10.7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36E1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alt="In November, compared to October 2022, the number of dwellings completed increased (by 15.4%), whereas the number of dwellings for which permits have been granted or which have been registered with a construction project decreased and the number of dwellings in which construction has begun decreased (respectively by 5.9% and 10.7%)" style="position:absolute;margin-left:444.95pt;margin-top:6.3pt;width:143.25pt;height:18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" filled="f" stroked="f">
                <v:textbox>
                  <w:txbxContent>
                    <w:p w14:paraId="58FBF1C9" w14:textId="41EC9578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D20C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D20C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="00EC74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</w:t>
                      </w:r>
                      <w:r w:rsidR="00A97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 w:rsidR="004347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reased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1</w:t>
                      </w:r>
                      <w:r w:rsidR="00D20C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5.4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for which permits have been granted or which have been registered with a construction 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project</w:t>
                      </w:r>
                      <w:r w:rsidR="00736F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decreased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has begun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decreased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5B1A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D20C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5.9</w:t>
                      </w:r>
                      <w:r w:rsidR="005B1A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="00D20C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10.7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11EFD">
        <w:rPr>
          <w:noProof/>
          <w:lang w:eastAsia="pl-PL"/>
        </w:rPr>
        <w:drawing>
          <wp:anchor distT="0" distB="0" distL="114300" distR="114300" simplePos="0" relativeHeight="251796480" behindDoc="0" locked="0" layoutInCell="1" allowOverlap="1" wp14:anchorId="59754CE0" wp14:editId="5399DB63">
            <wp:simplePos x="0" y="0"/>
            <wp:positionH relativeFrom="margin">
              <wp:align>left</wp:align>
            </wp:positionH>
            <wp:positionV relativeFrom="paragraph">
              <wp:posOffset>168986</wp:posOffset>
            </wp:positionV>
            <wp:extent cx="5122545" cy="2298700"/>
            <wp:effectExtent l="0" t="0" r="1905" b="635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 a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9DEAC" w14:textId="1DC13DE0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6FB02A4C" w14:textId="37F28307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453A031" w14:textId="13A2B0E1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73557F0" w14:textId="56987F3E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47B4763" w14:textId="5D253A91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86E7974" w14:textId="46C17890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13644D6" w14:textId="2E472614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9FB9C96" w14:textId="2A2CF999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3060F905" w14:textId="77777777" w:rsidR="00011EFD" w:rsidRDefault="00011EFD" w:rsidP="009300BA">
      <w:pPr>
        <w:spacing w:after="0" w:line="288" w:lineRule="auto"/>
        <w:rPr>
          <w:noProof/>
          <w:spacing w:val="-2"/>
          <w:lang w:val="en-GB"/>
        </w:rPr>
      </w:pPr>
    </w:p>
    <w:p w14:paraId="6B2C5EA1" w14:textId="3BB30264" w:rsidR="00CB6084" w:rsidRPr="0080490A" w:rsidRDefault="005702F8" w:rsidP="009300BA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182585" w:rsidRPr="0080490A">
        <w:rPr>
          <w:noProof/>
          <w:spacing w:val="-2"/>
          <w:lang w:val="en-GB"/>
        </w:rPr>
        <w:t xml:space="preserve">the </w:t>
      </w:r>
      <w:r w:rsidR="005C20C8" w:rsidRPr="0080490A">
        <w:rPr>
          <w:noProof/>
          <w:spacing w:val="-2"/>
          <w:lang w:val="en-GB"/>
        </w:rPr>
        <w:t>period of January-</w:t>
      </w:r>
      <w:r w:rsidR="00D20CD1">
        <w:rPr>
          <w:noProof/>
          <w:spacing w:val="-2"/>
          <w:lang w:val="en-GB"/>
        </w:rPr>
        <w:t>November</w:t>
      </w:r>
      <w:r w:rsidR="005C20C8" w:rsidRPr="0080490A">
        <w:rPr>
          <w:noProof/>
          <w:spacing w:val="-2"/>
          <w:lang w:val="en-GB"/>
        </w:rPr>
        <w:t xml:space="preserve"> </w:t>
      </w:r>
      <w:r w:rsidR="00D941DB" w:rsidRPr="0080490A">
        <w:rPr>
          <w:noProof/>
          <w:spacing w:val="-2"/>
          <w:lang w:val="en-GB"/>
        </w:rPr>
        <w:t>2022</w:t>
      </w:r>
      <w:r w:rsidR="00E26291" w:rsidRPr="0080490A">
        <w:rPr>
          <w:noProof/>
          <w:spacing w:val="-2"/>
          <w:lang w:val="en-GB"/>
        </w:rPr>
        <w:t xml:space="preserve">, </w:t>
      </w:r>
      <w:r w:rsidR="00574E89" w:rsidRPr="0080490A">
        <w:rPr>
          <w:noProof/>
          <w:spacing w:val="-2"/>
          <w:lang w:val="en-GB"/>
        </w:rPr>
        <w:t xml:space="preserve">the </w:t>
      </w:r>
      <w:r w:rsidR="002A29A6" w:rsidRPr="0080490A">
        <w:rPr>
          <w:noProof/>
          <w:spacing w:val="-2"/>
          <w:lang w:val="en-GB"/>
        </w:rPr>
        <w:t>high</w:t>
      </w:r>
      <w:r w:rsidR="00574E89" w:rsidRPr="0080490A">
        <w:rPr>
          <w:noProof/>
          <w:spacing w:val="-2"/>
          <w:lang w:val="en-GB"/>
        </w:rPr>
        <w:t>est</w:t>
      </w:r>
      <w:r w:rsidR="002A29A6" w:rsidRPr="0080490A">
        <w:rPr>
          <w:noProof/>
          <w:spacing w:val="-2"/>
          <w:lang w:val="en-GB"/>
        </w:rPr>
        <w:t xml:space="preserve"> values of </w:t>
      </w:r>
      <w:r w:rsidR="00CB6084" w:rsidRPr="0080490A">
        <w:rPr>
          <w:noProof/>
          <w:spacing w:val="-2"/>
          <w:lang w:val="en-GB"/>
        </w:rPr>
        <w:t>dwellings</w:t>
      </w:r>
      <w:r w:rsidR="00E43CD7" w:rsidRPr="0080490A">
        <w:rPr>
          <w:noProof/>
          <w:spacing w:val="-2"/>
          <w:lang w:val="en-GB"/>
        </w:rPr>
        <w:t xml:space="preserve"> </w:t>
      </w:r>
      <w:r w:rsidR="00D81B78" w:rsidRPr="0080490A">
        <w:rPr>
          <w:noProof/>
          <w:spacing w:val="-2"/>
          <w:lang w:val="en-GB"/>
        </w:rPr>
        <w:t>completed</w:t>
      </w:r>
      <w:r w:rsidR="0016126E" w:rsidRPr="0080490A">
        <w:rPr>
          <w:noProof/>
          <w:spacing w:val="-2"/>
          <w:lang w:val="en-GB"/>
        </w:rPr>
        <w:t xml:space="preserve">, as well as dwellings </w:t>
      </w:r>
      <w:r w:rsidR="00223182" w:rsidRPr="0080490A">
        <w:rPr>
          <w:noProof/>
          <w:spacing w:val="-2"/>
          <w:lang w:val="en-GB"/>
        </w:rPr>
        <w:t>in </w:t>
      </w:r>
      <w:r w:rsidR="00700FC6" w:rsidRPr="0080490A">
        <w:rPr>
          <w:noProof/>
          <w:spacing w:val="-2"/>
          <w:lang w:val="en-GB"/>
        </w:rPr>
        <w:t xml:space="preserve">which construction has begun and dwellings </w:t>
      </w:r>
      <w:r w:rsidR="0016126E" w:rsidRPr="0080490A">
        <w:rPr>
          <w:noProof/>
          <w:spacing w:val="-2"/>
          <w:lang w:val="en-GB"/>
        </w:rPr>
        <w:t>for which permits have been granted or which have been registered with a construction project</w:t>
      </w:r>
      <w:r w:rsidR="00DD2696" w:rsidRPr="0080490A">
        <w:rPr>
          <w:noProof/>
          <w:spacing w:val="-2"/>
          <w:lang w:val="en-GB"/>
        </w:rPr>
        <w:t xml:space="preserve">, </w:t>
      </w:r>
      <w:r w:rsidR="002A29A6" w:rsidRPr="0080490A">
        <w:rPr>
          <w:noProof/>
          <w:spacing w:val="-2"/>
          <w:lang w:val="en-GB"/>
        </w:rPr>
        <w:t>were</w:t>
      </w:r>
      <w:r w:rsidR="00EF6032" w:rsidRPr="0080490A">
        <w:rPr>
          <w:noProof/>
          <w:spacing w:val="-2"/>
          <w:lang w:val="en-GB"/>
        </w:rPr>
        <w:t xml:space="preserve"> recorded in Mazowieckie voivodship (</w:t>
      </w:r>
      <w:r w:rsidR="00DD2696" w:rsidRPr="0080490A">
        <w:rPr>
          <w:noProof/>
          <w:spacing w:val="-2"/>
          <w:lang w:val="en-GB"/>
        </w:rPr>
        <w:t>respectively</w:t>
      </w:r>
      <w:r w:rsidR="00FF392D" w:rsidRPr="0080490A">
        <w:rPr>
          <w:noProof/>
          <w:spacing w:val="-2"/>
          <w:lang w:val="en-GB"/>
        </w:rPr>
        <w:t>:</w:t>
      </w:r>
      <w:r w:rsidR="00DD2696" w:rsidRPr="0080490A">
        <w:rPr>
          <w:noProof/>
          <w:spacing w:val="-2"/>
          <w:lang w:val="en-GB"/>
        </w:rPr>
        <w:t xml:space="preserve"> </w:t>
      </w:r>
      <w:r w:rsidR="00D20CD1">
        <w:rPr>
          <w:noProof/>
          <w:spacing w:val="-2"/>
          <w:lang w:val="en-GB"/>
        </w:rPr>
        <w:t>37</w:t>
      </w:r>
      <w:r w:rsidR="00D6223C" w:rsidRPr="0080490A">
        <w:rPr>
          <w:noProof/>
          <w:spacing w:val="-2"/>
          <w:lang w:val="en-GB"/>
        </w:rPr>
        <w:t>.</w:t>
      </w:r>
      <w:r w:rsidR="00D20CD1">
        <w:rPr>
          <w:noProof/>
          <w:spacing w:val="-2"/>
          <w:lang w:val="en-GB"/>
        </w:rPr>
        <w:t>7</w:t>
      </w:r>
      <w:r w:rsidR="007B36AE" w:rsidRPr="0080490A">
        <w:rPr>
          <w:noProof/>
          <w:spacing w:val="-2"/>
          <w:lang w:val="en-GB"/>
        </w:rPr>
        <w:t> </w:t>
      </w:r>
      <w:r w:rsidR="00EF6032" w:rsidRPr="0080490A">
        <w:rPr>
          <w:noProof/>
          <w:spacing w:val="-2"/>
          <w:lang w:val="en-GB"/>
        </w:rPr>
        <w:t>thousand</w:t>
      </w:r>
      <w:r w:rsidR="00BB44BD" w:rsidRPr="0080490A">
        <w:rPr>
          <w:noProof/>
          <w:spacing w:val="-2"/>
          <w:lang w:val="en-GB"/>
        </w:rPr>
        <w:t xml:space="preserve">, </w:t>
      </w:r>
      <w:r w:rsidR="00D20CD1">
        <w:rPr>
          <w:noProof/>
          <w:spacing w:val="-2"/>
          <w:lang w:val="en-GB"/>
        </w:rPr>
        <w:t>34</w:t>
      </w:r>
      <w:r w:rsidR="00465B75" w:rsidRPr="0080490A">
        <w:rPr>
          <w:noProof/>
          <w:spacing w:val="-2"/>
          <w:lang w:val="en-GB"/>
        </w:rPr>
        <w:t>.</w:t>
      </w:r>
      <w:r w:rsidR="00D20CD1">
        <w:rPr>
          <w:noProof/>
          <w:spacing w:val="-2"/>
          <w:lang w:val="en-GB"/>
        </w:rPr>
        <w:t>3</w:t>
      </w:r>
      <w:r w:rsidR="003563AE" w:rsidRPr="0080490A">
        <w:rPr>
          <w:noProof/>
          <w:spacing w:val="-2"/>
          <w:lang w:val="en-GB"/>
        </w:rPr>
        <w:t xml:space="preserve"> thousand</w:t>
      </w:r>
      <w:r w:rsidR="00D20CD1">
        <w:rPr>
          <w:noProof/>
          <w:spacing w:val="-2"/>
          <w:lang w:val="en-GB"/>
        </w:rPr>
        <w:t xml:space="preserve"> and 49.6</w:t>
      </w:r>
      <w:r w:rsidR="00CC4866" w:rsidRPr="0080490A">
        <w:rPr>
          <w:noProof/>
          <w:spacing w:val="-2"/>
          <w:lang w:val="en-GB"/>
        </w:rPr>
        <w:t> </w:t>
      </w:r>
      <w:r w:rsidR="00CF2564" w:rsidRPr="0080490A">
        <w:rPr>
          <w:noProof/>
          <w:spacing w:val="-2"/>
          <w:lang w:val="en-GB"/>
        </w:rPr>
        <w:t>thousand</w:t>
      </w:r>
      <w:r w:rsidR="00574E89" w:rsidRPr="0080490A">
        <w:rPr>
          <w:noProof/>
          <w:spacing w:val="-2"/>
          <w:lang w:val="en-GB"/>
        </w:rPr>
        <w:t xml:space="preserve">). High values were also noted in </w:t>
      </w:r>
      <w:r w:rsidR="00D6223C" w:rsidRPr="0080490A">
        <w:rPr>
          <w:noProof/>
          <w:spacing w:val="-2"/>
          <w:lang w:val="en-GB"/>
        </w:rPr>
        <w:t xml:space="preserve">Wielkopolskie </w:t>
      </w:r>
      <w:r w:rsidR="00D20CD1">
        <w:rPr>
          <w:noProof/>
          <w:spacing w:val="-2"/>
          <w:lang w:val="en-GB"/>
        </w:rPr>
        <w:t>(23.1</w:t>
      </w:r>
      <w:r w:rsidR="009F4CF9" w:rsidRPr="0080490A">
        <w:rPr>
          <w:noProof/>
          <w:spacing w:val="-2"/>
          <w:lang w:val="en-GB"/>
        </w:rPr>
        <w:t> thousand</w:t>
      </w:r>
      <w:r w:rsidR="00D20CD1">
        <w:rPr>
          <w:noProof/>
          <w:spacing w:val="-2"/>
          <w:lang w:val="en-GB"/>
        </w:rPr>
        <w:t>, 18.5</w:t>
      </w:r>
      <w:r w:rsidR="009F4CF9" w:rsidRPr="0080490A">
        <w:rPr>
          <w:noProof/>
          <w:spacing w:val="-2"/>
          <w:lang w:val="en-GB"/>
        </w:rPr>
        <w:t> thousand</w:t>
      </w:r>
      <w:r w:rsidR="00D20CD1">
        <w:rPr>
          <w:noProof/>
          <w:spacing w:val="-2"/>
          <w:lang w:val="en-GB"/>
        </w:rPr>
        <w:t xml:space="preserve"> and 26</w:t>
      </w:r>
      <w:r w:rsidR="00BB44BD" w:rsidRPr="0080490A">
        <w:rPr>
          <w:noProof/>
          <w:spacing w:val="-2"/>
          <w:lang w:val="en-GB"/>
        </w:rPr>
        <w:t>.</w:t>
      </w:r>
      <w:r w:rsidR="00D20CD1">
        <w:rPr>
          <w:noProof/>
          <w:spacing w:val="-2"/>
          <w:lang w:val="en-GB"/>
        </w:rPr>
        <w:t>6</w:t>
      </w:r>
      <w:r w:rsidR="00D941DB" w:rsidRPr="0080490A">
        <w:rPr>
          <w:noProof/>
          <w:spacing w:val="-2"/>
          <w:lang w:val="en-GB"/>
        </w:rPr>
        <w:t> thousand)</w:t>
      </w:r>
      <w:r w:rsidR="0080490A">
        <w:rPr>
          <w:noProof/>
          <w:spacing w:val="-2"/>
          <w:lang w:val="en-GB"/>
        </w:rPr>
        <w:t xml:space="preserve"> </w:t>
      </w:r>
      <w:r w:rsidR="00C34696" w:rsidRPr="0080490A">
        <w:rPr>
          <w:noProof/>
          <w:spacing w:val="-2"/>
          <w:lang w:val="en-GB"/>
        </w:rPr>
        <w:t>and</w:t>
      </w:r>
      <w:r w:rsidR="0080490A">
        <w:rPr>
          <w:noProof/>
          <w:spacing w:val="-2"/>
          <w:lang w:val="en-GB"/>
        </w:rPr>
        <w:t xml:space="preserve"> </w:t>
      </w:r>
      <w:r w:rsidR="00D941DB" w:rsidRPr="0080490A">
        <w:rPr>
          <w:noProof/>
          <w:spacing w:val="-2"/>
          <w:lang w:val="en-GB"/>
        </w:rPr>
        <w:t>Małopolskie</w:t>
      </w:r>
      <w:r w:rsidR="0080490A">
        <w:rPr>
          <w:noProof/>
          <w:spacing w:val="-2"/>
          <w:lang w:val="en-GB"/>
        </w:rPr>
        <w:t xml:space="preserve"> </w:t>
      </w:r>
      <w:r w:rsidR="00D20CD1">
        <w:rPr>
          <w:noProof/>
          <w:spacing w:val="-2"/>
          <w:lang w:val="en-GB"/>
        </w:rPr>
        <w:t>(21.7</w:t>
      </w:r>
      <w:r w:rsidRPr="0080490A">
        <w:rPr>
          <w:noProof/>
          <w:spacing w:val="-2"/>
          <w:lang w:val="en-GB"/>
        </w:rPr>
        <w:t> </w:t>
      </w:r>
      <w:r w:rsidR="00D20CD1">
        <w:rPr>
          <w:noProof/>
          <w:spacing w:val="-2"/>
          <w:lang w:val="en-GB"/>
        </w:rPr>
        <w:t>thousand,17</w:t>
      </w:r>
      <w:r w:rsidR="005B1A70">
        <w:rPr>
          <w:noProof/>
          <w:spacing w:val="-2"/>
          <w:lang w:val="en-GB"/>
        </w:rPr>
        <w:t>.7</w:t>
      </w:r>
      <w:r w:rsidR="00406BFF" w:rsidRPr="0080490A">
        <w:rPr>
          <w:noProof/>
          <w:spacing w:val="-2"/>
          <w:lang w:val="en-GB"/>
        </w:rPr>
        <w:t> </w:t>
      </w:r>
      <w:r w:rsidR="00F333CC" w:rsidRPr="0080490A">
        <w:rPr>
          <w:noProof/>
          <w:spacing w:val="-2"/>
          <w:lang w:val="en-GB"/>
        </w:rPr>
        <w:t>thousand</w:t>
      </w:r>
      <w:r w:rsidR="003563AE" w:rsidRPr="0080490A">
        <w:rPr>
          <w:noProof/>
          <w:spacing w:val="-2"/>
          <w:lang w:val="en-GB"/>
        </w:rPr>
        <w:t xml:space="preserve"> and</w:t>
      </w:r>
      <w:r w:rsidR="00D20CD1">
        <w:rPr>
          <w:noProof/>
          <w:spacing w:val="-2"/>
          <w:lang w:val="en-GB"/>
        </w:rPr>
        <w:t xml:space="preserve"> 25.0</w:t>
      </w:r>
      <w:r w:rsidR="00AB0212" w:rsidRPr="0080490A">
        <w:rPr>
          <w:noProof/>
          <w:spacing w:val="-2"/>
          <w:lang w:val="en-GB"/>
        </w:rPr>
        <w:t xml:space="preserve"> </w:t>
      </w:r>
      <w:r w:rsidR="003563AE" w:rsidRPr="0080490A">
        <w:rPr>
          <w:noProof/>
          <w:spacing w:val="-2"/>
          <w:lang w:val="en-GB"/>
        </w:rPr>
        <w:t>thousand</w:t>
      </w:r>
      <w:r w:rsidR="00C34696" w:rsidRPr="0080490A">
        <w:rPr>
          <w:noProof/>
          <w:spacing w:val="-2"/>
          <w:lang w:val="en-GB"/>
        </w:rPr>
        <w:t>).</w:t>
      </w:r>
    </w:p>
    <w:p w14:paraId="73CBA65A" w14:textId="12F8D891" w:rsidR="00903A58" w:rsidRDefault="001C1808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Construction activity in the scope of </w:t>
      </w:r>
      <w:r w:rsidR="00256AD9" w:rsidRPr="009038EF">
        <w:rPr>
          <w:rFonts w:ascii="Fira Sans" w:hAnsi="Fira Sans"/>
          <w:b/>
          <w:color w:val="auto"/>
          <w:sz w:val="18"/>
          <w:szCs w:val="18"/>
          <w:lang w:val="en-GB"/>
        </w:rPr>
        <w:t>residential construction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 by voivodships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br/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(January- </w:t>
      </w:r>
      <w:r w:rsidR="00D20CD1">
        <w:rPr>
          <w:rFonts w:ascii="Fira Sans" w:hAnsi="Fira Sans"/>
          <w:b/>
          <w:color w:val="auto"/>
          <w:sz w:val="18"/>
          <w:szCs w:val="18"/>
          <w:lang w:val="en-GB"/>
        </w:rPr>
        <w:t>November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32276A" w:rsidRPr="009038EF">
        <w:rPr>
          <w:rFonts w:ascii="Fira Sans" w:hAnsi="Fira Sans"/>
          <w:b/>
          <w:color w:val="auto"/>
          <w:sz w:val="18"/>
          <w:szCs w:val="18"/>
          <w:lang w:val="en-GB"/>
        </w:rPr>
        <w:t>2022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)</w:t>
      </w:r>
      <w:r w:rsidR="00665854" w:rsidRPr="00E67FD9">
        <w:rPr>
          <w:noProof/>
          <w:lang w:val="en-GB"/>
        </w:rPr>
        <w:t xml:space="preserve"> </w:t>
      </w:r>
    </w:p>
    <w:p w14:paraId="4C3CD6AB" w14:textId="6F98E001" w:rsidR="00F97C1E" w:rsidRPr="00DE2F35" w:rsidRDefault="00011EFD" w:rsidP="00FE1642">
      <w:pPr>
        <w:rPr>
          <w:lang w:val="en-GB"/>
        </w:rPr>
      </w:pPr>
      <w:r w:rsidRPr="00011EFD">
        <w:rPr>
          <w:noProof/>
          <w:lang w:eastAsia="pl-PL"/>
        </w:rPr>
        <w:drawing>
          <wp:anchor distT="0" distB="0" distL="114300" distR="114300" simplePos="0" relativeHeight="251795456" behindDoc="0" locked="0" layoutInCell="1" allowOverlap="1" wp14:anchorId="1B7C347E" wp14:editId="4358B237">
            <wp:simplePos x="0" y="0"/>
            <wp:positionH relativeFrom="column">
              <wp:posOffset>-48413</wp:posOffset>
            </wp:positionH>
            <wp:positionV relativeFrom="paragraph">
              <wp:posOffset>57683</wp:posOffset>
            </wp:positionV>
            <wp:extent cx="5122545" cy="2464435"/>
            <wp:effectExtent l="0" t="0" r="1905" b="0"/>
            <wp:wrapNone/>
            <wp:docPr id="3" name="Obraz 3" descr="Number of dwellings completed, number of dwellings for which permits have been granted or which have been registered with a construction project and number of dwellings in which construction has begun in January-November 2022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E8C6F" w14:textId="02361C72" w:rsidR="00FE1642" w:rsidRPr="00FE1642" w:rsidRDefault="00FE1642" w:rsidP="00FE1642">
      <w:pPr>
        <w:rPr>
          <w:lang w:val="en-GB" w:eastAsia="pl-PL"/>
        </w:rPr>
      </w:pPr>
    </w:p>
    <w:p w14:paraId="7C86092F" w14:textId="5A0CD9FC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765727C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41F61F1F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6A608580" w14:textId="650F9984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506060BE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B16E292" w14:textId="2A7E1DDB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40FAE50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807D5E5" w14:textId="6B02E46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FB4E28C" w14:textId="77777777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47844B4F" w14:textId="4568072C" w:rsidR="00694AF0" w:rsidRPr="0080490A" w:rsidRDefault="00257306" w:rsidP="00A76D03">
      <w:pPr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F12D6E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 xml:space="preserve">Krzysztof </w:t>
            </w:r>
            <w:proofErr w:type="spellStart"/>
            <w:r w:rsidR="00A47EBA">
              <w:rPr>
                <w:rFonts w:cs="Arial"/>
                <w:b/>
                <w:sz w:val="20"/>
                <w:lang w:val="en-GB"/>
              </w:rPr>
              <w:t>Markowski</w:t>
            </w:r>
            <w:proofErr w:type="spellEnd"/>
          </w:p>
          <w:p w14:paraId="4542989A" w14:textId="1BC841F2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DE2F35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F12D6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F12D6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F12D6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F12D6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F12D6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F12D6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16DCB" w14:textId="77777777" w:rsidR="00F12D6E" w:rsidRDefault="00F12D6E" w:rsidP="000662E2">
      <w:pPr>
        <w:spacing w:after="0" w:line="240" w:lineRule="auto"/>
      </w:pPr>
      <w:r>
        <w:separator/>
      </w:r>
    </w:p>
  </w:endnote>
  <w:endnote w:type="continuationSeparator" w:id="0">
    <w:p w14:paraId="61D3E8BD" w14:textId="77777777" w:rsidR="00F12D6E" w:rsidRDefault="00F12D6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9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9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900DB" w14:textId="77777777" w:rsidR="00F12D6E" w:rsidRDefault="00F12D6E" w:rsidP="000662E2">
      <w:pPr>
        <w:spacing w:after="0" w:line="240" w:lineRule="auto"/>
      </w:pPr>
      <w:r>
        <w:separator/>
      </w:r>
    </w:p>
  </w:footnote>
  <w:footnote w:type="continuationSeparator" w:id="0">
    <w:p w14:paraId="1414DB4C" w14:textId="77777777" w:rsidR="00F12D6E" w:rsidRDefault="00F12D6E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665854" w:rsidRDefault="006658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23429531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1.1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33408EBE" w:rsidR="00574E89" w:rsidRPr="00C97596" w:rsidRDefault="0089381E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21.12</w:t>
                          </w:r>
                          <w:r w:rsidR="009D4061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1.12.2022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" filled="f" stroked="f">
              <v:textbox>
                <w:txbxContent>
                  <w:p w14:paraId="2046DC43" w14:textId="33408EBE" w:rsidR="00574E89" w:rsidRPr="00C97596" w:rsidRDefault="0089381E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21.12</w:t>
                    </w:r>
                    <w:r w:rsidR="009D4061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6670"/>
    <w:rsid w:val="000A672D"/>
    <w:rsid w:val="000A6C57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52EA"/>
    <w:rsid w:val="000C570E"/>
    <w:rsid w:val="000D0089"/>
    <w:rsid w:val="000D0D69"/>
    <w:rsid w:val="000D1427"/>
    <w:rsid w:val="000D1A71"/>
    <w:rsid w:val="000D1D43"/>
    <w:rsid w:val="000D1E54"/>
    <w:rsid w:val="000D225C"/>
    <w:rsid w:val="000D250D"/>
    <w:rsid w:val="000D2A5C"/>
    <w:rsid w:val="000D2E0B"/>
    <w:rsid w:val="000D348A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56BD"/>
    <w:rsid w:val="001E64AD"/>
    <w:rsid w:val="001F1170"/>
    <w:rsid w:val="001F31BD"/>
    <w:rsid w:val="001F3686"/>
    <w:rsid w:val="001F414F"/>
    <w:rsid w:val="001F5873"/>
    <w:rsid w:val="001F649C"/>
    <w:rsid w:val="00202E71"/>
    <w:rsid w:val="002030BE"/>
    <w:rsid w:val="002034A6"/>
    <w:rsid w:val="00203BDB"/>
    <w:rsid w:val="002040E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6490"/>
    <w:rsid w:val="00237220"/>
    <w:rsid w:val="00237A99"/>
    <w:rsid w:val="00243185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6F9"/>
    <w:rsid w:val="003557A1"/>
    <w:rsid w:val="0035602F"/>
    <w:rsid w:val="003563AE"/>
    <w:rsid w:val="00357611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85E"/>
    <w:rsid w:val="00373882"/>
    <w:rsid w:val="00375215"/>
    <w:rsid w:val="00375782"/>
    <w:rsid w:val="00377F3D"/>
    <w:rsid w:val="00380859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4AA7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B22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196A"/>
    <w:rsid w:val="004D4D5A"/>
    <w:rsid w:val="004D5EE7"/>
    <w:rsid w:val="004D665D"/>
    <w:rsid w:val="004D6D43"/>
    <w:rsid w:val="004E1A89"/>
    <w:rsid w:val="004E1FC1"/>
    <w:rsid w:val="004E2155"/>
    <w:rsid w:val="004E35B4"/>
    <w:rsid w:val="004E377B"/>
    <w:rsid w:val="004E4BB8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03D3"/>
    <w:rsid w:val="00532256"/>
    <w:rsid w:val="00533632"/>
    <w:rsid w:val="005352B1"/>
    <w:rsid w:val="00536E29"/>
    <w:rsid w:val="005378A0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2EC6"/>
    <w:rsid w:val="00595E15"/>
    <w:rsid w:val="005A30AB"/>
    <w:rsid w:val="005A4C6A"/>
    <w:rsid w:val="005A4E6A"/>
    <w:rsid w:val="005A61DB"/>
    <w:rsid w:val="005A698C"/>
    <w:rsid w:val="005A6F2D"/>
    <w:rsid w:val="005B093B"/>
    <w:rsid w:val="005B0979"/>
    <w:rsid w:val="005B1390"/>
    <w:rsid w:val="005B1A70"/>
    <w:rsid w:val="005B2080"/>
    <w:rsid w:val="005B5CBB"/>
    <w:rsid w:val="005B5EB4"/>
    <w:rsid w:val="005B659C"/>
    <w:rsid w:val="005C16BE"/>
    <w:rsid w:val="005C20C8"/>
    <w:rsid w:val="005C2FE4"/>
    <w:rsid w:val="005C4A86"/>
    <w:rsid w:val="005C4E91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C39"/>
    <w:rsid w:val="005F302D"/>
    <w:rsid w:val="005F5A80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707D"/>
    <w:rsid w:val="00664589"/>
    <w:rsid w:val="00665854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210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3F2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1E98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41554"/>
    <w:rsid w:val="007418AC"/>
    <w:rsid w:val="0074197F"/>
    <w:rsid w:val="007432DC"/>
    <w:rsid w:val="00746187"/>
    <w:rsid w:val="00746A9F"/>
    <w:rsid w:val="0075636C"/>
    <w:rsid w:val="007571FA"/>
    <w:rsid w:val="007573AD"/>
    <w:rsid w:val="00760FC2"/>
    <w:rsid w:val="00761C18"/>
    <w:rsid w:val="0076254F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5D3"/>
    <w:rsid w:val="0080490A"/>
    <w:rsid w:val="00804C08"/>
    <w:rsid w:val="0080553C"/>
    <w:rsid w:val="00805B46"/>
    <w:rsid w:val="00806B2D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81E"/>
    <w:rsid w:val="00893B4E"/>
    <w:rsid w:val="008941E0"/>
    <w:rsid w:val="008948E4"/>
    <w:rsid w:val="00896EB9"/>
    <w:rsid w:val="008A130C"/>
    <w:rsid w:val="008A1C80"/>
    <w:rsid w:val="008A26D9"/>
    <w:rsid w:val="008A2B34"/>
    <w:rsid w:val="008A3D22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4061"/>
    <w:rsid w:val="009D5DFA"/>
    <w:rsid w:val="009D785B"/>
    <w:rsid w:val="009E13F6"/>
    <w:rsid w:val="009E15F4"/>
    <w:rsid w:val="009E19F6"/>
    <w:rsid w:val="009E1F94"/>
    <w:rsid w:val="009E29C3"/>
    <w:rsid w:val="009E2E91"/>
    <w:rsid w:val="009E3371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21C"/>
    <w:rsid w:val="00A27763"/>
    <w:rsid w:val="00A309AB"/>
    <w:rsid w:val="00A31D21"/>
    <w:rsid w:val="00A31F52"/>
    <w:rsid w:val="00A33759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7208C"/>
    <w:rsid w:val="00A72CF4"/>
    <w:rsid w:val="00A741A0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6DEB"/>
    <w:rsid w:val="00A971C9"/>
    <w:rsid w:val="00A97466"/>
    <w:rsid w:val="00A97495"/>
    <w:rsid w:val="00AA03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2D96"/>
    <w:rsid w:val="00AB3F7C"/>
    <w:rsid w:val="00AB6D25"/>
    <w:rsid w:val="00AB7860"/>
    <w:rsid w:val="00AB788D"/>
    <w:rsid w:val="00AB7943"/>
    <w:rsid w:val="00AB7945"/>
    <w:rsid w:val="00AC083C"/>
    <w:rsid w:val="00AC3185"/>
    <w:rsid w:val="00AC37B3"/>
    <w:rsid w:val="00AC658C"/>
    <w:rsid w:val="00AC7ADB"/>
    <w:rsid w:val="00AD0A03"/>
    <w:rsid w:val="00AD1492"/>
    <w:rsid w:val="00AD2EA0"/>
    <w:rsid w:val="00AD30D2"/>
    <w:rsid w:val="00AD3429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1101"/>
    <w:rsid w:val="00BC3F05"/>
    <w:rsid w:val="00BC46FE"/>
    <w:rsid w:val="00BC4AAD"/>
    <w:rsid w:val="00BC514E"/>
    <w:rsid w:val="00BC70F1"/>
    <w:rsid w:val="00BD1222"/>
    <w:rsid w:val="00BD1D77"/>
    <w:rsid w:val="00BD2577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0737D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39C6"/>
    <w:rsid w:val="00C5434F"/>
    <w:rsid w:val="00C555C2"/>
    <w:rsid w:val="00C571F3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4FF7"/>
    <w:rsid w:val="00D06341"/>
    <w:rsid w:val="00D10E44"/>
    <w:rsid w:val="00D110E3"/>
    <w:rsid w:val="00D14E83"/>
    <w:rsid w:val="00D20CD1"/>
    <w:rsid w:val="00D216F9"/>
    <w:rsid w:val="00D21D71"/>
    <w:rsid w:val="00D242EC"/>
    <w:rsid w:val="00D261A2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F69"/>
    <w:rsid w:val="00D504E4"/>
    <w:rsid w:val="00D534E9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CF0"/>
    <w:rsid w:val="00D76E73"/>
    <w:rsid w:val="00D772C7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26F5"/>
    <w:rsid w:val="00DA34E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2F35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4610"/>
    <w:rsid w:val="00E346D7"/>
    <w:rsid w:val="00E35889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67FD9"/>
    <w:rsid w:val="00E71068"/>
    <w:rsid w:val="00E717AF"/>
    <w:rsid w:val="00E7231F"/>
    <w:rsid w:val="00E724BA"/>
    <w:rsid w:val="00E736D7"/>
    <w:rsid w:val="00E7580A"/>
    <w:rsid w:val="00E75F97"/>
    <w:rsid w:val="00E76D26"/>
    <w:rsid w:val="00E77AB1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1390"/>
    <w:rsid w:val="00EB1C36"/>
    <w:rsid w:val="00EB20CA"/>
    <w:rsid w:val="00EB2C71"/>
    <w:rsid w:val="00EB3907"/>
    <w:rsid w:val="00EB4340"/>
    <w:rsid w:val="00EB556D"/>
    <w:rsid w:val="00EB5A7D"/>
    <w:rsid w:val="00EB5DD2"/>
    <w:rsid w:val="00EB6230"/>
    <w:rsid w:val="00EB69AF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2D6E"/>
    <w:rsid w:val="00F137F7"/>
    <w:rsid w:val="00F14CD9"/>
    <w:rsid w:val="00F16590"/>
    <w:rsid w:val="00F17D27"/>
    <w:rsid w:val="00F213B1"/>
    <w:rsid w:val="00F245D9"/>
    <w:rsid w:val="00F25757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26E9"/>
    <w:rsid w:val="00F43757"/>
    <w:rsid w:val="00F4397D"/>
    <w:rsid w:val="00F4477E"/>
    <w:rsid w:val="00F46B76"/>
    <w:rsid w:val="00F5200E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C7AFB"/>
    <w:rsid w:val="00FD02E4"/>
    <w:rsid w:val="00FD050C"/>
    <w:rsid w:val="00FD0C2F"/>
    <w:rsid w:val="00FD1099"/>
    <w:rsid w:val="00FD19CC"/>
    <w:rsid w:val="00FD5EA7"/>
    <w:rsid w:val="00FE1642"/>
    <w:rsid w:val="00FE3A83"/>
    <w:rsid w:val="00FE6CB4"/>
    <w:rsid w:val="00FE705C"/>
    <w:rsid w:val="00FF1686"/>
    <w:rsid w:val="00FF37E0"/>
    <w:rsid w:val="00FF392D"/>
    <w:rsid w:val="00FF4261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residential_construction_in_the_period_of_january-august_2022.docx.docx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4F7F-A42A-497C-8F4C-7C0731548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0A27267E-1EB1-43CE-A021-05F04065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1105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January-November 2022</dc:title>
  <dc:subject>Residential construction</dc:subject>
  <dc:creator>Statistics Poland</dc:creator>
  <cp:keywords>dwellings completed; dwellings under construction; dwellings started; building permit; useful floor area</cp:keywords>
  <cp:lastPrinted>2022-06-15T11:38:00Z</cp:lastPrinted>
  <dcterms:created xsi:type="dcterms:W3CDTF">2022-12-19T06:28:00Z</dcterms:created>
  <dcterms:modified xsi:type="dcterms:W3CDTF">2022-12-19T08:02:00Z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