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47714489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764B2F">
        <w:rPr>
          <w:szCs w:val="32"/>
          <w:lang w:val="en-GB"/>
        </w:rPr>
        <w:t>September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4DE82C12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71A896FB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1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7D45E3C1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101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1.8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AXse67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7D45E3C1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101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B25CF7">
        <w:rPr>
          <w:lang w:val="en-GB"/>
        </w:rPr>
        <w:t xml:space="preserve">the first </w:t>
      </w:r>
      <w:bookmarkStart w:id="0" w:name="_GoBack"/>
      <w:bookmarkEnd w:id="0"/>
      <w:r w:rsidR="00764B2F">
        <w:rPr>
          <w:lang w:val="en-GB"/>
        </w:rPr>
        <w:t>three quarters</w:t>
      </w:r>
      <w:r w:rsidR="00D860E0">
        <w:rPr>
          <w:lang w:val="en-GB"/>
        </w:rPr>
        <w:t xml:space="preserve">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BEFD928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9.5% and 39.2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AE8BCF3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1390">
                              <w:rPr>
                                <w:lang w:val="en-US"/>
                              </w:rPr>
                              <w:t>59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5B1390">
                              <w:rPr>
                                <w:lang w:val="en-US"/>
                              </w:rPr>
                              <w:t>5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5B1390">
                              <w:rPr>
                                <w:lang w:val="en-US"/>
                              </w:rPr>
                              <w:t>39.2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59.5% and 39.2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CZKdew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5AE8BCF3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5B1390">
                        <w:rPr>
                          <w:lang w:val="en-US"/>
                        </w:rPr>
                        <w:t>59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5B1390">
                        <w:rPr>
                          <w:lang w:val="en-US"/>
                        </w:rPr>
                        <w:t>5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5B1390">
                        <w:rPr>
                          <w:lang w:val="en-US"/>
                        </w:rPr>
                        <w:t>39.2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F517E58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167.0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="004E1FC1" w:rsidRPr="0080490A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January-</w:t>
      </w:r>
      <w:r w:rsidR="00764B2F" w:rsidRPr="0080490A">
        <w:rPr>
          <w:rFonts w:eastAsia="Times New Roman" w:cs="Times New Roman"/>
          <w:spacing w:val="-2"/>
          <w:szCs w:val="19"/>
          <w:lang w:val="en-GB" w:eastAsia="pl-PL"/>
        </w:rPr>
        <w:t>S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e</w:t>
      </w:r>
      <w:r w:rsidR="00764B2F" w:rsidRPr="0080490A">
        <w:rPr>
          <w:rFonts w:eastAsia="Times New Roman" w:cs="Times New Roman"/>
          <w:spacing w:val="-2"/>
          <w:szCs w:val="19"/>
          <w:lang w:val="en-GB" w:eastAsia="pl-PL"/>
        </w:rPr>
        <w:t>ptember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>2022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1.8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>% more than in the previous year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99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2.3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7D606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in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2021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65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97019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651D40" w:rsidRPr="0080490A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F267E" w:rsidRPr="0080490A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200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321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0904EB7A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15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8A3D2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93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67D4CD96" w:rsidR="009A4851" w:rsidRPr="00D860E0" w:rsidRDefault="00764B2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0ADCF4E1" w:rsidR="009A4851" w:rsidRPr="00D860E0" w:rsidRDefault="00764B2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01-09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4867ED6F" w:rsidR="009A4851" w:rsidRPr="00D860E0" w:rsidRDefault="00764B2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4F02D92C" w:rsidR="009A4851" w:rsidRPr="00D860E0" w:rsidRDefault="00764B2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3E228A38" w:rsidR="009A4851" w:rsidRPr="00D860E0" w:rsidRDefault="00764B2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01-09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64B2F" w:rsidRPr="009A4851" w14:paraId="74C961E1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ED01BD" w14:textId="4E3067A9" w:rsidR="00764B2F" w:rsidRPr="00652E3E" w:rsidRDefault="00764B2F" w:rsidP="00764B2F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21 460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368A5D2" w14:textId="445BA418" w:rsidR="00764B2F" w:rsidRPr="00652E3E" w:rsidRDefault="00764B2F" w:rsidP="00764B2F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101.6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69E7D495" w:rsidR="00764B2F" w:rsidRPr="00AC083C" w:rsidRDefault="00764B2F" w:rsidP="00764B2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116.5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49FC8087" w:rsidR="00764B2F" w:rsidRPr="00652E3E" w:rsidRDefault="00764B2F" w:rsidP="00764B2F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166 992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713C1370" w:rsidR="00764B2F" w:rsidRPr="00AC083C" w:rsidRDefault="00764B2F" w:rsidP="00764B2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101.8</w:t>
            </w:r>
          </w:p>
        </w:tc>
      </w:tr>
      <w:tr w:rsidR="00764B2F" w:rsidRPr="009A4851" w14:paraId="1DBFB85F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55032DB" w14:textId="12EB0D20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7 335</w:t>
            </w:r>
          </w:p>
        </w:tc>
        <w:tc>
          <w:tcPr>
            <w:tcW w:w="1134" w:type="dxa"/>
            <w:vAlign w:val="center"/>
          </w:tcPr>
          <w:p w14:paraId="10BBBDB9" w14:textId="09588076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A2499" w14:textId="42F94A05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0AB283" w14:textId="35C10EDD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65 391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18DC8124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102.9</w:t>
            </w:r>
          </w:p>
        </w:tc>
      </w:tr>
      <w:tr w:rsidR="00764B2F" w:rsidRPr="009A4851" w14:paraId="6E2F06BB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23EE99E7" w14:textId="4E4F858B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13 752</w:t>
            </w:r>
          </w:p>
        </w:tc>
        <w:tc>
          <w:tcPr>
            <w:tcW w:w="1134" w:type="dxa"/>
            <w:vAlign w:val="center"/>
          </w:tcPr>
          <w:p w14:paraId="1392F143" w14:textId="459A68EB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73E4F9D" w14:textId="18C046D5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C80FD51" w14:textId="758DC20F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99 401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6FA9CA25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102.3</w:t>
            </w:r>
          </w:p>
        </w:tc>
      </w:tr>
      <w:tr w:rsidR="00764B2F" w:rsidRPr="009A4851" w14:paraId="24AD4DF0" w14:textId="77777777" w:rsidTr="009F1087">
        <w:trPr>
          <w:trHeight w:val="341"/>
        </w:trPr>
        <w:tc>
          <w:tcPr>
            <w:tcW w:w="2268" w:type="dxa"/>
            <w:vAlign w:val="center"/>
          </w:tcPr>
          <w:p w14:paraId="1D2231E4" w14:textId="0D64CDE9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43E0B857" w14:textId="0AA7459A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14:paraId="1F0CCA82" w14:textId="5C0A6F95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8C19C17" w14:textId="45848E1A" w:rsidR="00764B2F" w:rsidRPr="00652E3E" w:rsidRDefault="00764B2F" w:rsidP="009F1087">
            <w:pPr>
              <w:spacing w:after="0"/>
              <w:jc w:val="right"/>
              <w:rPr>
                <w:sz w:val="16"/>
                <w:szCs w:val="16"/>
              </w:rPr>
            </w:pPr>
            <w:r w:rsidRPr="009F1087">
              <w:rPr>
                <w:rFonts w:cs="Arial"/>
                <w:color w:val="000000" w:themeColor="text1"/>
                <w:sz w:val="16"/>
                <w:szCs w:val="16"/>
              </w:rPr>
              <w:t>152.9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68E0768" w14:textId="4A62D881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1 509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33002275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87.0</w:t>
            </w:r>
          </w:p>
        </w:tc>
      </w:tr>
      <w:tr w:rsidR="00764B2F" w:rsidRPr="009A4851" w14:paraId="4DBF5999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764B2F" w:rsidRPr="00D860E0" w:rsidRDefault="00764B2F" w:rsidP="00764B2F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9E2D56C" w14:textId="399B7226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134" w:type="dxa"/>
            <w:vAlign w:val="center"/>
          </w:tcPr>
          <w:p w14:paraId="3E22814D" w14:textId="47B2CA61" w:rsidR="00764B2F" w:rsidRPr="00652E3E" w:rsidRDefault="00764B2F" w:rsidP="0059068B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57- fold more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CC7447C" w14:textId="4EC041D8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320.8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39B16E7" w14:textId="19AD5F7D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257B4FFD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70.2</w:t>
            </w:r>
          </w:p>
        </w:tc>
      </w:tr>
      <w:tr w:rsidR="00764B2F" w:rsidRPr="009A4851" w14:paraId="2FCEF9DB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14:paraId="7E5E83FB" w14:textId="749B3A78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134" w:type="dxa"/>
            <w:vAlign w:val="center"/>
          </w:tcPr>
          <w:p w14:paraId="0AFA2421" w14:textId="0A6903B9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345.8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948C7DA" w14:textId="48D3D2FF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319.2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27C313" w14:textId="3BB851A1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65B27D49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34.5</w:t>
            </w:r>
          </w:p>
        </w:tc>
      </w:tr>
      <w:tr w:rsidR="00764B2F" w:rsidRPr="009A4851" w14:paraId="79AE12F9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60773A35" w14:textId="4314E43E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14:paraId="5900F285" w14:textId="3CC43C07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64CE68" w14:textId="210D5DDD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151.9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F2972" w14:textId="3E965587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3A421E22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96.4</w:t>
            </w:r>
          </w:p>
        </w:tc>
      </w:tr>
      <w:tr w:rsidR="00764B2F" w:rsidRPr="009A4851" w14:paraId="16EEE8B3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BF9FB1" w14:textId="3CA3E95E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15E4888" w14:textId="699FA5EB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05B0527B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668B3103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5A8A05BF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48.0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11502F4D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9 2022 by 7.2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15D53C03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5B1390">
                              <w:rPr>
                                <w:lang w:val="en-US"/>
                              </w:rPr>
                              <w:t>01-0</w:t>
                            </w:r>
                            <w:r w:rsidR="000E5906">
                              <w:rPr>
                                <w:lang w:val="en-US"/>
                              </w:rPr>
                              <w:t>9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5B1390">
                              <w:rPr>
                                <w:lang w:val="en-US"/>
                              </w:rPr>
                              <w:t>7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5B1390">
                              <w:rPr>
                                <w:lang w:val="en-US"/>
                              </w:rPr>
                              <w:t>2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09 2022 by 7.2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OpIbda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15D53C03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5B1390">
                        <w:rPr>
                          <w:lang w:val="en-US"/>
                        </w:rPr>
                        <w:t>01-0</w:t>
                      </w:r>
                      <w:r w:rsidR="000E5906">
                        <w:rPr>
                          <w:lang w:val="en-US"/>
                        </w:rPr>
                        <w:t>9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5B1390">
                        <w:rPr>
                          <w:lang w:val="en-US"/>
                        </w:rPr>
                        <w:t>7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5B1390">
                        <w:rPr>
                          <w:lang w:val="en-US"/>
                        </w:rPr>
                        <w:t>2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4BCB7AAE" w:rsidR="00C47CE4" w:rsidRPr="0080490A" w:rsidRDefault="000F016F" w:rsidP="009300BA">
      <w:pPr>
        <w:pStyle w:val="Tablicagwkarodek"/>
        <w:jc w:val="left"/>
        <w:rPr>
          <w:noProof/>
          <w:lang w:val="en-GB"/>
        </w:rPr>
      </w:pPr>
      <w:r w:rsidRPr="0080490A">
        <w:rPr>
          <w:noProof/>
          <w:lang w:val="en-GB"/>
        </w:rPr>
        <w:t>In the period of three quarters of</w:t>
      </w:r>
      <w:r w:rsidR="00B40D7D" w:rsidRPr="0080490A">
        <w:rPr>
          <w:noProof/>
          <w:lang w:val="en-GB"/>
        </w:rPr>
        <w:t xml:space="preserve"> </w:t>
      </w:r>
      <w:r w:rsidR="004862A6" w:rsidRPr="0080490A">
        <w:rPr>
          <w:noProof/>
          <w:lang w:val="en-GB"/>
        </w:rPr>
        <w:t>2022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 xml:space="preserve">construction of </w:t>
      </w:r>
      <w:r w:rsidR="005B1390" w:rsidRPr="0080490A">
        <w:rPr>
          <w:noProof/>
          <w:lang w:val="en-GB"/>
        </w:rPr>
        <w:t>236</w:t>
      </w:r>
      <w:r w:rsidR="00DE7DD4" w:rsidRPr="0080490A">
        <w:rPr>
          <w:noProof/>
          <w:lang w:val="en-GB"/>
        </w:rPr>
        <w:t>.</w:t>
      </w:r>
      <w:r w:rsidR="005B1390" w:rsidRPr="0080490A">
        <w:rPr>
          <w:noProof/>
          <w:lang w:val="en-GB"/>
        </w:rPr>
        <w:t>9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 w:rsidR="005B1390" w:rsidRPr="0080490A">
        <w:rPr>
          <w:noProof/>
          <w:lang w:val="en-GB"/>
        </w:rPr>
        <w:t>7</w:t>
      </w:r>
      <w:r w:rsidR="00E245E1" w:rsidRPr="0080490A">
        <w:rPr>
          <w:noProof/>
          <w:lang w:val="en-GB"/>
        </w:rPr>
        <w:t>.</w:t>
      </w:r>
      <w:r w:rsidR="005B1390" w:rsidRPr="0080490A">
        <w:rPr>
          <w:noProof/>
          <w:lang w:val="en-GB"/>
        </w:rPr>
        <w:t>2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in</w:t>
      </w:r>
      <w:r w:rsidR="00ED4B7C" w:rsidRPr="0080490A">
        <w:rPr>
          <w:noProof/>
          <w:lang w:val="en-GB"/>
        </w:rPr>
        <w:t xml:space="preserve"> the corresponding </w:t>
      </w:r>
      <w:r w:rsidR="00B769F0" w:rsidRPr="0080490A">
        <w:rPr>
          <w:noProof/>
          <w:lang w:val="en-GB"/>
        </w:rPr>
        <w:t>period</w:t>
      </w:r>
      <w:r w:rsidR="00ED4B7C" w:rsidRPr="0080490A">
        <w:rPr>
          <w:noProof/>
          <w:lang w:val="en-GB"/>
        </w:rPr>
        <w:t xml:space="preserve"> of</w:t>
      </w:r>
      <w:r w:rsidR="00C47CE4" w:rsidRPr="0080490A">
        <w:rPr>
          <w:noProof/>
          <w:lang w:val="en-GB"/>
        </w:rPr>
        <w:t xml:space="preserve"> </w:t>
      </w:r>
      <w:r w:rsidR="00ED4B7C" w:rsidRPr="0080490A">
        <w:rPr>
          <w:noProof/>
          <w:lang w:val="en-GB"/>
        </w:rPr>
        <w:t>2021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 xml:space="preserve">Permits for construction of the biggest number of dwellings were given to </w:t>
      </w:r>
      <w:r w:rsidR="00435283" w:rsidRPr="0080490A">
        <w:rPr>
          <w:noProof/>
          <w:lang w:val="en-GB"/>
        </w:rPr>
        <w:t xml:space="preserve">developers </w:t>
      </w:r>
      <w:r w:rsidR="00BD1D77" w:rsidRPr="0080490A">
        <w:rPr>
          <w:noProof/>
          <w:lang w:val="en-GB"/>
        </w:rPr>
        <w:t>(</w:t>
      </w:r>
      <w:r w:rsidR="005B1390" w:rsidRPr="0080490A">
        <w:rPr>
          <w:noProof/>
          <w:lang w:val="en-GB"/>
        </w:rPr>
        <w:t>161.1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965A18" w:rsidRPr="0080490A">
        <w:rPr>
          <w:noProof/>
          <w:lang w:val="en-GB"/>
        </w:rPr>
        <w:t>, a</w:t>
      </w:r>
      <w:r w:rsidR="007D6064" w:rsidRPr="0080490A">
        <w:rPr>
          <w:noProof/>
          <w:lang w:val="en-GB"/>
        </w:rPr>
        <w:t>n in</w:t>
      </w:r>
      <w:r w:rsidR="005B1390" w:rsidRPr="0080490A">
        <w:rPr>
          <w:noProof/>
          <w:lang w:val="en-GB"/>
        </w:rPr>
        <w:t>crease of 1.7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 w:rsidR="005B1390" w:rsidRPr="0080490A">
        <w:rPr>
          <w:noProof/>
          <w:lang w:val="en-GB"/>
        </w:rPr>
        <w:t>72</w:t>
      </w:r>
      <w:r w:rsidR="00DE7DD4" w:rsidRPr="0080490A">
        <w:rPr>
          <w:noProof/>
          <w:lang w:val="en-GB"/>
        </w:rPr>
        <w:t>.</w:t>
      </w:r>
      <w:r w:rsidR="005B1390" w:rsidRPr="0080490A">
        <w:rPr>
          <w:noProof/>
          <w:lang w:val="en-GB"/>
        </w:rPr>
        <w:t>3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5B1390" w:rsidRPr="0080490A">
        <w:rPr>
          <w:noProof/>
          <w:lang w:val="en-GB"/>
        </w:rPr>
        <w:t>, a decrease of 23.1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0A40DF" w:rsidRPr="0080490A">
        <w:rPr>
          <w:noProof/>
          <w:lang w:val="en-GB"/>
        </w:rPr>
        <w:t>and registrations with a construction project were made for</w:t>
      </w:r>
      <w:r w:rsidR="007E7CF5" w:rsidRPr="0080490A">
        <w:rPr>
          <w:noProof/>
          <w:lang w:val="en-GB"/>
        </w:rPr>
        <w:t xml:space="preserve"> 98</w:t>
      </w:r>
      <w:r w:rsidR="001A1F89" w:rsidRPr="0080490A">
        <w:rPr>
          <w:noProof/>
          <w:lang w:val="en-GB"/>
        </w:rPr>
        <w:t>.</w:t>
      </w:r>
      <w:r w:rsidR="00EC74D0" w:rsidRPr="0080490A">
        <w:rPr>
          <w:noProof/>
          <w:lang w:val="en-GB"/>
        </w:rPr>
        <w:t>6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EC74D0" w:rsidRPr="0080490A">
        <w:rPr>
          <w:noProof/>
          <w:lang w:val="en-GB"/>
        </w:rPr>
        <w:t>3</w:t>
      </w:r>
      <w:r w:rsidR="007E7CF5" w:rsidRPr="0080490A">
        <w:rPr>
          <w:noProof/>
          <w:lang w:val="en-GB"/>
        </w:rPr>
        <w:t> </w:t>
      </w:r>
      <w:r w:rsidR="005B1390" w:rsidRPr="0080490A">
        <w:rPr>
          <w:noProof/>
          <w:lang w:val="en-GB"/>
        </w:rPr>
        <w:t>408</w:t>
      </w:r>
      <w:r w:rsidR="003B4D4B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 w:rsidR="00853590" w:rsidRPr="0080490A">
        <w:rPr>
          <w:noProof/>
          <w:lang w:val="en-GB"/>
        </w:rPr>
        <w:t>2</w:t>
      </w:r>
      <w:r w:rsidR="00C6450A" w:rsidRPr="0080490A">
        <w:rPr>
          <w:noProof/>
          <w:lang w:val="en-GB"/>
        </w:rPr>
        <w:t xml:space="preserve"> </w:t>
      </w:r>
      <w:r w:rsidR="005B1390" w:rsidRPr="0080490A">
        <w:rPr>
          <w:noProof/>
          <w:lang w:val="en-GB"/>
        </w:rPr>
        <w:t>813</w:t>
      </w:r>
      <w:r w:rsidR="003B4D4B" w:rsidRPr="0080490A"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dwellings in the previous</w:t>
      </w:r>
      <w:r w:rsidR="009300BA" w:rsidRPr="0080490A">
        <w:rPr>
          <w:noProof/>
          <w:lang w:val="en-GB"/>
        </w:rPr>
        <w:t> 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03549" w:rsidRPr="009A4851" w14:paraId="3982B774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605D18DC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2296911D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01-09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40010199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34921F18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6035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02FAB9" w14:textId="468900C4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08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5596D11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2B9E131" w14:textId="2A99EC53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01-09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64B2F" w:rsidRPr="009A4851" w14:paraId="4960FBEE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930A41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B1A5FB" w14:textId="0EEB173E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22 089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39481A" w14:textId="7ECB0860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80.6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55973CDE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33BA976C" w14:textId="1E98EAFB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236 877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0219E6F0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92.8</w:t>
            </w:r>
          </w:p>
        </w:tc>
      </w:tr>
      <w:tr w:rsidR="00764B2F" w:rsidRPr="009A4851" w14:paraId="1DF47858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CE969F2" w14:textId="4C35E804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6 886</w:t>
            </w:r>
          </w:p>
        </w:tc>
        <w:tc>
          <w:tcPr>
            <w:tcW w:w="1134" w:type="dxa"/>
            <w:vAlign w:val="center"/>
          </w:tcPr>
          <w:p w14:paraId="11922E73" w14:textId="257F15DD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0CBAD5" w14:textId="156DB57C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96.4</w:t>
            </w:r>
          </w:p>
        </w:tc>
        <w:tc>
          <w:tcPr>
            <w:tcW w:w="1134" w:type="dxa"/>
            <w:tcBorders>
              <w:right w:val="nil"/>
            </w:tcBorders>
          </w:tcPr>
          <w:p w14:paraId="73685B09" w14:textId="2B89E450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72 325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05893C14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76.9</w:t>
            </w:r>
          </w:p>
        </w:tc>
      </w:tr>
      <w:tr w:rsidR="00764B2F" w:rsidRPr="009A4851" w14:paraId="0D1B9431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56EC5D20" w14:textId="56E33C49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14 892</w:t>
            </w:r>
          </w:p>
        </w:tc>
        <w:tc>
          <w:tcPr>
            <w:tcW w:w="1134" w:type="dxa"/>
            <w:vAlign w:val="center"/>
          </w:tcPr>
          <w:p w14:paraId="44BD7848" w14:textId="7BD6C267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BC2BF6" w14:textId="07BD108C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EF52FC" w14:textId="08C1F1EB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161 144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C4F667C" w14:textId="49EE9D30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101.7</w:t>
            </w:r>
          </w:p>
        </w:tc>
      </w:tr>
      <w:tr w:rsidR="00764B2F" w:rsidRPr="009A4851" w14:paraId="50E23A83" w14:textId="77777777" w:rsidTr="0059068B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764B2F" w:rsidRPr="00930A41" w:rsidRDefault="00764B2F" w:rsidP="00764B2F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930A41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D853C93" w14:textId="6BE7C42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14:paraId="2B71D6D4" w14:textId="43EFD2E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4B4D92" w14:textId="0362030F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154.8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8EBA99C" w14:textId="284304AF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557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3D6C221" w14:textId="5D3865C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76.7</w:t>
            </w:r>
          </w:p>
        </w:tc>
      </w:tr>
      <w:tr w:rsidR="00764B2F" w:rsidRPr="009A4851" w14:paraId="67CD548E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11EB9B38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6AE6ED7" w14:textId="78397D97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CDEEA20" w14:textId="794FA798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158.4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760DF7D8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182.7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7FE4D365" w14:textId="368E4F77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1 633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088EC2A1" w14:textId="64A6EC6B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217.2</w:t>
            </w:r>
          </w:p>
        </w:tc>
      </w:tr>
      <w:tr w:rsidR="00764B2F" w:rsidRPr="009A4851" w14:paraId="10BA3CE7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18B3F5E6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354FEA78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59DA9C5E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3B78670" w14:textId="24347AAA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1 175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2AD62F6" w14:textId="7D823919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97.1</w:t>
            </w:r>
          </w:p>
        </w:tc>
      </w:tr>
      <w:tr w:rsidR="00764B2F" w:rsidRPr="009A4851" w14:paraId="5A330376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913581D" w14:textId="70ABCA18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262852B0" w14:textId="7895445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66.7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051ACA01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0413B6D" w14:textId="53BD355C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1919CA3" w14:textId="20B8BED7" w:rsidR="00764B2F" w:rsidRPr="00930A41" w:rsidRDefault="00764B2F" w:rsidP="00764B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34.4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51F5631D" w:rsidR="00967B91" w:rsidRPr="0080490A" w:rsidRDefault="00F00F20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From January </w:t>
      </w:r>
      <w:r w:rsidR="00B25CF7">
        <w:rPr>
          <w:noProof/>
          <w:spacing w:val="-2"/>
          <w:lang w:val="en-GB"/>
        </w:rPr>
        <w:t>to</w:t>
      </w:r>
      <w:r w:rsidRPr="0080490A">
        <w:rPr>
          <w:noProof/>
          <w:spacing w:val="-2"/>
          <w:lang w:val="en-GB"/>
        </w:rPr>
        <w:t xml:space="preserve"> September 2022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0E5906" w:rsidRPr="0080490A">
        <w:rPr>
          <w:noProof/>
          <w:spacing w:val="-2"/>
          <w:lang w:val="en-GB"/>
        </w:rPr>
        <w:t>164.8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E5906" w:rsidRPr="0080490A">
        <w:rPr>
          <w:noProof/>
          <w:spacing w:val="-2"/>
          <w:lang w:val="en-GB"/>
        </w:rPr>
        <w:t>, i.e. by 23.8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 w:rsidR="000E5906" w:rsidRPr="0080490A">
        <w:rPr>
          <w:noProof/>
          <w:spacing w:val="-2"/>
          <w:lang w:val="en-GB"/>
        </w:rPr>
        <w:t>93</w:t>
      </w:r>
      <w:r w:rsidR="00CC4866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8</w:t>
      </w:r>
      <w:r w:rsidR="00954347" w:rsidRPr="0080490A">
        <w:rPr>
          <w:noProof/>
          <w:spacing w:val="-2"/>
          <w:lang w:val="en-GB"/>
        </w:rPr>
        <w:t xml:space="preserve"> 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0E5906" w:rsidRPr="0080490A">
        <w:rPr>
          <w:noProof/>
          <w:spacing w:val="-2"/>
          <w:lang w:val="en-GB"/>
        </w:rPr>
        <w:t>26</w:t>
      </w:r>
      <w:r w:rsidR="00954347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7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0E5906" w:rsidRPr="0080490A">
        <w:rPr>
          <w:noProof/>
          <w:spacing w:val="-2"/>
          <w:lang w:val="en-GB"/>
        </w:rPr>
        <w:t>68</w:t>
      </w:r>
      <w:r w:rsidR="00CC4866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6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0E5906" w:rsidRPr="0080490A">
        <w:rPr>
          <w:noProof/>
          <w:spacing w:val="-2"/>
          <w:lang w:val="en-GB"/>
        </w:rPr>
        <w:t>(by 19.0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6A4AA8" w:rsidRPr="0080490A">
        <w:rPr>
          <w:noProof/>
          <w:spacing w:val="-2"/>
          <w:lang w:val="en-GB"/>
        </w:rPr>
        <w:t>98</w:t>
      </w:r>
      <w:r w:rsidR="00CC4866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6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1C1808" w:rsidRPr="0080490A">
        <w:rPr>
          <w:noProof/>
          <w:spacing w:val="-2"/>
          <w:lang w:val="en-GB"/>
        </w:rPr>
        <w:t>total number of dwellings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B11C46" w:rsidRPr="0080490A">
        <w:rPr>
          <w:noProof/>
          <w:spacing w:val="-2"/>
          <w:lang w:val="en-GB"/>
        </w:rPr>
        <w:t>2</w:t>
      </w:r>
      <w:r w:rsidR="00C6450A" w:rsidRPr="0080490A">
        <w:rPr>
          <w:noProof/>
          <w:spacing w:val="-2"/>
          <w:lang w:val="en-GB"/>
        </w:rPr>
        <w:t xml:space="preserve"> </w:t>
      </w:r>
      <w:r w:rsidR="000E5906" w:rsidRPr="0080490A">
        <w:rPr>
          <w:noProof/>
          <w:spacing w:val="-2"/>
          <w:lang w:val="en-GB"/>
        </w:rPr>
        <w:t>380</w:t>
      </w:r>
      <w:r w:rsidR="003B4D4B" w:rsidRPr="0080490A">
        <w:rPr>
          <w:noProof/>
          <w:spacing w:val="-2"/>
          <w:lang w:val="en-GB"/>
        </w:rPr>
        <w:t xml:space="preserve"> </w:t>
      </w:r>
      <w:r w:rsidR="00B77EC9" w:rsidRPr="0080490A">
        <w:rPr>
          <w:noProof/>
          <w:spacing w:val="-2"/>
          <w:lang w:val="en-GB"/>
        </w:rPr>
        <w:t>(</w:t>
      </w:r>
      <w:r w:rsidR="00B11C46" w:rsidRPr="0080490A">
        <w:rPr>
          <w:noProof/>
          <w:spacing w:val="-2"/>
          <w:lang w:val="en-GB"/>
        </w:rPr>
        <w:t>3</w:t>
      </w:r>
      <w:r w:rsidR="001C4A49" w:rsidRPr="0080490A">
        <w:rPr>
          <w:noProof/>
          <w:spacing w:val="-2"/>
          <w:lang w:val="en-GB"/>
        </w:rPr>
        <w:t xml:space="preserve"> </w:t>
      </w:r>
      <w:r w:rsidR="000E5906" w:rsidRPr="0080490A">
        <w:rPr>
          <w:noProof/>
          <w:spacing w:val="-2"/>
          <w:lang w:val="en-GB"/>
        </w:rPr>
        <w:t>795</w:t>
      </w:r>
      <w:r w:rsidR="00BB44BD" w:rsidRPr="0080490A">
        <w:rPr>
          <w:noProof/>
          <w:spacing w:val="-2"/>
          <w:lang w:val="en-GB"/>
        </w:rPr>
        <w:t xml:space="preserve">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134"/>
        <w:gridCol w:w="1134"/>
        <w:gridCol w:w="1134"/>
        <w:gridCol w:w="1276"/>
        <w:gridCol w:w="1058"/>
      </w:tblGrid>
      <w:tr w:rsidR="00603549" w:rsidRPr="009A4851" w14:paraId="34F47625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426C1A43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4905BC59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01-09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57BC7BB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50687CC0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6035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109C3DB" w14:textId="50BA7D20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  <w:r w:rsidR="006035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EABA16B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C5F30" w14:textId="17D5F3A7" w:rsidR="00603549" w:rsidRPr="00D860E0" w:rsidRDefault="00764B2F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01-09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64B2F" w:rsidRPr="009A4851" w14:paraId="0E4114AC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930A41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3AD18BD" w14:textId="551D5CF8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15 861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29AC8C7" w14:textId="5751272F" w:rsidR="00764B2F" w:rsidRPr="00930A41" w:rsidRDefault="0080490A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72.</w:t>
            </w:r>
            <w:r w:rsidR="00764B2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413BA983" w:rsidR="00764B2F" w:rsidRPr="00930A41" w:rsidRDefault="0080490A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122.</w:t>
            </w:r>
            <w:r w:rsidR="00764B2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15DF69D5" w14:textId="5B8B131A" w:rsidR="00764B2F" w:rsidRPr="00930A41" w:rsidRDefault="00764B2F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164 758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36EBC714" w14:textId="69F7D79A" w:rsidR="00764B2F" w:rsidRPr="00930A41" w:rsidRDefault="0080490A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76.</w:t>
            </w:r>
            <w:r w:rsidR="00764B2F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764B2F" w:rsidRPr="009A4851" w14:paraId="1FF029D5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591D9F98" w14:textId="1A61C5AF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7 108</w:t>
            </w:r>
          </w:p>
        </w:tc>
        <w:tc>
          <w:tcPr>
            <w:tcW w:w="1134" w:type="dxa"/>
            <w:vAlign w:val="center"/>
          </w:tcPr>
          <w:p w14:paraId="60807E6E" w14:textId="5FC6CC3C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7F3799" w14:textId="4A410A46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784C929" w14:textId="601D35E3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68 551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3C262F44" w14:textId="6EA53F92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764B2F" w:rsidRPr="009A4851" w14:paraId="304B4633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15FC3415" w14:textId="3C06F7F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8 707</w:t>
            </w:r>
          </w:p>
        </w:tc>
        <w:tc>
          <w:tcPr>
            <w:tcW w:w="1134" w:type="dxa"/>
            <w:vAlign w:val="center"/>
          </w:tcPr>
          <w:p w14:paraId="0766C893" w14:textId="26D8B529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2952B2" w14:textId="1D26EAE5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167.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5563F59" w14:textId="0C416459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93 827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58C8F426" w14:textId="4324490D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64B2F" w:rsidRPr="009A4851" w14:paraId="04BD52CD" w14:textId="77777777" w:rsidTr="009F1087">
        <w:trPr>
          <w:trHeight w:val="347"/>
        </w:trPr>
        <w:tc>
          <w:tcPr>
            <w:tcW w:w="2268" w:type="dxa"/>
            <w:vAlign w:val="center"/>
          </w:tcPr>
          <w:p w14:paraId="52D0D7AF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30EF4784" w14:textId="7064B201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66975EDA" w14:textId="0D0A4E84" w:rsidR="00764B2F" w:rsidRPr="00930A41" w:rsidRDefault="0080490A" w:rsidP="00764B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ED179" w14:textId="2D90C680" w:rsidR="00764B2F" w:rsidRPr="00930A41" w:rsidRDefault="0080490A" w:rsidP="00764B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156E799" w14:textId="5052D31A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DFFADD9" w14:textId="6D8412F6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64B2F" w:rsidRPr="009A4851" w14:paraId="22E5F8B5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6E1E246A" w14:textId="77777777" w:rsidR="00764B2F" w:rsidRPr="00930A41" w:rsidRDefault="00764B2F" w:rsidP="00764B2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930A41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1567DB37" w14:textId="512122A8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C518540" w14:textId="25CC07FE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71D1E5" w14:textId="1189382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F8E42BE" w14:textId="7F8CD8E3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2FA332F0" w14:textId="2AE77120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64B2F" w:rsidRPr="009A4851" w14:paraId="4820AC1A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96CFDC3" w14:textId="753B995D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54FE49B" w14:textId="72CB9E86" w:rsidR="00764B2F" w:rsidRPr="00930A41" w:rsidRDefault="00764B2F" w:rsidP="0059068B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over 11- </w:t>
            </w:r>
            <w:r w:rsidR="0059068B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 less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36B8E5BB" w:rsidR="00764B2F" w:rsidRPr="00930A41" w:rsidRDefault="00764B2F" w:rsidP="0059068B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25- fold less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0E8B382C" w14:textId="5C360E9B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787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0DF6978D" w14:textId="309A0C9F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764B2F" w:rsidRPr="009A4851" w14:paraId="347BB134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018ECCAB" w14:textId="32BC55D9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  <w:vAlign w:val="center"/>
          </w:tcPr>
          <w:p w14:paraId="5E4E785D" w14:textId="7CA6382F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6C6321" w14:textId="04749B90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02391AC" w14:textId="5CA4A0C9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1F986587" w14:textId="1DFC86DF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64B2F" w:rsidRPr="009A4851" w14:paraId="104777EA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5CE9B80" w14:textId="17A2EDC3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230310D" w14:textId="6041B380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5CFBFC7C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2C9FFD0E" w14:textId="32731E5E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10BBD0D7" w14:textId="4BDD3729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34D75009" w14:textId="26A7F366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0E5906">
        <w:rPr>
          <w:szCs w:val="19"/>
          <w:shd w:val="clear" w:color="auto" w:fill="FFFFFF"/>
          <w:lang w:val="en-GB"/>
        </w:rPr>
        <w:t>September</w:t>
      </w:r>
      <w:r w:rsidR="003969D1">
        <w:rPr>
          <w:szCs w:val="19"/>
          <w:shd w:val="clear" w:color="auto" w:fill="FFFFFF"/>
          <w:lang w:val="en-GB"/>
        </w:rPr>
        <w:t xml:space="preserve"> 2022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0E5906">
        <w:rPr>
          <w:szCs w:val="19"/>
          <w:shd w:val="clear" w:color="auto" w:fill="FFFFFF"/>
          <w:lang w:val="en-GB"/>
        </w:rPr>
        <w:t>869</w:t>
      </w:r>
      <w:r w:rsidR="00D93EA6">
        <w:rPr>
          <w:szCs w:val="19"/>
          <w:shd w:val="clear" w:color="auto" w:fill="FFFFFF"/>
          <w:lang w:val="en-GB"/>
        </w:rPr>
        <w:t>.</w:t>
      </w:r>
      <w:r w:rsidR="000E5906">
        <w:rPr>
          <w:szCs w:val="19"/>
          <w:shd w:val="clear" w:color="auto" w:fill="FFFFFF"/>
          <w:lang w:val="en-GB"/>
        </w:rPr>
        <w:t>1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0E5906">
        <w:rPr>
          <w:szCs w:val="19"/>
          <w:shd w:val="clear" w:color="auto" w:fill="FFFFFF"/>
          <w:lang w:val="en-GB"/>
        </w:rPr>
        <w:t>1.3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szCs w:val="19"/>
          <w:shd w:val="clear" w:color="auto" w:fill="FFFFFF"/>
          <w:lang w:val="en-GB"/>
        </w:rPr>
        <w:t>period</w:t>
      </w:r>
      <w:r w:rsidR="003969D1">
        <w:rPr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0DA1E723" w:rsidR="00FE1642" w:rsidRPr="00FE1642" w:rsidRDefault="00E77AB1" w:rsidP="00FE1642">
      <w:pPr>
        <w:pStyle w:val="Tytutablicy"/>
        <w:spacing w:before="240" w:after="0"/>
        <w:rPr>
          <w:bCs w:val="0"/>
          <w:shd w:val="clear" w:color="auto" w:fill="FFFFFF"/>
          <w:lang w:val="en-GB"/>
        </w:rPr>
      </w:pPr>
      <w:r w:rsidRPr="00764B2F">
        <w:rPr>
          <w:noProof/>
        </w:rPr>
        <w:drawing>
          <wp:anchor distT="0" distB="0" distL="114300" distR="114300" simplePos="0" relativeHeight="251792384" behindDoc="1" locked="0" layoutInCell="1" allowOverlap="1" wp14:anchorId="3D194EE7" wp14:editId="66DFC8A8">
            <wp:simplePos x="0" y="0"/>
            <wp:positionH relativeFrom="margin">
              <wp:posOffset>-51435</wp:posOffset>
            </wp:positionH>
            <wp:positionV relativeFrom="paragraph">
              <wp:posOffset>204673</wp:posOffset>
            </wp:positionV>
            <wp:extent cx="5122545" cy="2298700"/>
            <wp:effectExtent l="0" t="0" r="1905" b="6350"/>
            <wp:wrapTight wrapText="bothSides">
              <wp:wrapPolygon edited="0">
                <wp:start x="0" y="0"/>
                <wp:lineTo x="0" y="21481"/>
                <wp:lineTo x="21528" y="21481"/>
                <wp:lineTo x="21528" y="0"/>
                <wp:lineTo x="0" y="0"/>
              </wp:wrapPolygon>
            </wp:wrapTight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42" w:rsidRPr="009038EF">
        <w:rPr>
          <w:szCs w:val="18"/>
          <w:lang w:val="en-GB"/>
        </w:rPr>
        <w:t>Chart 1.</w:t>
      </w:r>
      <w:r w:rsidR="00FE1642" w:rsidRPr="007E02D8">
        <w:rPr>
          <w:lang w:val="en-GB"/>
        </w:rPr>
        <w:t xml:space="preserve"> </w:t>
      </w:r>
      <w:r w:rsidR="00FE1642" w:rsidRPr="009038EF">
        <w:rPr>
          <w:szCs w:val="18"/>
          <w:lang w:val="en-GB"/>
        </w:rPr>
        <w:t>Construction activity in the scope of residential construction in</w:t>
      </w:r>
      <w:r w:rsidR="00FE1642" w:rsidRPr="00FE1642">
        <w:rPr>
          <w:szCs w:val="18"/>
          <w:lang w:val="en-GB"/>
        </w:rPr>
        <w:t xml:space="preserve"> </w:t>
      </w:r>
      <w:r w:rsidR="00FE1642" w:rsidRPr="009038EF">
        <w:rPr>
          <w:szCs w:val="18"/>
          <w:lang w:val="en-GB"/>
        </w:rPr>
        <w:t>Poland</w:t>
      </w:r>
      <w:r w:rsidR="00764B2F"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0C5129CC">
                <wp:simplePos x="0" y="0"/>
                <wp:positionH relativeFrom="page">
                  <wp:posOffset>5695315</wp:posOffset>
                </wp:positionH>
                <wp:positionV relativeFrom="paragraph">
                  <wp:posOffset>209215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September, compared to August 2022, the number of dwellings completed increased (by 16.5%), as well as the number of dwellings for which permits have been granted or which have been registered with a construction project decreased (by 2.6%) and the number of dwellings in which construction has begun (by 22.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48F84F02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16.5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project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2.6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22.8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September, compared to August 2022, the number of dwellings completed increased (by 16.5%), as well as the number of dwellings for which permits have been granted or which have been registered with a construction project decreased (by 2.6%) and the number of dwellings in which construction has begun (by 22.8%)" style="position:absolute;margin-left:448.45pt;margin-top:16.45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" filled="f" stroked="f">
                <v:textbox>
                  <w:txbxContent>
                    <w:p w14:paraId="58FBF1C9" w14:textId="48F84F02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16.5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</w:t>
                      </w:r>
                      <w:bookmarkStart w:id="2" w:name="_GoBack"/>
                      <w:bookmarkEnd w:id="2"/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project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2.6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22.8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2C5EA1" w14:textId="0BC49C25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182585" w:rsidRPr="0080490A">
        <w:rPr>
          <w:noProof/>
          <w:spacing w:val="-2"/>
          <w:lang w:val="en-GB"/>
        </w:rPr>
        <w:t xml:space="preserve">the </w:t>
      </w:r>
      <w:r w:rsidR="005C20C8" w:rsidRPr="0080490A">
        <w:rPr>
          <w:noProof/>
          <w:spacing w:val="-2"/>
          <w:lang w:val="en-GB"/>
        </w:rPr>
        <w:t>period of January-</w:t>
      </w:r>
      <w:r w:rsidR="000E5906" w:rsidRPr="0080490A">
        <w:rPr>
          <w:noProof/>
          <w:spacing w:val="-2"/>
          <w:lang w:val="en-GB"/>
        </w:rPr>
        <w:t>September</w:t>
      </w:r>
      <w:r w:rsidR="005C20C8" w:rsidRP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2022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granted or which have been registered 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D2696" w:rsidRPr="0080490A">
        <w:rPr>
          <w:noProof/>
          <w:spacing w:val="-2"/>
          <w:lang w:val="en-GB"/>
        </w:rPr>
        <w:t xml:space="preserve"> </w:t>
      </w:r>
      <w:r w:rsidR="000E5906" w:rsidRPr="0080490A">
        <w:rPr>
          <w:noProof/>
          <w:spacing w:val="-2"/>
          <w:lang w:val="en-GB"/>
        </w:rPr>
        <w:t>29</w:t>
      </w:r>
      <w:r w:rsidR="00D6223C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6</w:t>
      </w:r>
      <w:r w:rsidR="007B36AE" w:rsidRPr="0080490A">
        <w:rPr>
          <w:noProof/>
          <w:spacing w:val="-2"/>
          <w:lang w:val="en-GB"/>
        </w:rPr>
        <w:t> </w:t>
      </w:r>
      <w:r w:rsidR="00EF6032" w:rsidRPr="0080490A">
        <w:rPr>
          <w:noProof/>
          <w:spacing w:val="-2"/>
          <w:lang w:val="en-GB"/>
        </w:rPr>
        <w:t>thousand</w:t>
      </w:r>
      <w:r w:rsidR="00BB44BD" w:rsidRPr="0080490A">
        <w:rPr>
          <w:noProof/>
          <w:spacing w:val="-2"/>
          <w:lang w:val="en-GB"/>
        </w:rPr>
        <w:t xml:space="preserve">, </w:t>
      </w:r>
      <w:r w:rsidR="000E5906" w:rsidRPr="0080490A">
        <w:rPr>
          <w:noProof/>
          <w:spacing w:val="-2"/>
          <w:lang w:val="en-GB"/>
        </w:rPr>
        <w:t>29</w:t>
      </w:r>
      <w:r w:rsidR="00465B75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2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0E5906" w:rsidRPr="0080490A">
        <w:rPr>
          <w:noProof/>
          <w:spacing w:val="-2"/>
          <w:lang w:val="en-GB"/>
        </w:rPr>
        <w:t xml:space="preserve"> and 43.3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D6223C" w:rsidRPr="0080490A">
        <w:rPr>
          <w:noProof/>
          <w:spacing w:val="-2"/>
          <w:lang w:val="en-GB"/>
        </w:rPr>
        <w:t xml:space="preserve">Wielkopolskie </w:t>
      </w:r>
      <w:r w:rsidR="000E5906" w:rsidRPr="0080490A">
        <w:rPr>
          <w:noProof/>
          <w:spacing w:val="-2"/>
          <w:lang w:val="en-GB"/>
        </w:rPr>
        <w:t>(18.1</w:t>
      </w:r>
      <w:r w:rsidR="009F4CF9" w:rsidRPr="0080490A">
        <w:rPr>
          <w:noProof/>
          <w:spacing w:val="-2"/>
          <w:lang w:val="en-GB"/>
        </w:rPr>
        <w:t> thousand</w:t>
      </w:r>
      <w:r w:rsidR="000E5906" w:rsidRPr="0080490A">
        <w:rPr>
          <w:noProof/>
          <w:spacing w:val="-2"/>
          <w:lang w:val="en-GB"/>
        </w:rPr>
        <w:t>, 15.7</w:t>
      </w:r>
      <w:r w:rsidR="009F4CF9" w:rsidRPr="0080490A">
        <w:rPr>
          <w:noProof/>
          <w:spacing w:val="-2"/>
          <w:lang w:val="en-GB"/>
        </w:rPr>
        <w:t> thousand</w:t>
      </w:r>
      <w:r w:rsidR="000E5906" w:rsidRPr="0080490A">
        <w:rPr>
          <w:noProof/>
          <w:spacing w:val="-2"/>
          <w:lang w:val="en-GB"/>
        </w:rPr>
        <w:t xml:space="preserve"> and 22</w:t>
      </w:r>
      <w:r w:rsidR="00BB44BD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5</w:t>
      </w:r>
      <w:r w:rsidR="00D941DB" w:rsidRPr="0080490A">
        <w:rPr>
          <w:noProof/>
          <w:spacing w:val="-2"/>
          <w:lang w:val="en-GB"/>
        </w:rPr>
        <w:t> thousand)</w:t>
      </w:r>
      <w:r w:rsidR="0080490A">
        <w:rPr>
          <w:noProof/>
          <w:spacing w:val="-2"/>
          <w:lang w:val="en-GB"/>
        </w:rPr>
        <w:t xml:space="preserve"> </w:t>
      </w:r>
      <w:r w:rsidR="00C34696" w:rsidRPr="0080490A">
        <w:rPr>
          <w:noProof/>
          <w:spacing w:val="-2"/>
          <w:lang w:val="en-GB"/>
        </w:rPr>
        <w:t>and</w:t>
      </w:r>
      <w:r w:rsid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Małopolskie</w:t>
      </w:r>
      <w:r w:rsidR="0080490A">
        <w:rPr>
          <w:noProof/>
          <w:spacing w:val="-2"/>
          <w:lang w:val="en-GB"/>
        </w:rPr>
        <w:t xml:space="preserve"> </w:t>
      </w:r>
      <w:r w:rsidR="000E5906" w:rsidRPr="0080490A">
        <w:rPr>
          <w:noProof/>
          <w:spacing w:val="-2"/>
          <w:lang w:val="en-GB"/>
        </w:rPr>
        <w:t>(17.0</w:t>
      </w:r>
      <w:r w:rsidRPr="0080490A">
        <w:rPr>
          <w:noProof/>
          <w:spacing w:val="-2"/>
          <w:lang w:val="en-GB"/>
        </w:rPr>
        <w:t> </w:t>
      </w:r>
      <w:r w:rsidR="000E5906" w:rsidRPr="0080490A">
        <w:rPr>
          <w:noProof/>
          <w:spacing w:val="-2"/>
          <w:lang w:val="en-GB"/>
        </w:rPr>
        <w:t>thousand,15.6</w:t>
      </w:r>
      <w:r w:rsidR="00406BFF" w:rsidRPr="0080490A">
        <w:rPr>
          <w:noProof/>
          <w:spacing w:val="-2"/>
          <w:lang w:val="en-GB"/>
        </w:rPr>
        <w:t> </w:t>
      </w:r>
      <w:r w:rsidR="00F333CC" w:rsidRPr="0080490A">
        <w:rPr>
          <w:noProof/>
          <w:spacing w:val="-2"/>
          <w:lang w:val="en-GB"/>
        </w:rPr>
        <w:t>thousand</w:t>
      </w:r>
      <w:r w:rsidR="003563AE" w:rsidRPr="0080490A">
        <w:rPr>
          <w:noProof/>
          <w:spacing w:val="-2"/>
          <w:lang w:val="en-GB"/>
        </w:rPr>
        <w:t xml:space="preserve"> and</w:t>
      </w:r>
      <w:r w:rsidR="000E5906" w:rsidRPr="0080490A">
        <w:rPr>
          <w:noProof/>
          <w:spacing w:val="-2"/>
          <w:lang w:val="en-GB"/>
        </w:rPr>
        <w:t xml:space="preserve"> 20.2</w:t>
      </w:r>
      <w:r w:rsidR="00AB0212" w:rsidRPr="0080490A">
        <w:rPr>
          <w:noProof/>
          <w:spacing w:val="-2"/>
          <w:lang w:val="en-GB"/>
        </w:rPr>
        <w:t xml:space="preserve"> </w:t>
      </w:r>
      <w:r w:rsidR="003563AE" w:rsidRPr="0080490A">
        <w:rPr>
          <w:noProof/>
          <w:spacing w:val="-2"/>
          <w:lang w:val="en-GB"/>
        </w:rPr>
        <w:t>thousand</w:t>
      </w:r>
      <w:r w:rsidR="00C34696" w:rsidRPr="0080490A">
        <w:rPr>
          <w:noProof/>
          <w:spacing w:val="-2"/>
          <w:lang w:val="en-GB"/>
        </w:rPr>
        <w:t>).</w:t>
      </w:r>
    </w:p>
    <w:p w14:paraId="73CBA65A" w14:textId="0C4B7373" w:rsidR="00903A58" w:rsidRDefault="00764B2F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764B2F">
        <w:rPr>
          <w:noProof/>
        </w:rPr>
        <w:drawing>
          <wp:anchor distT="0" distB="0" distL="114300" distR="114300" simplePos="0" relativeHeight="251793408" behindDoc="1" locked="0" layoutInCell="1" allowOverlap="1" wp14:anchorId="554DC9AB" wp14:editId="0153A23B">
            <wp:simplePos x="0" y="0"/>
            <wp:positionH relativeFrom="column">
              <wp:posOffset>-90833</wp:posOffset>
            </wp:positionH>
            <wp:positionV relativeFrom="paragraph">
              <wp:posOffset>490772</wp:posOffset>
            </wp:positionV>
            <wp:extent cx="5122545" cy="2464435"/>
            <wp:effectExtent l="0" t="0" r="1905" b="0"/>
            <wp:wrapTight wrapText="bothSides">
              <wp:wrapPolygon edited="0">
                <wp:start x="0" y="0"/>
                <wp:lineTo x="0" y="21372"/>
                <wp:lineTo x="21528" y="21372"/>
                <wp:lineTo x="21528" y="0"/>
                <wp:lineTo x="0" y="0"/>
              </wp:wrapPolygon>
            </wp:wrapTight>
            <wp:docPr id="5" name="Obraz 5" descr="Number of dwellings completed, number of dwellings for which permits have been granted or which have been registered with a construction project and number of dwellings in which construction has begun in January-September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0E5906">
        <w:rPr>
          <w:rFonts w:ascii="Fira Sans" w:hAnsi="Fira Sans"/>
          <w:b/>
          <w:color w:val="auto"/>
          <w:sz w:val="18"/>
          <w:szCs w:val="18"/>
          <w:lang w:val="en-GB"/>
        </w:rPr>
        <w:t>September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  <w:r w:rsidR="00665854" w:rsidRPr="00E67FD9">
        <w:rPr>
          <w:noProof/>
          <w:lang w:val="en-GB"/>
        </w:rPr>
        <w:t xml:space="preserve"> </w:t>
      </w:r>
    </w:p>
    <w:p w14:paraId="6E5E8C6F" w14:textId="77777777" w:rsidR="00FE1642" w:rsidRPr="00FE1642" w:rsidRDefault="00FE1642" w:rsidP="00FE1642">
      <w:pPr>
        <w:rPr>
          <w:lang w:val="en-GB" w:eastAsia="pl-PL"/>
        </w:rPr>
      </w:pPr>
    </w:p>
    <w:p w14:paraId="47844B4F" w14:textId="6E2D5CE7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FA1BF2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C93625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FA1BF2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FA1BF2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FA1BF2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FA1BF2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FA1BF2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FA1BF2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66C66" w14:textId="77777777" w:rsidR="00FA1BF2" w:rsidRDefault="00FA1BF2" w:rsidP="000662E2">
      <w:pPr>
        <w:spacing w:after="0" w:line="240" w:lineRule="auto"/>
      </w:pPr>
      <w:r>
        <w:separator/>
      </w:r>
    </w:p>
  </w:endnote>
  <w:endnote w:type="continuationSeparator" w:id="0">
    <w:p w14:paraId="478E594E" w14:textId="77777777" w:rsidR="00FA1BF2" w:rsidRDefault="00FA1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CEA12" w14:textId="77777777" w:rsidR="00FA1BF2" w:rsidRDefault="00FA1BF2" w:rsidP="000662E2">
      <w:pPr>
        <w:spacing w:after="0" w:line="240" w:lineRule="auto"/>
      </w:pPr>
      <w:r>
        <w:separator/>
      </w:r>
    </w:p>
  </w:footnote>
  <w:footnote w:type="continuationSeparator" w:id="0">
    <w:p w14:paraId="20F31FA6" w14:textId="77777777" w:rsidR="00FA1BF2" w:rsidRDefault="00FA1BF2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66D22EF2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10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B233820" w:rsidR="00574E89" w:rsidRPr="00C97596" w:rsidRDefault="00764B2F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21.10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10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3Cqh8S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7B233820" w:rsidR="00574E89" w:rsidRPr="00C97596" w:rsidRDefault="00764B2F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21.10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65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4.1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50D"/>
    <w:rsid w:val="000D2A5C"/>
    <w:rsid w:val="000D2E0B"/>
    <w:rsid w:val="000D348A"/>
    <w:rsid w:val="000E04F3"/>
    <w:rsid w:val="000E0918"/>
    <w:rsid w:val="000E1F4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02F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1FC1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2080"/>
    <w:rsid w:val="005B5CBB"/>
    <w:rsid w:val="005B5EB4"/>
    <w:rsid w:val="005B659C"/>
    <w:rsid w:val="005C16BE"/>
    <w:rsid w:val="005C20C8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B2F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21C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46D7"/>
    <w:rsid w:val="00E35889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37F7"/>
    <w:rsid w:val="00F14CD9"/>
    <w:rsid w:val="00F16590"/>
    <w:rsid w:val="00F17D27"/>
    <w:rsid w:val="00F213B1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6024"/>
    <w:rsid w:val="00F8611A"/>
    <w:rsid w:val="00F9379A"/>
    <w:rsid w:val="00F94574"/>
    <w:rsid w:val="00F95941"/>
    <w:rsid w:val="00F97730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1642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residential_construction_in_the_period_of_january-august_2022.docx.docx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BE704F7F-A42A-497C-8F4C-7C073154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B3395-AAA8-43F7-911F-59660A8D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January-July 2022</vt:lpstr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2022-10-19T08:33:00Z</dcterms:created>
  <dcterms:modified xsi:type="dcterms:W3CDTF">2022-10-19T08:33:00Z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