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14B4763F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January-</w:t>
      </w:r>
      <w:r w:rsidR="00331E59">
        <w:rPr>
          <w:szCs w:val="32"/>
          <w:lang w:val="en-GB"/>
        </w:rPr>
        <w:t>August</w:t>
      </w:r>
      <w:r w:rsidR="00D860E0">
        <w:rPr>
          <w:szCs w:val="32"/>
          <w:lang w:val="en-GB"/>
        </w:rPr>
        <w:t xml:space="preserve"> </w:t>
      </w:r>
      <w:r w:rsidR="00A4625F">
        <w:rPr>
          <w:szCs w:val="32"/>
          <w:shd w:val="clear" w:color="auto" w:fill="FFFFFF"/>
          <w:lang w:val="en-GB"/>
        </w:rPr>
        <w:t>2022</w:t>
      </w:r>
    </w:p>
    <w:p w14:paraId="138C7713" w14:textId="192EF1BF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5A9A76A2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03229424" w:rsidR="00095A18" w:rsidRPr="004829B9" w:rsidRDefault="00941380" w:rsidP="00896EB9">
      <w:pPr>
        <w:pStyle w:val="LID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71A896FB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1.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7D45E3C1" w:rsidR="00A4625F" w:rsidRPr="00A4625F" w:rsidRDefault="00D860E0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="00A4625F"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331E5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101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331E5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_x0000_s1027" alt="Index number of dwellings completed y/y 101.8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" fillcolor="#001d77" stroked="f">
                <v:stroke joinstyle="miter"/>
                <v:textbox>
                  <w:txbxContent>
                    <w:p w14:paraId="0C77FD05" w14:textId="7D45E3C1" w:rsidR="00A4625F" w:rsidRPr="00A4625F" w:rsidRDefault="00D860E0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="00A4625F"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331E5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101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331E5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5433" w:rsidRPr="0015468F">
        <w:rPr>
          <w:lang w:val="en-GB"/>
        </w:rPr>
        <w:t xml:space="preserve">In </w:t>
      </w:r>
      <w:r w:rsidR="00494121">
        <w:rPr>
          <w:lang w:val="en-GB"/>
        </w:rPr>
        <w:t xml:space="preserve"> </w:t>
      </w:r>
      <w:r w:rsidR="00B5362C">
        <w:rPr>
          <w:lang w:val="en-GB"/>
        </w:rPr>
        <w:t xml:space="preserve">the first </w:t>
      </w:r>
      <w:r w:rsidR="00331E59">
        <w:rPr>
          <w:lang w:val="en-GB"/>
        </w:rPr>
        <w:t>eight</w:t>
      </w:r>
      <w:r w:rsidR="00B40D7D">
        <w:rPr>
          <w:lang w:val="en-GB"/>
        </w:rPr>
        <w:t xml:space="preserve"> months</w:t>
      </w:r>
      <w:r w:rsidR="00D860E0">
        <w:rPr>
          <w:lang w:val="en-GB"/>
        </w:rPr>
        <w:t xml:space="preserve"> </w:t>
      </w:r>
      <w:r w:rsidR="00B5362C">
        <w:rPr>
          <w:lang w:val="en-GB"/>
        </w:rPr>
        <w:t>of</w:t>
      </w:r>
      <w:r w:rsidR="00A4625F">
        <w:rPr>
          <w:lang w:val="en-GB"/>
        </w:rPr>
        <w:t xml:space="preserve"> 2022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860E0">
        <w:rPr>
          <w:lang w:val="en-GB"/>
        </w:rPr>
        <w:t xml:space="preserve">more </w:t>
      </w:r>
      <w:r w:rsidR="00AD1492" w:rsidRPr="004829B9">
        <w:rPr>
          <w:lang w:val="en-GB"/>
        </w:rPr>
        <w:t xml:space="preserve">dwellings completed than the year before. </w:t>
      </w:r>
      <w:r w:rsidR="00D860E0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483A07BF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8.8% and 39.9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33681067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651D40">
                              <w:rPr>
                                <w:lang w:val="en-US"/>
                              </w:rPr>
                              <w:t>estors completed respectively</w:t>
                            </w:r>
                            <w:r w:rsidR="00FF392D">
                              <w:rPr>
                                <w:lang w:val="en-US"/>
                              </w:rPr>
                              <w:t>:</w:t>
                            </w:r>
                            <w:r w:rsidR="00B40D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40D7D" w:rsidRPr="006D53F2">
                              <w:rPr>
                                <w:lang w:val="en-US"/>
                              </w:rPr>
                              <w:t>58</w:t>
                            </w:r>
                            <w:r w:rsidR="005744C0" w:rsidRPr="006D53F2">
                              <w:rPr>
                                <w:lang w:val="en-US"/>
                              </w:rPr>
                              <w:t>.</w:t>
                            </w:r>
                            <w:r w:rsidR="000F267E" w:rsidRPr="006D53F2">
                              <w:rPr>
                                <w:lang w:val="en-US"/>
                              </w:rPr>
                              <w:t>8</w:t>
                            </w:r>
                            <w:r w:rsidR="005D2782"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331E59" w:rsidRPr="006D53F2">
                              <w:rPr>
                                <w:lang w:val="en-US"/>
                              </w:rPr>
                              <w:t>39.9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Developers and private investors completed respectively: 58.8% and 39.9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ALadGYXwIAAHEEAAAOAAAAAAAAAAAAAAAAAC4CAABkcnMvZTJvRG9j&#10;LnhtbFBLAQItABQABgAIAAAAIQC5xbe23QAAAAkBAAAPAAAAAAAAAAAAAAAAALkEAABkcnMvZG93&#10;bnJldi54bWxQSwUGAAAAAAQABADzAAAAwwUAAAAA&#10;" filled="f" stroked="f">
                <v:textbox>
                  <w:txbxContent>
                    <w:p w14:paraId="55217834" w14:textId="33681067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651D40">
                        <w:rPr>
                          <w:lang w:val="en-US"/>
                        </w:rPr>
                        <w:t>estors completed respectively</w:t>
                      </w:r>
                      <w:r w:rsidR="00FF392D">
                        <w:rPr>
                          <w:lang w:val="en-US"/>
                        </w:rPr>
                        <w:t>:</w:t>
                      </w:r>
                      <w:r w:rsidR="00B40D7D">
                        <w:rPr>
                          <w:lang w:val="en-US"/>
                        </w:rPr>
                        <w:t xml:space="preserve"> </w:t>
                      </w:r>
                      <w:r w:rsidR="00B40D7D" w:rsidRPr="006D53F2">
                        <w:rPr>
                          <w:lang w:val="en-US"/>
                        </w:rPr>
                        <w:t>58</w:t>
                      </w:r>
                      <w:r w:rsidR="005744C0" w:rsidRPr="006D53F2">
                        <w:rPr>
                          <w:lang w:val="en-US"/>
                        </w:rPr>
                        <w:t>.</w:t>
                      </w:r>
                      <w:r w:rsidR="000F267E" w:rsidRPr="006D53F2">
                        <w:rPr>
                          <w:lang w:val="en-US"/>
                        </w:rPr>
                        <w:t>8</w:t>
                      </w:r>
                      <w:r w:rsidR="005D2782">
                        <w:rPr>
                          <w:lang w:val="en-US"/>
                        </w:rPr>
                        <w:t xml:space="preserve">% and </w:t>
                      </w:r>
                      <w:r w:rsidR="00331E59" w:rsidRPr="006D53F2">
                        <w:rPr>
                          <w:lang w:val="en-US"/>
                        </w:rPr>
                        <w:t>39.9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3B84F66C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331E59">
        <w:rPr>
          <w:spacing w:val="-4"/>
          <w:shd w:val="clear" w:color="auto" w:fill="FFFFFF"/>
          <w:lang w:val="en-GB"/>
        </w:rPr>
        <w:t>145.5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9D4061">
        <w:rPr>
          <w:spacing w:val="-4"/>
          <w:shd w:val="clear" w:color="auto" w:fill="FFFFFF"/>
          <w:lang w:val="en-GB"/>
        </w:rPr>
        <w:t xml:space="preserve">in </w:t>
      </w:r>
      <w:r w:rsidR="007432DC">
        <w:rPr>
          <w:spacing w:val="-4"/>
          <w:shd w:val="clear" w:color="auto" w:fill="FFFFFF"/>
          <w:lang w:val="en-GB"/>
        </w:rPr>
        <w:t xml:space="preserve">the </w:t>
      </w:r>
      <w:r w:rsidR="00B40D7D">
        <w:rPr>
          <w:spacing w:val="-4"/>
          <w:shd w:val="clear" w:color="auto" w:fill="FFFFFF"/>
          <w:lang w:val="en-GB"/>
        </w:rPr>
        <w:t xml:space="preserve">period </w:t>
      </w:r>
      <w:r w:rsidR="004E1FC1">
        <w:rPr>
          <w:spacing w:val="-4"/>
          <w:shd w:val="clear" w:color="auto" w:fill="FFFFFF"/>
          <w:lang w:val="en-GB"/>
        </w:rPr>
        <w:t>of</w:t>
      </w:r>
      <w:r w:rsidR="004862A6">
        <w:rPr>
          <w:spacing w:val="-4"/>
          <w:shd w:val="clear" w:color="auto" w:fill="FFFFFF"/>
          <w:lang w:val="en-GB"/>
        </w:rPr>
        <w:t xml:space="preserve"> </w:t>
      </w:r>
      <w:r w:rsidR="00331E59">
        <w:rPr>
          <w:spacing w:val="-4"/>
          <w:shd w:val="clear" w:color="auto" w:fill="FFFFFF"/>
          <w:lang w:val="en-GB"/>
        </w:rPr>
        <w:t>January-August</w:t>
      </w:r>
      <w:r w:rsidR="00B40D7D">
        <w:rPr>
          <w:spacing w:val="-4"/>
          <w:shd w:val="clear" w:color="auto" w:fill="FFFFFF"/>
          <w:lang w:val="en-GB"/>
        </w:rPr>
        <w:t xml:space="preserve"> </w:t>
      </w:r>
      <w:r w:rsidR="004862A6">
        <w:rPr>
          <w:spacing w:val="-4"/>
          <w:shd w:val="clear" w:color="auto" w:fill="FFFFFF"/>
          <w:lang w:val="en-GB"/>
        </w:rPr>
        <w:t>2022</w:t>
      </w:r>
      <w:r w:rsidR="009664CD" w:rsidRPr="004829B9">
        <w:rPr>
          <w:spacing w:val="-4"/>
          <w:shd w:val="clear" w:color="auto" w:fill="FFFFFF"/>
          <w:lang w:val="en-GB"/>
        </w:rPr>
        <w:t xml:space="preserve">, i.e. </w:t>
      </w:r>
      <w:r w:rsidR="00331E59">
        <w:rPr>
          <w:spacing w:val="-4"/>
          <w:shd w:val="clear" w:color="auto" w:fill="FFFFFF"/>
          <w:lang w:val="en-GB"/>
        </w:rPr>
        <w:t>1.8</w:t>
      </w:r>
      <w:r w:rsidR="005D2782">
        <w:rPr>
          <w:spacing w:val="-4"/>
          <w:shd w:val="clear" w:color="auto" w:fill="FFFFFF"/>
          <w:lang w:val="en-GB"/>
        </w:rPr>
        <w:t>% more than in the previous year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331E59">
        <w:rPr>
          <w:spacing w:val="-4"/>
          <w:shd w:val="clear" w:color="auto" w:fill="FFFFFF"/>
          <w:lang w:val="en-GB"/>
        </w:rPr>
        <w:t>85</w:t>
      </w:r>
      <w:r w:rsidR="00372328">
        <w:rPr>
          <w:spacing w:val="-4"/>
          <w:shd w:val="clear" w:color="auto" w:fill="FFFFFF"/>
          <w:lang w:val="en-GB"/>
        </w:rPr>
        <w:t>.</w:t>
      </w:r>
      <w:r w:rsidR="00331E59">
        <w:rPr>
          <w:spacing w:val="-4"/>
          <w:shd w:val="clear" w:color="auto" w:fill="FFFFFF"/>
          <w:lang w:val="en-GB"/>
        </w:rPr>
        <w:t>6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331E59">
        <w:rPr>
          <w:spacing w:val="-4"/>
          <w:shd w:val="clear" w:color="auto" w:fill="FFFFFF"/>
          <w:lang w:val="en-GB"/>
        </w:rPr>
        <w:t>3.1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7D6064">
        <w:rPr>
          <w:spacing w:val="-4"/>
          <w:shd w:val="clear" w:color="auto" w:fill="FFFFFF"/>
          <w:lang w:val="en-GB"/>
        </w:rPr>
        <w:t>more</w:t>
      </w:r>
      <w:r w:rsidR="009D4061">
        <w:rPr>
          <w:spacing w:val="-4"/>
          <w:shd w:val="clear" w:color="auto" w:fill="FFFFFF"/>
          <w:lang w:val="en-GB"/>
        </w:rPr>
        <w:t xml:space="preserve"> than in </w:t>
      </w:r>
      <w:r w:rsidR="004E4BB8">
        <w:rPr>
          <w:spacing w:val="-4"/>
          <w:shd w:val="clear" w:color="auto" w:fill="FFFFFF"/>
          <w:lang w:val="en-GB"/>
        </w:rPr>
        <w:t>2021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331E59">
        <w:rPr>
          <w:spacing w:val="-4"/>
          <w:shd w:val="clear" w:color="auto" w:fill="FFFFFF"/>
          <w:lang w:val="en-GB"/>
        </w:rPr>
        <w:t>58</w:t>
      </w:r>
      <w:r w:rsidR="00372328">
        <w:rPr>
          <w:spacing w:val="-4"/>
          <w:shd w:val="clear" w:color="auto" w:fill="FFFFFF"/>
          <w:lang w:val="en-GB"/>
        </w:rPr>
        <w:t>.</w:t>
      </w:r>
      <w:r w:rsidR="00331E59">
        <w:rPr>
          <w:spacing w:val="-4"/>
          <w:shd w:val="clear" w:color="auto" w:fill="FFFFFF"/>
          <w:lang w:val="en-GB"/>
        </w:rPr>
        <w:t>1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331E59">
        <w:rPr>
          <w:spacing w:val="-4"/>
          <w:shd w:val="clear" w:color="auto" w:fill="FFFFFF"/>
          <w:lang w:val="en-GB"/>
        </w:rPr>
        <w:t>2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331E59">
        <w:rPr>
          <w:spacing w:val="-4"/>
          <w:shd w:val="clear" w:color="auto" w:fill="FFFFFF"/>
          <w:lang w:val="en-GB"/>
        </w:rPr>
        <w:t>2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651D40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0F267E">
        <w:rPr>
          <w:spacing w:val="-4"/>
          <w:shd w:val="clear" w:color="auto" w:fill="FFFFFF"/>
          <w:lang w:val="en-GB"/>
        </w:rPr>
        <w:t>7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5D2782">
        <w:rPr>
          <w:spacing w:val="-4"/>
          <w:shd w:val="clear" w:color="auto" w:fill="FFFFFF"/>
          <w:lang w:val="en-GB"/>
        </w:rPr>
        <w:t xml:space="preserve">1 </w:t>
      </w:r>
      <w:r w:rsidR="00331E59">
        <w:rPr>
          <w:spacing w:val="-4"/>
          <w:shd w:val="clear" w:color="auto" w:fill="FFFFFF"/>
          <w:lang w:val="en-GB"/>
        </w:rPr>
        <w:t>827</w:t>
      </w:r>
      <w:r w:rsidR="004862A6" w:rsidRPr="004862A6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331E59">
        <w:rPr>
          <w:spacing w:val="-4"/>
          <w:shd w:val="clear" w:color="auto" w:fill="FFFFFF"/>
          <w:lang w:val="en-GB"/>
        </w:rPr>
        <w:t>3</w:t>
      </w:r>
      <w:r w:rsidR="005D2782">
        <w:rPr>
          <w:spacing w:val="-4"/>
          <w:shd w:val="clear" w:color="auto" w:fill="FFFFFF"/>
          <w:lang w:val="en-GB"/>
        </w:rPr>
        <w:t xml:space="preserve"> </w:t>
      </w:r>
      <w:r w:rsidR="00331E59">
        <w:rPr>
          <w:spacing w:val="-4"/>
          <w:shd w:val="clear" w:color="auto" w:fill="FFFFFF"/>
          <w:lang w:val="en-GB"/>
        </w:rPr>
        <w:t>108</w:t>
      </w:r>
      <w:r w:rsidR="003B4D4B" w:rsidRPr="003B4D4B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  <w:r w:rsidR="009000D6">
        <w:rPr>
          <w:spacing w:val="-4"/>
          <w:shd w:val="clear" w:color="auto" w:fill="FFFFFF"/>
          <w:lang w:val="en-GB"/>
        </w:rPr>
        <w:t>.</w:t>
      </w:r>
    </w:p>
    <w:p w14:paraId="6DA771CF" w14:textId="1C727F9C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331E59">
        <w:rPr>
          <w:shd w:val="clear" w:color="auto" w:fill="FFFFFF"/>
          <w:lang w:val="en-GB"/>
        </w:rPr>
        <w:t>13</w:t>
      </w:r>
      <w:r w:rsidR="00837231" w:rsidRPr="004829B9">
        <w:rPr>
          <w:shd w:val="clear" w:color="auto" w:fill="FFFFFF"/>
          <w:lang w:val="en-GB"/>
        </w:rPr>
        <w:t>.</w:t>
      </w:r>
      <w:r w:rsidR="00331E59">
        <w:rPr>
          <w:shd w:val="clear" w:color="auto" w:fill="FFFFFF"/>
          <w:lang w:val="en-GB"/>
        </w:rPr>
        <w:t>8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B40D7D">
        <w:rPr>
          <w:shd w:val="clear" w:color="auto" w:fill="FFFFFF"/>
          <w:lang w:val="en-GB"/>
        </w:rPr>
        <w:t>1</w:t>
      </w:r>
      <w:r w:rsidR="00837231" w:rsidRPr="004829B9">
        <w:rPr>
          <w:shd w:val="clear" w:color="auto" w:fill="FFFFFF"/>
          <w:lang w:val="en-GB"/>
        </w:rPr>
        <w:t>.</w:t>
      </w:r>
      <w:r w:rsidR="00331E59">
        <w:rPr>
          <w:shd w:val="clear" w:color="auto" w:fill="FFFFFF"/>
          <w:lang w:val="en-GB"/>
        </w:rPr>
        <w:t>4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4E4BB8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B40D7D">
        <w:rPr>
          <w:shd w:val="clear" w:color="auto" w:fill="FFFFFF"/>
          <w:lang w:val="en-GB"/>
        </w:rPr>
        <w:t>94</w:t>
      </w:r>
      <w:r w:rsidR="005D25AB" w:rsidRPr="004829B9">
        <w:rPr>
          <w:shd w:val="clear" w:color="auto" w:fill="FFFFFF"/>
          <w:lang w:val="en-GB"/>
        </w:rPr>
        <w:t>.</w:t>
      </w:r>
      <w:r w:rsidR="00331E59">
        <w:rPr>
          <w:shd w:val="clear" w:color="auto" w:fill="FFFFFF"/>
          <w:lang w:val="en-GB"/>
        </w:rPr>
        <w:t>5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993"/>
        <w:gridCol w:w="1135"/>
        <w:gridCol w:w="1274"/>
        <w:gridCol w:w="1200"/>
      </w:tblGrid>
      <w:tr w:rsidR="009A4851" w:rsidRPr="009A4851" w14:paraId="13F2CC01" w14:textId="77777777" w:rsidTr="005023D5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2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395B4DA8" w:rsidR="009A4851" w:rsidRPr="00D860E0" w:rsidRDefault="00331E59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47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6B25EFC" w14:textId="48138F70" w:rsidR="009A4851" w:rsidRPr="00D860E0" w:rsidRDefault="00331E59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01-08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2F027FA1" w14:textId="77777777" w:rsidTr="0037210B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6C084E04" w:rsidR="009A4851" w:rsidRPr="00D860E0" w:rsidRDefault="00331E59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5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436707" w14:textId="6D8C6BE4" w:rsidR="009A4851" w:rsidRPr="00D860E0" w:rsidRDefault="00331E59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</w:t>
            </w:r>
            <w:r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27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2D479C5" w14:textId="76214758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C5048B7" w14:textId="5B497054" w:rsidR="009A4851" w:rsidRPr="00D860E0" w:rsidRDefault="00331E59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01-08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652E3E" w:rsidRPr="009A4851" w14:paraId="74C961E1" w14:textId="77777777" w:rsidTr="0037210B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DE713BD" w14:textId="32B4E516" w:rsidR="00652E3E" w:rsidRPr="00D860E0" w:rsidRDefault="00652E3E" w:rsidP="00652E3E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</w:tcPr>
          <w:p w14:paraId="74ED01BD" w14:textId="7E19DCE7" w:rsidR="00652E3E" w:rsidRPr="00652E3E" w:rsidRDefault="00652E3E" w:rsidP="00652E3E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652E3E">
              <w:rPr>
                <w:b/>
                <w:sz w:val="16"/>
                <w:szCs w:val="16"/>
              </w:rPr>
              <w:t>18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52E3E">
              <w:rPr>
                <w:b/>
                <w:sz w:val="16"/>
                <w:szCs w:val="16"/>
              </w:rPr>
              <w:t>417</w:t>
            </w:r>
          </w:p>
        </w:tc>
        <w:tc>
          <w:tcPr>
            <w:tcW w:w="993" w:type="dxa"/>
            <w:tcBorders>
              <w:top w:val="single" w:sz="12" w:space="0" w:color="212492"/>
            </w:tcBorders>
          </w:tcPr>
          <w:p w14:paraId="4368A5D2" w14:textId="1EFA8E60" w:rsidR="00652E3E" w:rsidRPr="00652E3E" w:rsidRDefault="00BD2901" w:rsidP="00652E3E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99.</w:t>
            </w:r>
            <w:r w:rsidR="00652E3E" w:rsidRPr="00652E3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12" w:space="0" w:color="212492"/>
              <w:right w:val="nil"/>
            </w:tcBorders>
          </w:tcPr>
          <w:p w14:paraId="20AE545D" w14:textId="39E5D1D6" w:rsidR="00652E3E" w:rsidRPr="00AC083C" w:rsidRDefault="00BD2901" w:rsidP="00652E3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104.</w:t>
            </w:r>
            <w:r w:rsidR="00652E3E" w:rsidRPr="00652E3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4" w:type="dxa"/>
            <w:tcBorders>
              <w:top w:val="single" w:sz="12" w:space="0" w:color="212492"/>
              <w:right w:val="nil"/>
            </w:tcBorders>
          </w:tcPr>
          <w:p w14:paraId="5AE73CEA" w14:textId="36DAE5DF" w:rsidR="00652E3E" w:rsidRPr="00652E3E" w:rsidRDefault="00652E3E" w:rsidP="00652E3E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652E3E">
              <w:rPr>
                <w:b/>
                <w:sz w:val="16"/>
                <w:szCs w:val="16"/>
              </w:rPr>
              <w:t>145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52E3E">
              <w:rPr>
                <w:b/>
                <w:sz w:val="16"/>
                <w:szCs w:val="16"/>
              </w:rPr>
              <w:t>532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</w:tcPr>
          <w:p w14:paraId="7418C1A2" w14:textId="3FCDCADF" w:rsidR="00652E3E" w:rsidRPr="00AC083C" w:rsidRDefault="00BD2901" w:rsidP="00652E3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101.</w:t>
            </w:r>
            <w:r w:rsidR="00652E3E" w:rsidRPr="00652E3E">
              <w:rPr>
                <w:b/>
                <w:sz w:val="16"/>
                <w:szCs w:val="16"/>
              </w:rPr>
              <w:t>8</w:t>
            </w:r>
          </w:p>
        </w:tc>
      </w:tr>
      <w:tr w:rsidR="00652E3E" w:rsidRPr="009A4851" w14:paraId="1DBFB85F" w14:textId="77777777" w:rsidTr="0037210B">
        <w:trPr>
          <w:trHeight w:val="54"/>
        </w:trPr>
        <w:tc>
          <w:tcPr>
            <w:tcW w:w="2268" w:type="dxa"/>
            <w:vAlign w:val="center"/>
          </w:tcPr>
          <w:p w14:paraId="6CBCE2A8" w14:textId="09768B09" w:rsidR="00652E3E" w:rsidRPr="00D860E0" w:rsidRDefault="00652E3E" w:rsidP="00652E3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</w:tcPr>
          <w:p w14:paraId="255032DB" w14:textId="6E03F9BC" w:rsidR="00652E3E" w:rsidRPr="00652E3E" w:rsidRDefault="00652E3E" w:rsidP="00652E3E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652E3E">
              <w:rPr>
                <w:sz w:val="16"/>
                <w:szCs w:val="16"/>
              </w:rPr>
              <w:t>643</w:t>
            </w:r>
          </w:p>
        </w:tc>
        <w:tc>
          <w:tcPr>
            <w:tcW w:w="993" w:type="dxa"/>
          </w:tcPr>
          <w:p w14:paraId="10BBBDB9" w14:textId="235F9156" w:rsidR="00652E3E" w:rsidRPr="00652E3E" w:rsidRDefault="00BD2901" w:rsidP="00652E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</w:t>
            </w:r>
            <w:r w:rsidR="00652E3E" w:rsidRPr="00652E3E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right w:val="nil"/>
            </w:tcBorders>
          </w:tcPr>
          <w:p w14:paraId="0D6A2499" w14:textId="31316CDB" w:rsidR="00652E3E" w:rsidRPr="00652E3E" w:rsidRDefault="00BD2901" w:rsidP="00652E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</w:t>
            </w:r>
            <w:r w:rsidR="00652E3E" w:rsidRPr="00652E3E">
              <w:rPr>
                <w:sz w:val="16"/>
                <w:szCs w:val="16"/>
              </w:rPr>
              <w:t>9</w:t>
            </w:r>
          </w:p>
        </w:tc>
        <w:tc>
          <w:tcPr>
            <w:tcW w:w="1274" w:type="dxa"/>
            <w:tcBorders>
              <w:right w:val="nil"/>
            </w:tcBorders>
          </w:tcPr>
          <w:p w14:paraId="3C0AB283" w14:textId="42BBC895" w:rsidR="00652E3E" w:rsidRPr="00652E3E" w:rsidRDefault="00652E3E" w:rsidP="00652E3E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58</w:t>
            </w:r>
            <w:r w:rsidR="00BD2901">
              <w:rPr>
                <w:sz w:val="16"/>
                <w:szCs w:val="16"/>
              </w:rPr>
              <w:t xml:space="preserve"> </w:t>
            </w:r>
            <w:r w:rsidRPr="00652E3E">
              <w:rPr>
                <w:sz w:val="16"/>
                <w:szCs w:val="16"/>
              </w:rPr>
              <w:t>056</w:t>
            </w:r>
          </w:p>
        </w:tc>
        <w:tc>
          <w:tcPr>
            <w:tcW w:w="1200" w:type="dxa"/>
            <w:tcBorders>
              <w:right w:val="nil"/>
            </w:tcBorders>
          </w:tcPr>
          <w:p w14:paraId="016F1686" w14:textId="16E88C38" w:rsidR="00652E3E" w:rsidRPr="00652E3E" w:rsidRDefault="00BD2901" w:rsidP="00652E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</w:t>
            </w:r>
            <w:r w:rsidR="00652E3E" w:rsidRPr="00652E3E">
              <w:rPr>
                <w:sz w:val="16"/>
                <w:szCs w:val="16"/>
              </w:rPr>
              <w:t>2</w:t>
            </w:r>
          </w:p>
        </w:tc>
      </w:tr>
      <w:tr w:rsidR="00652E3E" w:rsidRPr="009A4851" w14:paraId="6E2F06BB" w14:textId="77777777" w:rsidTr="0037210B">
        <w:trPr>
          <w:trHeight w:val="348"/>
        </w:trPr>
        <w:tc>
          <w:tcPr>
            <w:tcW w:w="2268" w:type="dxa"/>
            <w:vAlign w:val="center"/>
          </w:tcPr>
          <w:p w14:paraId="5F10D600" w14:textId="2BD51A89" w:rsidR="00652E3E" w:rsidRPr="00D860E0" w:rsidRDefault="00652E3E" w:rsidP="00652E3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</w:tcPr>
          <w:p w14:paraId="23EE99E7" w14:textId="2CA74E01" w:rsidR="00652E3E" w:rsidRPr="00652E3E" w:rsidRDefault="00652E3E" w:rsidP="00652E3E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11</w:t>
            </w:r>
            <w:r w:rsidR="00C539C6">
              <w:rPr>
                <w:sz w:val="16"/>
                <w:szCs w:val="16"/>
              </w:rPr>
              <w:t xml:space="preserve"> </w:t>
            </w:r>
            <w:r w:rsidRPr="00652E3E">
              <w:rPr>
                <w:sz w:val="16"/>
                <w:szCs w:val="16"/>
              </w:rPr>
              <w:t>616</w:t>
            </w:r>
          </w:p>
        </w:tc>
        <w:tc>
          <w:tcPr>
            <w:tcW w:w="993" w:type="dxa"/>
          </w:tcPr>
          <w:p w14:paraId="1392F143" w14:textId="7C3B5951" w:rsidR="00652E3E" w:rsidRPr="00652E3E" w:rsidRDefault="00BD2901" w:rsidP="00652E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  <w:r w:rsidR="00652E3E" w:rsidRPr="00652E3E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right w:val="nil"/>
            </w:tcBorders>
          </w:tcPr>
          <w:p w14:paraId="073E4F9D" w14:textId="5814D32A" w:rsidR="00652E3E" w:rsidRPr="00652E3E" w:rsidRDefault="00BD2901" w:rsidP="00652E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</w:t>
            </w:r>
            <w:r w:rsidR="00652E3E" w:rsidRPr="00652E3E">
              <w:rPr>
                <w:sz w:val="16"/>
                <w:szCs w:val="16"/>
              </w:rPr>
              <w:t>7</w:t>
            </w:r>
          </w:p>
        </w:tc>
        <w:tc>
          <w:tcPr>
            <w:tcW w:w="1274" w:type="dxa"/>
            <w:tcBorders>
              <w:right w:val="nil"/>
            </w:tcBorders>
          </w:tcPr>
          <w:p w14:paraId="7C80FD51" w14:textId="54E94378" w:rsidR="00652E3E" w:rsidRPr="00652E3E" w:rsidRDefault="00652E3E" w:rsidP="00652E3E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85</w:t>
            </w:r>
            <w:r w:rsidR="00BD2901">
              <w:rPr>
                <w:sz w:val="16"/>
                <w:szCs w:val="16"/>
              </w:rPr>
              <w:t xml:space="preserve"> </w:t>
            </w:r>
            <w:r w:rsidRPr="00652E3E">
              <w:rPr>
                <w:sz w:val="16"/>
                <w:szCs w:val="16"/>
              </w:rPr>
              <w:t>649</w:t>
            </w:r>
          </w:p>
        </w:tc>
        <w:tc>
          <w:tcPr>
            <w:tcW w:w="1200" w:type="dxa"/>
            <w:tcBorders>
              <w:right w:val="nil"/>
            </w:tcBorders>
          </w:tcPr>
          <w:p w14:paraId="7B8310F8" w14:textId="5A3FE96B" w:rsidR="00652E3E" w:rsidRPr="00652E3E" w:rsidRDefault="00BD2901" w:rsidP="00652E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  <w:r w:rsidR="00652E3E" w:rsidRPr="00652E3E">
              <w:rPr>
                <w:sz w:val="16"/>
                <w:szCs w:val="16"/>
              </w:rPr>
              <w:t>1</w:t>
            </w:r>
          </w:p>
        </w:tc>
      </w:tr>
      <w:tr w:rsidR="00652E3E" w:rsidRPr="009A4851" w14:paraId="24AD4DF0" w14:textId="77777777" w:rsidTr="00AE6FA9">
        <w:trPr>
          <w:trHeight w:val="489"/>
        </w:trPr>
        <w:tc>
          <w:tcPr>
            <w:tcW w:w="2268" w:type="dxa"/>
            <w:vAlign w:val="center"/>
          </w:tcPr>
          <w:p w14:paraId="1D2231E4" w14:textId="0D64CDE9" w:rsidR="00652E3E" w:rsidRPr="00D860E0" w:rsidRDefault="00652E3E" w:rsidP="00F426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</w:tcPr>
          <w:p w14:paraId="43E0B857" w14:textId="06A8435A" w:rsidR="00652E3E" w:rsidRPr="00652E3E" w:rsidRDefault="00652E3E" w:rsidP="00F426E9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17</w:t>
            </w:r>
          </w:p>
        </w:tc>
        <w:tc>
          <w:tcPr>
            <w:tcW w:w="993" w:type="dxa"/>
          </w:tcPr>
          <w:p w14:paraId="1F0CCA82" w14:textId="3B131BB8" w:rsidR="00652E3E" w:rsidRPr="00652E3E" w:rsidRDefault="00E67FD9" w:rsidP="00E67FD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1135" w:type="dxa"/>
            <w:tcBorders>
              <w:right w:val="nil"/>
            </w:tcBorders>
          </w:tcPr>
          <w:p w14:paraId="48C19C17" w14:textId="164E677A" w:rsidR="00652E3E" w:rsidRPr="00652E3E" w:rsidRDefault="00C539C6" w:rsidP="00F426E9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almost 45-fold less</w:t>
            </w:r>
          </w:p>
        </w:tc>
        <w:tc>
          <w:tcPr>
            <w:tcW w:w="1274" w:type="dxa"/>
            <w:tcBorders>
              <w:right w:val="nil"/>
            </w:tcBorders>
          </w:tcPr>
          <w:p w14:paraId="468E0768" w14:textId="172C70FD" w:rsidR="00652E3E" w:rsidRPr="00652E3E" w:rsidRDefault="00F426E9" w:rsidP="00F426E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539C6">
              <w:rPr>
                <w:sz w:val="16"/>
                <w:szCs w:val="16"/>
              </w:rPr>
              <w:t xml:space="preserve"> </w:t>
            </w:r>
            <w:r w:rsidR="00652E3E" w:rsidRPr="00652E3E">
              <w:rPr>
                <w:sz w:val="16"/>
                <w:szCs w:val="16"/>
              </w:rPr>
              <w:t>483</w:t>
            </w:r>
          </w:p>
        </w:tc>
        <w:tc>
          <w:tcPr>
            <w:tcW w:w="1200" w:type="dxa"/>
            <w:tcBorders>
              <w:right w:val="nil"/>
            </w:tcBorders>
          </w:tcPr>
          <w:p w14:paraId="51BEED95" w14:textId="5BD98C13" w:rsidR="00652E3E" w:rsidRPr="00652E3E" w:rsidRDefault="00BD2901" w:rsidP="00F426E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</w:t>
            </w:r>
            <w:r w:rsidR="00652E3E" w:rsidRPr="00652E3E">
              <w:rPr>
                <w:sz w:val="16"/>
                <w:szCs w:val="16"/>
              </w:rPr>
              <w:t>5</w:t>
            </w:r>
          </w:p>
        </w:tc>
      </w:tr>
      <w:tr w:rsidR="00652E3E" w:rsidRPr="009A4851" w14:paraId="4DBF5999" w14:textId="77777777" w:rsidTr="0037210B">
        <w:trPr>
          <w:trHeight w:val="359"/>
        </w:trPr>
        <w:tc>
          <w:tcPr>
            <w:tcW w:w="2268" w:type="dxa"/>
            <w:vAlign w:val="center"/>
          </w:tcPr>
          <w:p w14:paraId="2793BDBD" w14:textId="6FB46D68" w:rsidR="00652E3E" w:rsidRPr="00D860E0" w:rsidRDefault="00652E3E" w:rsidP="00454AA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</w:tcPr>
          <w:p w14:paraId="69E2D56C" w14:textId="49F0D623" w:rsidR="00652E3E" w:rsidRPr="00652E3E" w:rsidRDefault="00652E3E" w:rsidP="00454AA7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3E22814D" w14:textId="251DDB9E" w:rsidR="00652E3E" w:rsidRPr="00652E3E" w:rsidRDefault="00BD2901" w:rsidP="00454AA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</w:t>
            </w:r>
            <w:r w:rsidR="00652E3E" w:rsidRPr="00652E3E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right w:val="nil"/>
            </w:tcBorders>
          </w:tcPr>
          <w:p w14:paraId="4CC7447C" w14:textId="4AF7D668" w:rsidR="00652E3E" w:rsidRPr="00652E3E" w:rsidRDefault="00652E3E" w:rsidP="00454AA7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right w:val="nil"/>
            </w:tcBorders>
          </w:tcPr>
          <w:p w14:paraId="139B16E7" w14:textId="3F1EC61D" w:rsidR="00652E3E" w:rsidRPr="00652E3E" w:rsidRDefault="00652E3E" w:rsidP="00454AA7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796</w:t>
            </w:r>
          </w:p>
        </w:tc>
        <w:tc>
          <w:tcPr>
            <w:tcW w:w="1200" w:type="dxa"/>
            <w:tcBorders>
              <w:right w:val="nil"/>
            </w:tcBorders>
          </w:tcPr>
          <w:p w14:paraId="3FCA44D4" w14:textId="5D048771" w:rsidR="00652E3E" w:rsidRPr="00652E3E" w:rsidRDefault="00BD2901" w:rsidP="00454AA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  <w:r w:rsidR="00652E3E" w:rsidRPr="00652E3E">
              <w:rPr>
                <w:sz w:val="16"/>
                <w:szCs w:val="16"/>
              </w:rPr>
              <w:t>9</w:t>
            </w:r>
          </w:p>
        </w:tc>
      </w:tr>
      <w:tr w:rsidR="00652E3E" w:rsidRPr="009A4851" w14:paraId="2FCEF9DB" w14:textId="77777777" w:rsidTr="0037210B">
        <w:trPr>
          <w:trHeight w:val="366"/>
        </w:trPr>
        <w:tc>
          <w:tcPr>
            <w:tcW w:w="2268" w:type="dxa"/>
            <w:vAlign w:val="center"/>
          </w:tcPr>
          <w:p w14:paraId="40DD2197" w14:textId="6A68BE3F" w:rsidR="00652E3E" w:rsidRPr="00D860E0" w:rsidRDefault="00652E3E" w:rsidP="00454AA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</w:tcPr>
          <w:p w14:paraId="7E5E83FB" w14:textId="24443DB3" w:rsidR="00652E3E" w:rsidRPr="00652E3E" w:rsidRDefault="00652E3E" w:rsidP="00454AA7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26</w:t>
            </w:r>
          </w:p>
        </w:tc>
        <w:tc>
          <w:tcPr>
            <w:tcW w:w="993" w:type="dxa"/>
          </w:tcPr>
          <w:p w14:paraId="0AFA2421" w14:textId="5AAAA17A" w:rsidR="00652E3E" w:rsidRPr="00652E3E" w:rsidRDefault="00652E3E" w:rsidP="00454AA7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113</w:t>
            </w:r>
            <w:r w:rsidR="00BD290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right w:val="nil"/>
            </w:tcBorders>
          </w:tcPr>
          <w:p w14:paraId="3948C7DA" w14:textId="00D92E11" w:rsidR="00652E3E" w:rsidRPr="00652E3E" w:rsidRDefault="00BD2901" w:rsidP="00454AA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</w:t>
            </w:r>
            <w:r w:rsidR="00652E3E" w:rsidRPr="00652E3E">
              <w:rPr>
                <w:sz w:val="16"/>
                <w:szCs w:val="16"/>
              </w:rPr>
              <w:t>8</w:t>
            </w:r>
          </w:p>
        </w:tc>
        <w:tc>
          <w:tcPr>
            <w:tcW w:w="1274" w:type="dxa"/>
            <w:tcBorders>
              <w:right w:val="nil"/>
            </w:tcBorders>
          </w:tcPr>
          <w:p w14:paraId="3827C313" w14:textId="7CED4DC3" w:rsidR="00652E3E" w:rsidRPr="00652E3E" w:rsidRDefault="00652E3E" w:rsidP="00454AA7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253</w:t>
            </w:r>
          </w:p>
        </w:tc>
        <w:tc>
          <w:tcPr>
            <w:tcW w:w="1200" w:type="dxa"/>
            <w:tcBorders>
              <w:right w:val="nil"/>
            </w:tcBorders>
          </w:tcPr>
          <w:p w14:paraId="68737150" w14:textId="55934DFE" w:rsidR="00652E3E" w:rsidRPr="00652E3E" w:rsidRDefault="00BD2901" w:rsidP="00454AA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  <w:r w:rsidR="00652E3E" w:rsidRPr="00652E3E">
              <w:rPr>
                <w:sz w:val="16"/>
                <w:szCs w:val="16"/>
              </w:rPr>
              <w:t>6</w:t>
            </w:r>
          </w:p>
        </w:tc>
      </w:tr>
      <w:tr w:rsidR="00652E3E" w:rsidRPr="009A4851" w14:paraId="79AE12F9" w14:textId="77777777" w:rsidTr="0037210B">
        <w:trPr>
          <w:trHeight w:val="348"/>
        </w:trPr>
        <w:tc>
          <w:tcPr>
            <w:tcW w:w="2268" w:type="dxa"/>
            <w:vAlign w:val="center"/>
          </w:tcPr>
          <w:p w14:paraId="325420B3" w14:textId="669AE064" w:rsidR="00652E3E" w:rsidRPr="00D860E0" w:rsidRDefault="00652E3E" w:rsidP="00652E3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</w:tcPr>
          <w:p w14:paraId="60773A35" w14:textId="38D681AB" w:rsidR="00652E3E" w:rsidRPr="00652E3E" w:rsidRDefault="00652E3E" w:rsidP="00652E3E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79</w:t>
            </w:r>
          </w:p>
        </w:tc>
        <w:tc>
          <w:tcPr>
            <w:tcW w:w="993" w:type="dxa"/>
          </w:tcPr>
          <w:p w14:paraId="5900F285" w14:textId="29C437CA" w:rsidR="00652E3E" w:rsidRPr="00652E3E" w:rsidRDefault="00BD2901" w:rsidP="00652E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  <w:r w:rsidR="00652E3E" w:rsidRPr="00652E3E">
              <w:rPr>
                <w:sz w:val="16"/>
                <w:szCs w:val="16"/>
              </w:rPr>
              <w:t>9</w:t>
            </w:r>
          </w:p>
        </w:tc>
        <w:tc>
          <w:tcPr>
            <w:tcW w:w="1135" w:type="dxa"/>
            <w:tcBorders>
              <w:right w:val="nil"/>
            </w:tcBorders>
          </w:tcPr>
          <w:p w14:paraId="1464CE68" w14:textId="483EEAF1" w:rsidR="00652E3E" w:rsidRPr="00652E3E" w:rsidRDefault="00BD2901" w:rsidP="00652E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</w:t>
            </w:r>
            <w:r w:rsidR="00652E3E" w:rsidRPr="00652E3E">
              <w:rPr>
                <w:sz w:val="16"/>
                <w:szCs w:val="16"/>
              </w:rPr>
              <w:t>1</w:t>
            </w:r>
          </w:p>
        </w:tc>
        <w:tc>
          <w:tcPr>
            <w:tcW w:w="1274" w:type="dxa"/>
            <w:tcBorders>
              <w:right w:val="nil"/>
            </w:tcBorders>
          </w:tcPr>
          <w:p w14:paraId="7A4F2972" w14:textId="78A6C615" w:rsidR="00652E3E" w:rsidRPr="00652E3E" w:rsidRDefault="00652E3E" w:rsidP="00454AA7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742</w:t>
            </w:r>
          </w:p>
        </w:tc>
        <w:tc>
          <w:tcPr>
            <w:tcW w:w="1200" w:type="dxa"/>
            <w:tcBorders>
              <w:right w:val="nil"/>
            </w:tcBorders>
          </w:tcPr>
          <w:p w14:paraId="49F5E70F" w14:textId="67CE5E8F" w:rsidR="00652E3E" w:rsidRPr="00652E3E" w:rsidRDefault="00BD2901" w:rsidP="00652E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  <w:r w:rsidR="00652E3E" w:rsidRPr="00652E3E">
              <w:rPr>
                <w:sz w:val="16"/>
                <w:szCs w:val="16"/>
              </w:rPr>
              <w:t>5</w:t>
            </w:r>
          </w:p>
        </w:tc>
      </w:tr>
      <w:tr w:rsidR="00652E3E" w:rsidRPr="009A4851" w14:paraId="16EEE8B3" w14:textId="77777777" w:rsidTr="0037210B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652E3E" w:rsidRPr="00D860E0" w:rsidRDefault="00652E3E" w:rsidP="00652E3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</w:tcPr>
          <w:p w14:paraId="6BBF9FB1" w14:textId="6862C8B6" w:rsidR="00652E3E" w:rsidRPr="00652E3E" w:rsidRDefault="00652E3E" w:rsidP="00652E3E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212492"/>
            </w:tcBorders>
          </w:tcPr>
          <w:p w14:paraId="315E4888" w14:textId="45E38577" w:rsidR="00652E3E" w:rsidRPr="00652E3E" w:rsidRDefault="00652E3E" w:rsidP="00652E3E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bottom w:val="single" w:sz="4" w:space="0" w:color="212492"/>
              <w:right w:val="nil"/>
            </w:tcBorders>
          </w:tcPr>
          <w:p w14:paraId="09114D5F" w14:textId="164F415B" w:rsidR="00652E3E" w:rsidRPr="00652E3E" w:rsidRDefault="00652E3E" w:rsidP="00652E3E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bottom w:val="single" w:sz="4" w:space="0" w:color="212492"/>
              <w:right w:val="nil"/>
            </w:tcBorders>
          </w:tcPr>
          <w:p w14:paraId="77D1DF52" w14:textId="6A0F4B0D" w:rsidR="00652E3E" w:rsidRPr="00652E3E" w:rsidRDefault="00652E3E" w:rsidP="00F426E9">
            <w:pPr>
              <w:spacing w:after="0"/>
              <w:jc w:val="right"/>
              <w:rPr>
                <w:sz w:val="16"/>
                <w:szCs w:val="16"/>
              </w:rPr>
            </w:pPr>
            <w:r w:rsidRPr="00652E3E">
              <w:rPr>
                <w:sz w:val="16"/>
                <w:szCs w:val="16"/>
              </w:rPr>
              <w:t>36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</w:tcPr>
          <w:p w14:paraId="49713444" w14:textId="234A09C7" w:rsidR="00652E3E" w:rsidRPr="00652E3E" w:rsidRDefault="00BD2901" w:rsidP="00652E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  <w:r w:rsidR="00652E3E" w:rsidRPr="00652E3E">
              <w:rPr>
                <w:sz w:val="16"/>
                <w:szCs w:val="16"/>
              </w:rPr>
              <w:t>5</w:t>
            </w:r>
          </w:p>
        </w:tc>
      </w:tr>
      <w:bookmarkEnd w:id="0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2433C17" w14:textId="77777777" w:rsidR="002716F3" w:rsidRDefault="002716F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14:paraId="2D03BCD7" w14:textId="7B41B17F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0949E039">
                <wp:simplePos x="0" y="0"/>
                <wp:positionH relativeFrom="rightMargin">
                  <wp:posOffset>140740</wp:posOffset>
                </wp:positionH>
                <wp:positionV relativeFrom="paragraph">
                  <wp:posOffset>258699</wp:posOffset>
                </wp:positionV>
                <wp:extent cx="1791615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01-08 2022 by 5.7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61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77ABB8E9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651D40">
                              <w:rPr>
                                <w:lang w:val="en-US"/>
                              </w:rPr>
                              <w:t xml:space="preserve">the period </w:t>
                            </w:r>
                            <w:r w:rsidR="00965A18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EC74D0">
                              <w:rPr>
                                <w:lang w:val="en-US"/>
                              </w:rPr>
                              <w:t>01-08</w:t>
                            </w:r>
                            <w:r w:rsidR="00921A7C" w:rsidRPr="00F5200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D4B7C" w:rsidRPr="00F5200E">
                              <w:rPr>
                                <w:lang w:val="en-US"/>
                              </w:rPr>
                              <w:t>2022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EC74D0">
                              <w:rPr>
                                <w:lang w:val="en-US"/>
                              </w:rPr>
                              <w:t>5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EC74D0">
                              <w:rPr>
                                <w:lang w:val="en-US"/>
                              </w:rPr>
                              <w:t>7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29" type="#_x0000_t202" alt="The number of dwellings for which permits have been granted or which have been registered with a construction project decreased in the period of 01-08 2022 by 5.7% y/y " style="position:absolute;margin-left:11.1pt;margin-top:20.35pt;width:141.0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" filled="f" stroked="f" strokeweight=".5pt">
                <v:textbox>
                  <w:txbxContent>
                    <w:p w14:paraId="35DCCB4E" w14:textId="77ABB8E9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 xml:space="preserve">in </w:t>
                      </w:r>
                      <w:r w:rsidR="00651D40">
                        <w:rPr>
                          <w:lang w:val="en-US"/>
                        </w:rPr>
                        <w:t xml:space="preserve">the period </w:t>
                      </w:r>
                      <w:r w:rsidR="00965A18">
                        <w:rPr>
                          <w:lang w:val="en-US"/>
                        </w:rPr>
                        <w:t xml:space="preserve">of </w:t>
                      </w:r>
                      <w:r w:rsidR="00EC74D0">
                        <w:rPr>
                          <w:lang w:val="en-US"/>
                        </w:rPr>
                        <w:t>01-08</w:t>
                      </w:r>
                      <w:r w:rsidR="00921A7C" w:rsidRPr="00F5200E">
                        <w:rPr>
                          <w:lang w:val="en-US"/>
                        </w:rPr>
                        <w:t xml:space="preserve"> </w:t>
                      </w:r>
                      <w:r w:rsidR="00ED4B7C" w:rsidRPr="00F5200E">
                        <w:rPr>
                          <w:lang w:val="en-US"/>
                        </w:rPr>
                        <w:t>2022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 w:rsidR="00EC74D0">
                        <w:rPr>
                          <w:lang w:val="en-US"/>
                        </w:rPr>
                        <w:t>5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EC74D0">
                        <w:rPr>
                          <w:lang w:val="en-US"/>
                        </w:rPr>
                        <w:t>7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5DA33A41" w:rsidR="00C47CE4" w:rsidRPr="004829B9" w:rsidRDefault="00B40D7D" w:rsidP="00896EB9">
      <w:pPr>
        <w:rPr>
          <w:b/>
          <w:shd w:val="clear" w:color="auto" w:fill="FFFFFF"/>
          <w:lang w:val="en-GB"/>
        </w:rPr>
      </w:pPr>
      <w:r w:rsidRPr="00B40D7D">
        <w:rPr>
          <w:noProof/>
          <w:lang w:val="en-GB" w:eastAsia="pl-PL"/>
        </w:rPr>
        <w:t xml:space="preserve">From the beginning of </w:t>
      </w:r>
      <w:r w:rsidR="00AC083C">
        <w:rPr>
          <w:noProof/>
          <w:lang w:val="en-GB" w:eastAsia="pl-PL"/>
        </w:rPr>
        <w:t>January</w:t>
      </w:r>
      <w:r>
        <w:rPr>
          <w:noProof/>
          <w:lang w:val="en-GB" w:eastAsia="pl-PL"/>
        </w:rPr>
        <w:t xml:space="preserve"> until the end of </w:t>
      </w:r>
      <w:r w:rsidR="00EC74D0">
        <w:rPr>
          <w:noProof/>
          <w:lang w:val="en-GB" w:eastAsia="pl-PL"/>
        </w:rPr>
        <w:t>August</w:t>
      </w:r>
      <w:r>
        <w:rPr>
          <w:noProof/>
          <w:lang w:val="en-GB" w:eastAsia="pl-PL"/>
        </w:rPr>
        <w:t xml:space="preserve"> </w:t>
      </w:r>
      <w:r w:rsidR="004862A6">
        <w:rPr>
          <w:noProof/>
          <w:lang w:val="en-GB" w:eastAsia="pl-PL"/>
        </w:rPr>
        <w:t>2022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EC74D0">
        <w:rPr>
          <w:shd w:val="clear" w:color="auto" w:fill="FFFFFF"/>
          <w:lang w:val="en-GB"/>
        </w:rPr>
        <w:t>214</w:t>
      </w:r>
      <w:r w:rsidR="00DE7DD4">
        <w:rPr>
          <w:shd w:val="clear" w:color="auto" w:fill="FFFFFF"/>
          <w:lang w:val="en-GB"/>
        </w:rPr>
        <w:t>.</w:t>
      </w:r>
      <w:r w:rsidR="00853590">
        <w:rPr>
          <w:shd w:val="clear" w:color="auto" w:fill="FFFFFF"/>
          <w:lang w:val="en-GB"/>
        </w:rPr>
        <w:t>8</w:t>
      </w:r>
      <w:r w:rsidR="00C571F3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EC74D0">
        <w:rPr>
          <w:shd w:val="clear" w:color="auto" w:fill="FFFFFF"/>
          <w:lang w:val="en-GB"/>
        </w:rPr>
        <w:t>5</w:t>
      </w:r>
      <w:r w:rsidR="00E245E1" w:rsidRPr="004829B9">
        <w:rPr>
          <w:shd w:val="clear" w:color="auto" w:fill="FFFFFF"/>
          <w:lang w:val="en-GB"/>
        </w:rPr>
        <w:t>.</w:t>
      </w:r>
      <w:r w:rsidR="00EC74D0">
        <w:rPr>
          <w:shd w:val="clear" w:color="auto" w:fill="FFFFFF"/>
          <w:lang w:val="en-GB"/>
        </w:rPr>
        <w:t>7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4862A6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C47CE4" w:rsidRPr="00970E01">
        <w:rPr>
          <w:shd w:val="clear" w:color="auto" w:fill="FFFFFF"/>
          <w:lang w:val="en-GB"/>
        </w:rPr>
        <w:t>than in</w:t>
      </w:r>
      <w:r w:rsidR="00ED4B7C" w:rsidRPr="00970E01">
        <w:rPr>
          <w:shd w:val="clear" w:color="auto" w:fill="FFFFFF"/>
          <w:lang w:val="en-GB"/>
        </w:rPr>
        <w:t xml:space="preserve"> the corresponding </w:t>
      </w:r>
      <w:r w:rsidR="00B769F0">
        <w:rPr>
          <w:shd w:val="clear" w:color="auto" w:fill="FFFFFF"/>
          <w:lang w:val="en-GB"/>
        </w:rPr>
        <w:t>period</w:t>
      </w:r>
      <w:r w:rsidR="00ED4B7C" w:rsidRPr="00970E01">
        <w:rPr>
          <w:shd w:val="clear" w:color="auto" w:fill="FFFFFF"/>
          <w:lang w:val="en-GB"/>
        </w:rPr>
        <w:t xml:space="preserve"> of</w:t>
      </w:r>
      <w:r w:rsidR="00C47CE4" w:rsidRPr="00970E01">
        <w:rPr>
          <w:shd w:val="clear" w:color="auto" w:fill="FFFFFF"/>
          <w:lang w:val="en-GB"/>
        </w:rPr>
        <w:t xml:space="preserve"> </w:t>
      </w:r>
      <w:r w:rsidR="00ED4B7C" w:rsidRPr="00970E01">
        <w:rPr>
          <w:shd w:val="clear" w:color="auto" w:fill="FFFFFF"/>
          <w:lang w:val="en-GB"/>
        </w:rPr>
        <w:t>2021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EC74D0">
        <w:rPr>
          <w:shd w:val="clear" w:color="auto" w:fill="FFFFFF"/>
          <w:lang w:val="en-GB"/>
        </w:rPr>
        <w:t>146.3</w:t>
      </w:r>
      <w:r w:rsidR="000D0D6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965A18">
        <w:rPr>
          <w:shd w:val="clear" w:color="auto" w:fill="FFFFFF"/>
          <w:lang w:val="en-GB"/>
        </w:rPr>
        <w:t>, a</w:t>
      </w:r>
      <w:r w:rsidR="007D6064">
        <w:rPr>
          <w:shd w:val="clear" w:color="auto" w:fill="FFFFFF"/>
          <w:lang w:val="en-GB"/>
        </w:rPr>
        <w:t>n in</w:t>
      </w:r>
      <w:r w:rsidR="00EC74D0">
        <w:rPr>
          <w:shd w:val="clear" w:color="auto" w:fill="FFFFFF"/>
          <w:lang w:val="en-GB"/>
        </w:rPr>
        <w:t>crease of 2.4</w:t>
      </w:r>
      <w:r w:rsidR="008A130C">
        <w:rPr>
          <w:shd w:val="clear" w:color="auto" w:fill="FFFFFF"/>
          <w:lang w:val="en-GB"/>
        </w:rPr>
        <w:t>%</w:t>
      </w:r>
      <w:r w:rsidR="00FE3A83">
        <w:rPr>
          <w:shd w:val="clear" w:color="auto" w:fill="FFFFFF"/>
          <w:lang w:val="en-GB"/>
        </w:rPr>
        <w:t xml:space="preserve">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EC74D0">
        <w:rPr>
          <w:shd w:val="clear" w:color="auto" w:fill="FFFFFF"/>
          <w:lang w:val="en-GB"/>
        </w:rPr>
        <w:t>65</w:t>
      </w:r>
      <w:r w:rsidR="00DE7DD4">
        <w:rPr>
          <w:shd w:val="clear" w:color="auto" w:fill="FFFFFF"/>
          <w:lang w:val="en-GB"/>
        </w:rPr>
        <w:t>.</w:t>
      </w:r>
      <w:r w:rsidR="00B11C46">
        <w:rPr>
          <w:shd w:val="clear" w:color="auto" w:fill="FFFFFF"/>
          <w:lang w:val="en-GB"/>
        </w:rPr>
        <w:t>4 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EC74D0">
        <w:rPr>
          <w:shd w:val="clear" w:color="auto" w:fill="FFFFFF"/>
          <w:lang w:val="en-GB"/>
        </w:rPr>
        <w:t>, a decrease of 20.7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7E7CF5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 w:rsidR="00EC74D0">
        <w:rPr>
          <w:shd w:val="clear" w:color="auto" w:fill="FFFFFF"/>
          <w:lang w:val="en-GB"/>
        </w:rPr>
        <w:t>6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 w:rsidR="00EC74D0">
        <w:rPr>
          <w:spacing w:val="-4"/>
          <w:shd w:val="clear" w:color="auto" w:fill="FFFFFF"/>
          <w:lang w:val="en-GB"/>
        </w:rPr>
        <w:t>3</w:t>
      </w:r>
      <w:r w:rsidR="007E7CF5">
        <w:rPr>
          <w:spacing w:val="-4"/>
          <w:shd w:val="clear" w:color="auto" w:fill="FFFFFF"/>
          <w:lang w:val="en-GB"/>
        </w:rPr>
        <w:t> </w:t>
      </w:r>
      <w:r w:rsidR="00EC74D0">
        <w:rPr>
          <w:spacing w:val="-4"/>
          <w:shd w:val="clear" w:color="auto" w:fill="FFFFFF"/>
          <w:lang w:val="en-GB"/>
        </w:rPr>
        <w:t>097</w:t>
      </w:r>
      <w:r w:rsidR="003B4D4B" w:rsidRPr="003B4D4B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853590">
        <w:rPr>
          <w:shd w:val="clear" w:color="auto" w:fill="FFFFFF"/>
          <w:lang w:val="en-GB"/>
        </w:rPr>
        <w:t>2</w:t>
      </w:r>
      <w:r w:rsidR="00C6450A">
        <w:rPr>
          <w:shd w:val="clear" w:color="auto" w:fill="FFFFFF"/>
          <w:lang w:val="en-GB"/>
        </w:rPr>
        <w:t xml:space="preserve"> </w:t>
      </w:r>
      <w:r w:rsidR="00EC74D0">
        <w:rPr>
          <w:shd w:val="clear" w:color="auto" w:fill="FFFFFF"/>
          <w:lang w:val="en-GB"/>
        </w:rPr>
        <w:t>426</w:t>
      </w:r>
      <w:r w:rsidR="003B4D4B" w:rsidRPr="003B4D4B">
        <w:rPr>
          <w:shd w:val="clear" w:color="auto" w:fill="FFFFFF"/>
          <w:lang w:val="en-GB"/>
        </w:rPr>
        <w:t xml:space="preserve">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7E02D8" w:rsidRDefault="00896EB9" w:rsidP="00DE7DD4">
      <w:pPr>
        <w:pStyle w:val="tytuwykresu"/>
        <w:ind w:left="709" w:hanging="709"/>
        <w:rPr>
          <w:sz w:val="19"/>
          <w:szCs w:val="19"/>
          <w:shd w:val="clear" w:color="auto" w:fill="FFFFFF"/>
          <w:lang w:val="en-GB"/>
        </w:rPr>
      </w:pPr>
      <w:r w:rsidRPr="007E02D8">
        <w:rPr>
          <w:sz w:val="19"/>
          <w:szCs w:val="19"/>
          <w:shd w:val="clear" w:color="auto" w:fill="FFFFFF"/>
          <w:lang w:val="en-GB"/>
        </w:rPr>
        <w:t xml:space="preserve">Table 2. Dwellings for which permits have been granted or which have been registered with </w:t>
      </w:r>
      <w:r w:rsidRPr="007E02D8">
        <w:rPr>
          <w:sz w:val="19"/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994"/>
        <w:gridCol w:w="1274"/>
        <w:gridCol w:w="1200"/>
      </w:tblGrid>
      <w:tr w:rsidR="00603549" w:rsidRPr="009A4851" w14:paraId="3982B774" w14:textId="77777777" w:rsidTr="0048731D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11A2AC" w14:textId="77777777" w:rsidR="00603549" w:rsidRPr="00D860E0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2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A8244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47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C84461E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01-08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03549" w:rsidRPr="009A4851" w14:paraId="40010199" w14:textId="77777777" w:rsidTr="00F7319C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6C4ACB6" w14:textId="77777777" w:rsidR="00603549" w:rsidRPr="00D860E0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222BE93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9F5DBEE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08 </w:t>
            </w:r>
            <w:r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99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02FAB9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07 </w:t>
            </w:r>
            <w:r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27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05596D11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2B9E131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01-08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603549" w:rsidRPr="009A4851" w14:paraId="4960FBEE" w14:textId="77777777" w:rsidTr="00F7319C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1A71A89" w14:textId="77777777" w:rsidR="00603549" w:rsidRPr="00930A41" w:rsidRDefault="00603549" w:rsidP="0060354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930A41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</w:tcPr>
          <w:p w14:paraId="02B1A5FB" w14:textId="59EC92A5" w:rsidR="00603549" w:rsidRPr="00930A41" w:rsidRDefault="00603549" w:rsidP="00603549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930A41">
              <w:rPr>
                <w:b/>
                <w:sz w:val="15"/>
                <w:szCs w:val="15"/>
              </w:rPr>
              <w:t>21 530</w:t>
            </w:r>
          </w:p>
        </w:tc>
        <w:tc>
          <w:tcPr>
            <w:tcW w:w="1134" w:type="dxa"/>
            <w:tcBorders>
              <w:top w:val="single" w:sz="12" w:space="0" w:color="212492"/>
            </w:tcBorders>
          </w:tcPr>
          <w:p w14:paraId="7439481A" w14:textId="2C8A64A2" w:rsidR="00603549" w:rsidRPr="00930A41" w:rsidRDefault="00603549" w:rsidP="00603549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930A41">
              <w:rPr>
                <w:b/>
                <w:sz w:val="15"/>
                <w:szCs w:val="15"/>
              </w:rPr>
              <w:t>79,1</w:t>
            </w:r>
          </w:p>
        </w:tc>
        <w:tc>
          <w:tcPr>
            <w:tcW w:w="994" w:type="dxa"/>
            <w:tcBorders>
              <w:top w:val="single" w:sz="12" w:space="0" w:color="212492"/>
              <w:right w:val="nil"/>
            </w:tcBorders>
          </w:tcPr>
          <w:p w14:paraId="54900271" w14:textId="5559C6D5" w:rsidR="00603549" w:rsidRPr="00930A41" w:rsidRDefault="00603549" w:rsidP="00603549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930A41">
              <w:rPr>
                <w:b/>
                <w:sz w:val="15"/>
                <w:szCs w:val="15"/>
              </w:rPr>
              <w:t>97,9</w:t>
            </w:r>
          </w:p>
        </w:tc>
        <w:tc>
          <w:tcPr>
            <w:tcW w:w="1274" w:type="dxa"/>
            <w:tcBorders>
              <w:top w:val="single" w:sz="12" w:space="0" w:color="212492"/>
              <w:right w:val="nil"/>
            </w:tcBorders>
          </w:tcPr>
          <w:p w14:paraId="33BA976C" w14:textId="4C8E5030" w:rsidR="00603549" w:rsidRPr="00930A41" w:rsidRDefault="00603549" w:rsidP="00603549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930A41">
              <w:rPr>
                <w:b/>
                <w:sz w:val="15"/>
                <w:szCs w:val="15"/>
              </w:rPr>
              <w:t>214 788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</w:tcPr>
          <w:p w14:paraId="184FD311" w14:textId="40BBF5A8" w:rsidR="00603549" w:rsidRPr="00930A41" w:rsidRDefault="00603549" w:rsidP="00603549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930A41">
              <w:rPr>
                <w:b/>
                <w:sz w:val="15"/>
                <w:szCs w:val="15"/>
              </w:rPr>
              <w:t>94,3</w:t>
            </w:r>
          </w:p>
        </w:tc>
      </w:tr>
      <w:tr w:rsidR="00603549" w:rsidRPr="009A4851" w14:paraId="1DF47858" w14:textId="77777777" w:rsidTr="00F7319C">
        <w:trPr>
          <w:trHeight w:val="54"/>
        </w:trPr>
        <w:tc>
          <w:tcPr>
            <w:tcW w:w="2268" w:type="dxa"/>
            <w:vAlign w:val="center"/>
          </w:tcPr>
          <w:p w14:paraId="28ADC19D" w14:textId="77777777" w:rsidR="00603549" w:rsidRPr="00930A41" w:rsidRDefault="00603549" w:rsidP="006035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</w:tcPr>
          <w:p w14:paraId="2CE969F2" w14:textId="3C17B43C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7 144</w:t>
            </w:r>
          </w:p>
        </w:tc>
        <w:tc>
          <w:tcPr>
            <w:tcW w:w="1134" w:type="dxa"/>
          </w:tcPr>
          <w:p w14:paraId="11922E73" w14:textId="3600F41A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67,5</w:t>
            </w:r>
          </w:p>
        </w:tc>
        <w:tc>
          <w:tcPr>
            <w:tcW w:w="994" w:type="dxa"/>
            <w:tcBorders>
              <w:right w:val="nil"/>
            </w:tcBorders>
          </w:tcPr>
          <w:p w14:paraId="300CBAD5" w14:textId="23444866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91,0</w:t>
            </w:r>
          </w:p>
        </w:tc>
        <w:tc>
          <w:tcPr>
            <w:tcW w:w="1274" w:type="dxa"/>
            <w:tcBorders>
              <w:right w:val="nil"/>
            </w:tcBorders>
          </w:tcPr>
          <w:p w14:paraId="73685B09" w14:textId="4ACDC1EF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65 439</w:t>
            </w:r>
          </w:p>
        </w:tc>
        <w:tc>
          <w:tcPr>
            <w:tcW w:w="1200" w:type="dxa"/>
            <w:tcBorders>
              <w:right w:val="nil"/>
            </w:tcBorders>
          </w:tcPr>
          <w:p w14:paraId="05796A6D" w14:textId="008D39B8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79,3</w:t>
            </w:r>
          </w:p>
        </w:tc>
      </w:tr>
      <w:tr w:rsidR="00603549" w:rsidRPr="009A4851" w14:paraId="0D1B9431" w14:textId="77777777" w:rsidTr="00F7319C">
        <w:trPr>
          <w:trHeight w:val="348"/>
        </w:trPr>
        <w:tc>
          <w:tcPr>
            <w:tcW w:w="2268" w:type="dxa"/>
            <w:vAlign w:val="center"/>
          </w:tcPr>
          <w:p w14:paraId="46B989E8" w14:textId="77777777" w:rsidR="00603549" w:rsidRPr="00930A41" w:rsidRDefault="00603549" w:rsidP="006035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</w:tcPr>
          <w:p w14:paraId="56EC5D20" w14:textId="29005F17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14 148</w:t>
            </w:r>
          </w:p>
        </w:tc>
        <w:tc>
          <w:tcPr>
            <w:tcW w:w="1134" w:type="dxa"/>
          </w:tcPr>
          <w:p w14:paraId="44BD7848" w14:textId="112BD30F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85,5</w:t>
            </w:r>
          </w:p>
        </w:tc>
        <w:tc>
          <w:tcPr>
            <w:tcW w:w="994" w:type="dxa"/>
            <w:tcBorders>
              <w:right w:val="nil"/>
            </w:tcBorders>
          </w:tcPr>
          <w:p w14:paraId="33BC2BF6" w14:textId="7007A997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100,9</w:t>
            </w:r>
          </w:p>
        </w:tc>
        <w:tc>
          <w:tcPr>
            <w:tcW w:w="1274" w:type="dxa"/>
            <w:tcBorders>
              <w:right w:val="nil"/>
            </w:tcBorders>
          </w:tcPr>
          <w:p w14:paraId="54EF52FC" w14:textId="58DCE220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146 252</w:t>
            </w:r>
          </w:p>
        </w:tc>
        <w:tc>
          <w:tcPr>
            <w:tcW w:w="1200" w:type="dxa"/>
            <w:tcBorders>
              <w:right w:val="nil"/>
            </w:tcBorders>
          </w:tcPr>
          <w:p w14:paraId="7C4F667C" w14:textId="2E4E70DB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102,4</w:t>
            </w:r>
          </w:p>
        </w:tc>
      </w:tr>
      <w:tr w:rsidR="00603549" w:rsidRPr="009A4851" w14:paraId="50E23A83" w14:textId="77777777" w:rsidTr="00F426E9">
        <w:trPr>
          <w:trHeight w:val="344"/>
        </w:trPr>
        <w:tc>
          <w:tcPr>
            <w:tcW w:w="2268" w:type="dxa"/>
            <w:vAlign w:val="center"/>
          </w:tcPr>
          <w:p w14:paraId="4A77B5C6" w14:textId="77777777" w:rsidR="00603549" w:rsidRPr="00930A41" w:rsidRDefault="00603549" w:rsidP="00F426E9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930A41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</w:tcPr>
          <w:p w14:paraId="6D853C93" w14:textId="511886E4" w:rsidR="00603549" w:rsidRPr="00930A41" w:rsidRDefault="00603549" w:rsidP="00F426E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31</w:t>
            </w:r>
          </w:p>
        </w:tc>
        <w:tc>
          <w:tcPr>
            <w:tcW w:w="1134" w:type="dxa"/>
          </w:tcPr>
          <w:p w14:paraId="2B71D6D4" w14:textId="77E4B231" w:rsidR="00603549" w:rsidRPr="00930A41" w:rsidRDefault="00603549" w:rsidP="00F426E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31-fold more</w:t>
            </w:r>
          </w:p>
        </w:tc>
        <w:tc>
          <w:tcPr>
            <w:tcW w:w="994" w:type="dxa"/>
            <w:tcBorders>
              <w:right w:val="nil"/>
            </w:tcBorders>
          </w:tcPr>
          <w:p w14:paraId="494B4D92" w14:textId="72C9A08F" w:rsidR="00603549" w:rsidRPr="00930A41" w:rsidRDefault="00603549" w:rsidP="00F426E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344,4</w:t>
            </w:r>
          </w:p>
        </w:tc>
        <w:tc>
          <w:tcPr>
            <w:tcW w:w="1274" w:type="dxa"/>
            <w:tcBorders>
              <w:right w:val="nil"/>
            </w:tcBorders>
          </w:tcPr>
          <w:p w14:paraId="68EBA99C" w14:textId="060221C2" w:rsidR="00603549" w:rsidRPr="00930A41" w:rsidRDefault="00603549" w:rsidP="00F426E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509</w:t>
            </w:r>
          </w:p>
        </w:tc>
        <w:tc>
          <w:tcPr>
            <w:tcW w:w="1200" w:type="dxa"/>
            <w:tcBorders>
              <w:right w:val="nil"/>
            </w:tcBorders>
          </w:tcPr>
          <w:p w14:paraId="33D6C221" w14:textId="16750891" w:rsidR="00603549" w:rsidRPr="00930A41" w:rsidRDefault="00603549" w:rsidP="00F426E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73,1</w:t>
            </w:r>
          </w:p>
        </w:tc>
      </w:tr>
      <w:tr w:rsidR="00603549" w:rsidRPr="009A4851" w14:paraId="67CD548E" w14:textId="77777777" w:rsidTr="00F7319C">
        <w:trPr>
          <w:trHeight w:val="366"/>
        </w:trPr>
        <w:tc>
          <w:tcPr>
            <w:tcW w:w="2268" w:type="dxa"/>
            <w:vAlign w:val="center"/>
          </w:tcPr>
          <w:p w14:paraId="11EB9B38" w14:textId="77777777" w:rsidR="00603549" w:rsidRPr="00930A41" w:rsidRDefault="00603549" w:rsidP="006035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</w:tcPr>
          <w:p w14:paraId="16AE6ED7" w14:textId="383B6DB2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98</w:t>
            </w:r>
          </w:p>
        </w:tc>
        <w:tc>
          <w:tcPr>
            <w:tcW w:w="1134" w:type="dxa"/>
          </w:tcPr>
          <w:p w14:paraId="3CDEEA20" w14:textId="06479BA1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251,3</w:t>
            </w:r>
          </w:p>
        </w:tc>
        <w:tc>
          <w:tcPr>
            <w:tcW w:w="994" w:type="dxa"/>
            <w:tcBorders>
              <w:right w:val="nil"/>
            </w:tcBorders>
          </w:tcPr>
          <w:p w14:paraId="4EC8940F" w14:textId="6DB0876A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153,1</w:t>
            </w:r>
          </w:p>
        </w:tc>
        <w:tc>
          <w:tcPr>
            <w:tcW w:w="1274" w:type="dxa"/>
            <w:tcBorders>
              <w:right w:val="nil"/>
            </w:tcBorders>
          </w:tcPr>
          <w:p w14:paraId="7FE4D365" w14:textId="16E9ADB4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1 454</w:t>
            </w:r>
          </w:p>
        </w:tc>
        <w:tc>
          <w:tcPr>
            <w:tcW w:w="1200" w:type="dxa"/>
            <w:tcBorders>
              <w:right w:val="nil"/>
            </w:tcBorders>
          </w:tcPr>
          <w:p w14:paraId="088EC2A1" w14:textId="13D3866C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227,5</w:t>
            </w:r>
          </w:p>
        </w:tc>
      </w:tr>
      <w:tr w:rsidR="00603549" w:rsidRPr="009A4851" w14:paraId="10BA3CE7" w14:textId="77777777" w:rsidTr="00F7319C">
        <w:trPr>
          <w:trHeight w:val="348"/>
        </w:trPr>
        <w:tc>
          <w:tcPr>
            <w:tcW w:w="2268" w:type="dxa"/>
            <w:vAlign w:val="center"/>
          </w:tcPr>
          <w:p w14:paraId="4B31C305" w14:textId="77777777" w:rsidR="00603549" w:rsidRPr="00930A41" w:rsidRDefault="00603549" w:rsidP="006035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</w:tcPr>
          <w:p w14:paraId="4F13852F" w14:textId="311C770B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109</w:t>
            </w:r>
          </w:p>
        </w:tc>
        <w:tc>
          <w:tcPr>
            <w:tcW w:w="1134" w:type="dxa"/>
          </w:tcPr>
          <w:p w14:paraId="3AE94B45" w14:textId="610A7E33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.</w:t>
            </w:r>
          </w:p>
        </w:tc>
        <w:tc>
          <w:tcPr>
            <w:tcW w:w="994" w:type="dxa"/>
            <w:tcBorders>
              <w:right w:val="nil"/>
            </w:tcBorders>
          </w:tcPr>
          <w:p w14:paraId="22F95ED3" w14:textId="6704B87D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242,2</w:t>
            </w:r>
          </w:p>
        </w:tc>
        <w:tc>
          <w:tcPr>
            <w:tcW w:w="1274" w:type="dxa"/>
            <w:tcBorders>
              <w:right w:val="nil"/>
            </w:tcBorders>
          </w:tcPr>
          <w:p w14:paraId="53B78670" w14:textId="70741147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1 131</w:t>
            </w:r>
          </w:p>
        </w:tc>
        <w:tc>
          <w:tcPr>
            <w:tcW w:w="1200" w:type="dxa"/>
            <w:tcBorders>
              <w:right w:val="nil"/>
            </w:tcBorders>
          </w:tcPr>
          <w:p w14:paraId="42AD62F6" w14:textId="7217D497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110,2</w:t>
            </w:r>
          </w:p>
        </w:tc>
      </w:tr>
      <w:tr w:rsidR="00603549" w:rsidRPr="009A4851" w14:paraId="5A330376" w14:textId="77777777" w:rsidTr="00F7319C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3BF32F9" w14:textId="77777777" w:rsidR="00603549" w:rsidRPr="00930A41" w:rsidRDefault="00603549" w:rsidP="006035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</w:tcPr>
          <w:p w14:paraId="6913581D" w14:textId="705A6E1D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</w:tcPr>
          <w:p w14:paraId="262852B0" w14:textId="728B8D64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.</w:t>
            </w:r>
          </w:p>
        </w:tc>
        <w:tc>
          <w:tcPr>
            <w:tcW w:w="994" w:type="dxa"/>
            <w:tcBorders>
              <w:bottom w:val="single" w:sz="4" w:space="0" w:color="212492"/>
              <w:right w:val="nil"/>
            </w:tcBorders>
          </w:tcPr>
          <w:p w14:paraId="73F8F0F7" w14:textId="51C8E1E8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.</w:t>
            </w:r>
          </w:p>
        </w:tc>
        <w:tc>
          <w:tcPr>
            <w:tcW w:w="1274" w:type="dxa"/>
            <w:tcBorders>
              <w:bottom w:val="single" w:sz="4" w:space="0" w:color="212492"/>
              <w:right w:val="nil"/>
            </w:tcBorders>
          </w:tcPr>
          <w:p w14:paraId="30413B6D" w14:textId="1B682953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</w:tcPr>
          <w:p w14:paraId="51919CA3" w14:textId="215105C9" w:rsidR="00603549" w:rsidRPr="00930A41" w:rsidRDefault="00BD2901" w:rsidP="00F426E9">
            <w:pPr>
              <w:spacing w:before="0"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almost 22-fold less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E55DC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656C531C" w:rsidR="00095A18" w:rsidRPr="004829B9" w:rsidRDefault="002034A6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From the begging of the year till the end of </w:t>
      </w:r>
      <w:r w:rsidR="00EC74D0">
        <w:rPr>
          <w:b w:val="0"/>
          <w:sz w:val="19"/>
          <w:szCs w:val="19"/>
          <w:shd w:val="clear" w:color="auto" w:fill="FFFFFF"/>
          <w:lang w:val="en-GB"/>
        </w:rPr>
        <w:t>August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 xml:space="preserve"> 2022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EC74D0">
        <w:rPr>
          <w:b w:val="0"/>
          <w:sz w:val="19"/>
          <w:szCs w:val="19"/>
          <w:shd w:val="clear" w:color="auto" w:fill="FFFFFF"/>
          <w:lang w:val="en-GB"/>
        </w:rPr>
        <w:t>148.9</w:t>
      </w:r>
      <w:r w:rsidR="004A3A9A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EC74D0">
        <w:rPr>
          <w:b w:val="0"/>
          <w:sz w:val="19"/>
          <w:szCs w:val="19"/>
          <w:shd w:val="clear" w:color="auto" w:fill="FFFFFF"/>
          <w:lang w:val="en-GB"/>
        </w:rPr>
        <w:t>, i.e. by 23.4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EC74D0">
        <w:rPr>
          <w:b w:val="0"/>
          <w:sz w:val="19"/>
          <w:szCs w:val="19"/>
          <w:shd w:val="clear" w:color="auto" w:fill="FFFFFF"/>
          <w:lang w:val="en-GB"/>
        </w:rPr>
        <w:t>85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EC74D0">
        <w:rPr>
          <w:b w:val="0"/>
          <w:sz w:val="19"/>
          <w:szCs w:val="19"/>
          <w:shd w:val="clear" w:color="auto" w:fill="FFFFFF"/>
          <w:lang w:val="en-GB"/>
        </w:rPr>
        <w:t>1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EC74D0">
        <w:rPr>
          <w:b w:val="0"/>
          <w:sz w:val="19"/>
          <w:szCs w:val="19"/>
          <w:shd w:val="clear" w:color="auto" w:fill="FFFFFF"/>
          <w:lang w:val="en-GB"/>
        </w:rPr>
        <w:t>27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EC74D0">
        <w:rPr>
          <w:b w:val="0"/>
          <w:sz w:val="19"/>
          <w:szCs w:val="19"/>
          <w:shd w:val="clear" w:color="auto" w:fill="FFFFFF"/>
          <w:lang w:val="en-GB"/>
        </w:rPr>
        <w:t>0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8857DD">
        <w:rPr>
          <w:b w:val="0"/>
          <w:sz w:val="19"/>
          <w:szCs w:val="19"/>
          <w:shd w:val="clear" w:color="auto" w:fill="FFFFFF"/>
          <w:lang w:val="en-GB"/>
        </w:rPr>
        <w:t xml:space="preserve">investors of </w:t>
      </w:r>
      <w:r w:rsidR="00EC74D0">
        <w:rPr>
          <w:b w:val="0"/>
          <w:sz w:val="19"/>
          <w:szCs w:val="19"/>
          <w:shd w:val="clear" w:color="auto" w:fill="FFFFFF"/>
          <w:lang w:val="en-GB"/>
        </w:rPr>
        <w:t>61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EC74D0">
        <w:rPr>
          <w:b w:val="0"/>
          <w:sz w:val="19"/>
          <w:szCs w:val="19"/>
          <w:shd w:val="clear" w:color="auto" w:fill="FFFFFF"/>
          <w:lang w:val="en-GB"/>
        </w:rPr>
        <w:t>4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C74D0">
        <w:rPr>
          <w:b w:val="0"/>
          <w:sz w:val="19"/>
          <w:szCs w:val="19"/>
          <w:shd w:val="clear" w:color="auto" w:fill="FFFFFF"/>
          <w:lang w:val="en-GB"/>
        </w:rPr>
        <w:t>(by 17.4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4AA8" w:rsidRPr="00050CDE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 w:rsidRPr="00050CDE">
        <w:rPr>
          <w:b w:val="0"/>
          <w:sz w:val="19"/>
          <w:szCs w:val="19"/>
          <w:shd w:val="clear" w:color="auto" w:fill="FFFFFF"/>
          <w:lang w:val="en-GB"/>
        </w:rPr>
        <w:t>.</w:t>
      </w:r>
      <w:r w:rsidR="00EC74D0">
        <w:rPr>
          <w:b w:val="0"/>
          <w:sz w:val="19"/>
          <w:szCs w:val="19"/>
          <w:shd w:val="clear" w:color="auto" w:fill="FFFFFF"/>
          <w:lang w:val="en-GB"/>
        </w:rPr>
        <w:t>4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B11C46">
        <w:rPr>
          <w:b w:val="0"/>
          <w:sz w:val="19"/>
          <w:szCs w:val="19"/>
          <w:shd w:val="clear" w:color="auto" w:fill="FFFFFF"/>
          <w:lang w:val="en-GB"/>
        </w:rPr>
        <w:t>2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C74D0">
        <w:rPr>
          <w:b w:val="0"/>
          <w:sz w:val="19"/>
          <w:szCs w:val="19"/>
          <w:shd w:val="clear" w:color="auto" w:fill="FFFFFF"/>
          <w:lang w:val="en-GB"/>
        </w:rPr>
        <w:t>334</w:t>
      </w:r>
      <w:r w:rsidR="003B4D4B" w:rsidRPr="003B4D4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B11C46">
        <w:rPr>
          <w:b w:val="0"/>
          <w:sz w:val="19"/>
          <w:szCs w:val="19"/>
          <w:shd w:val="clear" w:color="auto" w:fill="FFFFFF"/>
          <w:lang w:val="en-GB"/>
        </w:rPr>
        <w:t>3</w:t>
      </w:r>
      <w:r w:rsidR="001C4A4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C74D0">
        <w:rPr>
          <w:b w:val="0"/>
          <w:sz w:val="19"/>
          <w:szCs w:val="19"/>
          <w:shd w:val="clear" w:color="auto" w:fill="FFFFFF"/>
          <w:lang w:val="en-GB"/>
        </w:rPr>
        <w:t>305</w:t>
      </w:r>
      <w:r w:rsidR="00BB44BD" w:rsidRPr="00BB44B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Default="00B4601E" w:rsidP="007207E6">
      <w:pPr>
        <w:pStyle w:val="tytuwykresu"/>
        <w:rPr>
          <w:bCs/>
          <w:sz w:val="19"/>
          <w:szCs w:val="19"/>
          <w:shd w:val="clear" w:color="auto" w:fill="FFFFFF"/>
          <w:lang w:val="en-GB"/>
        </w:rPr>
      </w:pPr>
      <w:r w:rsidRPr="007E02D8">
        <w:rPr>
          <w:bCs/>
          <w:sz w:val="19"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134"/>
        <w:gridCol w:w="993"/>
        <w:gridCol w:w="1135"/>
        <w:gridCol w:w="1274"/>
        <w:gridCol w:w="1200"/>
      </w:tblGrid>
      <w:tr w:rsidR="00603549" w:rsidRPr="009A4851" w14:paraId="34F47625" w14:textId="77777777" w:rsidTr="0048731D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45A0477" w14:textId="77777777" w:rsidR="00603549" w:rsidRPr="00D860E0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2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C6A1AC1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47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D912991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01-08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03549" w:rsidRPr="009A4851" w14:paraId="57BC7BB1" w14:textId="77777777" w:rsidTr="0048731D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1653472" w14:textId="77777777" w:rsidR="00603549" w:rsidRPr="00D860E0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9CC6F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144A20E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08 </w:t>
            </w:r>
            <w:r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5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109C3DB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07 </w:t>
            </w:r>
            <w:r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27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EABA16B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95C5F30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01-08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603549" w:rsidRPr="009A4851" w14:paraId="0E4114AC" w14:textId="77777777" w:rsidTr="0048731D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74E22B89" w14:textId="77777777" w:rsidR="00603549" w:rsidRPr="00930A41" w:rsidRDefault="00603549" w:rsidP="0060354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930A41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</w:tcPr>
          <w:p w14:paraId="23AD18BD" w14:textId="2524507F" w:rsidR="00603549" w:rsidRPr="00930A41" w:rsidRDefault="00603549" w:rsidP="00603549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930A41">
              <w:rPr>
                <w:b/>
                <w:sz w:val="15"/>
                <w:szCs w:val="15"/>
              </w:rPr>
              <w:t>12 913</w:t>
            </w:r>
          </w:p>
        </w:tc>
        <w:tc>
          <w:tcPr>
            <w:tcW w:w="993" w:type="dxa"/>
            <w:tcBorders>
              <w:top w:val="single" w:sz="12" w:space="0" w:color="212492"/>
            </w:tcBorders>
          </w:tcPr>
          <w:p w14:paraId="429AC8C7" w14:textId="0E8A09CE" w:rsidR="00603549" w:rsidRPr="00930A41" w:rsidRDefault="00603549" w:rsidP="00603549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930A41">
              <w:rPr>
                <w:b/>
                <w:sz w:val="15"/>
                <w:szCs w:val="15"/>
              </w:rPr>
              <w:t>53,9</w:t>
            </w:r>
          </w:p>
        </w:tc>
        <w:tc>
          <w:tcPr>
            <w:tcW w:w="1135" w:type="dxa"/>
            <w:tcBorders>
              <w:top w:val="single" w:sz="12" w:space="0" w:color="212492"/>
              <w:right w:val="nil"/>
            </w:tcBorders>
          </w:tcPr>
          <w:p w14:paraId="47154406" w14:textId="7097B8C6" w:rsidR="00603549" w:rsidRPr="00930A41" w:rsidRDefault="00603549" w:rsidP="00603549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930A41">
              <w:rPr>
                <w:b/>
                <w:sz w:val="15"/>
                <w:szCs w:val="15"/>
              </w:rPr>
              <w:t>79,3</w:t>
            </w:r>
          </w:p>
        </w:tc>
        <w:tc>
          <w:tcPr>
            <w:tcW w:w="1274" w:type="dxa"/>
            <w:tcBorders>
              <w:top w:val="single" w:sz="12" w:space="0" w:color="212492"/>
              <w:right w:val="nil"/>
            </w:tcBorders>
          </w:tcPr>
          <w:p w14:paraId="15DF69D5" w14:textId="1629489E" w:rsidR="00603549" w:rsidRPr="00930A41" w:rsidRDefault="00603549" w:rsidP="00603549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930A41">
              <w:rPr>
                <w:b/>
                <w:sz w:val="15"/>
                <w:szCs w:val="15"/>
              </w:rPr>
              <w:t>148 897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</w:tcPr>
          <w:p w14:paraId="36EBC714" w14:textId="6E25EAFA" w:rsidR="00603549" w:rsidRPr="00930A41" w:rsidRDefault="00603549" w:rsidP="00603549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930A41">
              <w:rPr>
                <w:b/>
                <w:sz w:val="15"/>
                <w:szCs w:val="15"/>
              </w:rPr>
              <w:t>76,6</w:t>
            </w:r>
          </w:p>
        </w:tc>
      </w:tr>
      <w:tr w:rsidR="00603549" w:rsidRPr="009A4851" w14:paraId="1FF029D5" w14:textId="77777777" w:rsidTr="0048731D">
        <w:trPr>
          <w:trHeight w:val="54"/>
        </w:trPr>
        <w:tc>
          <w:tcPr>
            <w:tcW w:w="2268" w:type="dxa"/>
            <w:vAlign w:val="center"/>
          </w:tcPr>
          <w:p w14:paraId="71C2CC1E" w14:textId="77777777" w:rsidR="00603549" w:rsidRPr="00930A41" w:rsidRDefault="00603549" w:rsidP="006035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</w:tcPr>
          <w:p w14:paraId="591D9F98" w14:textId="54A3F056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7 472</w:t>
            </w:r>
          </w:p>
        </w:tc>
        <w:tc>
          <w:tcPr>
            <w:tcW w:w="993" w:type="dxa"/>
          </w:tcPr>
          <w:p w14:paraId="60807E6E" w14:textId="7AD5B2C9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77,3</w:t>
            </w:r>
          </w:p>
        </w:tc>
        <w:tc>
          <w:tcPr>
            <w:tcW w:w="1135" w:type="dxa"/>
            <w:tcBorders>
              <w:right w:val="nil"/>
            </w:tcBorders>
          </w:tcPr>
          <w:p w14:paraId="3C7F3799" w14:textId="00AD428E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98,7</w:t>
            </w:r>
          </w:p>
        </w:tc>
        <w:tc>
          <w:tcPr>
            <w:tcW w:w="1274" w:type="dxa"/>
            <w:tcBorders>
              <w:right w:val="nil"/>
            </w:tcBorders>
          </w:tcPr>
          <w:p w14:paraId="7784C929" w14:textId="7927E929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61 443</w:t>
            </w:r>
          </w:p>
        </w:tc>
        <w:tc>
          <w:tcPr>
            <w:tcW w:w="1200" w:type="dxa"/>
            <w:tcBorders>
              <w:right w:val="nil"/>
            </w:tcBorders>
          </w:tcPr>
          <w:p w14:paraId="3C262F44" w14:textId="09518FD4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82,6</w:t>
            </w:r>
          </w:p>
        </w:tc>
      </w:tr>
      <w:tr w:rsidR="00603549" w:rsidRPr="009A4851" w14:paraId="304B4633" w14:textId="77777777" w:rsidTr="0048731D">
        <w:trPr>
          <w:trHeight w:val="348"/>
        </w:trPr>
        <w:tc>
          <w:tcPr>
            <w:tcW w:w="2268" w:type="dxa"/>
            <w:vAlign w:val="center"/>
          </w:tcPr>
          <w:p w14:paraId="5B8199F5" w14:textId="77777777" w:rsidR="00603549" w:rsidRPr="00930A41" w:rsidRDefault="00603549" w:rsidP="006035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</w:tcPr>
          <w:p w14:paraId="15FC3415" w14:textId="519B9918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5 198</w:t>
            </w:r>
          </w:p>
        </w:tc>
        <w:tc>
          <w:tcPr>
            <w:tcW w:w="993" w:type="dxa"/>
          </w:tcPr>
          <w:p w14:paraId="0766C893" w14:textId="61B8020B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37,0</w:t>
            </w:r>
          </w:p>
        </w:tc>
        <w:tc>
          <w:tcPr>
            <w:tcW w:w="1135" w:type="dxa"/>
            <w:tcBorders>
              <w:right w:val="nil"/>
            </w:tcBorders>
          </w:tcPr>
          <w:p w14:paraId="0D2952B2" w14:textId="2FF9692B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62,2</w:t>
            </w:r>
          </w:p>
        </w:tc>
        <w:tc>
          <w:tcPr>
            <w:tcW w:w="1274" w:type="dxa"/>
            <w:tcBorders>
              <w:right w:val="nil"/>
            </w:tcBorders>
          </w:tcPr>
          <w:p w14:paraId="05563F59" w14:textId="35F7FD2D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85 120</w:t>
            </w:r>
          </w:p>
        </w:tc>
        <w:tc>
          <w:tcPr>
            <w:tcW w:w="1200" w:type="dxa"/>
            <w:tcBorders>
              <w:right w:val="nil"/>
            </w:tcBorders>
          </w:tcPr>
          <w:p w14:paraId="58C8F426" w14:textId="4F57140E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73,0</w:t>
            </w:r>
          </w:p>
        </w:tc>
      </w:tr>
      <w:tr w:rsidR="00603549" w:rsidRPr="009A4851" w14:paraId="04BD52CD" w14:textId="77777777" w:rsidTr="0048731D">
        <w:trPr>
          <w:trHeight w:val="489"/>
        </w:trPr>
        <w:tc>
          <w:tcPr>
            <w:tcW w:w="2268" w:type="dxa"/>
            <w:vAlign w:val="center"/>
          </w:tcPr>
          <w:p w14:paraId="52D0D7AF" w14:textId="77777777" w:rsidR="00603549" w:rsidRPr="00930A41" w:rsidRDefault="00603549" w:rsidP="00F426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vertAlign w:val="superscript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</w:tcPr>
          <w:p w14:paraId="30EF4784" w14:textId="7CD6F738" w:rsidR="00603549" w:rsidRPr="00930A41" w:rsidRDefault="00603549" w:rsidP="00F426E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7</w:t>
            </w:r>
          </w:p>
        </w:tc>
        <w:tc>
          <w:tcPr>
            <w:tcW w:w="993" w:type="dxa"/>
          </w:tcPr>
          <w:p w14:paraId="66975EDA" w14:textId="5E45826D" w:rsidR="00603549" w:rsidRPr="00930A41" w:rsidRDefault="00BD2901" w:rsidP="00F426E9">
            <w:pPr>
              <w:spacing w:before="0"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almost 30-fold less</w:t>
            </w:r>
          </w:p>
        </w:tc>
        <w:tc>
          <w:tcPr>
            <w:tcW w:w="1135" w:type="dxa"/>
            <w:tcBorders>
              <w:right w:val="nil"/>
            </w:tcBorders>
          </w:tcPr>
          <w:p w14:paraId="581ED179" w14:textId="2515C396" w:rsidR="00603549" w:rsidRPr="00930A41" w:rsidRDefault="00BD2901" w:rsidP="00F426E9">
            <w:pPr>
              <w:spacing w:before="0"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almost 19-fold less</w:t>
            </w:r>
          </w:p>
        </w:tc>
        <w:tc>
          <w:tcPr>
            <w:tcW w:w="1274" w:type="dxa"/>
            <w:tcBorders>
              <w:right w:val="nil"/>
            </w:tcBorders>
          </w:tcPr>
          <w:p w14:paraId="3156E799" w14:textId="10E50FC3" w:rsidR="00603549" w:rsidRPr="00930A41" w:rsidRDefault="00603549" w:rsidP="00F426E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361</w:t>
            </w:r>
          </w:p>
        </w:tc>
        <w:tc>
          <w:tcPr>
            <w:tcW w:w="1200" w:type="dxa"/>
            <w:tcBorders>
              <w:right w:val="nil"/>
            </w:tcBorders>
          </w:tcPr>
          <w:p w14:paraId="6DFFADD9" w14:textId="273464B7" w:rsidR="00603549" w:rsidRPr="00930A41" w:rsidRDefault="00603549" w:rsidP="00F426E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43,7</w:t>
            </w:r>
          </w:p>
        </w:tc>
      </w:tr>
      <w:tr w:rsidR="00603549" w:rsidRPr="009A4851" w14:paraId="22E5F8B5" w14:textId="77777777" w:rsidTr="0048731D">
        <w:trPr>
          <w:trHeight w:val="359"/>
        </w:trPr>
        <w:tc>
          <w:tcPr>
            <w:tcW w:w="2268" w:type="dxa"/>
            <w:vAlign w:val="center"/>
          </w:tcPr>
          <w:p w14:paraId="6E1E246A" w14:textId="77777777" w:rsidR="00603549" w:rsidRPr="00930A41" w:rsidRDefault="00603549" w:rsidP="00603549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930A41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</w:tcPr>
          <w:p w14:paraId="1567DB37" w14:textId="202A17E3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16</w:t>
            </w:r>
          </w:p>
        </w:tc>
        <w:tc>
          <w:tcPr>
            <w:tcW w:w="993" w:type="dxa"/>
          </w:tcPr>
          <w:p w14:paraId="4C518540" w14:textId="3FBB25AA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16,8</w:t>
            </w:r>
          </w:p>
        </w:tc>
        <w:tc>
          <w:tcPr>
            <w:tcW w:w="1135" w:type="dxa"/>
            <w:tcBorders>
              <w:right w:val="nil"/>
            </w:tcBorders>
          </w:tcPr>
          <w:p w14:paraId="6E71D1E5" w14:textId="0456F50D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177,8</w:t>
            </w:r>
          </w:p>
        </w:tc>
        <w:tc>
          <w:tcPr>
            <w:tcW w:w="1274" w:type="dxa"/>
            <w:tcBorders>
              <w:right w:val="nil"/>
            </w:tcBorders>
          </w:tcPr>
          <w:p w14:paraId="1F8E42BE" w14:textId="43335901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584</w:t>
            </w:r>
          </w:p>
        </w:tc>
        <w:tc>
          <w:tcPr>
            <w:tcW w:w="1200" w:type="dxa"/>
            <w:tcBorders>
              <w:right w:val="nil"/>
            </w:tcBorders>
          </w:tcPr>
          <w:p w14:paraId="2FA332F0" w14:textId="7FAE6BAA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40,8</w:t>
            </w:r>
          </w:p>
        </w:tc>
      </w:tr>
      <w:tr w:rsidR="00603549" w:rsidRPr="009A4851" w14:paraId="4820AC1A" w14:textId="77777777" w:rsidTr="0048731D">
        <w:trPr>
          <w:trHeight w:val="366"/>
        </w:trPr>
        <w:tc>
          <w:tcPr>
            <w:tcW w:w="2268" w:type="dxa"/>
            <w:vAlign w:val="center"/>
          </w:tcPr>
          <w:p w14:paraId="6B82F139" w14:textId="77777777" w:rsidR="00603549" w:rsidRPr="00930A41" w:rsidRDefault="00603549" w:rsidP="006035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</w:tcPr>
          <w:p w14:paraId="196CFDC3" w14:textId="679C963F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175</w:t>
            </w:r>
          </w:p>
        </w:tc>
        <w:tc>
          <w:tcPr>
            <w:tcW w:w="993" w:type="dxa"/>
          </w:tcPr>
          <w:p w14:paraId="054FE49B" w14:textId="77D6B0EC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135,7</w:t>
            </w:r>
          </w:p>
        </w:tc>
        <w:tc>
          <w:tcPr>
            <w:tcW w:w="1135" w:type="dxa"/>
            <w:tcBorders>
              <w:right w:val="nil"/>
            </w:tcBorders>
          </w:tcPr>
          <w:p w14:paraId="6501BBB7" w14:textId="046867BA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221,5</w:t>
            </w:r>
          </w:p>
        </w:tc>
        <w:tc>
          <w:tcPr>
            <w:tcW w:w="1274" w:type="dxa"/>
            <w:tcBorders>
              <w:right w:val="nil"/>
            </w:tcBorders>
          </w:tcPr>
          <w:p w14:paraId="0E8B382C" w14:textId="6E552EC3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780</w:t>
            </w:r>
          </w:p>
        </w:tc>
        <w:tc>
          <w:tcPr>
            <w:tcW w:w="1200" w:type="dxa"/>
            <w:tcBorders>
              <w:right w:val="nil"/>
            </w:tcBorders>
          </w:tcPr>
          <w:p w14:paraId="0DF6978D" w14:textId="061B9DAD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128,9</w:t>
            </w:r>
          </w:p>
        </w:tc>
      </w:tr>
      <w:tr w:rsidR="00603549" w:rsidRPr="009A4851" w14:paraId="347BB134" w14:textId="77777777" w:rsidTr="0048731D">
        <w:trPr>
          <w:trHeight w:val="348"/>
        </w:trPr>
        <w:tc>
          <w:tcPr>
            <w:tcW w:w="2268" w:type="dxa"/>
            <w:vAlign w:val="center"/>
          </w:tcPr>
          <w:p w14:paraId="28773DE9" w14:textId="77777777" w:rsidR="00603549" w:rsidRPr="00930A41" w:rsidRDefault="00603549" w:rsidP="006035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</w:tcPr>
          <w:p w14:paraId="018ECCAB" w14:textId="22E716F9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24</w:t>
            </w:r>
          </w:p>
        </w:tc>
        <w:tc>
          <w:tcPr>
            <w:tcW w:w="993" w:type="dxa"/>
          </w:tcPr>
          <w:p w14:paraId="5E4E785D" w14:textId="11613E51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45,3</w:t>
            </w:r>
          </w:p>
        </w:tc>
        <w:tc>
          <w:tcPr>
            <w:tcW w:w="1135" w:type="dxa"/>
            <w:tcBorders>
              <w:right w:val="nil"/>
            </w:tcBorders>
          </w:tcPr>
          <w:p w14:paraId="036C6321" w14:textId="60A20F8A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10,2</w:t>
            </w:r>
          </w:p>
        </w:tc>
        <w:tc>
          <w:tcPr>
            <w:tcW w:w="1274" w:type="dxa"/>
            <w:tcBorders>
              <w:right w:val="nil"/>
            </w:tcBorders>
          </w:tcPr>
          <w:p w14:paraId="702391AC" w14:textId="0F87DAA7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887</w:t>
            </w:r>
          </w:p>
        </w:tc>
        <w:tc>
          <w:tcPr>
            <w:tcW w:w="1200" w:type="dxa"/>
            <w:tcBorders>
              <w:right w:val="nil"/>
            </w:tcBorders>
          </w:tcPr>
          <w:p w14:paraId="1F986587" w14:textId="043F54ED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80,9</w:t>
            </w:r>
          </w:p>
        </w:tc>
      </w:tr>
      <w:tr w:rsidR="00603549" w:rsidRPr="009A4851" w14:paraId="104777EA" w14:textId="77777777" w:rsidTr="0048731D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49E479" w14:textId="77777777" w:rsidR="00603549" w:rsidRPr="00930A41" w:rsidRDefault="00603549" w:rsidP="006035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</w:tcPr>
          <w:p w14:paraId="15CE9B80" w14:textId="587E5CD6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28</w:t>
            </w:r>
          </w:p>
        </w:tc>
        <w:tc>
          <w:tcPr>
            <w:tcW w:w="993" w:type="dxa"/>
            <w:tcBorders>
              <w:bottom w:val="single" w:sz="4" w:space="0" w:color="212492"/>
            </w:tcBorders>
          </w:tcPr>
          <w:p w14:paraId="3230310D" w14:textId="560787DC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.</w:t>
            </w:r>
          </w:p>
        </w:tc>
        <w:tc>
          <w:tcPr>
            <w:tcW w:w="1135" w:type="dxa"/>
            <w:tcBorders>
              <w:bottom w:val="single" w:sz="4" w:space="0" w:color="212492"/>
              <w:right w:val="nil"/>
            </w:tcBorders>
          </w:tcPr>
          <w:p w14:paraId="7DD6985C" w14:textId="28E2AFCA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121,7</w:t>
            </w:r>
          </w:p>
        </w:tc>
        <w:tc>
          <w:tcPr>
            <w:tcW w:w="1274" w:type="dxa"/>
            <w:tcBorders>
              <w:bottom w:val="single" w:sz="4" w:space="0" w:color="212492"/>
              <w:right w:val="nil"/>
            </w:tcBorders>
          </w:tcPr>
          <w:p w14:paraId="2C9FFD0E" w14:textId="34164397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83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</w:tcPr>
          <w:p w14:paraId="10BBD0D7" w14:textId="64D31BFD" w:rsidR="00603549" w:rsidRPr="00930A41" w:rsidRDefault="00603549" w:rsidP="00603549">
            <w:pPr>
              <w:spacing w:after="0"/>
              <w:jc w:val="right"/>
              <w:rPr>
                <w:sz w:val="15"/>
                <w:szCs w:val="15"/>
              </w:rPr>
            </w:pPr>
            <w:r w:rsidRPr="00930A41">
              <w:rPr>
                <w:sz w:val="15"/>
                <w:szCs w:val="15"/>
              </w:rPr>
              <w:t>48,5</w:t>
            </w:r>
          </w:p>
        </w:tc>
      </w:tr>
    </w:tbl>
    <w:p w14:paraId="34D75009" w14:textId="395B5999" w:rsidR="00154AC9" w:rsidRPr="00B11C46" w:rsidRDefault="005D23AA" w:rsidP="00B11C46">
      <w:pPr>
        <w:spacing w:before="0"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="008B64BD" w:rsidRPr="004829B9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EC74D0">
        <w:rPr>
          <w:szCs w:val="19"/>
          <w:shd w:val="clear" w:color="auto" w:fill="FFFFFF"/>
          <w:lang w:val="en-GB"/>
        </w:rPr>
        <w:t>August</w:t>
      </w:r>
      <w:r w:rsidR="003969D1">
        <w:rPr>
          <w:szCs w:val="19"/>
          <w:shd w:val="clear" w:color="auto" w:fill="FFFFFF"/>
          <w:lang w:val="en-GB"/>
        </w:rPr>
        <w:t xml:space="preserve"> 2022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="00EC74D0">
        <w:rPr>
          <w:szCs w:val="19"/>
          <w:shd w:val="clear" w:color="auto" w:fill="FFFFFF"/>
          <w:lang w:val="en-GB"/>
        </w:rPr>
        <w:t>874</w:t>
      </w:r>
      <w:r w:rsidR="00D93EA6">
        <w:rPr>
          <w:szCs w:val="19"/>
          <w:shd w:val="clear" w:color="auto" w:fill="FFFFFF"/>
          <w:lang w:val="en-GB"/>
        </w:rPr>
        <w:t>.</w:t>
      </w:r>
      <w:r w:rsidR="00EC74D0">
        <w:rPr>
          <w:szCs w:val="19"/>
          <w:shd w:val="clear" w:color="auto" w:fill="FFFFFF"/>
          <w:lang w:val="en-GB"/>
        </w:rPr>
        <w:t>7</w:t>
      </w:r>
      <w:r w:rsidR="00D93EA6" w:rsidRP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EC74D0">
        <w:rPr>
          <w:szCs w:val="19"/>
          <w:shd w:val="clear" w:color="auto" w:fill="FFFFFF"/>
          <w:lang w:val="en-GB"/>
        </w:rPr>
        <w:t>0.6</w:t>
      </w:r>
      <w:r w:rsidRPr="004829B9">
        <w:rPr>
          <w:szCs w:val="19"/>
          <w:shd w:val="clear" w:color="auto" w:fill="FFFFFF"/>
          <w:lang w:val="en-GB"/>
        </w:rPr>
        <w:t xml:space="preserve">% </w:t>
      </w:r>
      <w:r w:rsidR="00EC74D0">
        <w:rPr>
          <w:szCs w:val="19"/>
          <w:shd w:val="clear" w:color="auto" w:fill="FFFFFF"/>
          <w:lang w:val="en-GB"/>
        </w:rPr>
        <w:t>less</w:t>
      </w:r>
      <w:r w:rsidRPr="004829B9">
        <w:rPr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332CA8">
        <w:rPr>
          <w:szCs w:val="19"/>
          <w:shd w:val="clear" w:color="auto" w:fill="FFFFFF"/>
          <w:lang w:val="en-GB"/>
        </w:rPr>
        <w:t>period</w:t>
      </w:r>
      <w:r w:rsidR="003969D1">
        <w:rPr>
          <w:szCs w:val="19"/>
          <w:shd w:val="clear" w:color="auto" w:fill="FFFFFF"/>
          <w:lang w:val="en-GB"/>
        </w:rPr>
        <w:t xml:space="preserve"> of 2021</w:t>
      </w:r>
      <w:r w:rsidR="00AA22EE" w:rsidRPr="004829B9">
        <w:rPr>
          <w:szCs w:val="19"/>
          <w:shd w:val="clear" w:color="auto" w:fill="FFFFFF"/>
          <w:lang w:val="en-GB"/>
        </w:rPr>
        <w:t>.</w:t>
      </w:r>
    </w:p>
    <w:p w14:paraId="2E8A539A" w14:textId="7719D47F" w:rsidR="007207E6" w:rsidRDefault="00AD1492" w:rsidP="007E02D8">
      <w:pPr>
        <w:pStyle w:val="tytuwykresu"/>
        <w:spacing w:before="240"/>
        <w:rPr>
          <w:szCs w:val="18"/>
          <w:lang w:val="en-GB"/>
        </w:rPr>
      </w:pPr>
      <w:r w:rsidRPr="009038EF">
        <w:rPr>
          <w:szCs w:val="18"/>
          <w:lang w:val="en-GB"/>
        </w:rPr>
        <w:t>Chart 1.</w:t>
      </w:r>
      <w:r w:rsidRPr="007E02D8">
        <w:rPr>
          <w:sz w:val="19"/>
          <w:szCs w:val="19"/>
          <w:lang w:val="en-GB"/>
        </w:rPr>
        <w:t xml:space="preserve"> </w:t>
      </w:r>
      <w:r w:rsidRPr="009038EF">
        <w:rPr>
          <w:szCs w:val="18"/>
          <w:lang w:val="en-GB"/>
        </w:rPr>
        <w:t xml:space="preserve">Construction activity in the scope of </w:t>
      </w:r>
      <w:r w:rsidR="00256AD9" w:rsidRPr="009038EF">
        <w:rPr>
          <w:szCs w:val="18"/>
          <w:lang w:val="en-GB"/>
        </w:rPr>
        <w:t>residential construction</w:t>
      </w:r>
      <w:r w:rsidR="005D23AA" w:rsidRPr="009038EF">
        <w:rPr>
          <w:szCs w:val="18"/>
          <w:lang w:val="en-GB"/>
        </w:rPr>
        <w:t xml:space="preserve"> in Poland</w:t>
      </w:r>
    </w:p>
    <w:p w14:paraId="07DDCEC0" w14:textId="7A845FAA" w:rsidR="00F37978" w:rsidRPr="00D860E0" w:rsidRDefault="006D53F2" w:rsidP="003A600F">
      <w:pPr>
        <w:pStyle w:val="Nagwek1"/>
        <w:rPr>
          <w:noProof/>
          <w:lang w:val="en-GB"/>
        </w:rPr>
      </w:pPr>
      <w:r w:rsidRPr="006D53F2">
        <w:rPr>
          <w:noProof/>
        </w:rPr>
        <w:drawing>
          <wp:inline distT="0" distB="0" distL="0" distR="0" wp14:anchorId="43570727" wp14:editId="160449B3">
            <wp:extent cx="5082639" cy="2298700"/>
            <wp:effectExtent l="0" t="0" r="3810" b="6350"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8, 2019, 2020,2021 an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4088" cy="22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F3F" w:rsidRPr="00C539C6">
        <w:rPr>
          <w:lang w:val="en-GB"/>
        </w:rPr>
        <w:t xml:space="preserve"> </w:t>
      </w:r>
      <w:r w:rsidR="00CA6109"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20AC92C8">
                <wp:simplePos x="0" y="0"/>
                <wp:positionH relativeFrom="page">
                  <wp:posOffset>5695315</wp:posOffset>
                </wp:positionH>
                <wp:positionV relativeFrom="paragraph">
                  <wp:posOffset>85090</wp:posOffset>
                </wp:positionV>
                <wp:extent cx="1819275" cy="2305050"/>
                <wp:effectExtent l="0" t="0" r="0" b="0"/>
                <wp:wrapSquare wrapText="bothSides"/>
                <wp:docPr id="9" name="Pole tekstowe 2" descr="In August, compared to July 2022, the number of dwellings completed increased (by 4.8%), whereas the number of dwellings for which permits have been granted or which have been registered with a construction project decreased (by 2.1%) as well as the number of dwellings in which construction has begun (by 20.7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1D0EB1FD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EC74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EC74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July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</w:t>
                            </w:r>
                            <w:r w:rsidR="00EC74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</w:t>
                            </w:r>
                            <w:r w:rsidR="00A97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</w:t>
                            </w:r>
                            <w:r w:rsidR="004347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reased </w:t>
                            </w:r>
                            <w:r w:rsidR="00EC74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4.8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736F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number of dwellings for which permits have been granted or which have been registered with a construction </w:t>
                            </w:r>
                            <w:r w:rsidR="009F4CF9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project</w:t>
                            </w:r>
                            <w:r w:rsidR="00736F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decreased</w:t>
                            </w:r>
                            <w:r w:rsidR="009F4CF9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736F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2.1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36F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has begun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736F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20.7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0" type="#_x0000_t202" alt="In August, compared to July 2022, the number of dwellings completed increased (by 4.8%), whereas the number of dwellings for which permits have been granted or which have been registered with a construction project decreased (by 2.1%) as well as the number of dwellings in which construction has begun (by 20.7%)" style="position:absolute;margin-left:448.45pt;margin-top:6.7pt;width:143.25pt;height:18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" filled="f" stroked="f">
                <v:textbox>
                  <w:txbxContent>
                    <w:p w14:paraId="58FBF1C9" w14:textId="1D0EB1FD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EC74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EC74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July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</w:t>
                      </w:r>
                      <w:r w:rsidR="00EC74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</w:t>
                      </w:r>
                      <w:r w:rsidR="00A97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</w:t>
                      </w:r>
                      <w:r w:rsidR="004347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reased </w:t>
                      </w:r>
                      <w:r w:rsidR="00EC74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4.8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736F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number of dwellings for which permits have been granted or which have been registered with a construction </w:t>
                      </w:r>
                      <w:r w:rsidR="009F4CF9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project</w:t>
                      </w:r>
                      <w:r w:rsidR="00736F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decreased</w:t>
                      </w:r>
                      <w:r w:rsidR="009F4CF9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736F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2.1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36F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has begun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736F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20.7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B2C5EA1" w14:textId="4B95718E" w:rsidR="00CB6084" w:rsidRPr="004829B9" w:rsidRDefault="005702F8" w:rsidP="00CB6084">
      <w:pPr>
        <w:rPr>
          <w:szCs w:val="19"/>
          <w:shd w:val="clear" w:color="auto" w:fill="FFFFFF"/>
          <w:lang w:val="en-GB"/>
        </w:rPr>
      </w:pPr>
      <w:r w:rsidRPr="005702F8">
        <w:rPr>
          <w:szCs w:val="19"/>
          <w:shd w:val="clear" w:color="auto" w:fill="FFFFFF"/>
          <w:lang w:val="en-GB"/>
        </w:rPr>
        <w:t xml:space="preserve">In </w:t>
      </w:r>
      <w:r w:rsidR="00182585">
        <w:rPr>
          <w:szCs w:val="19"/>
          <w:shd w:val="clear" w:color="auto" w:fill="FFFFFF"/>
          <w:lang w:val="en-GB"/>
        </w:rPr>
        <w:t xml:space="preserve">the </w:t>
      </w:r>
      <w:r w:rsidR="005C20C8">
        <w:rPr>
          <w:szCs w:val="19"/>
          <w:shd w:val="clear" w:color="auto" w:fill="FFFFFF"/>
          <w:lang w:val="en-GB"/>
        </w:rPr>
        <w:t>period of January-</w:t>
      </w:r>
      <w:r w:rsidR="00736F3F">
        <w:rPr>
          <w:szCs w:val="19"/>
          <w:shd w:val="clear" w:color="auto" w:fill="FFFFFF"/>
          <w:lang w:val="en-GB"/>
        </w:rPr>
        <w:t>August</w:t>
      </w:r>
      <w:r w:rsidR="005C20C8">
        <w:rPr>
          <w:szCs w:val="19"/>
          <w:shd w:val="clear" w:color="auto" w:fill="FFFFFF"/>
          <w:lang w:val="en-GB"/>
        </w:rPr>
        <w:t xml:space="preserve"> </w:t>
      </w:r>
      <w:r w:rsidR="00D941DB">
        <w:rPr>
          <w:szCs w:val="19"/>
          <w:shd w:val="clear" w:color="auto" w:fill="FFFFFF"/>
          <w:lang w:val="en-GB"/>
        </w:rPr>
        <w:t>2022</w:t>
      </w:r>
      <w:r w:rsidR="00E26291" w:rsidRPr="005702F8"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223182">
        <w:rPr>
          <w:szCs w:val="19"/>
          <w:shd w:val="clear" w:color="auto" w:fill="FFFFFF"/>
          <w:lang w:val="en-GB"/>
        </w:rPr>
        <w:t>in </w:t>
      </w:r>
      <w:r w:rsidR="00700FC6" w:rsidRPr="00700FC6">
        <w:rPr>
          <w:szCs w:val="19"/>
          <w:shd w:val="clear" w:color="auto" w:fill="FFFFFF"/>
          <w:lang w:val="en-GB"/>
        </w:rPr>
        <w:t xml:space="preserve">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</w:t>
      </w:r>
      <w:r w:rsidR="00EF6032" w:rsidRPr="00A4625F">
        <w:rPr>
          <w:szCs w:val="19"/>
          <w:shd w:val="clear" w:color="auto" w:fill="FFFFFF"/>
          <w:lang w:val="en-GB"/>
        </w:rPr>
        <w:t>Mazowieckie</w:t>
      </w:r>
      <w:r w:rsidR="00EF6032" w:rsidRPr="00EF6032">
        <w:rPr>
          <w:szCs w:val="19"/>
          <w:shd w:val="clear" w:color="auto" w:fill="FFFFFF"/>
          <w:lang w:val="en-GB"/>
        </w:rPr>
        <w:t xml:space="preserve">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>respectively</w:t>
      </w:r>
      <w:r w:rsidR="00FF392D">
        <w:rPr>
          <w:szCs w:val="19"/>
          <w:shd w:val="clear" w:color="auto" w:fill="FFFFFF"/>
          <w:lang w:val="en-GB"/>
        </w:rPr>
        <w:t>:</w:t>
      </w:r>
      <w:r w:rsidR="00DD2696">
        <w:rPr>
          <w:szCs w:val="19"/>
          <w:shd w:val="clear" w:color="auto" w:fill="FFFFFF"/>
          <w:lang w:val="en-GB"/>
        </w:rPr>
        <w:t xml:space="preserve"> </w:t>
      </w:r>
      <w:r w:rsidR="00736F3F">
        <w:rPr>
          <w:szCs w:val="19"/>
          <w:shd w:val="clear" w:color="auto" w:fill="FFFFFF"/>
          <w:lang w:val="en-GB"/>
        </w:rPr>
        <w:t>25</w:t>
      </w:r>
      <w:r w:rsidR="00D6223C">
        <w:rPr>
          <w:szCs w:val="19"/>
          <w:shd w:val="clear" w:color="auto" w:fill="FFFFFF"/>
          <w:lang w:val="en-GB"/>
        </w:rPr>
        <w:t>.</w:t>
      </w:r>
      <w:r w:rsidR="00736F3F">
        <w:rPr>
          <w:szCs w:val="19"/>
          <w:shd w:val="clear" w:color="auto" w:fill="FFFFFF"/>
          <w:lang w:val="en-GB"/>
        </w:rPr>
        <w:t>5</w:t>
      </w:r>
      <w:r w:rsidR="007B36AE">
        <w:rPr>
          <w:szCs w:val="19"/>
          <w:shd w:val="clear" w:color="auto" w:fill="FFFFFF"/>
          <w:lang w:val="en-GB"/>
        </w:rPr>
        <w:t> </w:t>
      </w:r>
      <w:r w:rsidR="00EF6032">
        <w:rPr>
          <w:szCs w:val="19"/>
          <w:shd w:val="clear" w:color="auto" w:fill="FFFFFF"/>
          <w:lang w:val="en-GB"/>
        </w:rPr>
        <w:t>thousand</w:t>
      </w:r>
      <w:r w:rsidR="00BB44BD">
        <w:rPr>
          <w:szCs w:val="19"/>
          <w:shd w:val="clear" w:color="auto" w:fill="FFFFFF"/>
          <w:lang w:val="en-GB"/>
        </w:rPr>
        <w:t xml:space="preserve">, </w:t>
      </w:r>
      <w:r w:rsidR="00736F3F">
        <w:rPr>
          <w:szCs w:val="19"/>
          <w:shd w:val="clear" w:color="auto" w:fill="FFFFFF"/>
          <w:lang w:val="en-GB"/>
        </w:rPr>
        <w:t>26</w:t>
      </w:r>
      <w:r w:rsidR="00465B75">
        <w:rPr>
          <w:szCs w:val="19"/>
          <w:shd w:val="clear" w:color="auto" w:fill="FFFFFF"/>
          <w:lang w:val="en-GB"/>
        </w:rPr>
        <w:t>.</w:t>
      </w:r>
      <w:r w:rsidR="00736F3F">
        <w:rPr>
          <w:szCs w:val="19"/>
          <w:shd w:val="clear" w:color="auto" w:fill="FFFFFF"/>
          <w:lang w:val="en-GB"/>
        </w:rPr>
        <w:t>1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736F3F">
        <w:rPr>
          <w:szCs w:val="19"/>
          <w:shd w:val="clear" w:color="auto" w:fill="FFFFFF"/>
          <w:lang w:val="en-GB"/>
        </w:rPr>
        <w:t xml:space="preserve"> and 38.7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D6223C" w:rsidRPr="00A4625F">
        <w:rPr>
          <w:szCs w:val="19"/>
          <w:shd w:val="clear" w:color="auto" w:fill="FFFFFF"/>
          <w:lang w:val="en-GB"/>
        </w:rPr>
        <w:t>Wielkopolskie</w:t>
      </w:r>
      <w:r w:rsidR="00D6223C" w:rsidRPr="00D6223C">
        <w:rPr>
          <w:szCs w:val="19"/>
          <w:shd w:val="clear" w:color="auto" w:fill="FFFFFF"/>
          <w:lang w:val="en-GB"/>
        </w:rPr>
        <w:t xml:space="preserve"> </w:t>
      </w:r>
      <w:r w:rsidR="00736F3F">
        <w:rPr>
          <w:szCs w:val="19"/>
          <w:shd w:val="clear" w:color="auto" w:fill="FFFFFF"/>
          <w:lang w:val="en-GB"/>
        </w:rPr>
        <w:t>(15.8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736F3F">
        <w:rPr>
          <w:szCs w:val="19"/>
          <w:shd w:val="clear" w:color="auto" w:fill="FFFFFF"/>
          <w:lang w:val="en-GB"/>
        </w:rPr>
        <w:t>, 13.9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736F3F">
        <w:rPr>
          <w:szCs w:val="19"/>
          <w:shd w:val="clear" w:color="auto" w:fill="FFFFFF"/>
          <w:lang w:val="en-GB"/>
        </w:rPr>
        <w:t xml:space="preserve"> and 19</w:t>
      </w:r>
      <w:r w:rsidR="00BB44BD">
        <w:rPr>
          <w:szCs w:val="19"/>
          <w:shd w:val="clear" w:color="auto" w:fill="FFFFFF"/>
          <w:lang w:val="en-GB"/>
        </w:rPr>
        <w:t>.</w:t>
      </w:r>
      <w:r w:rsidR="00736F3F">
        <w:rPr>
          <w:szCs w:val="19"/>
          <w:shd w:val="clear" w:color="auto" w:fill="FFFFFF"/>
          <w:lang w:val="en-GB"/>
        </w:rPr>
        <w:t>6</w:t>
      </w:r>
      <w:r w:rsidR="00D941DB">
        <w:rPr>
          <w:szCs w:val="19"/>
          <w:shd w:val="clear" w:color="auto" w:fill="FFFFFF"/>
          <w:lang w:val="en-GB"/>
        </w:rPr>
        <w:t> thousand)</w:t>
      </w:r>
      <w:r w:rsidR="00C34696" w:rsidRPr="00C34696">
        <w:rPr>
          <w:szCs w:val="19"/>
          <w:shd w:val="clear" w:color="auto" w:fill="FFFFFF"/>
          <w:lang w:val="en-GB"/>
        </w:rPr>
        <w:t xml:space="preserve"> and </w:t>
      </w:r>
      <w:r w:rsidR="00D941DB">
        <w:rPr>
          <w:szCs w:val="19"/>
          <w:shd w:val="clear" w:color="auto" w:fill="FFFFFF"/>
          <w:lang w:val="en-GB"/>
        </w:rPr>
        <w:t>Małopolskie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736F3F">
        <w:rPr>
          <w:szCs w:val="19"/>
          <w:shd w:val="clear" w:color="auto" w:fill="FFFFFF"/>
          <w:lang w:val="en-GB"/>
        </w:rPr>
        <w:t>(14</w:t>
      </w:r>
      <w:r w:rsidR="00A971C9">
        <w:rPr>
          <w:szCs w:val="19"/>
          <w:shd w:val="clear" w:color="auto" w:fill="FFFFFF"/>
          <w:lang w:val="en-GB"/>
        </w:rPr>
        <w:t>.7</w:t>
      </w:r>
      <w:r>
        <w:rPr>
          <w:szCs w:val="19"/>
          <w:shd w:val="clear" w:color="auto" w:fill="FFFFFF"/>
          <w:lang w:val="en-GB"/>
        </w:rPr>
        <w:t> </w:t>
      </w:r>
      <w:r w:rsidR="00736F3F">
        <w:rPr>
          <w:szCs w:val="19"/>
          <w:shd w:val="clear" w:color="auto" w:fill="FFFFFF"/>
          <w:lang w:val="en-GB"/>
        </w:rPr>
        <w:t>thousand,14.1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736F3F">
        <w:rPr>
          <w:szCs w:val="19"/>
          <w:shd w:val="clear" w:color="auto" w:fill="FFFFFF"/>
          <w:lang w:val="en-GB"/>
        </w:rPr>
        <w:t xml:space="preserve"> 18.4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C34696">
        <w:rPr>
          <w:szCs w:val="19"/>
          <w:shd w:val="clear" w:color="auto" w:fill="FFFFFF"/>
          <w:lang w:val="en-GB"/>
        </w:rPr>
        <w:t>).</w:t>
      </w:r>
    </w:p>
    <w:p w14:paraId="73CBA65A" w14:textId="3F323E89" w:rsidR="00903A58" w:rsidRPr="006D194B" w:rsidRDefault="00665854" w:rsidP="006D194B">
      <w:pPr>
        <w:pStyle w:val="Nagwek1"/>
        <w:tabs>
          <w:tab w:val="left" w:pos="851"/>
        </w:tabs>
        <w:ind w:left="709" w:hanging="709"/>
        <w:rPr>
          <w:rFonts w:ascii="Fira Sans" w:hAnsi="Fira Sans"/>
          <w:b/>
          <w:color w:val="auto"/>
          <w:szCs w:val="19"/>
          <w:lang w:val="en-GB"/>
        </w:rPr>
      </w:pPr>
      <w:bookmarkStart w:id="1" w:name="_GoBack"/>
      <w:r w:rsidRPr="006D53F2">
        <w:rPr>
          <w:noProof/>
        </w:rPr>
        <w:drawing>
          <wp:anchor distT="0" distB="0" distL="114300" distR="114300" simplePos="0" relativeHeight="251791360" behindDoc="1" locked="0" layoutInCell="1" allowOverlap="1" wp14:anchorId="7A705D9F" wp14:editId="6090E3EF">
            <wp:simplePos x="0" y="0"/>
            <wp:positionH relativeFrom="margin">
              <wp:align>right</wp:align>
            </wp:positionH>
            <wp:positionV relativeFrom="paragraph">
              <wp:posOffset>455627</wp:posOffset>
            </wp:positionV>
            <wp:extent cx="5122545" cy="2464435"/>
            <wp:effectExtent l="0" t="0" r="1905" b="0"/>
            <wp:wrapTight wrapText="bothSides">
              <wp:wrapPolygon edited="0">
                <wp:start x="0" y="0"/>
                <wp:lineTo x="0" y="21372"/>
                <wp:lineTo x="21528" y="21372"/>
                <wp:lineTo x="21528" y="0"/>
                <wp:lineTo x="0" y="0"/>
              </wp:wrapPolygon>
            </wp:wrapTight>
            <wp:docPr id="3" name="Obraz 3" descr="Number of dwellings completed, number of dwellings for which permits have been granted or which have been registered with a construction project and number of dwellings in which construction has begun in January-August 2022 in particular voivodship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Construction activity in the scope of </w:t>
      </w:r>
      <w:r w:rsidR="00256AD9" w:rsidRPr="009038EF">
        <w:rPr>
          <w:rFonts w:ascii="Fira Sans" w:hAnsi="Fira Sans"/>
          <w:b/>
          <w:color w:val="auto"/>
          <w:sz w:val="18"/>
          <w:szCs w:val="18"/>
          <w:lang w:val="en-GB"/>
        </w:rPr>
        <w:t>residential construction</w:t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 by voivodships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br/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(January- </w:t>
      </w:r>
      <w:r w:rsidR="00736F3F">
        <w:rPr>
          <w:rFonts w:ascii="Fira Sans" w:hAnsi="Fira Sans"/>
          <w:b/>
          <w:color w:val="auto"/>
          <w:sz w:val="18"/>
          <w:szCs w:val="18"/>
          <w:lang w:val="en-GB"/>
        </w:rPr>
        <w:t>August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32276A" w:rsidRPr="009038EF">
        <w:rPr>
          <w:rFonts w:ascii="Fira Sans" w:hAnsi="Fira Sans"/>
          <w:b/>
          <w:color w:val="auto"/>
          <w:sz w:val="18"/>
          <w:szCs w:val="18"/>
          <w:lang w:val="en-GB"/>
        </w:rPr>
        <w:t>2022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)</w:t>
      </w:r>
      <w:r w:rsidRPr="00E67FD9">
        <w:rPr>
          <w:noProof/>
          <w:lang w:val="en-GB"/>
        </w:rPr>
        <w:t xml:space="preserve"> </w:t>
      </w:r>
    </w:p>
    <w:p w14:paraId="66C5A628" w14:textId="4D80DF77" w:rsidR="003A358E" w:rsidRPr="00BB44BD" w:rsidRDefault="003A358E" w:rsidP="00A12B93">
      <w:pPr>
        <w:pStyle w:val="Nagwek1"/>
        <w:rPr>
          <w:color w:val="auto"/>
          <w:sz w:val="18"/>
          <w:szCs w:val="18"/>
          <w:lang w:val="en-GB"/>
        </w:rPr>
      </w:pPr>
    </w:p>
    <w:p w14:paraId="4F8A40B4" w14:textId="30F10D73" w:rsidR="00A12B93" w:rsidRDefault="00A12B93" w:rsidP="00A12B93">
      <w:pPr>
        <w:rPr>
          <w:lang w:val="en-GB" w:eastAsia="pl-PL"/>
        </w:rPr>
      </w:pPr>
    </w:p>
    <w:p w14:paraId="67ED41DD" w14:textId="5508D80C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14049859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0F5558B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806B2D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14:paraId="4542989A" w14:textId="2DA8D1FA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81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E67FD9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806B2D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806B2D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806B2D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806B2D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806B2D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9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0" w:history="1"/>
          </w:p>
          <w:p w14:paraId="7722C5AA" w14:textId="435FCE24" w:rsidR="0045506B" w:rsidRPr="005E4843" w:rsidRDefault="00806B2D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E75AA" w14:textId="77777777" w:rsidR="00806B2D" w:rsidRDefault="00806B2D" w:rsidP="000662E2">
      <w:pPr>
        <w:spacing w:after="0" w:line="240" w:lineRule="auto"/>
      </w:pPr>
      <w:r>
        <w:separator/>
      </w:r>
    </w:p>
  </w:endnote>
  <w:endnote w:type="continuationSeparator" w:id="0">
    <w:p w14:paraId="6E9CD9F5" w14:textId="77777777" w:rsidR="00806B2D" w:rsidRDefault="00806B2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7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7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3F0A6" w14:textId="77777777" w:rsidR="00806B2D" w:rsidRDefault="00806B2D" w:rsidP="000662E2">
      <w:pPr>
        <w:spacing w:after="0" w:line="240" w:lineRule="auto"/>
      </w:pPr>
      <w:r>
        <w:separator/>
      </w:r>
    </w:p>
  </w:footnote>
  <w:footnote w:type="continuationSeparator" w:id="0">
    <w:p w14:paraId="6B5B36C3" w14:textId="77777777" w:rsidR="00806B2D" w:rsidRDefault="00806B2D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665854" w:rsidRDefault="006658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2B6A599B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1.09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47FF098E" w:rsidR="00574E89" w:rsidRPr="00C97596" w:rsidRDefault="00331E59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21.09</w:t>
                          </w:r>
                          <w:r w:rsidR="009D4061"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1.09.2022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" filled="f" stroked="f">
              <v:textbox>
                <w:txbxContent>
                  <w:p w14:paraId="2046DC43" w14:textId="47FF098E" w:rsidR="00574E89" w:rsidRPr="00C97596" w:rsidRDefault="00331E59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21.09</w:t>
                    </w:r>
                    <w:r w:rsidR="009D4061"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4.35pt;height:125.3pt;visibility:visible;mso-wrap-style:square" o:bullet="t">
        <v:imagedata r:id="rId1" o:title=""/>
      </v:shape>
    </w:pict>
  </w:numPicBullet>
  <w:numPicBullet w:numPicBulletId="1">
    <w:pict>
      <v:shape id="_x0000_i1031" type="#_x0000_t75" style="width:123.9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4763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1EEB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50D"/>
    <w:rsid w:val="000D2A5C"/>
    <w:rsid w:val="000D2E0B"/>
    <w:rsid w:val="000D348A"/>
    <w:rsid w:val="000E04F3"/>
    <w:rsid w:val="000E0918"/>
    <w:rsid w:val="000E1F4F"/>
    <w:rsid w:val="000E65E1"/>
    <w:rsid w:val="000F1626"/>
    <w:rsid w:val="000F267E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0A1"/>
    <w:rsid w:val="001B4A86"/>
    <w:rsid w:val="001B7948"/>
    <w:rsid w:val="001C1808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56BD"/>
    <w:rsid w:val="001E64AD"/>
    <w:rsid w:val="001F1170"/>
    <w:rsid w:val="001F31BD"/>
    <w:rsid w:val="001F3686"/>
    <w:rsid w:val="001F414F"/>
    <w:rsid w:val="001F5873"/>
    <w:rsid w:val="001F649C"/>
    <w:rsid w:val="00202E71"/>
    <w:rsid w:val="002030BE"/>
    <w:rsid w:val="002034A6"/>
    <w:rsid w:val="00203BDB"/>
    <w:rsid w:val="002040E0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6490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0FE9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02F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85E"/>
    <w:rsid w:val="00373882"/>
    <w:rsid w:val="00375215"/>
    <w:rsid w:val="00375782"/>
    <w:rsid w:val="00380859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02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BFD"/>
    <w:rsid w:val="00450E62"/>
    <w:rsid w:val="0045309B"/>
    <w:rsid w:val="00454004"/>
    <w:rsid w:val="00454AA7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1FC1"/>
    <w:rsid w:val="004E2155"/>
    <w:rsid w:val="004E377B"/>
    <w:rsid w:val="004E4BB8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2256"/>
    <w:rsid w:val="00533632"/>
    <w:rsid w:val="005352B1"/>
    <w:rsid w:val="00536E29"/>
    <w:rsid w:val="005378A0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16AB"/>
    <w:rsid w:val="005916D7"/>
    <w:rsid w:val="00592EC6"/>
    <w:rsid w:val="00595E15"/>
    <w:rsid w:val="005A30AB"/>
    <w:rsid w:val="005A4C6A"/>
    <w:rsid w:val="005A4E6A"/>
    <w:rsid w:val="005A61DB"/>
    <w:rsid w:val="005A698C"/>
    <w:rsid w:val="005A6F2D"/>
    <w:rsid w:val="005B093B"/>
    <w:rsid w:val="005B0979"/>
    <w:rsid w:val="005B2080"/>
    <w:rsid w:val="005B5CBB"/>
    <w:rsid w:val="005B5EB4"/>
    <w:rsid w:val="005B659C"/>
    <w:rsid w:val="005C16BE"/>
    <w:rsid w:val="005C20C8"/>
    <w:rsid w:val="005C2FE4"/>
    <w:rsid w:val="005C4A86"/>
    <w:rsid w:val="005C4E91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C39"/>
    <w:rsid w:val="005F302D"/>
    <w:rsid w:val="005F5A80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2E3E"/>
    <w:rsid w:val="0065707D"/>
    <w:rsid w:val="00664589"/>
    <w:rsid w:val="00665854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210"/>
    <w:rsid w:val="00691FC1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3"/>
    <w:rsid w:val="006D194B"/>
    <w:rsid w:val="006D4054"/>
    <w:rsid w:val="006D53F2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36F3F"/>
    <w:rsid w:val="00741554"/>
    <w:rsid w:val="007418AC"/>
    <w:rsid w:val="007432DC"/>
    <w:rsid w:val="00746187"/>
    <w:rsid w:val="00746A9F"/>
    <w:rsid w:val="0075636C"/>
    <w:rsid w:val="007571FA"/>
    <w:rsid w:val="007573AD"/>
    <w:rsid w:val="00760FC2"/>
    <w:rsid w:val="00761C18"/>
    <w:rsid w:val="0076254F"/>
    <w:rsid w:val="00763711"/>
    <w:rsid w:val="00764DF2"/>
    <w:rsid w:val="00766AF6"/>
    <w:rsid w:val="007702BD"/>
    <w:rsid w:val="0077058F"/>
    <w:rsid w:val="00770725"/>
    <w:rsid w:val="0077078E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064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06B2D"/>
    <w:rsid w:val="00806EB9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6DBD"/>
    <w:rsid w:val="00846E9E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B4E"/>
    <w:rsid w:val="008941E0"/>
    <w:rsid w:val="008948E4"/>
    <w:rsid w:val="00896EB9"/>
    <w:rsid w:val="008A130C"/>
    <w:rsid w:val="008A1C80"/>
    <w:rsid w:val="008A26D9"/>
    <w:rsid w:val="008A2B34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528F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1B3"/>
    <w:rsid w:val="00930A41"/>
    <w:rsid w:val="00931AE5"/>
    <w:rsid w:val="0093378A"/>
    <w:rsid w:val="00933EC1"/>
    <w:rsid w:val="00941380"/>
    <w:rsid w:val="00944262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5A18"/>
    <w:rsid w:val="009664CD"/>
    <w:rsid w:val="00967266"/>
    <w:rsid w:val="0096740A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4061"/>
    <w:rsid w:val="009D5DFA"/>
    <w:rsid w:val="009D785B"/>
    <w:rsid w:val="009E13F6"/>
    <w:rsid w:val="009E15F4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3C8A"/>
    <w:rsid w:val="009F4CF9"/>
    <w:rsid w:val="009F686F"/>
    <w:rsid w:val="00A00250"/>
    <w:rsid w:val="00A00C56"/>
    <w:rsid w:val="00A00F1A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7208C"/>
    <w:rsid w:val="00A72CF4"/>
    <w:rsid w:val="00A741A0"/>
    <w:rsid w:val="00A74B1F"/>
    <w:rsid w:val="00A810F9"/>
    <w:rsid w:val="00A846D6"/>
    <w:rsid w:val="00A84818"/>
    <w:rsid w:val="00A86ECC"/>
    <w:rsid w:val="00A86FCC"/>
    <w:rsid w:val="00A873EE"/>
    <w:rsid w:val="00A87439"/>
    <w:rsid w:val="00A87DC7"/>
    <w:rsid w:val="00A91D74"/>
    <w:rsid w:val="00A96DEB"/>
    <w:rsid w:val="00A971C9"/>
    <w:rsid w:val="00A97466"/>
    <w:rsid w:val="00A97495"/>
    <w:rsid w:val="00AA03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083C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5DAB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19EF"/>
    <w:rsid w:val="00B82E2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3F05"/>
    <w:rsid w:val="00BC46FE"/>
    <w:rsid w:val="00BC4AAD"/>
    <w:rsid w:val="00BC514E"/>
    <w:rsid w:val="00BC70F1"/>
    <w:rsid w:val="00BD1222"/>
    <w:rsid w:val="00BD1D77"/>
    <w:rsid w:val="00BD2577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7969"/>
    <w:rsid w:val="00BF01CB"/>
    <w:rsid w:val="00BF0335"/>
    <w:rsid w:val="00BF2A76"/>
    <w:rsid w:val="00BF36AA"/>
    <w:rsid w:val="00BF475A"/>
    <w:rsid w:val="00BF61F6"/>
    <w:rsid w:val="00C021FE"/>
    <w:rsid w:val="00C03049"/>
    <w:rsid w:val="00C030DE"/>
    <w:rsid w:val="00C0397D"/>
    <w:rsid w:val="00C05C8B"/>
    <w:rsid w:val="00C0737D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39C6"/>
    <w:rsid w:val="00C5434F"/>
    <w:rsid w:val="00C555C2"/>
    <w:rsid w:val="00C571F3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6F9"/>
    <w:rsid w:val="00D21D71"/>
    <w:rsid w:val="00D242EC"/>
    <w:rsid w:val="00D261A2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F69"/>
    <w:rsid w:val="00D504E4"/>
    <w:rsid w:val="00D534E9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26F5"/>
    <w:rsid w:val="00DA34E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4610"/>
    <w:rsid w:val="00E346D7"/>
    <w:rsid w:val="00E35889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67FD9"/>
    <w:rsid w:val="00E71068"/>
    <w:rsid w:val="00E717AF"/>
    <w:rsid w:val="00E724BA"/>
    <w:rsid w:val="00E736D7"/>
    <w:rsid w:val="00E7580A"/>
    <w:rsid w:val="00E75F97"/>
    <w:rsid w:val="00E76D26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A7A6B"/>
    <w:rsid w:val="00EB1390"/>
    <w:rsid w:val="00EB1C36"/>
    <w:rsid w:val="00EB20CA"/>
    <w:rsid w:val="00EB2C71"/>
    <w:rsid w:val="00EB3907"/>
    <w:rsid w:val="00EB4340"/>
    <w:rsid w:val="00EB556D"/>
    <w:rsid w:val="00EB5A7D"/>
    <w:rsid w:val="00EB5DD2"/>
    <w:rsid w:val="00EB6230"/>
    <w:rsid w:val="00EB69AF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4CD9"/>
    <w:rsid w:val="00F16590"/>
    <w:rsid w:val="00F17D27"/>
    <w:rsid w:val="00F213B1"/>
    <w:rsid w:val="00F245D9"/>
    <w:rsid w:val="00F25757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26E9"/>
    <w:rsid w:val="00F43757"/>
    <w:rsid w:val="00F4397D"/>
    <w:rsid w:val="00F4477E"/>
    <w:rsid w:val="00F46B76"/>
    <w:rsid w:val="00F5200E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6024"/>
    <w:rsid w:val="00F8611A"/>
    <w:rsid w:val="00F9379A"/>
    <w:rsid w:val="00F94574"/>
    <w:rsid w:val="00F95941"/>
    <w:rsid w:val="00F97730"/>
    <w:rsid w:val="00FA049B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19CC"/>
    <w:rsid w:val="00FD5EA7"/>
    <w:rsid w:val="00FE3A83"/>
    <w:rsid w:val="00FE6CB4"/>
    <w:rsid w:val="00FE705C"/>
    <w:rsid w:val="00FF1686"/>
    <w:rsid w:val="00FF37E0"/>
    <w:rsid w:val="00FF392D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76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residential_construction_in_the_period_of_january-august_2022.docx.docx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4F7F-A42A-497C-8F4C-7C073154855F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53280423-D3C8-4C62-80B1-B304B442BB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January-July 2022</vt:lpstr>
    </vt:vector>
  </TitlesOfParts>
  <Company/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January-July 2022</dc:title>
  <cp:lastPrinted>2022-06-15T11:38:00Z</cp:lastPrinted>
  <dcterms:created xsi:type="dcterms:W3CDTF">2022-09-16T07:21:00Z</dcterms:created>
  <dcterms:modified xsi:type="dcterms:W3CDTF">2022-09-16T07:27:00Z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