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7A3157D7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bookmarkStart w:id="0" w:name="_GoBack"/>
      <w:bookmarkEnd w:id="0"/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January-</w:t>
      </w:r>
      <w:r w:rsidR="00B40D7D">
        <w:rPr>
          <w:szCs w:val="32"/>
          <w:lang w:val="en-GB"/>
        </w:rPr>
        <w:t>July</w:t>
      </w:r>
      <w:r w:rsidR="00D860E0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49E0296B" w:rsidR="00095A18" w:rsidRPr="004829B9" w:rsidRDefault="00941380" w:rsidP="00896EB9">
      <w:pPr>
        <w:pStyle w:val="LID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6AD180EC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2.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5CC42B29" w:rsidR="00A4625F" w:rsidRPr="00A4625F" w:rsidRDefault="00D860E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A4625F"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B40D7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102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B40D7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102.1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" fillcolor="#001d77" stroked="f">
                <v:stroke joinstyle="miter"/>
                <v:textbox>
                  <w:txbxContent>
                    <w:p w14:paraId="0C77FD05" w14:textId="5CC42B29" w:rsidR="00A4625F" w:rsidRPr="00A4625F" w:rsidRDefault="00D860E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="00A4625F"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B40D7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102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B40D7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5433" w:rsidRPr="0015468F">
        <w:rPr>
          <w:lang w:val="en-GB"/>
        </w:rPr>
        <w:t xml:space="preserve">In </w:t>
      </w:r>
      <w:r w:rsidR="00494121">
        <w:rPr>
          <w:lang w:val="en-GB"/>
        </w:rPr>
        <w:t xml:space="preserve"> </w:t>
      </w:r>
      <w:r w:rsidR="00B5362C">
        <w:rPr>
          <w:lang w:val="en-GB"/>
        </w:rPr>
        <w:t xml:space="preserve">the first </w:t>
      </w:r>
      <w:r w:rsidR="00B40D7D">
        <w:rPr>
          <w:lang w:val="en-GB"/>
        </w:rPr>
        <w:t>seven months</w:t>
      </w:r>
      <w:r w:rsidR="00D860E0">
        <w:rPr>
          <w:lang w:val="en-GB"/>
        </w:rPr>
        <w:t xml:space="preserve"> </w:t>
      </w:r>
      <w:r w:rsidR="00B5362C">
        <w:rPr>
          <w:lang w:val="en-GB"/>
        </w:rPr>
        <w:t>of</w:t>
      </w:r>
      <w:r w:rsidR="00A4625F">
        <w:rPr>
          <w:lang w:val="en-GB"/>
        </w:rPr>
        <w:t xml:space="preserve"> 2022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860E0">
        <w:rPr>
          <w:lang w:val="en-GB"/>
        </w:rPr>
        <w:t xml:space="preserve">more </w:t>
      </w:r>
      <w:r w:rsidR="00AD1492" w:rsidRPr="004829B9">
        <w:rPr>
          <w:lang w:val="en-GB"/>
        </w:rPr>
        <w:t xml:space="preserve">dwellings completed than the year before. </w:t>
      </w:r>
      <w:r w:rsidR="00D860E0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5E28B0CF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8.2% and 40.5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576F5DF6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B40D7D">
                              <w:rPr>
                                <w:lang w:val="en-US"/>
                              </w:rPr>
                              <w:t xml:space="preserve"> 58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B40D7D">
                              <w:rPr>
                                <w:lang w:val="en-US"/>
                              </w:rPr>
                              <w:t>2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B40D7D">
                              <w:rPr>
                                <w:lang w:val="en-US"/>
                              </w:rPr>
                              <w:t>40.5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Developers and private investors completed respectively: 58.2% and 40.5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BuCGIrXwIAAHE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576F5DF6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B40D7D">
                        <w:rPr>
                          <w:lang w:val="en-US"/>
                        </w:rPr>
                        <w:t xml:space="preserve"> 58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B40D7D">
                        <w:rPr>
                          <w:lang w:val="en-US"/>
                        </w:rPr>
                        <w:t>2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B40D7D">
                        <w:rPr>
                          <w:lang w:val="en-US"/>
                        </w:rPr>
                        <w:t>40.5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0591168F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B40D7D">
        <w:rPr>
          <w:spacing w:val="-4"/>
          <w:shd w:val="clear" w:color="auto" w:fill="FFFFFF"/>
          <w:lang w:val="en-GB"/>
        </w:rPr>
        <w:t>127.0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9D4061">
        <w:rPr>
          <w:spacing w:val="-4"/>
          <w:shd w:val="clear" w:color="auto" w:fill="FFFFFF"/>
          <w:lang w:val="en-GB"/>
        </w:rPr>
        <w:t xml:space="preserve">in </w:t>
      </w:r>
      <w:r w:rsidR="007432DC">
        <w:rPr>
          <w:spacing w:val="-4"/>
          <w:shd w:val="clear" w:color="auto" w:fill="FFFFFF"/>
          <w:lang w:val="en-GB"/>
        </w:rPr>
        <w:t xml:space="preserve">the </w:t>
      </w:r>
      <w:r w:rsidR="00B40D7D">
        <w:rPr>
          <w:spacing w:val="-4"/>
          <w:shd w:val="clear" w:color="auto" w:fill="FFFFFF"/>
          <w:lang w:val="en-GB"/>
        </w:rPr>
        <w:t xml:space="preserve">period </w:t>
      </w:r>
      <w:r w:rsidR="004E1FC1">
        <w:rPr>
          <w:spacing w:val="-4"/>
          <w:shd w:val="clear" w:color="auto" w:fill="FFFFFF"/>
          <w:lang w:val="en-GB"/>
        </w:rPr>
        <w:t>of</w:t>
      </w:r>
      <w:r w:rsidR="004862A6">
        <w:rPr>
          <w:spacing w:val="-4"/>
          <w:shd w:val="clear" w:color="auto" w:fill="FFFFFF"/>
          <w:lang w:val="en-GB"/>
        </w:rPr>
        <w:t xml:space="preserve"> </w:t>
      </w:r>
      <w:r w:rsidR="00B40D7D">
        <w:rPr>
          <w:spacing w:val="-4"/>
          <w:shd w:val="clear" w:color="auto" w:fill="FFFFFF"/>
          <w:lang w:val="en-GB"/>
        </w:rPr>
        <w:t xml:space="preserve">January-July </w:t>
      </w:r>
      <w:r w:rsidR="004862A6">
        <w:rPr>
          <w:spacing w:val="-4"/>
          <w:shd w:val="clear" w:color="auto" w:fill="FFFFFF"/>
          <w:lang w:val="en-GB"/>
        </w:rPr>
        <w:t>2022</w:t>
      </w:r>
      <w:r w:rsidR="009664CD" w:rsidRPr="004829B9">
        <w:rPr>
          <w:spacing w:val="-4"/>
          <w:shd w:val="clear" w:color="auto" w:fill="FFFFFF"/>
          <w:lang w:val="en-GB"/>
        </w:rPr>
        <w:t xml:space="preserve">, i.e. </w:t>
      </w:r>
      <w:r w:rsidR="00B40D7D">
        <w:rPr>
          <w:spacing w:val="-4"/>
          <w:shd w:val="clear" w:color="auto" w:fill="FFFFFF"/>
          <w:lang w:val="en-GB"/>
        </w:rPr>
        <w:t>2.1</w:t>
      </w:r>
      <w:r w:rsidR="005D2782">
        <w:rPr>
          <w:spacing w:val="-4"/>
          <w:shd w:val="clear" w:color="auto" w:fill="FFFFFF"/>
          <w:lang w:val="en-GB"/>
        </w:rPr>
        <w:t>% more than in the previous year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B40D7D">
        <w:rPr>
          <w:spacing w:val="-4"/>
          <w:shd w:val="clear" w:color="auto" w:fill="FFFFFF"/>
          <w:lang w:val="en-GB"/>
        </w:rPr>
        <w:t>73</w:t>
      </w:r>
      <w:r w:rsidR="00372328">
        <w:rPr>
          <w:spacing w:val="-4"/>
          <w:shd w:val="clear" w:color="auto" w:fill="FFFFFF"/>
          <w:lang w:val="en-GB"/>
        </w:rPr>
        <w:t>.</w:t>
      </w:r>
      <w:r w:rsidR="004E1FC1">
        <w:rPr>
          <w:spacing w:val="-4"/>
          <w:shd w:val="clear" w:color="auto" w:fill="FFFFFF"/>
          <w:lang w:val="en-GB"/>
        </w:rPr>
        <w:t>9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B40D7D">
        <w:rPr>
          <w:spacing w:val="-4"/>
          <w:shd w:val="clear" w:color="auto" w:fill="FFFFFF"/>
          <w:lang w:val="en-GB"/>
        </w:rPr>
        <w:t>2.9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7D6064">
        <w:rPr>
          <w:spacing w:val="-4"/>
          <w:shd w:val="clear" w:color="auto" w:fill="FFFFFF"/>
          <w:lang w:val="en-GB"/>
        </w:rPr>
        <w:t>more</w:t>
      </w:r>
      <w:r w:rsidR="009D4061">
        <w:rPr>
          <w:spacing w:val="-4"/>
          <w:shd w:val="clear" w:color="auto" w:fill="FFFFFF"/>
          <w:lang w:val="en-GB"/>
        </w:rPr>
        <w:t xml:space="preserve"> than in </w:t>
      </w:r>
      <w:r w:rsidR="004E4BB8">
        <w:rPr>
          <w:spacing w:val="-4"/>
          <w:shd w:val="clear" w:color="auto" w:fill="FFFFFF"/>
          <w:lang w:val="en-GB"/>
        </w:rPr>
        <w:t>2021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B40D7D">
        <w:rPr>
          <w:spacing w:val="-4"/>
          <w:shd w:val="clear" w:color="auto" w:fill="FFFFFF"/>
          <w:lang w:val="en-GB"/>
        </w:rPr>
        <w:t>51</w:t>
      </w:r>
      <w:r w:rsidR="00372328">
        <w:rPr>
          <w:spacing w:val="-4"/>
          <w:shd w:val="clear" w:color="auto" w:fill="FFFFFF"/>
          <w:lang w:val="en-GB"/>
        </w:rPr>
        <w:t>.</w:t>
      </w:r>
      <w:r w:rsidR="00B40D7D">
        <w:rPr>
          <w:spacing w:val="-4"/>
          <w:shd w:val="clear" w:color="auto" w:fill="FFFFFF"/>
          <w:lang w:val="en-GB"/>
        </w:rPr>
        <w:t>4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B40D7D">
        <w:rPr>
          <w:spacing w:val="-4"/>
          <w:shd w:val="clear" w:color="auto" w:fill="FFFFFF"/>
          <w:lang w:val="en-GB"/>
        </w:rPr>
        <w:t>3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B40D7D">
        <w:rPr>
          <w:spacing w:val="-4"/>
          <w:shd w:val="clear" w:color="auto" w:fill="FFFFFF"/>
          <w:lang w:val="en-GB"/>
        </w:rPr>
        <w:t>4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651D40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B40D7D">
        <w:rPr>
          <w:spacing w:val="-4"/>
          <w:shd w:val="clear" w:color="auto" w:fill="FFFFFF"/>
          <w:lang w:val="en-GB"/>
        </w:rPr>
        <w:t>7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5D2782">
        <w:rPr>
          <w:spacing w:val="-4"/>
          <w:shd w:val="clear" w:color="auto" w:fill="FFFFFF"/>
          <w:lang w:val="en-GB"/>
        </w:rPr>
        <w:t xml:space="preserve">1 </w:t>
      </w:r>
      <w:r w:rsidR="00B40D7D">
        <w:rPr>
          <w:spacing w:val="-4"/>
          <w:shd w:val="clear" w:color="auto" w:fill="FFFFFF"/>
          <w:lang w:val="en-GB"/>
        </w:rPr>
        <w:t>667</w:t>
      </w:r>
      <w:r w:rsidR="004862A6" w:rsidRPr="004862A6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4E1FC1">
        <w:rPr>
          <w:spacing w:val="-4"/>
          <w:shd w:val="clear" w:color="auto" w:fill="FFFFFF"/>
          <w:lang w:val="en-GB"/>
        </w:rPr>
        <w:t>2</w:t>
      </w:r>
      <w:r w:rsidR="005D2782">
        <w:rPr>
          <w:spacing w:val="-4"/>
          <w:shd w:val="clear" w:color="auto" w:fill="FFFFFF"/>
          <w:lang w:val="en-GB"/>
        </w:rPr>
        <w:t xml:space="preserve"> </w:t>
      </w:r>
      <w:r w:rsidR="00B40D7D">
        <w:rPr>
          <w:spacing w:val="-4"/>
          <w:shd w:val="clear" w:color="auto" w:fill="FFFFFF"/>
          <w:lang w:val="en-GB"/>
        </w:rPr>
        <w:t>834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07778931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B40D7D">
        <w:rPr>
          <w:shd w:val="clear" w:color="auto" w:fill="FFFFFF"/>
          <w:lang w:val="en-GB"/>
        </w:rPr>
        <w:t>12</w:t>
      </w:r>
      <w:r w:rsidR="00837231" w:rsidRPr="004829B9">
        <w:rPr>
          <w:shd w:val="clear" w:color="auto" w:fill="FFFFFF"/>
          <w:lang w:val="en-GB"/>
        </w:rPr>
        <w:t>.</w:t>
      </w:r>
      <w:r w:rsidR="00B40D7D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B40D7D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>.</w:t>
      </w:r>
      <w:r w:rsidR="00B40D7D">
        <w:rPr>
          <w:shd w:val="clear" w:color="auto" w:fill="FFFFFF"/>
          <w:lang w:val="en-GB"/>
        </w:rPr>
        <w:t>9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4E4BB8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B40D7D">
        <w:rPr>
          <w:shd w:val="clear" w:color="auto" w:fill="FFFFFF"/>
          <w:lang w:val="en-GB"/>
        </w:rPr>
        <w:t>94</w:t>
      </w:r>
      <w:r w:rsidR="005D25AB" w:rsidRPr="004829B9">
        <w:rPr>
          <w:shd w:val="clear" w:color="auto" w:fill="FFFFFF"/>
          <w:lang w:val="en-GB"/>
        </w:rPr>
        <w:t>.</w:t>
      </w:r>
      <w:r w:rsidR="00B40D7D">
        <w:rPr>
          <w:shd w:val="clear" w:color="auto" w:fill="FFFFFF"/>
          <w:lang w:val="en-GB"/>
        </w:rPr>
        <w:t>9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993"/>
        <w:gridCol w:w="1135"/>
        <w:gridCol w:w="1274"/>
        <w:gridCol w:w="1200"/>
      </w:tblGrid>
      <w:tr w:rsidR="009A4851" w:rsidRPr="009A4851" w14:paraId="13F2CC01" w14:textId="77777777" w:rsidTr="005023D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2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4D25B767" w:rsidR="009A4851" w:rsidRPr="00D860E0" w:rsidRDefault="0037210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47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4EDC5D2C" w:rsidR="009A4851" w:rsidRPr="00D860E0" w:rsidRDefault="0037210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01-07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2F027FA1" w14:textId="77777777" w:rsidTr="0037210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3CCE800D" w:rsidR="009A4851" w:rsidRPr="00D860E0" w:rsidRDefault="0037210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5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4953DE7A" w:rsidR="009A4851" w:rsidRPr="00D860E0" w:rsidRDefault="0037210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</w:t>
            </w:r>
            <w:r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27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313E16CF" w:rsidR="009A4851" w:rsidRPr="00D860E0" w:rsidRDefault="0037210B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01-07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37210B" w:rsidRPr="009A4851" w14:paraId="74C961E1" w14:textId="77777777" w:rsidTr="0037210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37210B" w:rsidRPr="00D860E0" w:rsidRDefault="0037210B" w:rsidP="0037210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74ED01BD" w14:textId="739B69C9" w:rsidR="0037210B" w:rsidRPr="00AC083C" w:rsidRDefault="0037210B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C083C">
              <w:rPr>
                <w:b/>
                <w:sz w:val="16"/>
                <w:szCs w:val="16"/>
              </w:rPr>
              <w:t>17 571</w:t>
            </w:r>
          </w:p>
        </w:tc>
        <w:tc>
          <w:tcPr>
            <w:tcW w:w="993" w:type="dxa"/>
            <w:tcBorders>
              <w:top w:val="single" w:sz="12" w:space="0" w:color="212492"/>
            </w:tcBorders>
          </w:tcPr>
          <w:p w14:paraId="4368A5D2" w14:textId="7ED95287" w:rsidR="0037210B" w:rsidRPr="00AC083C" w:rsidRDefault="003F4329" w:rsidP="0037210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AC083C">
              <w:rPr>
                <w:b/>
                <w:sz w:val="16"/>
                <w:szCs w:val="16"/>
              </w:rPr>
              <w:t>92.</w:t>
            </w:r>
            <w:r w:rsidR="0037210B" w:rsidRPr="00AC083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12" w:space="0" w:color="212492"/>
              <w:right w:val="nil"/>
            </w:tcBorders>
          </w:tcPr>
          <w:p w14:paraId="20AE545D" w14:textId="4C605172" w:rsidR="0037210B" w:rsidRPr="00AC083C" w:rsidRDefault="003F4329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C083C">
              <w:rPr>
                <w:b/>
                <w:sz w:val="16"/>
                <w:szCs w:val="16"/>
              </w:rPr>
              <w:t>96.</w:t>
            </w:r>
            <w:r w:rsidR="0037210B" w:rsidRPr="00AC083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4" w:type="dxa"/>
            <w:tcBorders>
              <w:top w:val="single" w:sz="12" w:space="0" w:color="212492"/>
              <w:right w:val="nil"/>
            </w:tcBorders>
          </w:tcPr>
          <w:p w14:paraId="5AE73CEA" w14:textId="6A811721" w:rsidR="0037210B" w:rsidRPr="00AC083C" w:rsidRDefault="0037210B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C083C">
              <w:rPr>
                <w:b/>
                <w:sz w:val="16"/>
                <w:szCs w:val="16"/>
              </w:rPr>
              <w:t>126 982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</w:tcPr>
          <w:p w14:paraId="7418C1A2" w14:textId="4DE1A19F" w:rsidR="0037210B" w:rsidRPr="00AC083C" w:rsidRDefault="003F4329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C083C">
              <w:rPr>
                <w:b/>
                <w:sz w:val="16"/>
                <w:szCs w:val="16"/>
              </w:rPr>
              <w:t>102.</w:t>
            </w:r>
            <w:r w:rsidR="0037210B" w:rsidRPr="00AC083C">
              <w:rPr>
                <w:b/>
                <w:sz w:val="16"/>
                <w:szCs w:val="16"/>
              </w:rPr>
              <w:t>1</w:t>
            </w:r>
          </w:p>
        </w:tc>
      </w:tr>
      <w:tr w:rsidR="0037210B" w:rsidRPr="009A4851" w14:paraId="1DBFB85F" w14:textId="77777777" w:rsidTr="0037210B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37210B" w:rsidRPr="00D860E0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</w:tcPr>
          <w:p w14:paraId="255032DB" w14:textId="68BF23BF" w:rsidR="0037210B" w:rsidRPr="00B40D7D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6 517</w:t>
            </w:r>
          </w:p>
        </w:tc>
        <w:tc>
          <w:tcPr>
            <w:tcW w:w="993" w:type="dxa"/>
          </w:tcPr>
          <w:p w14:paraId="10BBBDB9" w14:textId="769F2A7F" w:rsidR="0037210B" w:rsidRPr="00B40D7D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  <w:r w:rsidR="0037210B" w:rsidRPr="00B40D7D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right w:val="nil"/>
            </w:tcBorders>
          </w:tcPr>
          <w:p w14:paraId="0D6A2499" w14:textId="561E6A93" w:rsidR="0037210B" w:rsidRPr="00B40D7D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94.</w:t>
            </w:r>
            <w:r w:rsidR="0037210B" w:rsidRPr="00B40D7D">
              <w:rPr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right w:val="nil"/>
            </w:tcBorders>
          </w:tcPr>
          <w:p w14:paraId="3C0AB283" w14:textId="5D061A0C" w:rsidR="0037210B" w:rsidRPr="00B40D7D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51 411</w:t>
            </w:r>
          </w:p>
        </w:tc>
        <w:tc>
          <w:tcPr>
            <w:tcW w:w="1200" w:type="dxa"/>
            <w:tcBorders>
              <w:right w:val="nil"/>
            </w:tcBorders>
          </w:tcPr>
          <w:p w14:paraId="016F1686" w14:textId="6600FE18" w:rsidR="0037210B" w:rsidRPr="00B40D7D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  <w:r w:rsidR="0037210B" w:rsidRPr="00B40D7D">
              <w:rPr>
                <w:sz w:val="16"/>
                <w:szCs w:val="16"/>
              </w:rPr>
              <w:t>4</w:t>
            </w:r>
          </w:p>
        </w:tc>
      </w:tr>
      <w:tr w:rsidR="0037210B" w:rsidRPr="009A4851" w14:paraId="6E2F06BB" w14:textId="77777777" w:rsidTr="0037210B">
        <w:trPr>
          <w:trHeight w:val="348"/>
        </w:trPr>
        <w:tc>
          <w:tcPr>
            <w:tcW w:w="2268" w:type="dxa"/>
            <w:vAlign w:val="center"/>
          </w:tcPr>
          <w:p w14:paraId="5F10D600" w14:textId="2BD51A89" w:rsidR="0037210B" w:rsidRPr="00D860E0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</w:tcPr>
          <w:p w14:paraId="23EE99E7" w14:textId="1F6CA836" w:rsidR="0037210B" w:rsidRPr="00B40D7D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10 985</w:t>
            </w:r>
          </w:p>
        </w:tc>
        <w:tc>
          <w:tcPr>
            <w:tcW w:w="993" w:type="dxa"/>
          </w:tcPr>
          <w:p w14:paraId="1392F143" w14:textId="5454FCCF" w:rsidR="0037210B" w:rsidRPr="00B40D7D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98.</w:t>
            </w:r>
            <w:r w:rsidR="0037210B" w:rsidRPr="00B40D7D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right w:val="nil"/>
            </w:tcBorders>
          </w:tcPr>
          <w:p w14:paraId="073E4F9D" w14:textId="24B58A1A" w:rsidR="0037210B" w:rsidRPr="00B40D7D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98.</w:t>
            </w:r>
            <w:r w:rsidR="0037210B" w:rsidRPr="00B40D7D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right w:val="nil"/>
            </w:tcBorders>
          </w:tcPr>
          <w:p w14:paraId="7C80FD51" w14:textId="4D004159" w:rsidR="0037210B" w:rsidRPr="00B40D7D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73 904</w:t>
            </w:r>
          </w:p>
        </w:tc>
        <w:tc>
          <w:tcPr>
            <w:tcW w:w="1200" w:type="dxa"/>
            <w:tcBorders>
              <w:right w:val="nil"/>
            </w:tcBorders>
          </w:tcPr>
          <w:p w14:paraId="7B8310F8" w14:textId="34DE5A2C" w:rsidR="0037210B" w:rsidRPr="00B40D7D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  <w:r w:rsidR="0037210B" w:rsidRPr="00B40D7D">
              <w:rPr>
                <w:sz w:val="16"/>
                <w:szCs w:val="16"/>
              </w:rPr>
              <w:t>9</w:t>
            </w:r>
          </w:p>
        </w:tc>
      </w:tr>
      <w:tr w:rsidR="0037210B" w:rsidRPr="009A4851" w14:paraId="24AD4DF0" w14:textId="77777777" w:rsidTr="00AE6FA9">
        <w:trPr>
          <w:trHeight w:val="489"/>
        </w:trPr>
        <w:tc>
          <w:tcPr>
            <w:tcW w:w="2268" w:type="dxa"/>
            <w:vAlign w:val="center"/>
          </w:tcPr>
          <w:p w14:paraId="1D2231E4" w14:textId="0D64CDE9" w:rsidR="0037210B" w:rsidRPr="00D860E0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</w:tcPr>
          <w:p w14:paraId="43E0B857" w14:textId="24423C5B" w:rsidR="0037210B" w:rsidRPr="00B40D7D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759</w:t>
            </w:r>
          </w:p>
        </w:tc>
        <w:tc>
          <w:tcPr>
            <w:tcW w:w="993" w:type="dxa"/>
          </w:tcPr>
          <w:p w14:paraId="1F0CCA82" w14:textId="208B3731" w:rsidR="0037210B" w:rsidRPr="00B40D7D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186.</w:t>
            </w:r>
            <w:r w:rsidR="0037210B" w:rsidRPr="00B40D7D"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right w:val="nil"/>
            </w:tcBorders>
          </w:tcPr>
          <w:p w14:paraId="48C19C17" w14:textId="47DA016F" w:rsidR="0037210B" w:rsidRPr="00B40D7D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over 1</w:t>
            </w:r>
            <w:r w:rsidR="00CB1178" w:rsidRPr="00B40D7D">
              <w:rPr>
                <w:sz w:val="16"/>
                <w:szCs w:val="16"/>
              </w:rPr>
              <w:t>7</w:t>
            </w:r>
            <w:r w:rsidRPr="00B40D7D">
              <w:rPr>
                <w:sz w:val="16"/>
                <w:szCs w:val="16"/>
              </w:rPr>
              <w:t>-fold more</w:t>
            </w:r>
          </w:p>
        </w:tc>
        <w:tc>
          <w:tcPr>
            <w:tcW w:w="1274" w:type="dxa"/>
            <w:tcBorders>
              <w:right w:val="nil"/>
            </w:tcBorders>
          </w:tcPr>
          <w:p w14:paraId="468E0768" w14:textId="1E6B526D" w:rsidR="0037210B" w:rsidRPr="00B40D7D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1 246</w:t>
            </w:r>
          </w:p>
        </w:tc>
        <w:tc>
          <w:tcPr>
            <w:tcW w:w="1200" w:type="dxa"/>
            <w:tcBorders>
              <w:right w:val="nil"/>
            </w:tcBorders>
          </w:tcPr>
          <w:p w14:paraId="51BEED95" w14:textId="6057B410" w:rsidR="0037210B" w:rsidRPr="00B40D7D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90.</w:t>
            </w:r>
            <w:r w:rsidR="0037210B" w:rsidRPr="00B40D7D">
              <w:rPr>
                <w:sz w:val="16"/>
                <w:szCs w:val="16"/>
              </w:rPr>
              <w:t>0</w:t>
            </w:r>
          </w:p>
        </w:tc>
      </w:tr>
      <w:tr w:rsidR="0037210B" w:rsidRPr="009A4851" w14:paraId="4DBF5999" w14:textId="77777777" w:rsidTr="0037210B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37210B" w:rsidRPr="00D860E0" w:rsidRDefault="0037210B" w:rsidP="0037210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</w:tcPr>
          <w:p w14:paraId="69E2D56C" w14:textId="166D206A" w:rsidR="0037210B" w:rsidRPr="00B40D7D" w:rsidRDefault="0037210B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E22814D" w14:textId="3DF5823F" w:rsidR="0037210B" w:rsidRPr="00B40D7D" w:rsidRDefault="0037210B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right w:val="nil"/>
            </w:tcBorders>
          </w:tcPr>
          <w:p w14:paraId="4CC7447C" w14:textId="25DDE68A" w:rsidR="0037210B" w:rsidRPr="00B40D7D" w:rsidRDefault="0037210B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right w:val="nil"/>
            </w:tcBorders>
          </w:tcPr>
          <w:p w14:paraId="139B16E7" w14:textId="130E0135" w:rsidR="0037210B" w:rsidRPr="00B40D7D" w:rsidRDefault="0037210B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743</w:t>
            </w:r>
          </w:p>
        </w:tc>
        <w:tc>
          <w:tcPr>
            <w:tcW w:w="1200" w:type="dxa"/>
            <w:tcBorders>
              <w:right w:val="nil"/>
            </w:tcBorders>
          </w:tcPr>
          <w:p w14:paraId="3FCA44D4" w14:textId="1046803D" w:rsidR="0037210B" w:rsidRPr="00B40D7D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  <w:r w:rsidR="0037210B" w:rsidRPr="00B40D7D">
              <w:rPr>
                <w:sz w:val="16"/>
                <w:szCs w:val="16"/>
              </w:rPr>
              <w:t>8</w:t>
            </w:r>
          </w:p>
        </w:tc>
      </w:tr>
      <w:tr w:rsidR="0037210B" w:rsidRPr="009A4851" w14:paraId="2FCEF9DB" w14:textId="77777777" w:rsidTr="0037210B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37210B" w:rsidRPr="00D860E0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</w:tcPr>
          <w:p w14:paraId="7E5E83FB" w14:textId="7B4DB56E" w:rsidR="0037210B" w:rsidRPr="00B40D7D" w:rsidRDefault="0037210B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21</w:t>
            </w:r>
          </w:p>
        </w:tc>
        <w:tc>
          <w:tcPr>
            <w:tcW w:w="993" w:type="dxa"/>
          </w:tcPr>
          <w:p w14:paraId="0AFA2421" w14:textId="699A3F58" w:rsidR="0037210B" w:rsidRPr="00B40D7D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95.</w:t>
            </w:r>
            <w:r w:rsidR="0037210B" w:rsidRPr="00B40D7D">
              <w:rPr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right w:val="nil"/>
            </w:tcBorders>
          </w:tcPr>
          <w:p w14:paraId="3948C7DA" w14:textId="3038AE43" w:rsidR="0037210B" w:rsidRPr="00B40D7D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  <w:r w:rsidR="0037210B" w:rsidRPr="00B40D7D">
              <w:rPr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right w:val="nil"/>
            </w:tcBorders>
          </w:tcPr>
          <w:p w14:paraId="3827C313" w14:textId="164A098A" w:rsidR="0037210B" w:rsidRPr="00B40D7D" w:rsidRDefault="0037210B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227</w:t>
            </w:r>
          </w:p>
        </w:tc>
        <w:tc>
          <w:tcPr>
            <w:tcW w:w="1200" w:type="dxa"/>
            <w:tcBorders>
              <w:right w:val="nil"/>
            </w:tcBorders>
          </w:tcPr>
          <w:p w14:paraId="68737150" w14:textId="1FF744DD" w:rsidR="0037210B" w:rsidRPr="00B40D7D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  <w:r w:rsidR="0037210B" w:rsidRPr="00B40D7D">
              <w:rPr>
                <w:sz w:val="16"/>
                <w:szCs w:val="16"/>
              </w:rPr>
              <w:t>5</w:t>
            </w:r>
          </w:p>
        </w:tc>
      </w:tr>
      <w:tr w:rsidR="0037210B" w:rsidRPr="009A4851" w14:paraId="79AE12F9" w14:textId="77777777" w:rsidTr="0037210B">
        <w:trPr>
          <w:trHeight w:val="348"/>
        </w:trPr>
        <w:tc>
          <w:tcPr>
            <w:tcW w:w="2268" w:type="dxa"/>
            <w:vAlign w:val="center"/>
          </w:tcPr>
          <w:p w14:paraId="325420B3" w14:textId="669AE064" w:rsidR="0037210B" w:rsidRPr="00D860E0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</w:tcPr>
          <w:p w14:paraId="60773A35" w14:textId="57128D3C" w:rsidR="0037210B" w:rsidRPr="00B40D7D" w:rsidRDefault="0037210B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14:paraId="5900F285" w14:textId="38DB3C32" w:rsidR="0037210B" w:rsidRPr="00B40D7D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  <w:r w:rsidR="0037210B" w:rsidRPr="00B40D7D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right w:val="nil"/>
            </w:tcBorders>
          </w:tcPr>
          <w:p w14:paraId="1464CE68" w14:textId="2EA492F6" w:rsidR="0037210B" w:rsidRPr="00B40D7D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335.</w:t>
            </w:r>
            <w:r w:rsidR="0037210B" w:rsidRPr="00B40D7D">
              <w:rPr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right w:val="nil"/>
            </w:tcBorders>
          </w:tcPr>
          <w:p w14:paraId="7A4F2972" w14:textId="749AA529" w:rsidR="0037210B" w:rsidRPr="00B40D7D" w:rsidRDefault="0037210B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663</w:t>
            </w:r>
          </w:p>
        </w:tc>
        <w:tc>
          <w:tcPr>
            <w:tcW w:w="1200" w:type="dxa"/>
            <w:tcBorders>
              <w:right w:val="nil"/>
            </w:tcBorders>
          </w:tcPr>
          <w:p w14:paraId="49F5E70F" w14:textId="4D5957E4" w:rsidR="0037210B" w:rsidRPr="00B40D7D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123.</w:t>
            </w:r>
            <w:r w:rsidR="0037210B" w:rsidRPr="00B40D7D">
              <w:rPr>
                <w:sz w:val="16"/>
                <w:szCs w:val="16"/>
              </w:rPr>
              <w:t>5</w:t>
            </w:r>
          </w:p>
        </w:tc>
      </w:tr>
      <w:tr w:rsidR="0037210B" w:rsidRPr="009A4851" w14:paraId="16EEE8B3" w14:textId="77777777" w:rsidTr="0037210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37210B" w:rsidRPr="00D860E0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</w:tcPr>
          <w:p w14:paraId="6BBF9FB1" w14:textId="626BECFC" w:rsidR="0037210B" w:rsidRPr="00B40D7D" w:rsidRDefault="0037210B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212492"/>
            </w:tcBorders>
          </w:tcPr>
          <w:p w14:paraId="7201F845" w14:textId="77777777" w:rsidR="00AC083C" w:rsidRDefault="00AC083C" w:rsidP="0037210B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55-</w:t>
            </w:r>
          </w:p>
          <w:p w14:paraId="315E4888" w14:textId="509E6634" w:rsidR="0037210B" w:rsidRPr="00B40D7D" w:rsidRDefault="00AC083C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fold less</w:t>
            </w:r>
          </w:p>
        </w:tc>
        <w:tc>
          <w:tcPr>
            <w:tcW w:w="1135" w:type="dxa"/>
            <w:tcBorders>
              <w:bottom w:val="single" w:sz="4" w:space="0" w:color="212492"/>
              <w:right w:val="nil"/>
            </w:tcBorders>
          </w:tcPr>
          <w:p w14:paraId="09114D5F" w14:textId="278DFF99" w:rsidR="0037210B" w:rsidRPr="00B40D7D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  <w:r w:rsidR="0037210B" w:rsidRPr="00B40D7D">
              <w:rPr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212492"/>
              <w:right w:val="nil"/>
            </w:tcBorders>
          </w:tcPr>
          <w:p w14:paraId="77D1DF52" w14:textId="2A93E3D9" w:rsidR="0037210B" w:rsidRPr="00B40D7D" w:rsidRDefault="0037210B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0D7D">
              <w:rPr>
                <w:sz w:val="16"/>
                <w:szCs w:val="16"/>
              </w:rPr>
              <w:t>34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</w:tcPr>
          <w:p w14:paraId="49713444" w14:textId="250953EB" w:rsidR="0037210B" w:rsidRPr="00B40D7D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  <w:r w:rsidR="0037210B" w:rsidRPr="00B40D7D">
              <w:rPr>
                <w:sz w:val="16"/>
                <w:szCs w:val="16"/>
              </w:rPr>
              <w:t>7</w:t>
            </w:r>
          </w:p>
        </w:tc>
      </w:tr>
      <w:bookmarkEnd w:id="1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77777777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7B41B17F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06CFEA3A">
                <wp:simplePos x="0" y="0"/>
                <wp:positionH relativeFrom="rightMargin">
                  <wp:posOffset>140740</wp:posOffset>
                </wp:positionH>
                <wp:positionV relativeFrom="paragraph">
                  <wp:posOffset>258699</wp:posOffset>
                </wp:positionV>
                <wp:extent cx="17916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01-07 2022 by 3.9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6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46115FC7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51D40">
                              <w:rPr>
                                <w:lang w:val="en-US"/>
                              </w:rPr>
                              <w:t xml:space="preserve">the period </w:t>
                            </w:r>
                            <w:r w:rsidR="00965A18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B11C46">
                              <w:rPr>
                                <w:lang w:val="en-US"/>
                              </w:rPr>
                              <w:t>01-07</w:t>
                            </w:r>
                            <w:r w:rsidR="00921A7C" w:rsidRPr="00F520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D4B7C" w:rsidRPr="00F5200E">
                              <w:rPr>
                                <w:lang w:val="en-US"/>
                              </w:rPr>
                              <w:t>2022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B11C46">
                              <w:rPr>
                                <w:lang w:val="en-US"/>
                              </w:rPr>
                              <w:t>3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B11C46">
                              <w:rPr>
                                <w:lang w:val="en-US"/>
                              </w:rPr>
                              <w:t>9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the period of 01-07 2022 by 3.9% y/y " style="position:absolute;margin-left:11.1pt;margin-top:20.35pt;width:141.0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" filled="f" stroked="f" strokeweight=".5pt">
                <v:textbox>
                  <w:txbxContent>
                    <w:p w14:paraId="35DCCB4E" w14:textId="46115FC7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 w:rsidR="00651D40">
                        <w:rPr>
                          <w:lang w:val="en-US"/>
                        </w:rPr>
                        <w:t xml:space="preserve">the period </w:t>
                      </w:r>
                      <w:r w:rsidR="00965A18">
                        <w:rPr>
                          <w:lang w:val="en-US"/>
                        </w:rPr>
                        <w:t xml:space="preserve">of </w:t>
                      </w:r>
                      <w:r w:rsidR="00B11C46">
                        <w:rPr>
                          <w:lang w:val="en-US"/>
                        </w:rPr>
                        <w:t>01-07</w:t>
                      </w:r>
                      <w:r w:rsidR="00921A7C" w:rsidRPr="00F5200E">
                        <w:rPr>
                          <w:lang w:val="en-US"/>
                        </w:rPr>
                        <w:t xml:space="preserve"> </w:t>
                      </w:r>
                      <w:r w:rsidR="00ED4B7C" w:rsidRPr="00F5200E">
                        <w:rPr>
                          <w:lang w:val="en-US"/>
                        </w:rPr>
                        <w:t>2022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B11C46">
                        <w:rPr>
                          <w:lang w:val="en-US"/>
                        </w:rPr>
                        <w:t>3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B11C46">
                        <w:rPr>
                          <w:lang w:val="en-US"/>
                        </w:rPr>
                        <w:t>9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57BC3957" w:rsidR="00C47CE4" w:rsidRPr="004829B9" w:rsidRDefault="00B40D7D" w:rsidP="00896EB9">
      <w:pPr>
        <w:rPr>
          <w:b/>
          <w:shd w:val="clear" w:color="auto" w:fill="FFFFFF"/>
          <w:lang w:val="en-GB"/>
        </w:rPr>
      </w:pPr>
      <w:r w:rsidRPr="00B40D7D">
        <w:rPr>
          <w:noProof/>
          <w:lang w:val="en-GB" w:eastAsia="pl-PL"/>
        </w:rPr>
        <w:t xml:space="preserve">From the beginning of </w:t>
      </w:r>
      <w:r w:rsidR="00AC083C">
        <w:rPr>
          <w:noProof/>
          <w:lang w:val="en-GB" w:eastAsia="pl-PL"/>
        </w:rPr>
        <w:t>January</w:t>
      </w:r>
      <w:r>
        <w:rPr>
          <w:noProof/>
          <w:lang w:val="en-GB" w:eastAsia="pl-PL"/>
        </w:rPr>
        <w:t xml:space="preserve"> until the end of July </w:t>
      </w:r>
      <w:r w:rsidR="004862A6">
        <w:rPr>
          <w:noProof/>
          <w:lang w:val="en-GB" w:eastAsia="pl-PL"/>
        </w:rPr>
        <w:t>2022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B11C46">
        <w:rPr>
          <w:shd w:val="clear" w:color="auto" w:fill="FFFFFF"/>
          <w:lang w:val="en-GB"/>
        </w:rPr>
        <w:t>192</w:t>
      </w:r>
      <w:r w:rsidR="00DE7DD4">
        <w:rPr>
          <w:shd w:val="clear" w:color="auto" w:fill="FFFFFF"/>
          <w:lang w:val="en-GB"/>
        </w:rPr>
        <w:t>.</w:t>
      </w:r>
      <w:r w:rsidR="00853590">
        <w:rPr>
          <w:shd w:val="clear" w:color="auto" w:fill="FFFFFF"/>
          <w:lang w:val="en-GB"/>
        </w:rPr>
        <w:t>8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B11C46">
        <w:rPr>
          <w:shd w:val="clear" w:color="auto" w:fill="FFFFFF"/>
          <w:lang w:val="en-GB"/>
        </w:rPr>
        <w:t>3</w:t>
      </w:r>
      <w:r w:rsidR="00E245E1" w:rsidRPr="004829B9">
        <w:rPr>
          <w:shd w:val="clear" w:color="auto" w:fill="FFFFFF"/>
          <w:lang w:val="en-GB"/>
        </w:rPr>
        <w:t>.</w:t>
      </w:r>
      <w:r w:rsidR="00B11C46">
        <w:rPr>
          <w:shd w:val="clear" w:color="auto" w:fill="FFFFFF"/>
          <w:lang w:val="en-GB"/>
        </w:rPr>
        <w:t>9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4862A6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C47CE4" w:rsidRPr="00970E01">
        <w:rPr>
          <w:shd w:val="clear" w:color="auto" w:fill="FFFFFF"/>
          <w:lang w:val="en-GB"/>
        </w:rPr>
        <w:t>than in</w:t>
      </w:r>
      <w:r w:rsidR="00ED4B7C" w:rsidRPr="00970E01">
        <w:rPr>
          <w:shd w:val="clear" w:color="auto" w:fill="FFFFFF"/>
          <w:lang w:val="en-GB"/>
        </w:rPr>
        <w:t xml:space="preserve"> the corresponding </w:t>
      </w:r>
      <w:r w:rsidR="00B769F0">
        <w:rPr>
          <w:shd w:val="clear" w:color="auto" w:fill="FFFFFF"/>
          <w:lang w:val="en-GB"/>
        </w:rPr>
        <w:t>period</w:t>
      </w:r>
      <w:r w:rsidR="00ED4B7C" w:rsidRPr="00970E01">
        <w:rPr>
          <w:shd w:val="clear" w:color="auto" w:fill="FFFFFF"/>
          <w:lang w:val="en-GB"/>
        </w:rPr>
        <w:t xml:space="preserve"> of</w:t>
      </w:r>
      <w:r w:rsidR="00C47CE4" w:rsidRPr="00970E01">
        <w:rPr>
          <w:shd w:val="clear" w:color="auto" w:fill="FFFFFF"/>
          <w:lang w:val="en-GB"/>
        </w:rPr>
        <w:t xml:space="preserve"> </w:t>
      </w:r>
      <w:r w:rsidR="00ED4B7C" w:rsidRPr="00970E01">
        <w:rPr>
          <w:shd w:val="clear" w:color="auto" w:fill="FFFFFF"/>
          <w:lang w:val="en-GB"/>
        </w:rPr>
        <w:t>2021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B11C46">
        <w:rPr>
          <w:shd w:val="clear" w:color="auto" w:fill="FFFFFF"/>
          <w:lang w:val="en-GB"/>
        </w:rPr>
        <w:t>131</w:t>
      </w:r>
      <w:r w:rsidR="00853590">
        <w:rPr>
          <w:shd w:val="clear" w:color="auto" w:fill="FFFFFF"/>
          <w:lang w:val="en-GB"/>
        </w:rPr>
        <w:t>.5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965A18">
        <w:rPr>
          <w:shd w:val="clear" w:color="auto" w:fill="FFFFFF"/>
          <w:lang w:val="en-GB"/>
        </w:rPr>
        <w:t>, a</w:t>
      </w:r>
      <w:r w:rsidR="007D6064">
        <w:rPr>
          <w:shd w:val="clear" w:color="auto" w:fill="FFFFFF"/>
          <w:lang w:val="en-GB"/>
        </w:rPr>
        <w:t>n in</w:t>
      </w:r>
      <w:r w:rsidR="00B11C46">
        <w:rPr>
          <w:shd w:val="clear" w:color="auto" w:fill="FFFFFF"/>
          <w:lang w:val="en-GB"/>
        </w:rPr>
        <w:t>crease of 4.1</w:t>
      </w:r>
      <w:r w:rsidR="008A130C">
        <w:rPr>
          <w:shd w:val="clear" w:color="auto" w:fill="FFFFFF"/>
          <w:lang w:val="en-GB"/>
        </w:rPr>
        <w:t>%</w:t>
      </w:r>
      <w:r w:rsidR="00FE3A83">
        <w:rPr>
          <w:shd w:val="clear" w:color="auto" w:fill="FFFFFF"/>
          <w:lang w:val="en-GB"/>
        </w:rPr>
        <w:t xml:space="preserve">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B11C46">
        <w:rPr>
          <w:shd w:val="clear" w:color="auto" w:fill="FFFFFF"/>
          <w:lang w:val="en-GB"/>
        </w:rPr>
        <w:t>58</w:t>
      </w:r>
      <w:r w:rsidR="00DE7DD4">
        <w:rPr>
          <w:shd w:val="clear" w:color="auto" w:fill="FFFFFF"/>
          <w:lang w:val="en-GB"/>
        </w:rPr>
        <w:t>.</w:t>
      </w:r>
      <w:r w:rsidR="00B11C46">
        <w:rPr>
          <w:shd w:val="clear" w:color="auto" w:fill="FFFFFF"/>
          <w:lang w:val="en-GB"/>
        </w:rPr>
        <w:t>4 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B11C46">
        <w:rPr>
          <w:shd w:val="clear" w:color="auto" w:fill="FFFFFF"/>
          <w:lang w:val="en-GB"/>
        </w:rPr>
        <w:t>, a decrease of 18.8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7E7CF5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B11C46">
        <w:rPr>
          <w:shd w:val="clear" w:color="auto" w:fill="FFFFFF"/>
          <w:lang w:val="en-GB"/>
        </w:rPr>
        <w:t>5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651D40">
        <w:rPr>
          <w:spacing w:val="-4"/>
          <w:shd w:val="clear" w:color="auto" w:fill="FFFFFF"/>
          <w:lang w:val="en-GB"/>
        </w:rPr>
        <w:t>2</w:t>
      </w:r>
      <w:r w:rsidR="007E7CF5">
        <w:rPr>
          <w:spacing w:val="-4"/>
          <w:shd w:val="clear" w:color="auto" w:fill="FFFFFF"/>
          <w:lang w:val="en-GB"/>
        </w:rPr>
        <w:t> </w:t>
      </w:r>
      <w:r w:rsidR="00B11C46">
        <w:rPr>
          <w:spacing w:val="-4"/>
          <w:shd w:val="clear" w:color="auto" w:fill="FFFFFF"/>
          <w:lang w:val="en-GB"/>
        </w:rPr>
        <w:t>823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853590">
        <w:rPr>
          <w:shd w:val="clear" w:color="auto" w:fill="FFFFFF"/>
          <w:lang w:val="en-GB"/>
        </w:rPr>
        <w:t>2</w:t>
      </w:r>
      <w:r w:rsidR="00C6450A">
        <w:rPr>
          <w:shd w:val="clear" w:color="auto" w:fill="FFFFFF"/>
          <w:lang w:val="en-GB"/>
        </w:rPr>
        <w:t xml:space="preserve"> </w:t>
      </w:r>
      <w:r w:rsidR="00B11C46">
        <w:rPr>
          <w:shd w:val="clear" w:color="auto" w:fill="FFFFFF"/>
          <w:lang w:val="en-GB"/>
        </w:rPr>
        <w:t>354</w:t>
      </w:r>
      <w:r w:rsidR="003B4D4B" w:rsidRPr="003B4D4B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7E02D8" w:rsidRDefault="00896EB9" w:rsidP="00DE7DD4">
      <w:pPr>
        <w:pStyle w:val="tytuwykresu"/>
        <w:ind w:left="709" w:hanging="709"/>
        <w:rPr>
          <w:sz w:val="19"/>
          <w:szCs w:val="19"/>
          <w:shd w:val="clear" w:color="auto" w:fill="FFFFFF"/>
          <w:lang w:val="en-GB"/>
        </w:rPr>
      </w:pPr>
      <w:r w:rsidRPr="007E02D8">
        <w:rPr>
          <w:sz w:val="19"/>
          <w:szCs w:val="19"/>
          <w:shd w:val="clear" w:color="auto" w:fill="FFFFFF"/>
          <w:lang w:val="en-GB"/>
        </w:rPr>
        <w:t xml:space="preserve">Table 2. Dwellings for which permits have been granted or which have been registered with </w:t>
      </w:r>
      <w:r w:rsidRPr="007E02D8">
        <w:rPr>
          <w:sz w:val="19"/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512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for which permits have been granted or which have been registered with a construction project&#10;"/>
      </w:tblPr>
      <w:tblGrid>
        <w:gridCol w:w="2268"/>
        <w:gridCol w:w="1276"/>
        <w:gridCol w:w="1276"/>
        <w:gridCol w:w="992"/>
        <w:gridCol w:w="1134"/>
        <w:gridCol w:w="1075"/>
      </w:tblGrid>
      <w:tr w:rsidR="009A4851" w:rsidRPr="009A4851" w14:paraId="0C48CC75" w14:textId="77777777" w:rsidTr="005B5CB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D81CFA6" w14:textId="13BB24C5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7E7CF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07E74E" w14:textId="2C8CF145" w:rsidR="009A4851" w:rsidRPr="007E7CF5" w:rsidRDefault="00B819E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20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2414034" w14:textId="30822439" w:rsidR="009A4851" w:rsidRPr="007E7CF5" w:rsidRDefault="00B819E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01-07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D216F9" w:rsidRPr="009A4851" w14:paraId="2B29CAA9" w14:textId="77777777" w:rsidTr="00C6450A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D85581" w14:textId="77777777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9552E20" w14:textId="6C76B806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7498F" w14:textId="536F3D85" w:rsidR="009A4851" w:rsidRPr="007E7CF5" w:rsidRDefault="00B819E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2DB4D0" w14:textId="2B25C9A3" w:rsidR="009A4851" w:rsidRPr="007E7CF5" w:rsidRDefault="00CB1178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</w:t>
            </w:r>
            <w:r w:rsid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7E5C71" w14:textId="518752DB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BAD1C77" w14:textId="1411DA25" w:rsidR="009A4851" w:rsidRPr="007E7CF5" w:rsidRDefault="00B819E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01-07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37210B" w:rsidRPr="00F5200E" w14:paraId="6D5F4864" w14:textId="77777777" w:rsidTr="00205285">
        <w:trPr>
          <w:trHeight w:val="53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D508F88" w14:textId="441051A1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69F41F4" w14:textId="21AB1B66" w:rsidR="0037210B" w:rsidRPr="00F5200E" w:rsidRDefault="0037210B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21 987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6B1F6B1" w14:textId="40E9DC1E" w:rsidR="0037210B" w:rsidRPr="00F5200E" w:rsidRDefault="003F4329" w:rsidP="0037210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76.</w:t>
            </w:r>
            <w:r w:rsidR="0037210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451E854" w14:textId="6973D595" w:rsidR="0037210B" w:rsidRPr="00F5200E" w:rsidRDefault="003F4329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63.</w:t>
            </w:r>
            <w:r w:rsidR="0037210B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54A9416" w14:textId="4F7C4724" w:rsidR="0037210B" w:rsidRPr="00F5200E" w:rsidRDefault="0037210B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192 790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49200B53" w14:textId="599D625C" w:rsidR="0037210B" w:rsidRPr="00F5200E" w:rsidRDefault="003F4329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96.</w:t>
            </w:r>
            <w:r w:rsidR="0037210B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210B" w:rsidRPr="007E4736" w14:paraId="2637820A" w14:textId="77777777" w:rsidTr="0037210B">
        <w:trPr>
          <w:trHeight w:val="53"/>
        </w:trPr>
        <w:tc>
          <w:tcPr>
            <w:tcW w:w="2268" w:type="dxa"/>
            <w:vAlign w:val="center"/>
          </w:tcPr>
          <w:p w14:paraId="7B690AFA" w14:textId="6171857A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7D71355" w14:textId="6B01875D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10D56C1" w14:textId="40ED7ED3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7C610C4" w14:textId="7B55F16B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47E0332" w14:textId="07F40129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58 445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514D86C1" w14:textId="3C026762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7210B" w:rsidRPr="007E4736" w14:paraId="46C7F9F7" w14:textId="77777777" w:rsidTr="0037210B">
        <w:trPr>
          <w:trHeight w:val="359"/>
        </w:trPr>
        <w:tc>
          <w:tcPr>
            <w:tcW w:w="2268" w:type="dxa"/>
            <w:vAlign w:val="center"/>
          </w:tcPr>
          <w:p w14:paraId="3A849100" w14:textId="243615BC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tcBorders>
              <w:top w:val="single" w:sz="8" w:space="0" w:color="212492"/>
              <w:left w:val="single" w:sz="8" w:space="0" w:color="212492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0ABB7EE6" w14:textId="63BB0A90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14 017</w:t>
            </w:r>
          </w:p>
        </w:tc>
        <w:tc>
          <w:tcPr>
            <w:tcW w:w="1276" w:type="dxa"/>
            <w:tcBorders>
              <w:top w:val="single" w:sz="8" w:space="0" w:color="212492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5600057C" w14:textId="4F185AD2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  <w:r w:rsidR="003F4329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59DF4E45" w14:textId="2C00B1D1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212492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66CAA04E" w14:textId="7E2E6BE9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131 522</w:t>
            </w:r>
          </w:p>
        </w:tc>
        <w:tc>
          <w:tcPr>
            <w:tcW w:w="1075" w:type="dxa"/>
            <w:tcBorders>
              <w:top w:val="single" w:sz="8" w:space="0" w:color="21249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4B81E" w14:textId="2691FF09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7210B" w:rsidRPr="009A4851" w14:paraId="35BFA825" w14:textId="77777777" w:rsidTr="0037210B">
        <w:trPr>
          <w:trHeight w:val="376"/>
        </w:trPr>
        <w:tc>
          <w:tcPr>
            <w:tcW w:w="2268" w:type="dxa"/>
            <w:vAlign w:val="center"/>
          </w:tcPr>
          <w:p w14:paraId="00CD52E0" w14:textId="7279F439" w:rsidR="0037210B" w:rsidRPr="007E7CF5" w:rsidRDefault="0037210B" w:rsidP="0037210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FF0FC31" w14:textId="75B09A20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B07D312" w14:textId="78434358" w:rsidR="0037210B" w:rsidRPr="007E7CF5" w:rsidRDefault="00CB1178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almost 14-fold less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63934BA" w14:textId="0084FFA4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BA89F95" w14:textId="00C9998E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1EFEF311" w14:textId="12E82B8A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37210B" w:rsidRPr="009A4851" w14:paraId="0015929B" w14:textId="77777777" w:rsidTr="00205285">
        <w:trPr>
          <w:trHeight w:val="53"/>
        </w:trPr>
        <w:tc>
          <w:tcPr>
            <w:tcW w:w="2268" w:type="dxa"/>
            <w:vAlign w:val="center"/>
          </w:tcPr>
          <w:p w14:paraId="14A26C89" w14:textId="1C5207BC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62A761F" w14:textId="39B24BFB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6025F80" w14:textId="748E9C97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4167BFA" w14:textId="725D9665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D9F14CB" w14:textId="4D10B2C1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1 360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7AED63AB" w14:textId="38D5CC76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226.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37210B" w:rsidRPr="009A4851" w14:paraId="3AD83B84" w14:textId="77777777" w:rsidTr="0037210B">
        <w:trPr>
          <w:trHeight w:val="328"/>
        </w:trPr>
        <w:tc>
          <w:tcPr>
            <w:tcW w:w="2268" w:type="dxa"/>
            <w:vAlign w:val="center"/>
          </w:tcPr>
          <w:p w14:paraId="56A604F8" w14:textId="113102C4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A1994EF" w14:textId="5B1A207D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2735917" w14:textId="363E481D" w:rsidR="0037210B" w:rsidRPr="007E7CF5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1E2D66AE" w14:textId="69882045" w:rsidR="0037210B" w:rsidRPr="007E7CF5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EC8D1D7" w14:textId="6350E31D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09271188" w14:textId="45B40394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37210B" w:rsidRPr="009A4851" w14:paraId="20CDE87C" w14:textId="77777777" w:rsidTr="0037210B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46FF7C5" w14:textId="6440DEAF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top w:val="single" w:sz="8" w:space="0" w:color="212492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2680F89D" w14:textId="3FA7E069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212492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3CCE73C8" w14:textId="3F1DC7FE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573C83D7" w14:textId="0F955FD4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212492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479AB42F" w14:textId="7B9B3EBF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5" w:type="dxa"/>
            <w:tcBorders>
              <w:top w:val="single" w:sz="8" w:space="0" w:color="21249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F4A31" w14:textId="6F9D8300" w:rsidR="0037210B" w:rsidRPr="007E7CF5" w:rsidRDefault="00CB1178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11-fold less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E55DC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0F4EA4F3" w:rsidR="00095A18" w:rsidRPr="004829B9" w:rsidRDefault="002034A6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From the begging of the year till the end of 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July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136.0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, i.e. by 20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.2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3F4329">
        <w:rPr>
          <w:b w:val="0"/>
          <w:sz w:val="19"/>
          <w:szCs w:val="19"/>
          <w:shd w:val="clear" w:color="auto" w:fill="FFFFFF"/>
          <w:lang w:val="en-GB"/>
        </w:rPr>
        <w:t>79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3F4329">
        <w:rPr>
          <w:b w:val="0"/>
          <w:sz w:val="19"/>
          <w:szCs w:val="19"/>
          <w:shd w:val="clear" w:color="auto" w:fill="FFFFFF"/>
          <w:lang w:val="en-GB"/>
        </w:rPr>
        <w:t>9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22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1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8857DD">
        <w:rPr>
          <w:b w:val="0"/>
          <w:sz w:val="19"/>
          <w:szCs w:val="19"/>
          <w:shd w:val="clear" w:color="auto" w:fill="FFFFFF"/>
          <w:lang w:val="en-GB"/>
        </w:rPr>
        <w:t xml:space="preserve">investors of </w:t>
      </w:r>
      <w:r w:rsidR="003F4329">
        <w:rPr>
          <w:b w:val="0"/>
          <w:sz w:val="19"/>
          <w:szCs w:val="19"/>
          <w:shd w:val="clear" w:color="auto" w:fill="FFFFFF"/>
          <w:lang w:val="en-GB"/>
        </w:rPr>
        <w:t>54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3F4329">
        <w:rPr>
          <w:b w:val="0"/>
          <w:sz w:val="19"/>
          <w:szCs w:val="19"/>
          <w:shd w:val="clear" w:color="auto" w:fill="FFFFFF"/>
          <w:lang w:val="en-GB"/>
        </w:rPr>
        <w:t>0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(by 16.6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4AA8" w:rsidRPr="00050CDE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 w:rsidRPr="00050CDE">
        <w:rPr>
          <w:b w:val="0"/>
          <w:sz w:val="19"/>
          <w:szCs w:val="19"/>
          <w:shd w:val="clear" w:color="auto" w:fill="FFFFFF"/>
          <w:lang w:val="en-GB"/>
        </w:rPr>
        <w:t>.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5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2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091</w:t>
      </w:r>
      <w:r w:rsidR="003B4D4B" w:rsidRPr="003B4D4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3</w:t>
      </w:r>
      <w:r w:rsidR="001C4A4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11C46">
        <w:rPr>
          <w:b w:val="0"/>
          <w:sz w:val="19"/>
          <w:szCs w:val="19"/>
          <w:shd w:val="clear" w:color="auto" w:fill="FFFFFF"/>
          <w:lang w:val="en-GB"/>
        </w:rPr>
        <w:t>028</w:t>
      </w:r>
      <w:r w:rsidR="00BB44BD" w:rsidRPr="00BB4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7E02D8" w:rsidRDefault="00B4601E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7E02D8">
        <w:rPr>
          <w:bCs/>
          <w:sz w:val="19"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3"/>
        <w:tblpPr w:leftFromText="141" w:rightFromText="141" w:vertAnchor="text" w:horzAnchor="margin" w:tblpY="98"/>
        <w:tblW w:w="8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276"/>
        <w:gridCol w:w="992"/>
        <w:gridCol w:w="1134"/>
        <w:gridCol w:w="1220"/>
      </w:tblGrid>
      <w:tr w:rsidR="009A4851" w:rsidRPr="009A4851" w14:paraId="05C8F68F" w14:textId="77777777" w:rsidTr="005B5CBB">
        <w:trPr>
          <w:trHeight w:val="2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762BC9A9" w14:textId="5146E145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7E7CF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E44FE9" w14:textId="0A522512" w:rsidR="009A4851" w:rsidRPr="007E7CF5" w:rsidRDefault="00B819E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9DA4655" w14:textId="1509C1AD" w:rsidR="009A4851" w:rsidRPr="007E7CF5" w:rsidRDefault="00B819E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01-07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489BFE3C" w14:textId="77777777" w:rsidTr="005B5CBB">
        <w:trPr>
          <w:trHeight w:val="31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A790F6" w14:textId="77777777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70EC01" w14:textId="5CC9EB01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131ADCE0" w14:textId="6E2EE8D1" w:rsidR="009A4851" w:rsidRPr="007E7CF5" w:rsidRDefault="00CB1178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</w:t>
            </w:r>
            <w:r w:rsid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7C2881" w:rsidRPr="007E7CF5">
              <w:rPr>
                <w:color w:val="000000" w:themeColor="text1"/>
                <w:sz w:val="16"/>
                <w:szCs w:val="16"/>
              </w:rPr>
              <w:t>2021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8983041" w14:textId="5FE7FBF7" w:rsidR="009A4851" w:rsidRPr="007E7CF5" w:rsidRDefault="00CB1178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06 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17FEDE7" w14:textId="081B4643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2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3D68AEA" w14:textId="45AEA265" w:rsidR="009A4851" w:rsidRPr="007E7CF5" w:rsidRDefault="00CB1178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01-07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37210B" w:rsidRPr="009A4851" w14:paraId="77437A33" w14:textId="77777777" w:rsidTr="00DF321A">
        <w:trPr>
          <w:trHeight w:val="7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23752BB9" w14:textId="2BFD9BDC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11B2F92" w14:textId="7F05B100" w:rsidR="0037210B" w:rsidRPr="007E7CF5" w:rsidRDefault="0037210B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16 277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6AFCEC4C" w14:textId="55AD072C" w:rsidR="0037210B" w:rsidRPr="007E7CF5" w:rsidRDefault="003F4329" w:rsidP="0037210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63.</w:t>
            </w:r>
            <w:r w:rsidR="0037210B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04020DE8" w14:textId="1788E798" w:rsidR="0037210B" w:rsidRPr="007E7CF5" w:rsidRDefault="003F4329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67.</w:t>
            </w:r>
            <w:r w:rsidR="0037210B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DDC3F24" w14:textId="0F03BDF2" w:rsidR="0037210B" w:rsidRPr="007E7CF5" w:rsidRDefault="0037210B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135 984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56F3B51" w14:textId="6A71C864" w:rsidR="0037210B" w:rsidRPr="007E7CF5" w:rsidRDefault="003F4329" w:rsidP="0037210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79.</w:t>
            </w:r>
            <w:r w:rsidR="0037210B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37210B" w:rsidRPr="007E4736" w14:paraId="0A3795FF" w14:textId="77777777" w:rsidTr="0037210B">
        <w:trPr>
          <w:trHeight w:val="220"/>
        </w:trPr>
        <w:tc>
          <w:tcPr>
            <w:tcW w:w="2268" w:type="dxa"/>
            <w:vAlign w:val="center"/>
          </w:tcPr>
          <w:p w14:paraId="72B3E651" w14:textId="32B606C3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A97B1ED" w14:textId="3A4767AC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7 571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891BEB8" w14:textId="10EB7A95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7A4E68CA" w14:textId="20DBD317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D170652" w14:textId="553FDBB7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53 971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75A31DB" w14:textId="67026EF7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7210B" w:rsidRPr="007E4736" w14:paraId="05612C2F" w14:textId="77777777" w:rsidTr="0037210B">
        <w:trPr>
          <w:trHeight w:val="220"/>
        </w:trPr>
        <w:tc>
          <w:tcPr>
            <w:tcW w:w="2268" w:type="dxa"/>
            <w:vAlign w:val="center"/>
          </w:tcPr>
          <w:p w14:paraId="11821FA5" w14:textId="64B94D49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tcBorders>
              <w:top w:val="single" w:sz="8" w:space="0" w:color="212492"/>
              <w:left w:val="single" w:sz="8" w:space="0" w:color="212492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4804C5C6" w14:textId="78B0C023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8 359</w:t>
            </w:r>
          </w:p>
        </w:tc>
        <w:tc>
          <w:tcPr>
            <w:tcW w:w="1276" w:type="dxa"/>
            <w:tcBorders>
              <w:top w:val="single" w:sz="8" w:space="0" w:color="212492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7A2405AF" w14:textId="03DA901C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52FAF2B9" w14:textId="5A831211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212492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003E8FA2" w14:textId="6ABF0040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79 922</w:t>
            </w:r>
          </w:p>
        </w:tc>
        <w:tc>
          <w:tcPr>
            <w:tcW w:w="1220" w:type="dxa"/>
            <w:tcBorders>
              <w:top w:val="single" w:sz="8" w:space="0" w:color="21249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8E6F5" w14:textId="244895E4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37210B" w:rsidRPr="007E4736" w14:paraId="42F7773F" w14:textId="77777777" w:rsidTr="0037210B">
        <w:trPr>
          <w:trHeight w:val="234"/>
        </w:trPr>
        <w:tc>
          <w:tcPr>
            <w:tcW w:w="2268" w:type="dxa"/>
            <w:vAlign w:val="center"/>
          </w:tcPr>
          <w:p w14:paraId="7BE8CD94" w14:textId="56A611D1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2D23A40C" w14:textId="02393C9D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4B592ECF" w14:textId="464BA64D" w:rsidR="0037210B" w:rsidRPr="007E7CF5" w:rsidRDefault="003F4329" w:rsidP="003721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242.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37659BDC" w14:textId="387393C5" w:rsidR="0037210B" w:rsidRPr="007E7CF5" w:rsidRDefault="00CB1178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over 13-fold more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14:paraId="50190689" w14:textId="57E290A8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14:paraId="6B1C97C6" w14:textId="2F67359F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7210B" w:rsidRPr="009A4851" w14:paraId="100B4DA8" w14:textId="77777777" w:rsidTr="00DF321A">
        <w:trPr>
          <w:trHeight w:val="226"/>
        </w:trPr>
        <w:tc>
          <w:tcPr>
            <w:tcW w:w="2268" w:type="dxa"/>
            <w:vAlign w:val="center"/>
          </w:tcPr>
          <w:p w14:paraId="2AA69084" w14:textId="5DFAA12C" w:rsidR="0037210B" w:rsidRPr="007E7CF5" w:rsidRDefault="0037210B" w:rsidP="0037210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14:paraId="5302EF9E" w14:textId="4E2F13B5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14:paraId="32AF6E2B" w14:textId="7953ABB6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14:paraId="0F22456F" w14:textId="4E74019C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14:paraId="30CE76B0" w14:textId="6D78EA63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BFCB9" w14:textId="59BC7040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7210B" w:rsidRPr="009A4851" w14:paraId="582C0DF5" w14:textId="77777777" w:rsidTr="00DF321A">
        <w:trPr>
          <w:trHeight w:val="74"/>
        </w:trPr>
        <w:tc>
          <w:tcPr>
            <w:tcW w:w="2268" w:type="dxa"/>
            <w:vAlign w:val="center"/>
          </w:tcPr>
          <w:p w14:paraId="1CAED0AB" w14:textId="01BDF0CA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7F128" w14:textId="1A3F136C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B7ED8" w14:textId="0DF82498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E1349" w14:textId="025BCFC1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6CA3B" w14:textId="73EFA8BC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793D29" w14:textId="6EB4B214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7210B" w:rsidRPr="009A4851" w14:paraId="52C7D605" w14:textId="77777777" w:rsidTr="0037210B">
        <w:trPr>
          <w:trHeight w:val="74"/>
        </w:trPr>
        <w:tc>
          <w:tcPr>
            <w:tcW w:w="2268" w:type="dxa"/>
            <w:vAlign w:val="center"/>
          </w:tcPr>
          <w:p w14:paraId="2D205575" w14:textId="04492E9C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B4118" w14:textId="1ADDE005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D1C86" w14:textId="426C6A61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737.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BFC3F" w14:textId="5D087259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302.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8E63C" w14:textId="3A638188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35749F" w14:textId="710992A7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37210B" w:rsidRPr="009A4851" w14:paraId="119FBF81" w14:textId="77777777" w:rsidTr="0037210B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76A6AFC" w14:textId="08F860D3" w:rsidR="0037210B" w:rsidRPr="007E7CF5" w:rsidRDefault="0037210B" w:rsidP="0037210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28973857" w14:textId="1433EF66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4C591F92" w14:textId="4A7534B0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121D0633" w14:textId="7D5258AA" w:rsidR="0037210B" w:rsidRPr="007E7CF5" w:rsidRDefault="0037210B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212492"/>
            </w:tcBorders>
            <w:shd w:val="clear" w:color="auto" w:fill="auto"/>
            <w:vAlign w:val="center"/>
          </w:tcPr>
          <w:p w14:paraId="7E83840D" w14:textId="04C6D2E1" w:rsidR="0037210B" w:rsidRPr="0037210B" w:rsidRDefault="0037210B" w:rsidP="0037210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210B">
              <w:rPr>
                <w:rFonts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DE967" w14:textId="58395A7C" w:rsidR="0037210B" w:rsidRPr="007E7CF5" w:rsidRDefault="003F4329" w:rsidP="0037210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</w:t>
            </w:r>
            <w:r w:rsidR="0037210B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34D75009" w14:textId="658AFEB9" w:rsidR="00154AC9" w:rsidRPr="00B11C46" w:rsidRDefault="005D23AA" w:rsidP="00B11C46">
      <w:pPr>
        <w:spacing w:before="0"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="008B64BD" w:rsidRPr="004829B9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B11C46">
        <w:rPr>
          <w:szCs w:val="19"/>
          <w:shd w:val="clear" w:color="auto" w:fill="FFFFFF"/>
          <w:lang w:val="en-GB"/>
        </w:rPr>
        <w:t>July</w:t>
      </w:r>
      <w:r w:rsidR="003969D1">
        <w:rPr>
          <w:szCs w:val="19"/>
          <w:shd w:val="clear" w:color="auto" w:fill="FFFFFF"/>
          <w:lang w:val="en-GB"/>
        </w:rPr>
        <w:t xml:space="preserve"> 2022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B11C46">
        <w:rPr>
          <w:szCs w:val="19"/>
          <w:shd w:val="clear" w:color="auto" w:fill="FFFFFF"/>
          <w:lang w:val="en-GB"/>
        </w:rPr>
        <w:t>880</w:t>
      </w:r>
      <w:r w:rsidR="00D93EA6">
        <w:rPr>
          <w:szCs w:val="19"/>
          <w:shd w:val="clear" w:color="auto" w:fill="FFFFFF"/>
          <w:lang w:val="en-GB"/>
        </w:rPr>
        <w:t>.</w:t>
      </w:r>
      <w:r w:rsidR="00B11C46">
        <w:rPr>
          <w:szCs w:val="19"/>
          <w:shd w:val="clear" w:color="auto" w:fill="FFFFFF"/>
          <w:lang w:val="en-GB"/>
        </w:rPr>
        <w:t>3</w:t>
      </w:r>
      <w:r w:rsidR="00D93EA6" w:rsidRP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B11C46">
        <w:rPr>
          <w:szCs w:val="19"/>
          <w:shd w:val="clear" w:color="auto" w:fill="FFFFFF"/>
          <w:lang w:val="en-GB"/>
        </w:rPr>
        <w:t>0.7</w:t>
      </w:r>
      <w:r w:rsidRPr="004829B9">
        <w:rPr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332CA8">
        <w:rPr>
          <w:szCs w:val="19"/>
          <w:shd w:val="clear" w:color="auto" w:fill="FFFFFF"/>
          <w:lang w:val="en-GB"/>
        </w:rPr>
        <w:t>period</w:t>
      </w:r>
      <w:r w:rsidR="003969D1">
        <w:rPr>
          <w:szCs w:val="19"/>
          <w:shd w:val="clear" w:color="auto" w:fill="FFFFFF"/>
          <w:lang w:val="en-GB"/>
        </w:rPr>
        <w:t xml:space="preserve"> of 2021</w:t>
      </w:r>
      <w:r w:rsidR="00AA22EE" w:rsidRPr="004829B9">
        <w:rPr>
          <w:szCs w:val="19"/>
          <w:shd w:val="clear" w:color="auto" w:fill="FFFFFF"/>
          <w:lang w:val="en-GB"/>
        </w:rPr>
        <w:t>.</w:t>
      </w:r>
    </w:p>
    <w:p w14:paraId="2E8A539A" w14:textId="557E8BB6" w:rsidR="007207E6" w:rsidRPr="007E02D8" w:rsidRDefault="00AD1492" w:rsidP="007E02D8">
      <w:pPr>
        <w:pStyle w:val="tytuwykresu"/>
        <w:spacing w:before="240"/>
        <w:rPr>
          <w:sz w:val="19"/>
          <w:szCs w:val="19"/>
          <w:lang w:val="en-GB"/>
        </w:rPr>
      </w:pPr>
      <w:r w:rsidRPr="009038EF">
        <w:rPr>
          <w:szCs w:val="18"/>
          <w:lang w:val="en-GB"/>
        </w:rPr>
        <w:t>Chart 1.</w:t>
      </w:r>
      <w:r w:rsidRPr="007E02D8">
        <w:rPr>
          <w:sz w:val="19"/>
          <w:szCs w:val="19"/>
          <w:lang w:val="en-GB"/>
        </w:rPr>
        <w:t xml:space="preserve"> </w:t>
      </w:r>
      <w:r w:rsidRPr="009038EF">
        <w:rPr>
          <w:szCs w:val="18"/>
          <w:lang w:val="en-GB"/>
        </w:rPr>
        <w:t xml:space="preserve">Construction activity in the scope of </w:t>
      </w:r>
      <w:r w:rsidR="00256AD9" w:rsidRPr="009038EF">
        <w:rPr>
          <w:szCs w:val="18"/>
          <w:lang w:val="en-GB"/>
        </w:rPr>
        <w:t>residential construction</w:t>
      </w:r>
      <w:r w:rsidR="005D23AA" w:rsidRPr="009038EF">
        <w:rPr>
          <w:szCs w:val="18"/>
          <w:lang w:val="en-GB"/>
        </w:rPr>
        <w:t xml:space="preserve"> in Poland</w:t>
      </w:r>
    </w:p>
    <w:p w14:paraId="07DDCEC0" w14:textId="3CD1CFB3" w:rsidR="00F37978" w:rsidRPr="00D860E0" w:rsidRDefault="00CA6109" w:rsidP="003A600F">
      <w:pPr>
        <w:pStyle w:val="Nagwek1"/>
        <w:rPr>
          <w:noProof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1A13CE4F">
                <wp:simplePos x="0" y="0"/>
                <wp:positionH relativeFrom="page">
                  <wp:posOffset>5695315</wp:posOffset>
                </wp:positionH>
                <wp:positionV relativeFrom="paragraph">
                  <wp:posOffset>85090</wp:posOffset>
                </wp:positionV>
                <wp:extent cx="1819275" cy="2305050"/>
                <wp:effectExtent l="0" t="0" r="0" b="0"/>
                <wp:wrapSquare wrapText="bothSides"/>
                <wp:docPr id="9" name="Pole tekstowe 2" descr="In July, compared to June 2022, the number of dwellings completed decreased (by 3.6%), as well as the number of dwellings for which permits have been granted or which have been registered with a construction project (by 36.8%) and the number of dwellings in which construction has begun (by 32.2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1EF9C476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B11C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July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B11C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A97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dec</w:t>
                            </w:r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reased </w:t>
                            </w:r>
                            <w:r w:rsidR="00A97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3.6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8535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for which permits have been granted or which have been registered with a construction 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A97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36.8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A97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32.2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July, compared to June 2022, the number of dwellings completed decreased (by 3.6%), as well as the number of dwellings for which permits have been granted or which have been registered with a construction project (by 36.8%) and the number of dwellings in which construction has begun (by 32.2%)" style="position:absolute;margin-left:448.45pt;margin-top:6.7pt;width:143.25pt;height:18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" filled="f" stroked="f">
                <v:textbox>
                  <w:txbxContent>
                    <w:p w14:paraId="58FBF1C9" w14:textId="1EF9C476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B11C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July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B11C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A97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dec</w:t>
                      </w:r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reased </w:t>
                      </w:r>
                      <w:r w:rsidR="00A97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3.6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8535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for which permits have been granted or which have been registered with a construction 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A97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36.8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A97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32.2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34696" w:rsidRPr="007C2881">
        <w:rPr>
          <w:noProof/>
          <w:lang w:val="en-GB"/>
        </w:rPr>
        <w:t xml:space="preserve"> </w:t>
      </w:r>
      <w:r w:rsidR="0035602F" w:rsidRPr="0035602F">
        <w:rPr>
          <w:noProof/>
        </w:rPr>
        <w:drawing>
          <wp:inline distT="0" distB="0" distL="0" distR="0" wp14:anchorId="5819C797" wp14:editId="7F76337D">
            <wp:extent cx="5122545" cy="2298700"/>
            <wp:effectExtent l="0" t="0" r="1905" b="6350"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5EA1" w14:textId="3129B6AE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 xml:space="preserve">In </w:t>
      </w:r>
      <w:r w:rsidR="00182585">
        <w:rPr>
          <w:szCs w:val="19"/>
          <w:shd w:val="clear" w:color="auto" w:fill="FFFFFF"/>
          <w:lang w:val="en-GB"/>
        </w:rPr>
        <w:t xml:space="preserve">the </w:t>
      </w:r>
      <w:r w:rsidR="005C20C8">
        <w:rPr>
          <w:szCs w:val="19"/>
          <w:shd w:val="clear" w:color="auto" w:fill="FFFFFF"/>
          <w:lang w:val="en-GB"/>
        </w:rPr>
        <w:t xml:space="preserve">period of January-July </w:t>
      </w:r>
      <w:r w:rsidR="00D941DB">
        <w:rPr>
          <w:szCs w:val="19"/>
          <w:shd w:val="clear" w:color="auto" w:fill="FFFFFF"/>
          <w:lang w:val="en-GB"/>
        </w:rPr>
        <w:t>2022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223182">
        <w:rPr>
          <w:szCs w:val="19"/>
          <w:shd w:val="clear" w:color="auto" w:fill="FFFFFF"/>
          <w:lang w:val="en-GB"/>
        </w:rPr>
        <w:t>in </w:t>
      </w:r>
      <w:r w:rsidR="00700FC6" w:rsidRPr="00700FC6">
        <w:rPr>
          <w:szCs w:val="19"/>
          <w:shd w:val="clear" w:color="auto" w:fill="FFFFFF"/>
          <w:lang w:val="en-GB"/>
        </w:rPr>
        <w:t xml:space="preserve">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</w:t>
      </w:r>
      <w:r w:rsidR="00EF6032" w:rsidRPr="00A4625F">
        <w:rPr>
          <w:szCs w:val="19"/>
          <w:shd w:val="clear" w:color="auto" w:fill="FFFFFF"/>
          <w:lang w:val="en-GB"/>
        </w:rPr>
        <w:t>Mazowieckie</w:t>
      </w:r>
      <w:r w:rsidR="00EF6032" w:rsidRPr="00EF6032">
        <w:rPr>
          <w:szCs w:val="19"/>
          <w:shd w:val="clear" w:color="auto" w:fill="FFFFFF"/>
          <w:lang w:val="en-GB"/>
        </w:rPr>
        <w:t xml:space="preserve">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>respectively</w:t>
      </w:r>
      <w:r w:rsidR="00FF392D">
        <w:rPr>
          <w:szCs w:val="19"/>
          <w:shd w:val="clear" w:color="auto" w:fill="FFFFFF"/>
          <w:lang w:val="en-GB"/>
        </w:rPr>
        <w:t>:</w:t>
      </w:r>
      <w:r w:rsidR="00DD2696">
        <w:rPr>
          <w:szCs w:val="19"/>
          <w:shd w:val="clear" w:color="auto" w:fill="FFFFFF"/>
          <w:lang w:val="en-GB"/>
        </w:rPr>
        <w:t xml:space="preserve"> </w:t>
      </w:r>
      <w:r w:rsidR="00A971C9">
        <w:rPr>
          <w:szCs w:val="19"/>
          <w:shd w:val="clear" w:color="auto" w:fill="FFFFFF"/>
          <w:lang w:val="en-GB"/>
        </w:rPr>
        <w:t>22</w:t>
      </w:r>
      <w:r w:rsidR="00D6223C">
        <w:rPr>
          <w:szCs w:val="19"/>
          <w:shd w:val="clear" w:color="auto" w:fill="FFFFFF"/>
          <w:lang w:val="en-GB"/>
        </w:rPr>
        <w:t>.</w:t>
      </w:r>
      <w:r w:rsidR="00A971C9">
        <w:rPr>
          <w:szCs w:val="19"/>
          <w:shd w:val="clear" w:color="auto" w:fill="FFFFFF"/>
          <w:lang w:val="en-GB"/>
        </w:rPr>
        <w:t>0</w:t>
      </w:r>
      <w:r w:rsidR="007B36AE">
        <w:rPr>
          <w:szCs w:val="19"/>
          <w:shd w:val="clear" w:color="auto" w:fill="FFFFFF"/>
          <w:lang w:val="en-GB"/>
        </w:rPr>
        <w:t> </w:t>
      </w:r>
      <w:r w:rsidR="00EF6032">
        <w:rPr>
          <w:szCs w:val="19"/>
          <w:shd w:val="clear" w:color="auto" w:fill="FFFFFF"/>
          <w:lang w:val="en-GB"/>
        </w:rPr>
        <w:t>thousand</w:t>
      </w:r>
      <w:r w:rsidR="00BB44BD">
        <w:rPr>
          <w:szCs w:val="19"/>
          <w:shd w:val="clear" w:color="auto" w:fill="FFFFFF"/>
          <w:lang w:val="en-GB"/>
        </w:rPr>
        <w:t xml:space="preserve">, </w:t>
      </w:r>
      <w:r w:rsidR="00A971C9">
        <w:rPr>
          <w:szCs w:val="19"/>
          <w:shd w:val="clear" w:color="auto" w:fill="FFFFFF"/>
          <w:lang w:val="en-GB"/>
        </w:rPr>
        <w:t>24</w:t>
      </w:r>
      <w:r w:rsidR="00465B75">
        <w:rPr>
          <w:szCs w:val="19"/>
          <w:shd w:val="clear" w:color="auto" w:fill="FFFFFF"/>
          <w:lang w:val="en-GB"/>
        </w:rPr>
        <w:t>.</w:t>
      </w:r>
      <w:r w:rsidR="00A971C9">
        <w:rPr>
          <w:szCs w:val="19"/>
          <w:shd w:val="clear" w:color="auto" w:fill="FFFFFF"/>
          <w:lang w:val="en-GB"/>
        </w:rPr>
        <w:t>5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A971C9">
        <w:rPr>
          <w:szCs w:val="19"/>
          <w:shd w:val="clear" w:color="auto" w:fill="FFFFFF"/>
          <w:lang w:val="en-GB"/>
        </w:rPr>
        <w:t xml:space="preserve"> and 35.6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D6223C" w:rsidRPr="00A4625F">
        <w:rPr>
          <w:szCs w:val="19"/>
          <w:shd w:val="clear" w:color="auto" w:fill="FFFFFF"/>
          <w:lang w:val="en-GB"/>
        </w:rPr>
        <w:t>Wielkopolskie</w:t>
      </w:r>
      <w:r w:rsidR="00D6223C" w:rsidRPr="00D6223C">
        <w:rPr>
          <w:szCs w:val="19"/>
          <w:shd w:val="clear" w:color="auto" w:fill="FFFFFF"/>
          <w:lang w:val="en-GB"/>
        </w:rPr>
        <w:t xml:space="preserve"> </w:t>
      </w:r>
      <w:r w:rsidR="00A971C9">
        <w:rPr>
          <w:szCs w:val="19"/>
          <w:shd w:val="clear" w:color="auto" w:fill="FFFFFF"/>
          <w:lang w:val="en-GB"/>
        </w:rPr>
        <w:t>(14.0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A971C9">
        <w:rPr>
          <w:szCs w:val="19"/>
          <w:shd w:val="clear" w:color="auto" w:fill="FFFFFF"/>
          <w:lang w:val="en-GB"/>
        </w:rPr>
        <w:t>, 13.0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A971C9">
        <w:rPr>
          <w:szCs w:val="19"/>
          <w:shd w:val="clear" w:color="auto" w:fill="FFFFFF"/>
          <w:lang w:val="en-GB"/>
        </w:rPr>
        <w:t xml:space="preserve"> and 18</w:t>
      </w:r>
      <w:r w:rsidR="00BB44BD">
        <w:rPr>
          <w:szCs w:val="19"/>
          <w:shd w:val="clear" w:color="auto" w:fill="FFFFFF"/>
          <w:lang w:val="en-GB"/>
        </w:rPr>
        <w:t>.</w:t>
      </w:r>
      <w:r w:rsidR="00A971C9">
        <w:rPr>
          <w:szCs w:val="19"/>
          <w:shd w:val="clear" w:color="auto" w:fill="FFFFFF"/>
          <w:lang w:val="en-GB"/>
        </w:rPr>
        <w:t>0</w:t>
      </w:r>
      <w:r w:rsidR="00D941DB">
        <w:rPr>
          <w:szCs w:val="19"/>
          <w:shd w:val="clear" w:color="auto" w:fill="FFFFFF"/>
          <w:lang w:val="en-GB"/>
        </w:rPr>
        <w:t> thousand)</w:t>
      </w:r>
      <w:r w:rsidR="00C34696" w:rsidRPr="00C34696">
        <w:rPr>
          <w:szCs w:val="19"/>
          <w:shd w:val="clear" w:color="auto" w:fill="FFFFFF"/>
          <w:lang w:val="en-GB"/>
        </w:rPr>
        <w:t xml:space="preserve"> and </w:t>
      </w:r>
      <w:r w:rsidR="00D941DB">
        <w:rPr>
          <w:szCs w:val="19"/>
          <w:shd w:val="clear" w:color="auto" w:fill="FFFFFF"/>
          <w:lang w:val="en-GB"/>
        </w:rPr>
        <w:t>Małopolskie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A971C9">
        <w:rPr>
          <w:szCs w:val="19"/>
          <w:shd w:val="clear" w:color="auto" w:fill="FFFFFF"/>
          <w:lang w:val="en-GB"/>
        </w:rPr>
        <w:t>(12.7</w:t>
      </w:r>
      <w:r>
        <w:rPr>
          <w:szCs w:val="19"/>
          <w:shd w:val="clear" w:color="auto" w:fill="FFFFFF"/>
          <w:lang w:val="en-GB"/>
        </w:rPr>
        <w:t> </w:t>
      </w:r>
      <w:r w:rsidR="00A971C9">
        <w:rPr>
          <w:szCs w:val="19"/>
          <w:shd w:val="clear" w:color="auto" w:fill="FFFFFF"/>
          <w:lang w:val="en-GB"/>
        </w:rPr>
        <w:t>thousand,12.8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35602F">
        <w:rPr>
          <w:szCs w:val="19"/>
          <w:shd w:val="clear" w:color="auto" w:fill="FFFFFF"/>
          <w:lang w:val="en-GB"/>
        </w:rPr>
        <w:t xml:space="preserve"> 16.3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C34696">
        <w:rPr>
          <w:szCs w:val="19"/>
          <w:shd w:val="clear" w:color="auto" w:fill="FFFFFF"/>
          <w:lang w:val="en-GB"/>
        </w:rPr>
        <w:t>).</w:t>
      </w:r>
    </w:p>
    <w:p w14:paraId="73CBA65A" w14:textId="7BD6BB47" w:rsidR="00903A58" w:rsidRPr="006D194B" w:rsidRDefault="001C1808" w:rsidP="006D194B">
      <w:pPr>
        <w:pStyle w:val="Nagwek1"/>
        <w:tabs>
          <w:tab w:val="left" w:pos="851"/>
        </w:tabs>
        <w:ind w:left="709" w:hanging="709"/>
        <w:rPr>
          <w:rFonts w:ascii="Fira Sans" w:hAnsi="Fira Sans"/>
          <w:b/>
          <w:color w:val="auto"/>
          <w:szCs w:val="19"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(January- </w:t>
      </w:r>
      <w:r w:rsidR="0035602F">
        <w:rPr>
          <w:rFonts w:ascii="Fira Sans" w:hAnsi="Fira Sans"/>
          <w:b/>
          <w:color w:val="auto"/>
          <w:sz w:val="18"/>
          <w:szCs w:val="18"/>
          <w:lang w:val="en-GB"/>
        </w:rPr>
        <w:t>July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2022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)</w:t>
      </w:r>
    </w:p>
    <w:p w14:paraId="66C5A628" w14:textId="2BF202A3" w:rsidR="003A358E" w:rsidRPr="00BB44BD" w:rsidRDefault="00AE6FA9" w:rsidP="00A12B93">
      <w:pPr>
        <w:pStyle w:val="Nagwek1"/>
        <w:rPr>
          <w:color w:val="auto"/>
          <w:sz w:val="18"/>
          <w:szCs w:val="18"/>
          <w:lang w:val="en-GB"/>
        </w:rPr>
      </w:pPr>
      <w:r w:rsidRPr="00AE6FA9">
        <w:rPr>
          <w:noProof/>
        </w:rPr>
        <w:drawing>
          <wp:inline distT="0" distB="0" distL="0" distR="0" wp14:anchorId="7E5BF5A9" wp14:editId="04D079A0">
            <wp:extent cx="5122545" cy="2357120"/>
            <wp:effectExtent l="0" t="0" r="1905" b="5080"/>
            <wp:docPr id="4" name="Obraz 4" descr="Number of dwellings completed, number of dwellings for which permits have been granted or which have been registered with a construction project and number of dwellings in which construction has begun in January-July 2022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40B4" w14:textId="5F8B6B3B" w:rsidR="00A12B93" w:rsidRDefault="00A12B93" w:rsidP="00A12B93">
      <w:pPr>
        <w:rPr>
          <w:lang w:val="en-GB" w:eastAsia="pl-PL"/>
        </w:rPr>
      </w:pPr>
    </w:p>
    <w:p w14:paraId="67ED41D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14049859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0F5558B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0A3ACC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2DA8D1FA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81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AC083C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0A3AC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0A3AC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0A3AC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0A3AC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0A3AC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0A3AC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61738" w14:textId="77777777" w:rsidR="000A3ACC" w:rsidRDefault="000A3ACC" w:rsidP="000662E2">
      <w:pPr>
        <w:spacing w:after="0" w:line="240" w:lineRule="auto"/>
      </w:pPr>
      <w:r>
        <w:separator/>
      </w:r>
    </w:p>
  </w:endnote>
  <w:endnote w:type="continuationSeparator" w:id="0">
    <w:p w14:paraId="69B07BFA" w14:textId="77777777" w:rsidR="000A3ACC" w:rsidRDefault="000A3AC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E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E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37145" w14:textId="77777777" w:rsidR="000A3ACC" w:rsidRDefault="000A3ACC" w:rsidP="000662E2">
      <w:pPr>
        <w:spacing w:after="0" w:line="240" w:lineRule="auto"/>
      </w:pPr>
      <w:r>
        <w:separator/>
      </w:r>
    </w:p>
  </w:footnote>
  <w:footnote w:type="continuationSeparator" w:id="0">
    <w:p w14:paraId="2352FB13" w14:textId="77777777" w:rsidR="000A3ACC" w:rsidRDefault="000A3ACC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80C5A" w14:textId="25E2FD68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1FDF09E6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1388CCD0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2.08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18C9733D" w:rsidR="00574E89" w:rsidRPr="00C97596" w:rsidRDefault="00B40D7D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22.08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2.08.2022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AANmy6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18C9733D" w:rsidR="00574E89" w:rsidRPr="00C97596" w:rsidRDefault="00B40D7D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22.08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7263B80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7F284B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945D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45pt;height:124.45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4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50D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56BD"/>
    <w:rsid w:val="001E64AD"/>
    <w:rsid w:val="001F1170"/>
    <w:rsid w:val="001F31BD"/>
    <w:rsid w:val="001F3686"/>
    <w:rsid w:val="001F5873"/>
    <w:rsid w:val="001F649C"/>
    <w:rsid w:val="00202E71"/>
    <w:rsid w:val="002030BE"/>
    <w:rsid w:val="002034A6"/>
    <w:rsid w:val="00203BDB"/>
    <w:rsid w:val="002040E0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6490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02F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1FC1"/>
    <w:rsid w:val="004E2155"/>
    <w:rsid w:val="004E377B"/>
    <w:rsid w:val="004E4BB8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16AB"/>
    <w:rsid w:val="005916D7"/>
    <w:rsid w:val="00592EC6"/>
    <w:rsid w:val="00595E15"/>
    <w:rsid w:val="005A30AB"/>
    <w:rsid w:val="005A4C6A"/>
    <w:rsid w:val="005A4E6A"/>
    <w:rsid w:val="005A61DB"/>
    <w:rsid w:val="005A698C"/>
    <w:rsid w:val="005A6F2D"/>
    <w:rsid w:val="005B093B"/>
    <w:rsid w:val="005B0979"/>
    <w:rsid w:val="005B2080"/>
    <w:rsid w:val="005B5CBB"/>
    <w:rsid w:val="005B5EB4"/>
    <w:rsid w:val="005B659C"/>
    <w:rsid w:val="005C16BE"/>
    <w:rsid w:val="005C20C8"/>
    <w:rsid w:val="005C2FE4"/>
    <w:rsid w:val="005C4A86"/>
    <w:rsid w:val="005C4E91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32DC"/>
    <w:rsid w:val="00746187"/>
    <w:rsid w:val="00746A9F"/>
    <w:rsid w:val="0075636C"/>
    <w:rsid w:val="007571FA"/>
    <w:rsid w:val="007573AD"/>
    <w:rsid w:val="00760FC2"/>
    <w:rsid w:val="0076254F"/>
    <w:rsid w:val="00763711"/>
    <w:rsid w:val="00764DF2"/>
    <w:rsid w:val="00766AF6"/>
    <w:rsid w:val="007702BD"/>
    <w:rsid w:val="0077058F"/>
    <w:rsid w:val="00770725"/>
    <w:rsid w:val="0077078E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4061"/>
    <w:rsid w:val="009D5DFA"/>
    <w:rsid w:val="009D785B"/>
    <w:rsid w:val="009E13F6"/>
    <w:rsid w:val="009E15F4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3C8A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74B1F"/>
    <w:rsid w:val="00A810F9"/>
    <w:rsid w:val="00A846D6"/>
    <w:rsid w:val="00A84818"/>
    <w:rsid w:val="00A86ECC"/>
    <w:rsid w:val="00A86FCC"/>
    <w:rsid w:val="00A87439"/>
    <w:rsid w:val="00A87DC7"/>
    <w:rsid w:val="00A91D74"/>
    <w:rsid w:val="00A96DEB"/>
    <w:rsid w:val="00A971C9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083C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7C4"/>
    <w:rsid w:val="00B84896"/>
    <w:rsid w:val="00B86655"/>
    <w:rsid w:val="00B914E9"/>
    <w:rsid w:val="00B93B71"/>
    <w:rsid w:val="00B956EE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0737D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55C2"/>
    <w:rsid w:val="00C571F3"/>
    <w:rsid w:val="00C57EF3"/>
    <w:rsid w:val="00C60835"/>
    <w:rsid w:val="00C625B8"/>
    <w:rsid w:val="00C62692"/>
    <w:rsid w:val="00C6337B"/>
    <w:rsid w:val="00C6450A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0BF2"/>
    <w:rsid w:val="00CA107B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6F9"/>
    <w:rsid w:val="00D21D71"/>
    <w:rsid w:val="00D242EC"/>
    <w:rsid w:val="00D261A2"/>
    <w:rsid w:val="00D30D5C"/>
    <w:rsid w:val="00D30EF4"/>
    <w:rsid w:val="00D35383"/>
    <w:rsid w:val="00D35C2E"/>
    <w:rsid w:val="00D362C6"/>
    <w:rsid w:val="00D45A80"/>
    <w:rsid w:val="00D45F1D"/>
    <w:rsid w:val="00D46532"/>
    <w:rsid w:val="00D47F69"/>
    <w:rsid w:val="00D504E4"/>
    <w:rsid w:val="00D534E9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71068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1390"/>
    <w:rsid w:val="00EB1C36"/>
    <w:rsid w:val="00EB20CA"/>
    <w:rsid w:val="00EB2C71"/>
    <w:rsid w:val="00EB3907"/>
    <w:rsid w:val="00EB4340"/>
    <w:rsid w:val="00EB556D"/>
    <w:rsid w:val="00EB5A7D"/>
    <w:rsid w:val="00EB6230"/>
    <w:rsid w:val="00EB69AF"/>
    <w:rsid w:val="00EC38C8"/>
    <w:rsid w:val="00EC3EC4"/>
    <w:rsid w:val="00EC5BC4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5C4A"/>
    <w:rsid w:val="00F86024"/>
    <w:rsid w:val="00F8611A"/>
    <w:rsid w:val="00F9379A"/>
    <w:rsid w:val="00F94574"/>
    <w:rsid w:val="00F95941"/>
    <w:rsid w:val="00F97730"/>
    <w:rsid w:val="00FA049B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392D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residential_construction_in_January-February_2022.docx.docx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EC6DA-581A-4067-94D4-F2FF75C1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January-July 2022</dc:title>
  <dc:creator>Statistics Poland</dc:creator>
  <cp:lastModifiedBy>Putkowska Beata</cp:lastModifiedBy>
  <cp:revision>3</cp:revision>
  <cp:lastPrinted>2022-06-15T11:38:00Z</cp:lastPrinted>
  <dcterms:created xsi:type="dcterms:W3CDTF">2022-08-12T13:02:00Z</dcterms:created>
  <dcterms:modified xsi:type="dcterms:W3CDTF">2022-08-22T05:19:00Z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