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278B1A9E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 xml:space="preserve">period of </w:t>
      </w:r>
      <w:bookmarkStart w:id="0" w:name="_GoBack"/>
      <w:bookmarkEnd w:id="0"/>
      <w:r w:rsidR="00CA0BF2">
        <w:rPr>
          <w:szCs w:val="32"/>
          <w:lang w:val="en-GB"/>
        </w:rPr>
        <w:t>January-March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374DACC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69054806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3.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6090E8AE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103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2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3.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" fillcolor="#001d77" stroked="f">
                <v:stroke joinstyle="miter"/>
                <v:textbox>
                  <w:txbxContent>
                    <w:p w14:paraId="0C77FD05" w14:textId="6090E8AE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103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2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494121">
        <w:rPr>
          <w:lang w:val="en-GB"/>
        </w:rPr>
        <w:t xml:space="preserve"> </w:t>
      </w:r>
      <w:r w:rsidR="00B5362C">
        <w:rPr>
          <w:lang w:val="en-GB"/>
        </w:rPr>
        <w:t xml:space="preserve">the first </w:t>
      </w:r>
      <w:r w:rsidR="00D860E0">
        <w:rPr>
          <w:lang w:val="en-GB"/>
        </w:rPr>
        <w:t xml:space="preserve">quarter </w:t>
      </w:r>
      <w:r w:rsidR="00B5362C">
        <w:rPr>
          <w:lang w:val="en-GB"/>
        </w:rPr>
        <w:t>of</w:t>
      </w:r>
      <w:r w:rsidR="00A4625F">
        <w:rPr>
          <w:lang w:val="en-GB"/>
        </w:rPr>
        <w:t xml:space="preserve">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2F14DC4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 53.6% and 44.2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1E10E96C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4E4BB8">
                              <w:rPr>
                                <w:lang w:val="en-US"/>
                              </w:rPr>
                              <w:t>estors completed respectively 53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6% and </w:t>
                            </w:r>
                            <w:r w:rsidR="005D2782" w:rsidRPr="00947FA6">
                              <w:rPr>
                                <w:lang w:val="en-US"/>
                              </w:rPr>
                              <w:t>44.2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 53.6% and 44.2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bFTA/XwIAAHA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1E10E96C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4E4BB8">
                        <w:rPr>
                          <w:lang w:val="en-US"/>
                        </w:rPr>
                        <w:t>estors completed respectively 53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5D2782">
                        <w:rPr>
                          <w:lang w:val="en-US"/>
                        </w:rPr>
                        <w:t xml:space="preserve">6% and </w:t>
                      </w:r>
                      <w:bookmarkStart w:id="1" w:name="_GoBack"/>
                      <w:bookmarkEnd w:id="1"/>
                      <w:r w:rsidR="005D2782" w:rsidRPr="00947FA6">
                        <w:rPr>
                          <w:lang w:val="en-US"/>
                        </w:rPr>
                        <w:t>44.2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B51E14C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D860E0">
        <w:rPr>
          <w:spacing w:val="-4"/>
          <w:shd w:val="clear" w:color="auto" w:fill="FFFFFF"/>
          <w:lang w:val="en-GB"/>
        </w:rPr>
        <w:t>54</w:t>
      </w:r>
      <w:r w:rsidR="007432DC">
        <w:rPr>
          <w:spacing w:val="-4"/>
          <w:shd w:val="clear" w:color="auto" w:fill="FFFFFF"/>
          <w:lang w:val="en-GB"/>
        </w:rPr>
        <w:t>.7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7432DC">
        <w:rPr>
          <w:spacing w:val="-4"/>
          <w:shd w:val="clear" w:color="auto" w:fill="FFFFFF"/>
          <w:lang w:val="en-GB"/>
        </w:rPr>
        <w:t>the period of January-</w:t>
      </w:r>
      <w:r w:rsidR="00D860E0">
        <w:rPr>
          <w:spacing w:val="-4"/>
          <w:shd w:val="clear" w:color="auto" w:fill="FFFFFF"/>
          <w:lang w:val="en-GB"/>
        </w:rPr>
        <w:t>March</w:t>
      </w:r>
      <w:r w:rsidR="004862A6">
        <w:rPr>
          <w:spacing w:val="-4"/>
          <w:shd w:val="clear" w:color="auto" w:fill="FFFFFF"/>
          <w:lang w:val="en-GB"/>
        </w:rPr>
        <w:t xml:space="preserve"> 2022</w:t>
      </w:r>
      <w:r w:rsidR="009664CD" w:rsidRPr="004829B9">
        <w:rPr>
          <w:spacing w:val="-4"/>
          <w:shd w:val="clear" w:color="auto" w:fill="FFFFFF"/>
          <w:lang w:val="en-GB"/>
        </w:rPr>
        <w:t xml:space="preserve">, i.e. </w:t>
      </w:r>
      <w:r w:rsidR="005D2782">
        <w:rPr>
          <w:spacing w:val="-4"/>
          <w:shd w:val="clear" w:color="auto" w:fill="FFFFFF"/>
          <w:lang w:val="en-GB"/>
        </w:rPr>
        <w:t>3.2% more than in the previous year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5D2782">
        <w:rPr>
          <w:spacing w:val="-4"/>
          <w:shd w:val="clear" w:color="auto" w:fill="FFFFFF"/>
          <w:lang w:val="en-GB"/>
        </w:rPr>
        <w:t>29</w:t>
      </w:r>
      <w:r w:rsidR="00372328">
        <w:rPr>
          <w:spacing w:val="-4"/>
          <w:shd w:val="clear" w:color="auto" w:fill="FFFFFF"/>
          <w:lang w:val="en-GB"/>
        </w:rPr>
        <w:t>.</w:t>
      </w:r>
      <w:r w:rsidR="005D2782">
        <w:rPr>
          <w:spacing w:val="-4"/>
          <w:shd w:val="clear" w:color="auto" w:fill="FFFFFF"/>
          <w:lang w:val="en-GB"/>
        </w:rPr>
        <w:t>3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5D2782">
        <w:rPr>
          <w:spacing w:val="-4"/>
          <w:shd w:val="clear" w:color="auto" w:fill="FFFFFF"/>
          <w:lang w:val="en-GB"/>
        </w:rPr>
        <w:t>3.6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E4BB8">
        <w:rPr>
          <w:spacing w:val="-4"/>
          <w:shd w:val="clear" w:color="auto" w:fill="FFFFFF"/>
          <w:lang w:val="en-GB"/>
        </w:rPr>
        <w:t>2021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5D2782">
        <w:rPr>
          <w:spacing w:val="-4"/>
          <w:shd w:val="clear" w:color="auto" w:fill="FFFFFF"/>
          <w:lang w:val="en-GB"/>
        </w:rPr>
        <w:t>24</w:t>
      </w:r>
      <w:r w:rsidR="00372328">
        <w:rPr>
          <w:spacing w:val="-4"/>
          <w:shd w:val="clear" w:color="auto" w:fill="FFFFFF"/>
          <w:lang w:val="en-GB"/>
        </w:rPr>
        <w:t>.</w:t>
      </w:r>
      <w:r w:rsidR="005D2782">
        <w:rPr>
          <w:spacing w:val="-4"/>
          <w:shd w:val="clear" w:color="auto" w:fill="FFFFFF"/>
          <w:lang w:val="en-GB"/>
        </w:rPr>
        <w:t>2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5D2782">
        <w:rPr>
          <w:spacing w:val="-4"/>
          <w:shd w:val="clear" w:color="auto" w:fill="FFFFFF"/>
          <w:lang w:val="en-GB"/>
        </w:rPr>
        <w:t>12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5D2782">
        <w:rPr>
          <w:spacing w:val="-4"/>
          <w:shd w:val="clear" w:color="auto" w:fill="FFFFFF"/>
          <w:lang w:val="en-GB"/>
        </w:rPr>
        <w:t>6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5D2782">
        <w:rPr>
          <w:spacing w:val="-4"/>
          <w:shd w:val="clear" w:color="auto" w:fill="FFFFFF"/>
          <w:lang w:val="en-GB"/>
        </w:rPr>
        <w:t>97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5D2782">
        <w:rPr>
          <w:spacing w:val="-4"/>
          <w:shd w:val="clear" w:color="auto" w:fill="FFFFFF"/>
          <w:lang w:val="en-GB"/>
        </w:rPr>
        <w:t>8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5D2782">
        <w:rPr>
          <w:spacing w:val="-4"/>
          <w:shd w:val="clear" w:color="auto" w:fill="FFFFFF"/>
          <w:lang w:val="en-GB"/>
        </w:rPr>
        <w:t>1 194</w:t>
      </w:r>
      <w:r w:rsidR="004862A6" w:rsidRPr="004862A6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5D2782">
        <w:rPr>
          <w:spacing w:val="-4"/>
          <w:shd w:val="clear" w:color="auto" w:fill="FFFFFF"/>
          <w:lang w:val="en-GB"/>
        </w:rPr>
        <w:t>1 110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18C1C8DC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5D2782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>.</w:t>
      </w:r>
      <w:r w:rsidR="005D2782">
        <w:rPr>
          <w:shd w:val="clear" w:color="auto" w:fill="FFFFFF"/>
          <w:lang w:val="en-GB"/>
        </w:rPr>
        <w:t>4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5D2782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>.</w:t>
      </w:r>
      <w:r w:rsidR="005D2782">
        <w:rPr>
          <w:shd w:val="clear" w:color="auto" w:fill="FFFFFF"/>
          <w:lang w:val="en-GB"/>
        </w:rPr>
        <w:t>9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4E4BB8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4E4BB8">
        <w:rPr>
          <w:shd w:val="clear" w:color="auto" w:fill="FFFFFF"/>
          <w:lang w:val="en-GB"/>
        </w:rPr>
        <w:t>98</w:t>
      </w:r>
      <w:r w:rsidR="005D25AB" w:rsidRPr="004829B9">
        <w:rPr>
          <w:shd w:val="clear" w:color="auto" w:fill="FFFFFF"/>
          <w:lang w:val="en-GB"/>
        </w:rPr>
        <w:t>.</w:t>
      </w:r>
      <w:r w:rsidR="004E4BB8">
        <w:rPr>
          <w:shd w:val="clear" w:color="auto" w:fill="FFFFFF"/>
          <w:lang w:val="en-GB"/>
        </w:rPr>
        <w:t>0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276"/>
        <w:gridCol w:w="992"/>
        <w:gridCol w:w="994"/>
        <w:gridCol w:w="1274"/>
        <w:gridCol w:w="1200"/>
      </w:tblGrid>
      <w:tr w:rsidR="009A4851" w:rsidRPr="009A4851" w14:paraId="13F2CC01" w14:textId="77777777" w:rsidTr="005023D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15394FB1" w:rsidR="009A4851" w:rsidRPr="00D860E0" w:rsidRDefault="00D860E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44CE2E46" w:rsidR="009A4851" w:rsidRPr="00D860E0" w:rsidRDefault="00D860E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01-03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5023D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30B4E5E0" w:rsidR="009A4851" w:rsidRPr="00D860E0" w:rsidRDefault="00D860E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03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56C547BB" w:rsidR="009A4851" w:rsidRPr="00D860E0" w:rsidRDefault="00D860E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15A89B91" w:rsidR="009A4851" w:rsidRPr="00D860E0" w:rsidRDefault="00D860E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01-03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D860E0" w:rsidRPr="009A4851" w14:paraId="74C961E1" w14:textId="77777777" w:rsidTr="005023D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D860E0" w:rsidRPr="00D860E0" w:rsidRDefault="00D860E0" w:rsidP="00D860E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4ED01BD" w14:textId="44B24011" w:rsidR="00D860E0" w:rsidRPr="00D860E0" w:rsidRDefault="00D860E0" w:rsidP="00D860E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b/>
                <w:color w:val="000000" w:themeColor="text1"/>
                <w:sz w:val="16"/>
                <w:szCs w:val="16"/>
              </w:rPr>
              <w:t>21 007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4368A5D2" w14:textId="0BF517EA" w:rsidR="00D860E0" w:rsidRPr="00D860E0" w:rsidRDefault="00806EB9" w:rsidP="00D860E0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109.</w:t>
            </w:r>
            <w:r w:rsidR="00D860E0" w:rsidRPr="00D860E0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9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7FA3FEA6" w:rsidR="00D860E0" w:rsidRPr="00D860E0" w:rsidRDefault="00806EB9" w:rsidP="00D860E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114.</w:t>
            </w:r>
            <w:r w:rsidR="00D860E0" w:rsidRPr="00D860E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58BC2D60" w:rsidR="00D860E0" w:rsidRPr="00D860E0" w:rsidRDefault="00D860E0" w:rsidP="00D860E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b/>
                <w:color w:val="000000" w:themeColor="text1"/>
                <w:sz w:val="16"/>
                <w:szCs w:val="16"/>
              </w:rPr>
              <w:t>54 742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3DF8E101" w:rsidR="00D860E0" w:rsidRPr="00D860E0" w:rsidRDefault="00806EB9" w:rsidP="00D860E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="00D860E0" w:rsidRPr="00D860E0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D860E0" w:rsidRPr="009A4851" w14:paraId="1DBFB85F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D860E0" w:rsidRPr="00D860E0" w:rsidRDefault="00D860E0" w:rsidP="00D860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255032DB" w14:textId="2898816E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9 316</w:t>
            </w:r>
          </w:p>
        </w:tc>
        <w:tc>
          <w:tcPr>
            <w:tcW w:w="992" w:type="dxa"/>
            <w:vAlign w:val="center"/>
          </w:tcPr>
          <w:p w14:paraId="10BBBDB9" w14:textId="3D36FD22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D6A2499" w14:textId="0DB7FA0B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C0AB283" w14:textId="3953D1D7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24 199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546C0C09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D860E0" w:rsidRPr="009A4851" w14:paraId="6E2F06BB" w14:textId="77777777" w:rsidTr="005023D5">
        <w:trPr>
          <w:trHeight w:val="629"/>
        </w:trPr>
        <w:tc>
          <w:tcPr>
            <w:tcW w:w="2268" w:type="dxa"/>
            <w:vAlign w:val="center"/>
          </w:tcPr>
          <w:p w14:paraId="5F10D600" w14:textId="2BD51A89" w:rsidR="00D860E0" w:rsidRPr="00D860E0" w:rsidRDefault="00D860E0" w:rsidP="00D860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23EE99E7" w14:textId="7243D018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11 174</w:t>
            </w:r>
          </w:p>
        </w:tc>
        <w:tc>
          <w:tcPr>
            <w:tcW w:w="992" w:type="dxa"/>
            <w:vAlign w:val="center"/>
          </w:tcPr>
          <w:p w14:paraId="1392F143" w14:textId="2E5AD307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73E4F9D" w14:textId="152ED221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C80FD51" w14:textId="1D561371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29 349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3A5498CF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D860E0" w:rsidRPr="009A4851" w14:paraId="24AD4DF0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1D2231E4" w14:textId="0D64CDE9" w:rsidR="00D860E0" w:rsidRPr="00D860E0" w:rsidRDefault="00D860E0" w:rsidP="00D860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43E0B857" w14:textId="31CC9A51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992" w:type="dxa"/>
            <w:vAlign w:val="center"/>
          </w:tcPr>
          <w:p w14:paraId="1F0CCA82" w14:textId="6F51EE96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268.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8C19C17" w14:textId="72C43C44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468E0768" w14:textId="4EB37EAD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5AFF503B" w:rsidR="00D860E0" w:rsidRPr="00D860E0" w:rsidRDefault="00806EB9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D860E0" w:rsidRPr="009A4851" w14:paraId="4DBF5999" w14:textId="77777777" w:rsidTr="005023D5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D860E0" w:rsidRPr="00D860E0" w:rsidRDefault="00D860E0" w:rsidP="00D860E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69E2D56C" w14:textId="43795903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380</w:t>
            </w:r>
          </w:p>
        </w:tc>
        <w:tc>
          <w:tcPr>
            <w:tcW w:w="992" w:type="dxa"/>
            <w:vAlign w:val="center"/>
          </w:tcPr>
          <w:p w14:paraId="3E22814D" w14:textId="4F168BD8" w:rsidR="00D860E0" w:rsidRPr="00D860E0" w:rsidRDefault="00806EB9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CC7447C" w14:textId="7047F0BA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over 10-fold more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139B16E7" w14:textId="453889DC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579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021A6362" w:rsidR="00D860E0" w:rsidRPr="00D860E0" w:rsidRDefault="00806EB9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860E0" w:rsidRPr="009A4851" w14:paraId="2FCEF9DB" w14:textId="77777777" w:rsidTr="005023D5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D860E0" w:rsidRPr="00D860E0" w:rsidRDefault="00D860E0" w:rsidP="00D860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vAlign w:val="center"/>
          </w:tcPr>
          <w:p w14:paraId="7E5E83FB" w14:textId="44CB008B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0AFA2421" w14:textId="7C7B487B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46-fold less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3948C7DA" w14:textId="6FD2E8F9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32-fold less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827C313" w14:textId="724AA57B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1DC9EC17" w:rsidR="00D860E0" w:rsidRPr="00D860E0" w:rsidRDefault="00806EB9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D860E0" w:rsidRPr="009A4851" w14:paraId="79AE12F9" w14:textId="77777777" w:rsidTr="005023D5">
        <w:trPr>
          <w:trHeight w:val="499"/>
        </w:trPr>
        <w:tc>
          <w:tcPr>
            <w:tcW w:w="2268" w:type="dxa"/>
            <w:vAlign w:val="center"/>
          </w:tcPr>
          <w:p w14:paraId="325420B3" w14:textId="669AE064" w:rsidR="00D860E0" w:rsidRPr="00D860E0" w:rsidRDefault="00D860E0" w:rsidP="00D860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60773A35" w14:textId="59DE6D1B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992" w:type="dxa"/>
            <w:vAlign w:val="center"/>
          </w:tcPr>
          <w:p w14:paraId="5900F285" w14:textId="2105D51B" w:rsidR="00D860E0" w:rsidRPr="00D860E0" w:rsidRDefault="00806EB9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369.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1464CE68" w14:textId="60ABD7EB" w:rsidR="00D860E0" w:rsidRPr="00D860E0" w:rsidRDefault="00806EB9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A4F2972" w14:textId="3656CA37" w:rsidR="00D860E0" w:rsidRPr="00D860E0" w:rsidRDefault="00D860E0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6C39F064" w:rsidR="00D860E0" w:rsidRPr="00D860E0" w:rsidRDefault="00806EB9" w:rsidP="00D860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502.</w:t>
            </w:r>
            <w:r w:rsidR="00D860E0" w:rsidRPr="00D860E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D860E0" w:rsidRPr="009A4851" w14:paraId="16EEE8B3" w14:textId="77777777" w:rsidTr="005023D5">
        <w:trPr>
          <w:trHeight w:val="521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D860E0" w:rsidRPr="00D860E0" w:rsidRDefault="00D860E0" w:rsidP="00D860E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BBF9FB1" w14:textId="706AA6F7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315E4888" w14:textId="42DBB25D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6A5CCCCA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1D279070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148C6608" w:rsidR="00D860E0" w:rsidRPr="00D860E0" w:rsidRDefault="00D860E0" w:rsidP="00D860E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860E0">
              <w:rPr>
                <w:rFonts w:cs="Arial"/>
                <w:color w:val="000000" w:themeColor="text1"/>
                <w:sz w:val="16"/>
                <w:szCs w:val="16"/>
              </w:rPr>
              <w:t>30-fold more</w:t>
            </w:r>
          </w:p>
        </w:tc>
      </w:tr>
      <w:bookmarkEnd w:id="1"/>
    </w:tbl>
    <w:p w14:paraId="4C4EBE85" w14:textId="7BD13EA5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4ABA1322" w14:textId="77777777" w:rsidR="002858BC" w:rsidRDefault="002858BC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33E4BF22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35C43244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1st Q 2022 by 8.0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6EBBC0C4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E26A98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7E7CF5" w:rsidRPr="00F5200E">
                              <w:rPr>
                                <w:lang w:val="en-US"/>
                              </w:rPr>
                              <w:t>1</w:t>
                            </w:r>
                            <w:r w:rsidR="00E26A98" w:rsidRPr="00F5200E"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E26A98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E7CF5" w:rsidRPr="00F5200E">
                              <w:rPr>
                                <w:lang w:val="en-US"/>
                              </w:rPr>
                              <w:t>Q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7E7CF5" w:rsidRPr="00F5200E">
                              <w:rPr>
                                <w:lang w:val="en-US"/>
                              </w:rPr>
                              <w:t>8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7E7CF5" w:rsidRPr="00F5200E">
                              <w:rPr>
                                <w:lang w:val="en-US"/>
                              </w:rPr>
                              <w:t>0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1st Q 2022 by 8.0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" filled="f" stroked="f" strokeweight=".5pt">
                <v:textbox>
                  <w:txbxContent>
                    <w:p w14:paraId="35DCCB4E" w14:textId="6EBBC0C4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E26A98">
                        <w:rPr>
                          <w:lang w:val="en-US"/>
                        </w:rPr>
                        <w:t xml:space="preserve">the </w:t>
                      </w:r>
                      <w:r w:rsidR="007E7CF5" w:rsidRPr="00F5200E">
                        <w:rPr>
                          <w:lang w:val="en-US"/>
                        </w:rPr>
                        <w:t>1</w:t>
                      </w:r>
                      <w:r w:rsidR="00E26A98" w:rsidRPr="00F5200E">
                        <w:rPr>
                          <w:vertAlign w:val="superscript"/>
                          <w:lang w:val="en-US"/>
                        </w:rPr>
                        <w:t>st</w:t>
                      </w:r>
                      <w:r w:rsidR="00E26A98" w:rsidRPr="00F5200E">
                        <w:rPr>
                          <w:lang w:val="en-US"/>
                        </w:rPr>
                        <w:t xml:space="preserve"> </w:t>
                      </w:r>
                      <w:r w:rsidR="007E7CF5" w:rsidRPr="00F5200E">
                        <w:rPr>
                          <w:lang w:val="en-US"/>
                        </w:rPr>
                        <w:t>Q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7E7CF5" w:rsidRPr="00F5200E">
                        <w:rPr>
                          <w:lang w:val="en-US"/>
                        </w:rPr>
                        <w:t>8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7E7CF5" w:rsidRPr="00F5200E">
                        <w:rPr>
                          <w:lang w:val="en-US"/>
                        </w:rPr>
                        <w:t>0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78E148A1" w:rsidR="00C47CE4" w:rsidRPr="004829B9" w:rsidRDefault="003B4D4B" w:rsidP="00896EB9">
      <w:pPr>
        <w:rPr>
          <w:b/>
          <w:shd w:val="clear" w:color="auto" w:fill="FFFFFF"/>
          <w:lang w:val="en-GB"/>
        </w:rPr>
      </w:pPr>
      <w:r w:rsidRPr="003B4D4B">
        <w:rPr>
          <w:noProof/>
          <w:lang w:val="en-GB" w:eastAsia="pl-PL"/>
        </w:rPr>
        <w:t>In</w:t>
      </w:r>
      <w:r w:rsidR="004A3A9A">
        <w:rPr>
          <w:noProof/>
          <w:lang w:val="en-GB" w:eastAsia="pl-PL"/>
        </w:rPr>
        <w:t xml:space="preserve"> </w:t>
      </w:r>
      <w:r w:rsidR="00B769F0">
        <w:rPr>
          <w:noProof/>
          <w:lang w:val="en-GB" w:eastAsia="pl-PL"/>
        </w:rPr>
        <w:t xml:space="preserve">the </w:t>
      </w:r>
      <w:r w:rsidR="007E7CF5">
        <w:rPr>
          <w:noProof/>
          <w:lang w:val="en-GB" w:eastAsia="pl-PL"/>
        </w:rPr>
        <w:t>first quarter of</w:t>
      </w:r>
      <w:r w:rsidR="004862A6">
        <w:rPr>
          <w:noProof/>
          <w:lang w:val="en-GB" w:eastAsia="pl-PL"/>
        </w:rPr>
        <w:t xml:space="preserve"> 2022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7E7CF5">
        <w:rPr>
          <w:shd w:val="clear" w:color="auto" w:fill="FFFFFF"/>
          <w:lang w:val="en-GB"/>
        </w:rPr>
        <w:t>7</w:t>
      </w:r>
      <w:r w:rsidR="00B5362C">
        <w:rPr>
          <w:shd w:val="clear" w:color="auto" w:fill="FFFFFF"/>
          <w:lang w:val="en-GB"/>
        </w:rPr>
        <w:t>7</w:t>
      </w:r>
      <w:r w:rsidR="00DE7DD4">
        <w:rPr>
          <w:shd w:val="clear" w:color="auto" w:fill="FFFFFF"/>
          <w:lang w:val="en-GB"/>
        </w:rPr>
        <w:t>.</w:t>
      </w:r>
      <w:r w:rsidR="007E7CF5">
        <w:rPr>
          <w:shd w:val="clear" w:color="auto" w:fill="FFFFFF"/>
          <w:lang w:val="en-GB"/>
        </w:rPr>
        <w:t>8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7E7CF5">
        <w:rPr>
          <w:shd w:val="clear" w:color="auto" w:fill="FFFFFF"/>
          <w:lang w:val="en-GB"/>
        </w:rPr>
        <w:t>8</w:t>
      </w:r>
      <w:r w:rsidR="00E245E1" w:rsidRPr="004829B9">
        <w:rPr>
          <w:shd w:val="clear" w:color="auto" w:fill="FFFFFF"/>
          <w:lang w:val="en-GB"/>
        </w:rPr>
        <w:t>.</w:t>
      </w:r>
      <w:r w:rsidR="007E7CF5">
        <w:rPr>
          <w:shd w:val="clear" w:color="auto" w:fill="FFFFFF"/>
          <w:lang w:val="en-GB"/>
        </w:rPr>
        <w:t>0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C47CE4" w:rsidRPr="00970E01">
        <w:rPr>
          <w:shd w:val="clear" w:color="auto" w:fill="FFFFFF"/>
          <w:lang w:val="en-GB"/>
        </w:rPr>
        <w:t>than in</w:t>
      </w:r>
      <w:r w:rsidR="00ED4B7C" w:rsidRPr="00970E01">
        <w:rPr>
          <w:shd w:val="clear" w:color="auto" w:fill="FFFFFF"/>
          <w:lang w:val="en-GB"/>
        </w:rPr>
        <w:t xml:space="preserve"> the corresponding </w:t>
      </w:r>
      <w:r w:rsidR="00B769F0">
        <w:rPr>
          <w:shd w:val="clear" w:color="auto" w:fill="FFFFFF"/>
          <w:lang w:val="en-GB"/>
        </w:rPr>
        <w:t>period</w:t>
      </w:r>
      <w:r w:rsidR="00ED4B7C" w:rsidRPr="00970E01">
        <w:rPr>
          <w:shd w:val="clear" w:color="auto" w:fill="FFFFFF"/>
          <w:lang w:val="en-GB"/>
        </w:rPr>
        <w:t xml:space="preserve"> of</w:t>
      </w:r>
      <w:r w:rsidR="00C47CE4" w:rsidRPr="00970E01">
        <w:rPr>
          <w:shd w:val="clear" w:color="auto" w:fill="FFFFFF"/>
          <w:lang w:val="en-GB"/>
        </w:rPr>
        <w:t xml:space="preserve"> </w:t>
      </w:r>
      <w:r w:rsidR="00ED4B7C" w:rsidRPr="00970E01">
        <w:rPr>
          <w:shd w:val="clear" w:color="auto" w:fill="FFFFFF"/>
          <w:lang w:val="en-GB"/>
        </w:rPr>
        <w:t>2021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7E7CF5">
        <w:rPr>
          <w:shd w:val="clear" w:color="auto" w:fill="FFFFFF"/>
          <w:lang w:val="en-GB"/>
        </w:rPr>
        <w:t>52.0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7E7CF5">
        <w:rPr>
          <w:shd w:val="clear" w:color="auto" w:fill="FFFFFF"/>
          <w:lang w:val="en-GB"/>
        </w:rPr>
        <w:t xml:space="preserve"> decrease of 8.2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7E7CF5">
        <w:rPr>
          <w:shd w:val="clear" w:color="auto" w:fill="FFFFFF"/>
          <w:lang w:val="en-GB"/>
        </w:rPr>
        <w:t>2</w:t>
      </w:r>
      <w:r w:rsidR="00B769F0">
        <w:rPr>
          <w:shd w:val="clear" w:color="auto" w:fill="FFFFFF"/>
          <w:lang w:val="en-GB"/>
        </w:rPr>
        <w:t>4</w:t>
      </w:r>
      <w:r w:rsidR="00DE7DD4">
        <w:rPr>
          <w:shd w:val="clear" w:color="auto" w:fill="FFFFFF"/>
          <w:lang w:val="en-GB"/>
        </w:rPr>
        <w:t>.</w:t>
      </w:r>
      <w:r w:rsidR="007E7CF5">
        <w:rPr>
          <w:shd w:val="clear" w:color="auto" w:fill="FFFFFF"/>
          <w:lang w:val="en-GB"/>
        </w:rPr>
        <w:t>4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E7CF5">
        <w:rPr>
          <w:shd w:val="clear" w:color="auto" w:fill="FFFFFF"/>
          <w:lang w:val="en-GB"/>
        </w:rPr>
        <w:t>, a decrease of 10.1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7E7CF5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7E7CF5">
        <w:rPr>
          <w:shd w:val="clear" w:color="auto" w:fill="FFFFFF"/>
          <w:lang w:val="en-GB"/>
        </w:rPr>
        <w:t>2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7E7CF5">
        <w:rPr>
          <w:spacing w:val="-4"/>
          <w:shd w:val="clear" w:color="auto" w:fill="FFFFFF"/>
          <w:lang w:val="en-GB"/>
        </w:rPr>
        <w:t>1 365</w:t>
      </w:r>
      <w:r w:rsidRPr="003B4D4B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7E7CF5">
        <w:rPr>
          <w:shd w:val="clear" w:color="auto" w:fill="FFFFFF"/>
          <w:lang w:val="en-GB"/>
        </w:rPr>
        <w:t>774</w:t>
      </w:r>
      <w:r w:rsidRPr="003B4D4B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7E02D8" w:rsidRDefault="00896EB9" w:rsidP="00DE7DD4">
      <w:pPr>
        <w:pStyle w:val="tytuwykresu"/>
        <w:ind w:left="709" w:hanging="709"/>
        <w:rPr>
          <w:sz w:val="19"/>
          <w:szCs w:val="19"/>
          <w:shd w:val="clear" w:color="auto" w:fill="FFFFFF"/>
          <w:lang w:val="en-GB"/>
        </w:rPr>
      </w:pPr>
      <w:r w:rsidRPr="007E02D8">
        <w:rPr>
          <w:sz w:val="19"/>
          <w:szCs w:val="19"/>
          <w:shd w:val="clear" w:color="auto" w:fill="FFFFFF"/>
          <w:lang w:val="en-GB"/>
        </w:rPr>
        <w:t xml:space="preserve">Table 2. Dwellings for which permits have been granted or which have been registered with </w:t>
      </w:r>
      <w:r w:rsidRPr="007E02D8">
        <w:rPr>
          <w:sz w:val="19"/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512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for which permits have been granted or which have been registered with a construction project&#10;"/>
      </w:tblPr>
      <w:tblGrid>
        <w:gridCol w:w="2268"/>
        <w:gridCol w:w="1418"/>
        <w:gridCol w:w="990"/>
        <w:gridCol w:w="994"/>
        <w:gridCol w:w="1369"/>
        <w:gridCol w:w="982"/>
      </w:tblGrid>
      <w:tr w:rsidR="009A4851" w:rsidRPr="009A4851" w14:paraId="0C48CC75" w14:textId="77777777" w:rsidTr="002040E0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D81CFA6" w14:textId="13BB24C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07E74E" w14:textId="36706E49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1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2414034" w14:textId="27F79988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01-03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D216F9" w:rsidRPr="009A4851" w14:paraId="2B29CAA9" w14:textId="77777777" w:rsidTr="00D216F9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D85581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9552E20" w14:textId="6C76B806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7498F" w14:textId="1B0C584B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2DB4D0" w14:textId="03B4B77D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02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7E5C71" w14:textId="518752DB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BAD1C77" w14:textId="5D40BCF2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01-03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7E7CF5" w:rsidRPr="00F5200E" w14:paraId="6D5F4864" w14:textId="77777777" w:rsidTr="00A34C71">
        <w:trPr>
          <w:trHeight w:val="53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D508F88" w14:textId="441051A1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418" w:type="dxa"/>
            <w:tcBorders>
              <w:top w:val="single" w:sz="12" w:space="0" w:color="212492"/>
            </w:tcBorders>
          </w:tcPr>
          <w:p w14:paraId="169F41F4" w14:textId="41988E89" w:rsidR="007E7CF5" w:rsidRPr="00F5200E" w:rsidRDefault="007E7CF5" w:rsidP="007E7CF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5200E">
              <w:rPr>
                <w:b/>
                <w:sz w:val="16"/>
                <w:szCs w:val="16"/>
              </w:rPr>
              <w:t>30 065</w:t>
            </w:r>
          </w:p>
        </w:tc>
        <w:tc>
          <w:tcPr>
            <w:tcW w:w="990" w:type="dxa"/>
            <w:tcBorders>
              <w:top w:val="single" w:sz="12" w:space="0" w:color="212492"/>
            </w:tcBorders>
          </w:tcPr>
          <w:p w14:paraId="76B1F6B1" w14:textId="78688394" w:rsidR="007E7CF5" w:rsidRPr="00F5200E" w:rsidRDefault="00806EB9" w:rsidP="007E7CF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F5200E">
              <w:rPr>
                <w:b/>
                <w:sz w:val="16"/>
                <w:szCs w:val="16"/>
              </w:rPr>
              <w:t>88.</w:t>
            </w:r>
            <w:r w:rsidR="007E7CF5" w:rsidRPr="00F5200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4" w:type="dxa"/>
            <w:tcBorders>
              <w:top w:val="single" w:sz="12" w:space="0" w:color="212492"/>
              <w:right w:val="nil"/>
            </w:tcBorders>
          </w:tcPr>
          <w:p w14:paraId="2451E854" w14:textId="307CB824" w:rsidR="007E7CF5" w:rsidRPr="00F5200E" w:rsidRDefault="00806EB9" w:rsidP="007E7CF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5200E">
              <w:rPr>
                <w:b/>
                <w:sz w:val="16"/>
                <w:szCs w:val="16"/>
              </w:rPr>
              <w:t>117.</w:t>
            </w:r>
            <w:r w:rsidR="007E7CF5" w:rsidRPr="00F5200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69" w:type="dxa"/>
            <w:tcBorders>
              <w:top w:val="single" w:sz="12" w:space="0" w:color="212492"/>
              <w:right w:val="nil"/>
            </w:tcBorders>
          </w:tcPr>
          <w:p w14:paraId="754A9416" w14:textId="251BEA0A" w:rsidR="007E7CF5" w:rsidRPr="00F5200E" w:rsidRDefault="007E7CF5" w:rsidP="007E7CF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5200E">
              <w:rPr>
                <w:b/>
                <w:sz w:val="16"/>
                <w:szCs w:val="16"/>
              </w:rPr>
              <w:t>77 808</w:t>
            </w:r>
          </w:p>
        </w:tc>
        <w:tc>
          <w:tcPr>
            <w:tcW w:w="982" w:type="dxa"/>
            <w:tcBorders>
              <w:top w:val="single" w:sz="12" w:space="0" w:color="212492"/>
              <w:right w:val="nil"/>
            </w:tcBorders>
          </w:tcPr>
          <w:p w14:paraId="49200B53" w14:textId="30B2E35A" w:rsidR="007E7CF5" w:rsidRPr="00F5200E" w:rsidRDefault="00806EB9" w:rsidP="007E7CF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5200E">
              <w:rPr>
                <w:b/>
                <w:sz w:val="16"/>
                <w:szCs w:val="16"/>
              </w:rPr>
              <w:t>92.</w:t>
            </w:r>
            <w:r w:rsidR="007E7CF5" w:rsidRPr="00F5200E">
              <w:rPr>
                <w:b/>
                <w:sz w:val="16"/>
                <w:szCs w:val="16"/>
              </w:rPr>
              <w:t>0</w:t>
            </w:r>
          </w:p>
        </w:tc>
      </w:tr>
      <w:tr w:rsidR="007E7CF5" w:rsidRPr="007E4736" w14:paraId="2637820A" w14:textId="77777777" w:rsidTr="00A34C71">
        <w:trPr>
          <w:trHeight w:val="53"/>
        </w:trPr>
        <w:tc>
          <w:tcPr>
            <w:tcW w:w="2268" w:type="dxa"/>
            <w:vAlign w:val="center"/>
          </w:tcPr>
          <w:p w14:paraId="7B690AFA" w14:textId="6171857A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418" w:type="dxa"/>
          </w:tcPr>
          <w:p w14:paraId="07D71355" w14:textId="001A6A09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sz w:val="16"/>
                <w:szCs w:val="16"/>
              </w:rPr>
              <w:t>10 219</w:t>
            </w:r>
          </w:p>
        </w:tc>
        <w:tc>
          <w:tcPr>
            <w:tcW w:w="990" w:type="dxa"/>
          </w:tcPr>
          <w:p w14:paraId="610D56C1" w14:textId="65D65404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100.</w:t>
            </w:r>
            <w:r w:rsidR="007E7CF5" w:rsidRPr="007E7CF5"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right w:val="nil"/>
            </w:tcBorders>
          </w:tcPr>
          <w:p w14:paraId="57C610C4" w14:textId="7BFE4570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132.</w:t>
            </w:r>
            <w:r w:rsidR="007E7CF5" w:rsidRPr="007E7CF5">
              <w:rPr>
                <w:sz w:val="16"/>
                <w:szCs w:val="16"/>
              </w:rPr>
              <w:t>7</w:t>
            </w:r>
          </w:p>
        </w:tc>
        <w:tc>
          <w:tcPr>
            <w:tcW w:w="1369" w:type="dxa"/>
            <w:tcBorders>
              <w:right w:val="nil"/>
            </w:tcBorders>
          </w:tcPr>
          <w:p w14:paraId="647E0332" w14:textId="392C0AC8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sz w:val="16"/>
                <w:szCs w:val="16"/>
              </w:rPr>
              <w:t>24 423</w:t>
            </w:r>
          </w:p>
        </w:tc>
        <w:tc>
          <w:tcPr>
            <w:tcW w:w="982" w:type="dxa"/>
            <w:tcBorders>
              <w:right w:val="nil"/>
            </w:tcBorders>
          </w:tcPr>
          <w:p w14:paraId="514D86C1" w14:textId="2A1E5548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89.</w:t>
            </w:r>
            <w:r w:rsidR="007E7CF5" w:rsidRPr="007E7CF5">
              <w:rPr>
                <w:sz w:val="16"/>
                <w:szCs w:val="16"/>
              </w:rPr>
              <w:t>9</w:t>
            </w:r>
          </w:p>
        </w:tc>
      </w:tr>
      <w:tr w:rsidR="007E7CF5" w:rsidRPr="007E4736" w14:paraId="46C7F9F7" w14:textId="77777777" w:rsidTr="00A34C71">
        <w:trPr>
          <w:trHeight w:val="359"/>
        </w:trPr>
        <w:tc>
          <w:tcPr>
            <w:tcW w:w="2268" w:type="dxa"/>
            <w:vAlign w:val="center"/>
          </w:tcPr>
          <w:p w14:paraId="3A849100" w14:textId="243615BC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418" w:type="dxa"/>
          </w:tcPr>
          <w:p w14:paraId="0ABB7EE6" w14:textId="225A4631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sz w:val="16"/>
                <w:szCs w:val="16"/>
              </w:rPr>
              <w:t>18 908</w:t>
            </w:r>
          </w:p>
        </w:tc>
        <w:tc>
          <w:tcPr>
            <w:tcW w:w="990" w:type="dxa"/>
          </w:tcPr>
          <w:p w14:paraId="5600057C" w14:textId="4A9CA861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81.</w:t>
            </w:r>
            <w:r w:rsidR="007E7CF5" w:rsidRPr="007E7CF5">
              <w:rPr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right w:val="nil"/>
            </w:tcBorders>
          </w:tcPr>
          <w:p w14:paraId="59DF4E45" w14:textId="2E906E50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108.</w:t>
            </w:r>
            <w:r w:rsidR="007E7CF5" w:rsidRPr="007E7CF5">
              <w:rPr>
                <w:sz w:val="16"/>
                <w:szCs w:val="16"/>
              </w:rPr>
              <w:t>0</w:t>
            </w:r>
          </w:p>
        </w:tc>
        <w:tc>
          <w:tcPr>
            <w:tcW w:w="1369" w:type="dxa"/>
            <w:tcBorders>
              <w:right w:val="nil"/>
            </w:tcBorders>
          </w:tcPr>
          <w:p w14:paraId="66CAA04E" w14:textId="79998EBD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sz w:val="16"/>
                <w:szCs w:val="16"/>
              </w:rPr>
              <w:t>52 020</w:t>
            </w:r>
          </w:p>
        </w:tc>
        <w:tc>
          <w:tcPr>
            <w:tcW w:w="982" w:type="dxa"/>
            <w:tcBorders>
              <w:right w:val="nil"/>
            </w:tcBorders>
          </w:tcPr>
          <w:p w14:paraId="0674B81E" w14:textId="5B67F76F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91.</w:t>
            </w:r>
            <w:r w:rsidR="007E7CF5" w:rsidRPr="007E7CF5">
              <w:rPr>
                <w:sz w:val="16"/>
                <w:szCs w:val="16"/>
              </w:rPr>
              <w:t>8</w:t>
            </w:r>
          </w:p>
        </w:tc>
      </w:tr>
      <w:tr w:rsidR="007E7CF5" w:rsidRPr="009A4851" w14:paraId="35BFA825" w14:textId="77777777" w:rsidTr="00A34C71">
        <w:trPr>
          <w:trHeight w:val="376"/>
        </w:trPr>
        <w:tc>
          <w:tcPr>
            <w:tcW w:w="2268" w:type="dxa"/>
            <w:vAlign w:val="center"/>
          </w:tcPr>
          <w:p w14:paraId="00CD52E0" w14:textId="7279F439" w:rsidR="007E7CF5" w:rsidRPr="007E7CF5" w:rsidRDefault="007E7CF5" w:rsidP="007E7CF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418" w:type="dxa"/>
          </w:tcPr>
          <w:p w14:paraId="5FF0FC31" w14:textId="4AEF0591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sz w:val="16"/>
                <w:szCs w:val="16"/>
              </w:rPr>
              <w:t>233</w:t>
            </w:r>
          </w:p>
        </w:tc>
        <w:tc>
          <w:tcPr>
            <w:tcW w:w="990" w:type="dxa"/>
          </w:tcPr>
          <w:p w14:paraId="3B07D312" w14:textId="1A5EA804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129.</w:t>
            </w:r>
            <w:r w:rsidR="007E7CF5" w:rsidRPr="007E7CF5">
              <w:rPr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right w:val="nil"/>
            </w:tcBorders>
          </w:tcPr>
          <w:p w14:paraId="363934BA" w14:textId="2A7200FE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over</w:t>
            </w:r>
            <w:r w:rsidRPr="007E7CF5">
              <w:rPr>
                <w:sz w:val="16"/>
                <w:szCs w:val="16"/>
              </w:rPr>
              <w:t xml:space="preserve"> 15-</w:t>
            </w:r>
            <w:r>
              <w:rPr>
                <w:sz w:val="16"/>
                <w:szCs w:val="16"/>
              </w:rPr>
              <w:t>fold</w:t>
            </w:r>
            <w:r w:rsidRPr="007E7C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more</w:t>
            </w:r>
          </w:p>
        </w:tc>
        <w:tc>
          <w:tcPr>
            <w:tcW w:w="1369" w:type="dxa"/>
            <w:tcBorders>
              <w:right w:val="nil"/>
            </w:tcBorders>
          </w:tcPr>
          <w:p w14:paraId="4BA89F95" w14:textId="0EAC79F6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298</w:t>
            </w:r>
          </w:p>
        </w:tc>
        <w:tc>
          <w:tcPr>
            <w:tcW w:w="982" w:type="dxa"/>
            <w:tcBorders>
              <w:right w:val="nil"/>
            </w:tcBorders>
          </w:tcPr>
          <w:p w14:paraId="1EFEF311" w14:textId="11FC6349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  <w:r w:rsidR="007E7CF5" w:rsidRPr="007E7CF5">
              <w:rPr>
                <w:sz w:val="16"/>
                <w:szCs w:val="16"/>
              </w:rPr>
              <w:t>0</w:t>
            </w:r>
          </w:p>
        </w:tc>
      </w:tr>
      <w:tr w:rsidR="007E7CF5" w:rsidRPr="009A4851" w14:paraId="0015929B" w14:textId="77777777" w:rsidTr="00A34C71">
        <w:trPr>
          <w:trHeight w:val="53"/>
        </w:trPr>
        <w:tc>
          <w:tcPr>
            <w:tcW w:w="2268" w:type="dxa"/>
            <w:vAlign w:val="center"/>
          </w:tcPr>
          <w:p w14:paraId="14A26C89" w14:textId="1C5207BC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418" w:type="dxa"/>
          </w:tcPr>
          <w:p w14:paraId="362A761F" w14:textId="099677C6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374</w:t>
            </w:r>
          </w:p>
        </w:tc>
        <w:tc>
          <w:tcPr>
            <w:tcW w:w="990" w:type="dxa"/>
          </w:tcPr>
          <w:p w14:paraId="16025F80" w14:textId="7FC7E2AF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316.</w:t>
            </w:r>
            <w:r w:rsidR="007E7CF5" w:rsidRPr="007E7CF5"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right w:val="nil"/>
            </w:tcBorders>
          </w:tcPr>
          <w:p w14:paraId="74167BFA" w14:textId="70A52220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205.</w:t>
            </w:r>
            <w:r w:rsidR="007E7CF5" w:rsidRPr="007E7CF5">
              <w:rPr>
                <w:sz w:val="16"/>
                <w:szCs w:val="16"/>
              </w:rPr>
              <w:t>5</w:t>
            </w:r>
          </w:p>
        </w:tc>
        <w:tc>
          <w:tcPr>
            <w:tcW w:w="1369" w:type="dxa"/>
            <w:tcBorders>
              <w:right w:val="nil"/>
            </w:tcBorders>
          </w:tcPr>
          <w:p w14:paraId="1D9F14CB" w14:textId="1D560E5D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621</w:t>
            </w:r>
          </w:p>
        </w:tc>
        <w:tc>
          <w:tcPr>
            <w:tcW w:w="982" w:type="dxa"/>
            <w:tcBorders>
              <w:right w:val="nil"/>
            </w:tcBorders>
          </w:tcPr>
          <w:p w14:paraId="7AED63AB" w14:textId="3118AA85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246.</w:t>
            </w:r>
            <w:r w:rsidR="007E7CF5" w:rsidRPr="007E7CF5">
              <w:rPr>
                <w:sz w:val="16"/>
                <w:szCs w:val="16"/>
              </w:rPr>
              <w:t>4</w:t>
            </w:r>
          </w:p>
        </w:tc>
      </w:tr>
      <w:tr w:rsidR="007E7CF5" w:rsidRPr="009A4851" w14:paraId="3AD83B84" w14:textId="77777777" w:rsidTr="00A34C71">
        <w:trPr>
          <w:trHeight w:val="328"/>
        </w:trPr>
        <w:tc>
          <w:tcPr>
            <w:tcW w:w="2268" w:type="dxa"/>
            <w:vAlign w:val="center"/>
          </w:tcPr>
          <w:p w14:paraId="56A604F8" w14:textId="113102C4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418" w:type="dxa"/>
          </w:tcPr>
          <w:p w14:paraId="3A1994EF" w14:textId="454DC23E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331</w:t>
            </w:r>
          </w:p>
        </w:tc>
        <w:tc>
          <w:tcPr>
            <w:tcW w:w="990" w:type="dxa"/>
          </w:tcPr>
          <w:p w14:paraId="02735917" w14:textId="0F69B367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466.</w:t>
            </w:r>
            <w:r w:rsidR="007E7CF5" w:rsidRPr="007E7CF5">
              <w:rPr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right w:val="nil"/>
            </w:tcBorders>
          </w:tcPr>
          <w:p w14:paraId="1E2D66AE" w14:textId="2EA21132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295.</w:t>
            </w:r>
            <w:r w:rsidR="007E7CF5" w:rsidRPr="007E7CF5">
              <w:rPr>
                <w:sz w:val="16"/>
                <w:szCs w:val="16"/>
              </w:rPr>
              <w:t>5</w:t>
            </w:r>
          </w:p>
        </w:tc>
        <w:tc>
          <w:tcPr>
            <w:tcW w:w="1369" w:type="dxa"/>
            <w:tcBorders>
              <w:right w:val="nil"/>
            </w:tcBorders>
          </w:tcPr>
          <w:p w14:paraId="4EC8D1D7" w14:textId="75336BB1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443</w:t>
            </w:r>
          </w:p>
        </w:tc>
        <w:tc>
          <w:tcPr>
            <w:tcW w:w="982" w:type="dxa"/>
            <w:tcBorders>
              <w:right w:val="nil"/>
            </w:tcBorders>
          </w:tcPr>
          <w:p w14:paraId="09271188" w14:textId="441E011C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314.</w:t>
            </w:r>
            <w:r w:rsidR="007E7CF5" w:rsidRPr="007E7CF5">
              <w:rPr>
                <w:sz w:val="16"/>
                <w:szCs w:val="16"/>
              </w:rPr>
              <w:t>2</w:t>
            </w:r>
          </w:p>
        </w:tc>
      </w:tr>
      <w:tr w:rsidR="007E7CF5" w:rsidRPr="009A4851" w14:paraId="20CDE87C" w14:textId="77777777" w:rsidTr="00A34C71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46FF7C5" w14:textId="6440DEAF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418" w:type="dxa"/>
            <w:tcBorders>
              <w:bottom w:val="single" w:sz="4" w:space="0" w:color="212492"/>
            </w:tcBorders>
          </w:tcPr>
          <w:p w14:paraId="2680F89D" w14:textId="22B64C02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bottom w:val="single" w:sz="4" w:space="0" w:color="212492"/>
            </w:tcBorders>
          </w:tcPr>
          <w:p w14:paraId="3CCE73C8" w14:textId="68252765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.</w:t>
            </w:r>
          </w:p>
        </w:tc>
        <w:tc>
          <w:tcPr>
            <w:tcW w:w="994" w:type="dxa"/>
            <w:tcBorders>
              <w:bottom w:val="single" w:sz="4" w:space="0" w:color="212492"/>
              <w:right w:val="nil"/>
            </w:tcBorders>
          </w:tcPr>
          <w:p w14:paraId="573C83D7" w14:textId="6D89BA70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tcBorders>
              <w:bottom w:val="single" w:sz="4" w:space="0" w:color="212492"/>
              <w:right w:val="nil"/>
            </w:tcBorders>
          </w:tcPr>
          <w:p w14:paraId="479AB42F" w14:textId="550BFB3F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sz w:val="16"/>
                <w:szCs w:val="16"/>
              </w:rPr>
              <w:t>3</w:t>
            </w:r>
          </w:p>
        </w:tc>
        <w:tc>
          <w:tcPr>
            <w:tcW w:w="982" w:type="dxa"/>
            <w:tcBorders>
              <w:bottom w:val="single" w:sz="4" w:space="0" w:color="212492"/>
              <w:right w:val="nil"/>
            </w:tcBorders>
          </w:tcPr>
          <w:p w14:paraId="14FF4A31" w14:textId="5B749130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  <w:r w:rsidR="007E7CF5" w:rsidRPr="007E7CF5">
              <w:rPr>
                <w:sz w:val="16"/>
                <w:szCs w:val="16"/>
              </w:rPr>
              <w:t>0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E55DC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2A565A9B" w:rsidR="00095A18" w:rsidRPr="004829B9" w:rsidRDefault="002034A6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From the begging of the year till the end of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March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53.3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, i.e. by 16.3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31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7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21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1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2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0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9 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(by 5.8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 w:rsidRPr="00050CDE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 w:rsidRPr="00050CDE">
        <w:rPr>
          <w:b w:val="0"/>
          <w:sz w:val="19"/>
          <w:szCs w:val="19"/>
          <w:shd w:val="clear" w:color="auto" w:fill="FFFFFF"/>
          <w:lang w:val="en-GB"/>
        </w:rPr>
        <w:t>.</w:t>
      </w:r>
      <w:r w:rsidR="00050CDE">
        <w:rPr>
          <w:b w:val="0"/>
          <w:sz w:val="19"/>
          <w:szCs w:val="19"/>
          <w:shd w:val="clear" w:color="auto" w:fill="FFFFFF"/>
          <w:lang w:val="en-GB"/>
        </w:rPr>
        <w:t>6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757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1</w:t>
      </w:r>
      <w:r w:rsidR="001C4A4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417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7E02D8" w:rsidRDefault="00B4601E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7E02D8">
        <w:rPr>
          <w:bCs/>
          <w:sz w:val="19"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3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992"/>
        <w:gridCol w:w="1134"/>
        <w:gridCol w:w="1276"/>
        <w:gridCol w:w="1220"/>
      </w:tblGrid>
      <w:tr w:rsidR="009A4851" w:rsidRPr="009A4851" w14:paraId="05C8F68F" w14:textId="77777777" w:rsidTr="002040E0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62BC9A9" w14:textId="5146E14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E44FE9" w14:textId="4F8D04DC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96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9DA4655" w14:textId="72BFCAB9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01-03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489BFE3C" w14:textId="77777777" w:rsidTr="00592EC6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A790F6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70EC01" w14:textId="5CC9EB01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131ADCE0" w14:textId="63548B77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03 </w:t>
            </w:r>
            <w:r w:rsidR="007C2881" w:rsidRPr="007E7CF5">
              <w:rPr>
                <w:color w:val="000000" w:themeColor="text1"/>
                <w:sz w:val="16"/>
                <w:szCs w:val="16"/>
              </w:rPr>
              <w:t>2021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8983041" w14:textId="6A5960DB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17FEDE7" w14:textId="081B4643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3D68AEA" w14:textId="5658FDF8" w:rsidR="009A4851" w:rsidRPr="007E7CF5" w:rsidRDefault="007E7CF5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01-03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7E7CF5" w:rsidRPr="009A4851" w14:paraId="77437A33" w14:textId="77777777" w:rsidTr="00592EC6">
        <w:trPr>
          <w:trHeight w:val="7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23752BB9" w14:textId="2BFD9BDC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11B2F92" w14:textId="6B0B800E" w:rsidR="007E7CF5" w:rsidRPr="007E7CF5" w:rsidRDefault="007E7CF5" w:rsidP="007E7CF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b/>
                <w:color w:val="000000" w:themeColor="text1"/>
                <w:sz w:val="16"/>
                <w:szCs w:val="16"/>
              </w:rPr>
              <w:t>23 632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6AFCEC4C" w14:textId="4884A512" w:rsidR="007E7CF5" w:rsidRPr="007E7CF5" w:rsidRDefault="00806EB9" w:rsidP="007E7CF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78.</w:t>
            </w:r>
            <w:r w:rsidR="007E7CF5" w:rsidRPr="007E7CF5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04020DE8" w14:textId="05391A92" w:rsidR="007E7CF5" w:rsidRPr="007E7CF5" w:rsidRDefault="00806EB9" w:rsidP="007E7CF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132.</w:t>
            </w:r>
            <w:r w:rsidR="007E7CF5" w:rsidRPr="007E7CF5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14:paraId="5DDC3F24" w14:textId="71273A29" w:rsidR="007E7CF5" w:rsidRPr="007E7CF5" w:rsidRDefault="007E7CF5" w:rsidP="007E7CF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b/>
                <w:color w:val="000000" w:themeColor="text1"/>
                <w:sz w:val="16"/>
                <w:szCs w:val="16"/>
              </w:rPr>
              <w:t>53 287</w:t>
            </w:r>
          </w:p>
        </w:tc>
        <w:tc>
          <w:tcPr>
            <w:tcW w:w="1220" w:type="dxa"/>
            <w:tcBorders>
              <w:top w:val="single" w:sz="12" w:space="0" w:color="212492"/>
              <w:right w:val="nil"/>
            </w:tcBorders>
            <w:vAlign w:val="center"/>
          </w:tcPr>
          <w:p w14:paraId="656F3B51" w14:textId="6818D94A" w:rsidR="007E7CF5" w:rsidRPr="007E7CF5" w:rsidRDefault="00806EB9" w:rsidP="007E7CF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83.</w:t>
            </w:r>
            <w:r w:rsidR="007E7CF5" w:rsidRPr="007E7CF5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7E7CF5" w:rsidRPr="007E4736" w14:paraId="0A3795FF" w14:textId="77777777" w:rsidTr="00592EC6">
        <w:trPr>
          <w:trHeight w:val="220"/>
        </w:trPr>
        <w:tc>
          <w:tcPr>
            <w:tcW w:w="2268" w:type="dxa"/>
            <w:vAlign w:val="center"/>
          </w:tcPr>
          <w:p w14:paraId="72B3E651" w14:textId="32B606C3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7A97B1ED" w14:textId="7EFBCAAC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10 304</w:t>
            </w:r>
          </w:p>
        </w:tc>
        <w:tc>
          <w:tcPr>
            <w:tcW w:w="992" w:type="dxa"/>
            <w:vAlign w:val="center"/>
          </w:tcPr>
          <w:p w14:paraId="2891BEB8" w14:textId="37707149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A4E68CA" w14:textId="0F18F63C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166.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D170652" w14:textId="12A2CC20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20 855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75A31DB" w14:textId="7AB0C432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E7CF5" w:rsidRPr="007E4736" w14:paraId="05612C2F" w14:textId="77777777" w:rsidTr="00592EC6">
        <w:trPr>
          <w:trHeight w:val="220"/>
        </w:trPr>
        <w:tc>
          <w:tcPr>
            <w:tcW w:w="2268" w:type="dxa"/>
            <w:vAlign w:val="center"/>
          </w:tcPr>
          <w:p w14:paraId="11821FA5" w14:textId="64B94D49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4804C5C6" w14:textId="4C6E932F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13 015</w:t>
            </w:r>
          </w:p>
        </w:tc>
        <w:tc>
          <w:tcPr>
            <w:tcW w:w="992" w:type="dxa"/>
            <w:vAlign w:val="center"/>
          </w:tcPr>
          <w:p w14:paraId="7A2405AF" w14:textId="3306007E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2FAF2B9" w14:textId="505AC838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03E8FA2" w14:textId="6C78E699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31 675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18E6F5" w14:textId="16CF778E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7E7CF5" w:rsidRPr="007E4736" w14:paraId="42F7773F" w14:textId="77777777" w:rsidTr="00592EC6">
        <w:trPr>
          <w:trHeight w:val="234"/>
        </w:trPr>
        <w:tc>
          <w:tcPr>
            <w:tcW w:w="2268" w:type="dxa"/>
            <w:vAlign w:val="center"/>
          </w:tcPr>
          <w:p w14:paraId="7BE8CD94" w14:textId="56A611D1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2D23A40C" w14:textId="76A1446A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14:paraId="4B592ECF" w14:textId="71C3F936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7659BDC" w14:textId="659D9661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0190689" w14:textId="130D4153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B1C97C6" w14:textId="47D9D142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7E7CF5" w:rsidRPr="009A4851" w14:paraId="100B4DA8" w14:textId="77777777" w:rsidTr="00592EC6">
        <w:trPr>
          <w:trHeight w:val="226"/>
        </w:trPr>
        <w:tc>
          <w:tcPr>
            <w:tcW w:w="2268" w:type="dxa"/>
            <w:vAlign w:val="center"/>
          </w:tcPr>
          <w:p w14:paraId="2AA69084" w14:textId="5DFAA12C" w:rsidR="007E7CF5" w:rsidRPr="007E7CF5" w:rsidRDefault="007E7CF5" w:rsidP="007E7CF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5302EF9E" w14:textId="74280F2F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992" w:type="dxa"/>
            <w:vAlign w:val="center"/>
          </w:tcPr>
          <w:p w14:paraId="32AF6E2B" w14:textId="40FDC0F0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F22456F" w14:textId="276FC5BC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0CE76B0" w14:textId="04BCBAA7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ABFCB9" w14:textId="63349475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E7CF5" w:rsidRPr="009A4851" w14:paraId="582C0DF5" w14:textId="77777777" w:rsidTr="00592EC6">
        <w:trPr>
          <w:trHeight w:val="74"/>
        </w:trPr>
        <w:tc>
          <w:tcPr>
            <w:tcW w:w="2268" w:type="dxa"/>
            <w:vAlign w:val="center"/>
          </w:tcPr>
          <w:p w14:paraId="1CAED0AB" w14:textId="01BDF0CA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7987F128" w14:textId="5579BD72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6F3B7ED8" w14:textId="289079AF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27-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587E1349" w14:textId="24DD7A3D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806EB9"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77B6CA3B" w14:textId="1CB018F9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3A793D29" w14:textId="5D091D47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E7CF5" w:rsidRPr="009A4851" w14:paraId="52C7D605" w14:textId="77777777" w:rsidTr="00592EC6">
        <w:trPr>
          <w:trHeight w:val="74"/>
        </w:trPr>
        <w:tc>
          <w:tcPr>
            <w:tcW w:w="2268" w:type="dxa"/>
            <w:vAlign w:val="center"/>
          </w:tcPr>
          <w:p w14:paraId="2D205575" w14:textId="04492E9C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4C7B4118" w14:textId="7A1FCB19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2" w:type="dxa"/>
            <w:vAlign w:val="center"/>
          </w:tcPr>
          <w:p w14:paraId="2F7D1C86" w14:textId="5505E299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149.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BBFC3F" w14:textId="2F27BA7A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FC8E63C" w14:textId="1227716C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935749F" w14:textId="77C3B270" w:rsidR="007E7CF5" w:rsidRPr="007E7CF5" w:rsidRDefault="00806EB9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53.</w:t>
            </w:r>
            <w:r w:rsidR="007E7CF5" w:rsidRPr="007E7CF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E7CF5" w:rsidRPr="009A4851" w14:paraId="119FBF81" w14:textId="77777777" w:rsidTr="00592EC6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76A6AFC" w14:textId="08F860D3" w:rsidR="007E7CF5" w:rsidRPr="007E7CF5" w:rsidRDefault="007E7CF5" w:rsidP="007E7CF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28973857" w14:textId="06798051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4C591F92" w14:textId="6C37C994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21D0633" w14:textId="4BE4FC58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7E83840D" w14:textId="7900E10D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166DE967" w14:textId="2C21A266" w:rsidR="007E7CF5" w:rsidRPr="007E7CF5" w:rsidRDefault="007E7CF5" w:rsidP="007E7CF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E7CF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009BF034" w14:textId="77777777" w:rsidR="007E02D8" w:rsidRDefault="007E02D8">
      <w:pPr>
        <w:spacing w:before="0" w:after="160" w:line="259" w:lineRule="auto"/>
        <w:rPr>
          <w:spacing w:val="-2"/>
          <w:szCs w:val="19"/>
          <w:shd w:val="clear" w:color="auto" w:fill="FFFFFF"/>
          <w:lang w:val="en-GB"/>
        </w:rPr>
      </w:pPr>
      <w:r>
        <w:rPr>
          <w:b/>
          <w:szCs w:val="19"/>
          <w:shd w:val="clear" w:color="auto" w:fill="FFFFFF"/>
          <w:lang w:val="en-GB"/>
        </w:rPr>
        <w:lastRenderedPageBreak/>
        <w:br w:type="page"/>
      </w:r>
    </w:p>
    <w:p w14:paraId="34D75009" w14:textId="5501852F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March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869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6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3.6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2E8A539A" w14:textId="557E8BB6" w:rsidR="007207E6" w:rsidRPr="007E02D8" w:rsidRDefault="00AD1492" w:rsidP="007E02D8">
      <w:pPr>
        <w:pStyle w:val="tytuwykresu"/>
        <w:spacing w:before="240"/>
        <w:rPr>
          <w:sz w:val="19"/>
          <w:szCs w:val="19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sz w:val="19"/>
          <w:szCs w:val="19"/>
          <w:lang w:val="en-GB"/>
        </w:rPr>
        <w:t xml:space="preserve"> </w:t>
      </w:r>
      <w:r w:rsidRPr="009038EF">
        <w:rPr>
          <w:szCs w:val="18"/>
          <w:lang w:val="en-GB"/>
        </w:rPr>
        <w:t xml:space="preserve">Construction activity in the scope of </w:t>
      </w:r>
      <w:r w:rsidR="00256AD9" w:rsidRPr="009038EF">
        <w:rPr>
          <w:szCs w:val="18"/>
          <w:lang w:val="en-GB"/>
        </w:rPr>
        <w:t>residential construction</w:t>
      </w:r>
      <w:r w:rsidR="005D23AA" w:rsidRPr="009038EF">
        <w:rPr>
          <w:szCs w:val="18"/>
          <w:lang w:val="en-GB"/>
        </w:rPr>
        <w:t xml:space="preserve"> in Poland</w:t>
      </w:r>
    </w:p>
    <w:p w14:paraId="07DDCEC0" w14:textId="02D1CF8D" w:rsidR="00F37978" w:rsidRPr="00D860E0" w:rsidRDefault="00CA6109" w:rsidP="003A600F">
      <w:pPr>
        <w:pStyle w:val="Nagwek1"/>
        <w:rPr>
          <w:noProof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202F017">
                <wp:simplePos x="0" y="0"/>
                <wp:positionH relativeFrom="page">
                  <wp:posOffset>5695950</wp:posOffset>
                </wp:positionH>
                <wp:positionV relativeFrom="paragraph">
                  <wp:posOffset>228600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March, compared to February 2022, the number of dwellings completed increased (by 14.0%), as well as the number of dwellings for which permits have been granted or which have been registered with a construction project (by 17.8%) and the number of dwellings in which construction has begun (by 32.4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DC315" w14:textId="77777777" w:rsidR="00CA6109" w:rsidRDefault="00CA610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58FBF1C9" w14:textId="212A8D84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860E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March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D860E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February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7E7CF5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14.0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7B36AE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7E7CF5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7.8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7E7CF5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32.4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In March, compared to February 2022, the number of dwellings completed increased (by 14.0%), as well as the number of dwellings for which permits have been granted or which have been registered with a construction project (by 17.8%) and the number of dwellings in which construction has begun (by 32.4%)" style="position:absolute;margin-left:448.5pt;margin-top:18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" filled="f" stroked="f">
                <v:textbox>
                  <w:txbxContent>
                    <w:p w14:paraId="328DC315" w14:textId="77777777" w:rsidR="00CA6109" w:rsidRDefault="00CA610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58FBF1C9" w14:textId="212A8D84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860E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March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D860E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February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7E7CF5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14.0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7B36AE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for which permits have been granted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7E7CF5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7.8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7E7CF5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32.4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4696" w:rsidRPr="007C2881">
        <w:rPr>
          <w:noProof/>
          <w:lang w:val="en-GB"/>
        </w:rPr>
        <w:t xml:space="preserve"> </w:t>
      </w:r>
      <w:r w:rsidR="00D860E0" w:rsidRPr="00D860E0">
        <w:rPr>
          <w:noProof/>
        </w:rPr>
        <w:drawing>
          <wp:inline distT="0" distB="0" distL="0" distR="0" wp14:anchorId="461406B9" wp14:editId="24A73408">
            <wp:extent cx="5122545" cy="2580005"/>
            <wp:effectExtent l="0" t="0" r="1905" b="0"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5EA1" w14:textId="5DD4F0AA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 xml:space="preserve">In </w:t>
      </w:r>
      <w:r w:rsidR="00182585">
        <w:rPr>
          <w:szCs w:val="19"/>
          <w:shd w:val="clear" w:color="auto" w:fill="FFFFFF"/>
          <w:lang w:val="en-GB"/>
        </w:rPr>
        <w:t xml:space="preserve">the </w:t>
      </w:r>
      <w:r w:rsidR="00465B75">
        <w:rPr>
          <w:szCs w:val="19"/>
          <w:shd w:val="clear" w:color="auto" w:fill="FFFFFF"/>
          <w:lang w:val="en-GB"/>
        </w:rPr>
        <w:t>first quarter of</w:t>
      </w:r>
      <w:r w:rsidR="00D941DB">
        <w:rPr>
          <w:szCs w:val="19"/>
          <w:shd w:val="clear" w:color="auto" w:fill="FFFFFF"/>
          <w:lang w:val="en-GB"/>
        </w:rPr>
        <w:t xml:space="preserve"> 2022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223182">
        <w:rPr>
          <w:szCs w:val="19"/>
          <w:shd w:val="clear" w:color="auto" w:fill="FFFFFF"/>
          <w:lang w:val="en-GB"/>
        </w:rPr>
        <w:t>in </w:t>
      </w:r>
      <w:r w:rsidR="00700FC6" w:rsidRPr="00700FC6">
        <w:rPr>
          <w:szCs w:val="19"/>
          <w:shd w:val="clear" w:color="auto" w:fill="FFFFFF"/>
          <w:lang w:val="en-GB"/>
        </w:rPr>
        <w:t xml:space="preserve">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r w:rsidR="00EF6032" w:rsidRPr="00A4625F">
        <w:rPr>
          <w:szCs w:val="19"/>
          <w:shd w:val="clear" w:color="auto" w:fill="FFFFFF"/>
          <w:lang w:val="en-GB"/>
        </w:rPr>
        <w:t>Mazowieckie</w:t>
      </w:r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465B75">
        <w:rPr>
          <w:szCs w:val="19"/>
          <w:shd w:val="clear" w:color="auto" w:fill="FFFFFF"/>
          <w:lang w:val="en-GB"/>
        </w:rPr>
        <w:t>9</w:t>
      </w:r>
      <w:r w:rsidR="00D6223C">
        <w:rPr>
          <w:szCs w:val="19"/>
          <w:shd w:val="clear" w:color="auto" w:fill="FFFFFF"/>
          <w:lang w:val="en-GB"/>
        </w:rPr>
        <w:t>.</w:t>
      </w:r>
      <w:r w:rsidR="00465B75">
        <w:rPr>
          <w:szCs w:val="19"/>
          <w:shd w:val="clear" w:color="auto" w:fill="FFFFFF"/>
          <w:lang w:val="en-GB"/>
        </w:rPr>
        <w:t>3</w:t>
      </w:r>
      <w:r w:rsidR="007B36AE">
        <w:rPr>
          <w:szCs w:val="19"/>
          <w:shd w:val="clear" w:color="auto" w:fill="FFFFFF"/>
          <w:lang w:val="en-GB"/>
        </w:rPr>
        <w:t>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465B75">
        <w:rPr>
          <w:szCs w:val="19"/>
          <w:shd w:val="clear" w:color="auto" w:fill="FFFFFF"/>
          <w:lang w:val="en-GB"/>
        </w:rPr>
        <w:t>9.9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465B75">
        <w:rPr>
          <w:szCs w:val="19"/>
          <w:shd w:val="clear" w:color="auto" w:fill="FFFFFF"/>
          <w:lang w:val="en-GB"/>
        </w:rPr>
        <w:t xml:space="preserve"> and 13.1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A4625F">
        <w:rPr>
          <w:szCs w:val="19"/>
          <w:shd w:val="clear" w:color="auto" w:fill="FFFFFF"/>
          <w:lang w:val="en-GB"/>
        </w:rPr>
        <w:t>Wielkopolskie</w:t>
      </w:r>
      <w:r w:rsidR="00D6223C" w:rsidRPr="00D6223C">
        <w:rPr>
          <w:szCs w:val="19"/>
          <w:shd w:val="clear" w:color="auto" w:fill="FFFFFF"/>
          <w:lang w:val="en-GB"/>
        </w:rPr>
        <w:t xml:space="preserve"> </w:t>
      </w:r>
      <w:r w:rsidR="00465B75">
        <w:rPr>
          <w:szCs w:val="19"/>
          <w:shd w:val="clear" w:color="auto" w:fill="FFFFFF"/>
          <w:lang w:val="en-GB"/>
        </w:rPr>
        <w:t>(6.7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465B75">
        <w:rPr>
          <w:szCs w:val="19"/>
          <w:shd w:val="clear" w:color="auto" w:fill="FFFFFF"/>
          <w:lang w:val="en-GB"/>
        </w:rPr>
        <w:t>, 5.4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465B75">
        <w:rPr>
          <w:szCs w:val="19"/>
          <w:shd w:val="clear" w:color="auto" w:fill="FFFFFF"/>
          <w:lang w:val="en-GB"/>
        </w:rPr>
        <w:t xml:space="preserve"> and 8</w:t>
      </w:r>
      <w:r w:rsidR="00BB44BD">
        <w:rPr>
          <w:szCs w:val="19"/>
          <w:shd w:val="clear" w:color="auto" w:fill="FFFFFF"/>
          <w:lang w:val="en-GB"/>
        </w:rPr>
        <w:t>.</w:t>
      </w:r>
      <w:r w:rsidR="00465B75">
        <w:rPr>
          <w:szCs w:val="19"/>
          <w:shd w:val="clear" w:color="auto" w:fill="FFFFFF"/>
          <w:lang w:val="en-GB"/>
        </w:rPr>
        <w:t>7</w:t>
      </w:r>
      <w:r w:rsidR="00D941DB">
        <w:rPr>
          <w:szCs w:val="19"/>
          <w:shd w:val="clear" w:color="auto" w:fill="FFFFFF"/>
          <w:lang w:val="en-GB"/>
        </w:rPr>
        <w:t> thousand)</w:t>
      </w:r>
      <w:r w:rsidR="00C34696" w:rsidRPr="00C34696">
        <w:rPr>
          <w:szCs w:val="19"/>
          <w:shd w:val="clear" w:color="auto" w:fill="FFFFFF"/>
          <w:lang w:val="en-GB"/>
        </w:rPr>
        <w:t xml:space="preserve"> and </w:t>
      </w:r>
      <w:r w:rsidR="00D941DB">
        <w:rPr>
          <w:szCs w:val="19"/>
          <w:shd w:val="clear" w:color="auto" w:fill="FFFFFF"/>
          <w:lang w:val="en-GB"/>
        </w:rPr>
        <w:t>Małopolskie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465B75">
        <w:rPr>
          <w:szCs w:val="19"/>
          <w:shd w:val="clear" w:color="auto" w:fill="FFFFFF"/>
          <w:lang w:val="en-GB"/>
        </w:rPr>
        <w:t>(5.9</w:t>
      </w:r>
      <w:r>
        <w:rPr>
          <w:szCs w:val="19"/>
          <w:shd w:val="clear" w:color="auto" w:fill="FFFFFF"/>
          <w:lang w:val="en-GB"/>
        </w:rPr>
        <w:t> </w:t>
      </w:r>
      <w:r w:rsidR="00465B75">
        <w:rPr>
          <w:szCs w:val="19"/>
          <w:shd w:val="clear" w:color="auto" w:fill="FFFFFF"/>
          <w:lang w:val="en-GB"/>
        </w:rPr>
        <w:t>thousand, 4</w:t>
      </w:r>
      <w:r w:rsidR="00C34696">
        <w:rPr>
          <w:szCs w:val="19"/>
          <w:shd w:val="clear" w:color="auto" w:fill="FFFFFF"/>
          <w:lang w:val="en-GB"/>
        </w:rPr>
        <w:t>.9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465B75">
        <w:rPr>
          <w:szCs w:val="19"/>
          <w:shd w:val="clear" w:color="auto" w:fill="FFFFFF"/>
          <w:lang w:val="en-GB"/>
        </w:rPr>
        <w:t xml:space="preserve"> 6.6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C34696">
        <w:rPr>
          <w:szCs w:val="19"/>
          <w:shd w:val="clear" w:color="auto" w:fill="FFFFFF"/>
          <w:lang w:val="en-GB"/>
        </w:rPr>
        <w:t>).</w:t>
      </w:r>
    </w:p>
    <w:p w14:paraId="73CBA65A" w14:textId="374F147B" w:rsidR="00903A58" w:rsidRPr="006D194B" w:rsidRDefault="001C1808" w:rsidP="006D194B">
      <w:pPr>
        <w:pStyle w:val="Nagwek1"/>
        <w:tabs>
          <w:tab w:val="left" w:pos="851"/>
        </w:tabs>
        <w:ind w:left="709" w:hanging="709"/>
        <w:rPr>
          <w:rFonts w:ascii="Fira Sans" w:hAnsi="Fira Sans"/>
          <w:b/>
          <w:color w:val="auto"/>
          <w:szCs w:val="19"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D860E0">
        <w:rPr>
          <w:rFonts w:ascii="Fira Sans" w:hAnsi="Fira Sans"/>
          <w:b/>
          <w:color w:val="auto"/>
          <w:sz w:val="18"/>
          <w:szCs w:val="18"/>
          <w:lang w:val="en-GB"/>
        </w:rPr>
        <w:t>March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</w:p>
    <w:p w14:paraId="66C5A628" w14:textId="639CBE6C" w:rsidR="003A358E" w:rsidRPr="00BB44BD" w:rsidRDefault="00D860E0" w:rsidP="00A12B93">
      <w:pPr>
        <w:pStyle w:val="Nagwek1"/>
        <w:rPr>
          <w:color w:val="auto"/>
          <w:sz w:val="18"/>
          <w:szCs w:val="18"/>
          <w:lang w:val="en-GB"/>
        </w:rPr>
      </w:pPr>
      <w:r w:rsidRPr="00D860E0">
        <w:rPr>
          <w:noProof/>
        </w:rPr>
        <w:drawing>
          <wp:inline distT="0" distB="0" distL="0" distR="0" wp14:anchorId="0F422A47" wp14:editId="1EFA7D00">
            <wp:extent cx="5122545" cy="2520315"/>
            <wp:effectExtent l="0" t="0" r="1905" b="0"/>
            <wp:docPr id="3" name="Obraz 3" descr="Number of dwellings completed, number of dwellings for which permits have been granted or which have been registered with a construction project and number of dwellings in which construction has begun in January-March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40B4" w14:textId="5F8B6B3B" w:rsidR="00A12B93" w:rsidRDefault="00A12B93" w:rsidP="00A12B93">
      <w:pPr>
        <w:rPr>
          <w:lang w:val="en-GB" w:eastAsia="pl-PL"/>
        </w:rPr>
      </w:pPr>
    </w:p>
    <w:p w14:paraId="67ED41D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14049859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0F5558B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900955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CA0BF2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90095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90095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90095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90095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90095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900955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3E9C3" w14:textId="77777777" w:rsidR="00900955" w:rsidRDefault="00900955" w:rsidP="000662E2">
      <w:pPr>
        <w:spacing w:after="0" w:line="240" w:lineRule="auto"/>
      </w:pPr>
      <w:r>
        <w:separator/>
      </w:r>
    </w:p>
  </w:endnote>
  <w:endnote w:type="continuationSeparator" w:id="0">
    <w:p w14:paraId="1B6E680D" w14:textId="77777777" w:rsidR="00900955" w:rsidRDefault="0090095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5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B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C45F4" w14:textId="77777777" w:rsidR="00900955" w:rsidRDefault="00900955" w:rsidP="000662E2">
      <w:pPr>
        <w:spacing w:after="0" w:line="240" w:lineRule="auto"/>
      </w:pPr>
      <w:r>
        <w:separator/>
      </w:r>
    </w:p>
  </w:footnote>
  <w:footnote w:type="continuationSeparator" w:id="0">
    <w:p w14:paraId="1DDA7A2A" w14:textId="77777777" w:rsidR="00900955" w:rsidRDefault="00900955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0C5A" w14:textId="25E2FD68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1FDF09E6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06A0DEDC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2.04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C1991AD" w:rsidR="00574E89" w:rsidRPr="00C97596" w:rsidRDefault="00D860E0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22.04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2.04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CWEdI4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2C1991AD" w:rsidR="00574E89" w:rsidRPr="00C97596" w:rsidRDefault="00D860E0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22.04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7263B8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7F284B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945D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447"/>
    <w:rsid w:val="000A0B6F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4A6"/>
    <w:rsid w:val="00203BDB"/>
    <w:rsid w:val="002040E0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2B16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92EC6"/>
    <w:rsid w:val="005A30AB"/>
    <w:rsid w:val="005A4C6A"/>
    <w:rsid w:val="005A4E6A"/>
    <w:rsid w:val="005A61DB"/>
    <w:rsid w:val="005A698C"/>
    <w:rsid w:val="005A6F2D"/>
    <w:rsid w:val="005B093B"/>
    <w:rsid w:val="005B0979"/>
    <w:rsid w:val="005B2080"/>
    <w:rsid w:val="005B5EB4"/>
    <w:rsid w:val="005B659C"/>
    <w:rsid w:val="005C16BE"/>
    <w:rsid w:val="005C2FE4"/>
    <w:rsid w:val="005C4A86"/>
    <w:rsid w:val="005C4E91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843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D17B3"/>
    <w:rsid w:val="006D194B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254F"/>
    <w:rsid w:val="00763711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266"/>
    <w:rsid w:val="0096740A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6DEB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55C2"/>
    <w:rsid w:val="00C571F3"/>
    <w:rsid w:val="00C57EF3"/>
    <w:rsid w:val="00C60835"/>
    <w:rsid w:val="00C625B8"/>
    <w:rsid w:val="00C62692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0BF2"/>
    <w:rsid w:val="00CA107B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45A80"/>
    <w:rsid w:val="00D45F1D"/>
    <w:rsid w:val="00D46532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049B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residential_construction_in_January-February_2022.docx.docx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DBA00D4A-68A7-4224-9217-A3C2A8C7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January-February 2022</vt:lpstr>
    </vt:vector>
  </TitlesOfParts>
  <Company>Statistics Poland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January-February 2022</dc:title>
  <dc:subject>Residential construction</dc:subject>
  <dc:creator>Statistics Poland</dc:creator>
  <cp:keywords>dwellings completed; dwellings under construction; dwellings started; building permit; useful floor area</cp:keywords>
  <cp:lastModifiedBy>Powęska Anna</cp:lastModifiedBy>
  <cp:revision>2</cp:revision>
  <cp:lastPrinted>2022-04-19T07:51:00Z</cp:lastPrinted>
  <dcterms:created xsi:type="dcterms:W3CDTF">2022-04-22T07:33:00Z</dcterms:created>
  <dcterms:modified xsi:type="dcterms:W3CDTF">2022-04-22T07:33:00Z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