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2C76" w14:textId="510C4E07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B5362C">
        <w:rPr>
          <w:szCs w:val="32"/>
          <w:lang w:val="en-GB"/>
        </w:rPr>
        <w:t>the period of January-</w:t>
      </w:r>
      <w:r w:rsidR="00494121">
        <w:rPr>
          <w:szCs w:val="32"/>
          <w:lang w:val="en-GB"/>
        </w:rPr>
        <w:t>February</w:t>
      </w:r>
      <w:r w:rsidR="00CF46EE">
        <w:rPr>
          <w:szCs w:val="32"/>
          <w:lang w:val="en-GB"/>
        </w:rPr>
        <w:t xml:space="preserve"> </w:t>
      </w:r>
      <w:r w:rsidR="00A4625F">
        <w:rPr>
          <w:szCs w:val="32"/>
          <w:shd w:val="clear" w:color="auto" w:fill="FFFFFF"/>
          <w:lang w:val="en-GB"/>
        </w:rPr>
        <w:t>2022</w:t>
      </w:r>
    </w:p>
    <w:p w14:paraId="138C7713" w14:textId="192EF1BF" w:rsidR="00393761" w:rsidRPr="004829B9" w:rsidRDefault="005F302D" w:rsidP="00074DD8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252253" wp14:editId="5A9A76A2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AF23" w14:textId="77777777" w:rsidR="00574E89" w:rsidRPr="004466B1" w:rsidRDefault="00574E89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5225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47E9AF23" w14:textId="77777777" w:rsidR="00574E89" w:rsidRPr="004466B1" w:rsidRDefault="00574E89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C0BCF7" w14:textId="26F3BDAE" w:rsidR="00095A18" w:rsidRPr="004829B9" w:rsidRDefault="00941380" w:rsidP="00896EB9">
      <w:pPr>
        <w:pStyle w:val="LID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4F459519" wp14:editId="628C88A4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99.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7FD05" w14:textId="38FB0F77" w:rsidR="00A4625F" w:rsidRPr="00A4625F" w:rsidRDefault="00A4625F" w:rsidP="00A4625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A4625F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2"/>
                            </w:r>
                            <w:r w:rsidRPr="00A4625F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49412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99</w:t>
                            </w:r>
                            <w:r w:rsidR="00C62692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.</w:t>
                            </w:r>
                            <w:r w:rsidR="0049412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9</w:t>
                            </w:r>
                          </w:p>
                          <w:p w14:paraId="5EB37FDB" w14:textId="7A9DD4B7" w:rsidR="00941380" w:rsidRPr="00A4625F" w:rsidRDefault="00941380" w:rsidP="00941380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</w:t>
                            </w:r>
                            <w:r w:rsidR="005B659C" w:rsidRPr="00A96DEB">
                              <w:rPr>
                                <w:lang w:val="en-GB"/>
                              </w:rPr>
                              <w:t>b</w:t>
                            </w:r>
                            <w:r w:rsidRPr="00A96DEB">
                              <w:rPr>
                                <w:lang w:val="en-GB"/>
                              </w:rPr>
                              <w:t>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59519" id="_x0000_s1027" alt="Index number of dwellings completed y/y 99.9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" fillcolor="#001d77" stroked="f">
                <v:stroke joinstyle="miter"/>
                <v:textbox>
                  <w:txbxContent>
                    <w:p w14:paraId="0C77FD05" w14:textId="38FB0F77" w:rsidR="00A4625F" w:rsidRPr="00A4625F" w:rsidRDefault="00A4625F" w:rsidP="00A4625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 w:rsidRPr="00A4625F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2"/>
                      </w:r>
                      <w:r w:rsidRPr="00A4625F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49412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99</w:t>
                      </w:r>
                      <w:r w:rsidR="00C62692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.</w:t>
                      </w:r>
                      <w:r w:rsidR="0049412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9</w:t>
                      </w:r>
                    </w:p>
                    <w:p w14:paraId="5EB37FDB" w14:textId="7A9DD4B7" w:rsidR="00941380" w:rsidRPr="00A4625F" w:rsidRDefault="00941380" w:rsidP="00941380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</w:t>
                      </w:r>
                      <w:r w:rsidR="005B659C" w:rsidRPr="00A96DEB">
                        <w:rPr>
                          <w:lang w:val="en-GB"/>
                        </w:rPr>
                        <w:t>b</w:t>
                      </w:r>
                      <w:r w:rsidRPr="00A96DEB">
                        <w:rPr>
                          <w:lang w:val="en-GB"/>
                        </w:rPr>
                        <w:t>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5433" w:rsidRPr="0015468F">
        <w:rPr>
          <w:lang w:val="en-GB"/>
        </w:rPr>
        <w:t xml:space="preserve">In </w:t>
      </w:r>
      <w:r w:rsidR="00494121">
        <w:rPr>
          <w:lang w:val="en-GB"/>
        </w:rPr>
        <w:t xml:space="preserve"> </w:t>
      </w:r>
      <w:r w:rsidR="00B5362C">
        <w:rPr>
          <w:lang w:val="en-GB"/>
        </w:rPr>
        <w:t>the first two months of</w:t>
      </w:r>
      <w:r w:rsidR="00A4625F">
        <w:rPr>
          <w:lang w:val="en-GB"/>
        </w:rPr>
        <w:t xml:space="preserve"> 2022</w:t>
      </w:r>
      <w:r w:rsidR="004829B9" w:rsidRPr="0015468F">
        <w:rPr>
          <w:lang w:val="en-GB"/>
        </w:rPr>
        <w:t>,</w:t>
      </w:r>
      <w:r w:rsidR="00AD1492" w:rsidRPr="004829B9">
        <w:rPr>
          <w:lang w:val="en-GB"/>
        </w:rPr>
        <w:t xml:space="preserve"> there were </w:t>
      </w:r>
      <w:r w:rsidR="005047F8">
        <w:rPr>
          <w:lang w:val="en-GB"/>
        </w:rPr>
        <w:t xml:space="preserve">slightly </w:t>
      </w:r>
      <w:r w:rsidR="00A4625F">
        <w:rPr>
          <w:lang w:val="en-GB"/>
        </w:rPr>
        <w:t>less</w:t>
      </w:r>
      <w:r w:rsidR="00AD1492" w:rsidRPr="004829B9">
        <w:rPr>
          <w:lang w:val="en-GB"/>
        </w:rPr>
        <w:t xml:space="preserve"> dwellings completed than the year before. </w:t>
      </w:r>
      <w:r w:rsidR="00D14E83">
        <w:rPr>
          <w:lang w:val="en-GB"/>
        </w:rPr>
        <w:t xml:space="preserve">The </w:t>
      </w:r>
      <w:r w:rsidR="00D92898">
        <w:rPr>
          <w:lang w:val="en-GB"/>
        </w:rPr>
        <w:t xml:space="preserve">number of </w:t>
      </w:r>
      <w:r w:rsidR="00D92898" w:rsidRPr="00D92898">
        <w:rPr>
          <w:lang w:val="en-GB"/>
        </w:rPr>
        <w:t>dwellings for which permits have been granted or wh</w:t>
      </w:r>
      <w:r w:rsidR="007B36AE">
        <w:rPr>
          <w:lang w:val="en-GB"/>
        </w:rPr>
        <w:t>ich have been registered with a </w:t>
      </w:r>
      <w:r w:rsidR="00D92898" w:rsidRPr="00D92898">
        <w:rPr>
          <w:lang w:val="en-GB"/>
        </w:rPr>
        <w:t xml:space="preserve">construction project </w:t>
      </w:r>
      <w:r w:rsidR="00D92898">
        <w:rPr>
          <w:lang w:val="en-GB"/>
        </w:rPr>
        <w:t xml:space="preserve">as well as </w:t>
      </w:r>
      <w:r w:rsidR="00D14E83" w:rsidRPr="00D14E83">
        <w:rPr>
          <w:lang w:val="en-GB"/>
        </w:rPr>
        <w:t xml:space="preserve">dwellings in which construction has begun </w:t>
      </w:r>
      <w:r w:rsidR="00A4625F">
        <w:rPr>
          <w:lang w:val="en-GB"/>
        </w:rPr>
        <w:t>also de</w:t>
      </w:r>
      <w:r w:rsidR="00D14E83">
        <w:rPr>
          <w:lang w:val="en-GB"/>
        </w:rPr>
        <w:t>creased</w:t>
      </w:r>
      <w:r w:rsidR="00D92898">
        <w:rPr>
          <w:lang w:val="en-GB"/>
        </w:rPr>
        <w:t>.</w:t>
      </w:r>
      <w:r w:rsidRPr="00A4625F">
        <w:rPr>
          <w:color w:val="001D77"/>
          <w:lang w:val="en-GB"/>
        </w:rPr>
        <w:t xml:space="preserve"> </w:t>
      </w:r>
    </w:p>
    <w:p w14:paraId="131E17E4" w14:textId="68CCE26C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0487363C" w14:textId="0C68108B" w:rsidR="000D348A" w:rsidRPr="004829B9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3AD4051D" w:rsidR="00C733A3" w:rsidRPr="006D194B" w:rsidRDefault="00A87439" w:rsidP="000D348A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72A6CCCD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 53.9% and 44.1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060A05C1" w:rsidR="00574E89" w:rsidRPr="00AD1492" w:rsidRDefault="00574E89" w:rsidP="00B93B71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and private inv</w:t>
                            </w:r>
                            <w:r w:rsidR="004E4BB8">
                              <w:rPr>
                                <w:lang w:val="en-US"/>
                              </w:rPr>
                              <w:t>estors completed respectively 53</w:t>
                            </w:r>
                            <w:r w:rsidR="005744C0">
                              <w:rPr>
                                <w:lang w:val="en-US"/>
                              </w:rPr>
                              <w:t>.</w:t>
                            </w:r>
                            <w:r w:rsidR="004E4BB8">
                              <w:rPr>
                                <w:lang w:val="en-US"/>
                              </w:rPr>
                              <w:t>9% and 44.1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3318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Developers and private investors completed respectively 53.9% and 44.1% of the total number of dwellings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" filled="f" stroked="f">
                <v:textbox>
                  <w:txbxContent>
                    <w:p w14:paraId="55217834" w14:textId="060A05C1" w:rsidR="00574E89" w:rsidRPr="00AD1492" w:rsidRDefault="00574E89" w:rsidP="00B93B71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and private inv</w:t>
                      </w:r>
                      <w:r w:rsidR="004E4BB8">
                        <w:rPr>
                          <w:lang w:val="en-US"/>
                        </w:rPr>
                        <w:t>estors completed respectively 53</w:t>
                      </w:r>
                      <w:r w:rsidR="005744C0">
                        <w:rPr>
                          <w:lang w:val="en-US"/>
                        </w:rPr>
                        <w:t>.</w:t>
                      </w:r>
                      <w:r w:rsidR="004E4BB8">
                        <w:rPr>
                          <w:lang w:val="en-US"/>
                        </w:rPr>
                        <w:t>9% and 44.1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33A3" w:rsidRPr="006D194B">
        <w:rPr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08310981" w:rsidR="0042048D" w:rsidRPr="004829B9" w:rsidRDefault="00AD1492" w:rsidP="00896EB9">
      <w:pPr>
        <w:rPr>
          <w:spacing w:val="-4"/>
          <w:shd w:val="clear" w:color="auto" w:fill="FFFFFF"/>
          <w:lang w:val="en-GB"/>
        </w:rPr>
      </w:pPr>
      <w:r w:rsidRPr="004829B9">
        <w:rPr>
          <w:spacing w:val="-4"/>
          <w:shd w:val="clear" w:color="auto" w:fill="FFFFFF"/>
          <w:lang w:val="en-GB"/>
        </w:rPr>
        <w:t xml:space="preserve">According </w:t>
      </w:r>
      <w:r w:rsidR="00C733A3" w:rsidRPr="004829B9">
        <w:rPr>
          <w:spacing w:val="-4"/>
          <w:shd w:val="clear" w:color="auto" w:fill="FFFFFF"/>
          <w:lang w:val="en-GB"/>
        </w:rPr>
        <w:t xml:space="preserve">to </w:t>
      </w:r>
      <w:r w:rsidR="00F54505" w:rsidRPr="004829B9">
        <w:rPr>
          <w:spacing w:val="-4"/>
          <w:shd w:val="clear" w:color="auto" w:fill="FFFFFF"/>
          <w:lang w:val="en-GB"/>
        </w:rPr>
        <w:t xml:space="preserve">the </w:t>
      </w:r>
      <w:r w:rsidR="00111FD5" w:rsidRPr="004829B9">
        <w:rPr>
          <w:spacing w:val="-4"/>
          <w:shd w:val="clear" w:color="auto" w:fill="FFFFFF"/>
          <w:lang w:val="en-GB"/>
        </w:rPr>
        <w:t xml:space="preserve">preliminary </w:t>
      </w:r>
      <w:r w:rsidR="00A72CF4" w:rsidRPr="004829B9">
        <w:rPr>
          <w:spacing w:val="-4"/>
          <w:shd w:val="clear" w:color="auto" w:fill="FFFFFF"/>
          <w:lang w:val="en-GB"/>
        </w:rPr>
        <w:t xml:space="preserve">data, </w:t>
      </w:r>
      <w:r w:rsidR="007432DC">
        <w:rPr>
          <w:spacing w:val="-4"/>
          <w:shd w:val="clear" w:color="auto" w:fill="FFFFFF"/>
          <w:lang w:val="en-GB"/>
        </w:rPr>
        <w:t>33.7</w:t>
      </w:r>
      <w:r w:rsidR="00581162" w:rsidRPr="00581162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were co</w:t>
      </w:r>
      <w:r w:rsidR="008B2394" w:rsidRPr="004829B9">
        <w:rPr>
          <w:spacing w:val="-4"/>
          <w:shd w:val="clear" w:color="auto" w:fill="FFFFFF"/>
          <w:lang w:val="en-GB"/>
        </w:rPr>
        <w:t xml:space="preserve">mpleted </w:t>
      </w:r>
      <w:r w:rsidR="009D4061">
        <w:rPr>
          <w:spacing w:val="-4"/>
          <w:shd w:val="clear" w:color="auto" w:fill="FFFFFF"/>
          <w:lang w:val="en-GB"/>
        </w:rPr>
        <w:t xml:space="preserve">in </w:t>
      </w:r>
      <w:r w:rsidR="007432DC">
        <w:rPr>
          <w:spacing w:val="-4"/>
          <w:shd w:val="clear" w:color="auto" w:fill="FFFFFF"/>
          <w:lang w:val="en-GB"/>
        </w:rPr>
        <w:t>the period of January-February</w:t>
      </w:r>
      <w:r w:rsidR="004862A6">
        <w:rPr>
          <w:spacing w:val="-4"/>
          <w:shd w:val="clear" w:color="auto" w:fill="FFFFFF"/>
          <w:lang w:val="en-GB"/>
        </w:rPr>
        <w:t xml:space="preserve"> 2022</w:t>
      </w:r>
      <w:r w:rsidR="009664CD" w:rsidRPr="004829B9">
        <w:rPr>
          <w:spacing w:val="-4"/>
          <w:shd w:val="clear" w:color="auto" w:fill="FFFFFF"/>
          <w:lang w:val="en-GB"/>
        </w:rPr>
        <w:t xml:space="preserve">, i.e. </w:t>
      </w:r>
      <w:r w:rsidR="005047F8">
        <w:rPr>
          <w:spacing w:val="-4"/>
          <w:shd w:val="clear" w:color="auto" w:fill="FFFFFF"/>
          <w:lang w:val="en-GB"/>
        </w:rPr>
        <w:t>comparable to the quantity in the previous year (</w:t>
      </w:r>
      <w:r w:rsidR="009664CD" w:rsidRPr="004829B9">
        <w:rPr>
          <w:spacing w:val="-4"/>
          <w:shd w:val="clear" w:color="auto" w:fill="FFFFFF"/>
          <w:lang w:val="en-GB"/>
        </w:rPr>
        <w:t xml:space="preserve">by </w:t>
      </w:r>
      <w:r w:rsidR="004E4BB8">
        <w:rPr>
          <w:spacing w:val="-4"/>
          <w:shd w:val="clear" w:color="auto" w:fill="FFFFFF"/>
          <w:lang w:val="en-GB"/>
        </w:rPr>
        <w:t>0,1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4862A6">
        <w:rPr>
          <w:spacing w:val="-4"/>
          <w:shd w:val="clear" w:color="auto" w:fill="FFFFFF"/>
          <w:lang w:val="en-GB"/>
        </w:rPr>
        <w:t>less</w:t>
      </w:r>
      <w:r w:rsidR="005047F8">
        <w:rPr>
          <w:spacing w:val="-4"/>
          <w:shd w:val="clear" w:color="auto" w:fill="FFFFFF"/>
          <w:lang w:val="en-GB"/>
        </w:rPr>
        <w:t>)</w:t>
      </w:r>
      <w:bookmarkStart w:id="0" w:name="_GoBack"/>
      <w:bookmarkEnd w:id="0"/>
      <w:r w:rsidR="00C733A3" w:rsidRPr="004829B9">
        <w:rPr>
          <w:spacing w:val="-4"/>
          <w:shd w:val="clear" w:color="auto" w:fill="FFFFFF"/>
          <w:lang w:val="en-GB"/>
        </w:rPr>
        <w:t xml:space="preserve">. </w:t>
      </w:r>
      <w:r w:rsidR="00C733A3" w:rsidRPr="004829B9">
        <w:rPr>
          <w:b/>
          <w:spacing w:val="-4"/>
          <w:shd w:val="clear" w:color="auto" w:fill="FFFFFF"/>
          <w:lang w:val="en-GB"/>
        </w:rPr>
        <w:t>Developers</w:t>
      </w:r>
      <w:r w:rsidR="0058073C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completed </w:t>
      </w:r>
      <w:r w:rsidR="004E4BB8">
        <w:rPr>
          <w:spacing w:val="-4"/>
          <w:shd w:val="clear" w:color="auto" w:fill="FFFFFF"/>
          <w:lang w:val="en-GB"/>
        </w:rPr>
        <w:t>18</w:t>
      </w:r>
      <w:r w:rsidR="00372328">
        <w:rPr>
          <w:spacing w:val="-4"/>
          <w:shd w:val="clear" w:color="auto" w:fill="FFFFFF"/>
          <w:lang w:val="en-GB"/>
        </w:rPr>
        <w:t>.</w:t>
      </w:r>
      <w:r w:rsidR="004E4BB8">
        <w:rPr>
          <w:spacing w:val="-4"/>
          <w:shd w:val="clear" w:color="auto" w:fill="FFFFFF"/>
          <w:lang w:val="en-GB"/>
        </w:rPr>
        <w:t>2</w:t>
      </w:r>
      <w:r w:rsidR="00372328" w:rsidRPr="00372328">
        <w:rPr>
          <w:spacing w:val="-4"/>
          <w:shd w:val="clear" w:color="auto" w:fill="FFFFFF"/>
          <w:lang w:val="en-GB"/>
        </w:rPr>
        <w:t xml:space="preserve"> </w:t>
      </w:r>
      <w:r w:rsidR="00A72CF4" w:rsidRPr="004829B9">
        <w:rPr>
          <w:spacing w:val="-4"/>
          <w:shd w:val="clear" w:color="auto" w:fill="FFFFFF"/>
          <w:lang w:val="en-GB"/>
        </w:rPr>
        <w:t>thous</w:t>
      </w:r>
      <w:r w:rsidR="002C751B">
        <w:rPr>
          <w:spacing w:val="-4"/>
          <w:shd w:val="clear" w:color="auto" w:fill="FFFFFF"/>
          <w:lang w:val="en-GB"/>
        </w:rPr>
        <w:t>a</w:t>
      </w:r>
      <w:r w:rsidR="004829B9">
        <w:rPr>
          <w:spacing w:val="-4"/>
          <w:shd w:val="clear" w:color="auto" w:fill="FFFFFF"/>
          <w:lang w:val="en-GB"/>
        </w:rPr>
        <w:t>nd</w:t>
      </w:r>
      <w:r w:rsidR="00A72CF4" w:rsidRPr="004829B9">
        <w:rPr>
          <w:spacing w:val="-4"/>
          <w:shd w:val="clear" w:color="auto" w:fill="FFFFFF"/>
          <w:lang w:val="en-GB"/>
        </w:rPr>
        <w:t xml:space="preserve"> dwellings </w:t>
      </w:r>
      <w:r w:rsidR="00243A60">
        <w:rPr>
          <w:spacing w:val="-4"/>
          <w:shd w:val="clear" w:color="auto" w:fill="FFFFFF"/>
          <w:lang w:val="en-GB"/>
        </w:rPr>
        <w:t xml:space="preserve">– </w:t>
      </w:r>
      <w:r w:rsidR="00016549" w:rsidRPr="00314007">
        <w:rPr>
          <w:spacing w:val="-4"/>
          <w:shd w:val="clear" w:color="auto" w:fill="FFFFFF"/>
          <w:lang w:val="en-GB"/>
        </w:rPr>
        <w:t>by</w:t>
      </w:r>
      <w:r w:rsidR="004B638F">
        <w:rPr>
          <w:color w:val="00B0F0"/>
          <w:spacing w:val="-4"/>
          <w:shd w:val="clear" w:color="auto" w:fill="FFFFFF"/>
          <w:lang w:val="en-GB"/>
        </w:rPr>
        <w:t> </w:t>
      </w:r>
      <w:r w:rsidR="004E4BB8">
        <w:rPr>
          <w:spacing w:val="-4"/>
          <w:shd w:val="clear" w:color="auto" w:fill="FFFFFF"/>
          <w:lang w:val="en-GB"/>
        </w:rPr>
        <w:t>6</w:t>
      </w:r>
      <w:r w:rsidR="004862A6">
        <w:rPr>
          <w:spacing w:val="-4"/>
          <w:shd w:val="clear" w:color="auto" w:fill="FFFFFF"/>
          <w:lang w:val="en-GB"/>
        </w:rPr>
        <w:t>.5</w:t>
      </w:r>
      <w:r w:rsidR="000E65E1" w:rsidRPr="004829B9">
        <w:rPr>
          <w:spacing w:val="-4"/>
          <w:shd w:val="clear" w:color="auto" w:fill="FFFFFF"/>
          <w:lang w:val="en-GB"/>
        </w:rPr>
        <w:t>% </w:t>
      </w:r>
      <w:r w:rsidR="00581162">
        <w:rPr>
          <w:spacing w:val="-4"/>
          <w:shd w:val="clear" w:color="auto" w:fill="FFFFFF"/>
          <w:lang w:val="en-GB"/>
        </w:rPr>
        <w:t>less</w:t>
      </w:r>
      <w:r w:rsidR="009D4061">
        <w:rPr>
          <w:spacing w:val="-4"/>
          <w:shd w:val="clear" w:color="auto" w:fill="FFFFFF"/>
          <w:lang w:val="en-GB"/>
        </w:rPr>
        <w:t xml:space="preserve"> than in </w:t>
      </w:r>
      <w:r w:rsidR="004E4BB8">
        <w:rPr>
          <w:spacing w:val="-4"/>
          <w:shd w:val="clear" w:color="auto" w:fill="FFFFFF"/>
          <w:lang w:val="en-GB"/>
        </w:rPr>
        <w:t>2021</w:t>
      </w:r>
      <w:r w:rsidR="00C733A3" w:rsidRPr="004829B9">
        <w:rPr>
          <w:spacing w:val="-4"/>
          <w:shd w:val="clear" w:color="auto" w:fill="FFFFFF"/>
          <w:lang w:val="en-GB"/>
        </w:rPr>
        <w:t xml:space="preserve">, whereas </w:t>
      </w:r>
      <w:r w:rsidR="00C733A3" w:rsidRPr="004829B9">
        <w:rPr>
          <w:b/>
          <w:spacing w:val="-4"/>
          <w:shd w:val="clear" w:color="auto" w:fill="FFFFFF"/>
          <w:lang w:val="en-GB"/>
        </w:rPr>
        <w:t>private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b/>
          <w:spacing w:val="-4"/>
          <w:shd w:val="clear" w:color="auto" w:fill="FFFFFF"/>
          <w:lang w:val="en-GB"/>
        </w:rPr>
        <w:t>investors</w:t>
      </w:r>
      <w:r w:rsidR="00837231" w:rsidRPr="004829B9">
        <w:rPr>
          <w:spacing w:val="-4"/>
          <w:shd w:val="clear" w:color="auto" w:fill="FFFFFF"/>
          <w:lang w:val="en-GB"/>
        </w:rPr>
        <w:t xml:space="preserve"> completed </w:t>
      </w:r>
      <w:r w:rsidR="004E4BB8">
        <w:rPr>
          <w:spacing w:val="-4"/>
          <w:shd w:val="clear" w:color="auto" w:fill="FFFFFF"/>
          <w:lang w:val="en-GB"/>
        </w:rPr>
        <w:t>14</w:t>
      </w:r>
      <w:r w:rsidR="00372328">
        <w:rPr>
          <w:spacing w:val="-4"/>
          <w:shd w:val="clear" w:color="auto" w:fill="FFFFFF"/>
          <w:lang w:val="en-GB"/>
        </w:rPr>
        <w:t>.</w:t>
      </w:r>
      <w:r w:rsidR="004E4BB8">
        <w:rPr>
          <w:spacing w:val="-4"/>
          <w:shd w:val="clear" w:color="auto" w:fill="FFFFFF"/>
          <w:lang w:val="en-GB"/>
        </w:rPr>
        <w:t>9</w:t>
      </w:r>
      <w:r w:rsidR="00A7208C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dwellings, </w:t>
      </w:r>
      <w:r w:rsidR="009664CD" w:rsidRPr="004829B9">
        <w:rPr>
          <w:spacing w:val="-4"/>
          <w:shd w:val="clear" w:color="auto" w:fill="FFFFFF"/>
          <w:lang w:val="en-GB"/>
        </w:rPr>
        <w:t xml:space="preserve">i.e. by </w:t>
      </w:r>
      <w:r w:rsidR="004E4BB8">
        <w:rPr>
          <w:spacing w:val="-4"/>
          <w:shd w:val="clear" w:color="auto" w:fill="FFFFFF"/>
          <w:lang w:val="en-GB"/>
        </w:rPr>
        <w:t>7</w:t>
      </w:r>
      <w:r w:rsidR="00837231" w:rsidRPr="004829B9">
        <w:rPr>
          <w:spacing w:val="-4"/>
          <w:shd w:val="clear" w:color="auto" w:fill="FFFFFF"/>
          <w:lang w:val="en-GB"/>
        </w:rPr>
        <w:t>.</w:t>
      </w:r>
      <w:r w:rsidR="004E4BB8">
        <w:rPr>
          <w:spacing w:val="-4"/>
          <w:shd w:val="clear" w:color="auto" w:fill="FFFFFF"/>
          <w:lang w:val="en-GB"/>
        </w:rPr>
        <w:t>8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970194">
        <w:rPr>
          <w:spacing w:val="-4"/>
          <w:shd w:val="clear" w:color="auto" w:fill="FFFFFF"/>
          <w:lang w:val="en-GB"/>
        </w:rPr>
        <w:t>more</w:t>
      </w:r>
      <w:r w:rsidR="0071658F" w:rsidRPr="004829B9">
        <w:rPr>
          <w:spacing w:val="-4"/>
          <w:shd w:val="clear" w:color="auto" w:fill="FFFFFF"/>
          <w:lang w:val="en-GB"/>
        </w:rPr>
        <w:t xml:space="preserve">. Within these forms of </w:t>
      </w:r>
      <w:r w:rsidR="00435283" w:rsidRPr="004829B9">
        <w:rPr>
          <w:spacing w:val="-4"/>
          <w:shd w:val="clear" w:color="auto" w:fill="FFFFFF"/>
          <w:lang w:val="en-GB"/>
        </w:rPr>
        <w:t xml:space="preserve">construction, </w:t>
      </w:r>
      <w:r w:rsidR="00BB44BD">
        <w:rPr>
          <w:spacing w:val="-4"/>
          <w:shd w:val="clear" w:color="auto" w:fill="FFFFFF"/>
          <w:lang w:val="en-GB"/>
        </w:rPr>
        <w:t>98</w:t>
      </w:r>
      <w:r w:rsidR="00E724BA" w:rsidRPr="004829B9">
        <w:rPr>
          <w:spacing w:val="-4"/>
          <w:shd w:val="clear" w:color="auto" w:fill="FFFFFF"/>
          <w:lang w:val="en-GB"/>
        </w:rPr>
        <w:t>.</w:t>
      </w:r>
      <w:r w:rsidR="004E4BB8">
        <w:rPr>
          <w:spacing w:val="-4"/>
          <w:shd w:val="clear" w:color="auto" w:fill="FFFFFF"/>
          <w:lang w:val="en-GB"/>
        </w:rPr>
        <w:t>0</w:t>
      </w:r>
      <w:r w:rsidR="00C94AC8" w:rsidRPr="004829B9">
        <w:rPr>
          <w:spacing w:val="-4"/>
          <w:shd w:val="clear" w:color="auto" w:fill="FFFFFF"/>
          <w:lang w:val="en-GB"/>
        </w:rPr>
        <w:t xml:space="preserve">% of </w:t>
      </w:r>
      <w:r w:rsidR="008B64BD">
        <w:rPr>
          <w:spacing w:val="-4"/>
          <w:shd w:val="clear" w:color="auto" w:fill="FFFFFF"/>
          <w:lang w:val="en-GB"/>
        </w:rPr>
        <w:t>the</w:t>
      </w:r>
      <w:r w:rsidR="00C94AC8" w:rsidRPr="004829B9">
        <w:rPr>
          <w:spacing w:val="-4"/>
          <w:shd w:val="clear" w:color="auto" w:fill="FFFFFF"/>
          <w:lang w:val="en-GB"/>
        </w:rPr>
        <w:t xml:space="preserve"> total number of </w:t>
      </w:r>
      <w:r w:rsidR="00365663">
        <w:rPr>
          <w:spacing w:val="-4"/>
          <w:shd w:val="clear" w:color="auto" w:fill="FFFFFF"/>
          <w:lang w:val="en-GB"/>
        </w:rPr>
        <w:t xml:space="preserve">newly </w:t>
      </w:r>
      <w:r w:rsidR="00C733A3" w:rsidRPr="004829B9">
        <w:rPr>
          <w:spacing w:val="-4"/>
          <w:shd w:val="clear" w:color="auto" w:fill="FFFFFF"/>
          <w:lang w:val="en-GB"/>
        </w:rPr>
        <w:t>comple</w:t>
      </w:r>
      <w:r w:rsidR="001C1808" w:rsidRPr="004829B9">
        <w:rPr>
          <w:spacing w:val="-4"/>
          <w:shd w:val="clear" w:color="auto" w:fill="FFFFFF"/>
          <w:lang w:val="en-GB"/>
        </w:rPr>
        <w:t>ted dwellings was built</w:t>
      </w:r>
      <w:r w:rsidR="00365663">
        <w:rPr>
          <w:spacing w:val="-4"/>
          <w:shd w:val="clear" w:color="auto" w:fill="FFFFFF"/>
          <w:lang w:val="en-GB"/>
        </w:rPr>
        <w:t xml:space="preserve">. </w:t>
      </w:r>
      <w:r w:rsidR="004B638F">
        <w:rPr>
          <w:spacing w:val="-4"/>
          <w:shd w:val="clear" w:color="auto" w:fill="FFFFFF"/>
          <w:lang w:val="en-GB"/>
        </w:rPr>
        <w:t>W</w:t>
      </w:r>
      <w:r w:rsidR="004B638F" w:rsidRPr="004B638F">
        <w:rPr>
          <w:spacing w:val="-4"/>
          <w:shd w:val="clear" w:color="auto" w:fill="FFFFFF"/>
          <w:lang w:val="en-GB"/>
        </w:rPr>
        <w:t xml:space="preserve">ithin </w:t>
      </w:r>
      <w:r w:rsidR="00CD7B5E" w:rsidRPr="00CD7B5E">
        <w:rPr>
          <w:b/>
          <w:spacing w:val="-4"/>
          <w:shd w:val="clear" w:color="auto" w:fill="FFFFFF"/>
          <w:lang w:val="en-GB"/>
        </w:rPr>
        <w:t>other forms</w:t>
      </w:r>
      <w:r w:rsidR="00CD7B5E" w:rsidRPr="00CD7B5E">
        <w:rPr>
          <w:spacing w:val="-4"/>
          <w:shd w:val="clear" w:color="auto" w:fill="FFFFFF"/>
          <w:lang w:val="en-GB"/>
        </w:rPr>
        <w:t xml:space="preserve"> of construction, i.e. </w:t>
      </w:r>
      <w:r w:rsidR="00CD7B5E">
        <w:rPr>
          <w:spacing w:val="-4"/>
          <w:shd w:val="clear" w:color="auto" w:fill="FFFFFF"/>
          <w:lang w:val="en-GB"/>
        </w:rPr>
        <w:t xml:space="preserve">cooperative, </w:t>
      </w:r>
      <w:r w:rsidR="00CD7B5E" w:rsidRPr="00CD7B5E">
        <w:rPr>
          <w:spacing w:val="-4"/>
          <w:shd w:val="clear" w:color="auto" w:fill="FFFFFF"/>
          <w:lang w:val="en-GB"/>
        </w:rPr>
        <w:t xml:space="preserve">municipal, public building society and company </w:t>
      </w:r>
      <w:r w:rsidR="004B638F" w:rsidRPr="004B638F">
        <w:rPr>
          <w:spacing w:val="-4"/>
          <w:shd w:val="clear" w:color="auto" w:fill="FFFFFF"/>
          <w:lang w:val="en-GB"/>
        </w:rPr>
        <w:t xml:space="preserve">construction </w:t>
      </w:r>
      <w:r w:rsidR="004E4BB8">
        <w:rPr>
          <w:spacing w:val="-4"/>
          <w:shd w:val="clear" w:color="auto" w:fill="FFFFFF"/>
          <w:lang w:val="en-GB"/>
        </w:rPr>
        <w:t>677</w:t>
      </w:r>
      <w:r w:rsidR="004862A6" w:rsidRPr="004862A6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dwellings </w:t>
      </w:r>
      <w:r w:rsidR="00365663">
        <w:rPr>
          <w:spacing w:val="-4"/>
          <w:shd w:val="clear" w:color="auto" w:fill="FFFFFF"/>
          <w:lang w:val="en-GB"/>
        </w:rPr>
        <w:t xml:space="preserve">were completed </w:t>
      </w:r>
      <w:r w:rsidR="00C733A3" w:rsidRPr="004829B9">
        <w:rPr>
          <w:spacing w:val="-4"/>
          <w:shd w:val="clear" w:color="auto" w:fill="FFFFFF"/>
          <w:lang w:val="en-GB"/>
        </w:rPr>
        <w:t>(</w:t>
      </w:r>
      <w:r w:rsidR="004E4BB8">
        <w:rPr>
          <w:spacing w:val="-4"/>
          <w:shd w:val="clear" w:color="auto" w:fill="FFFFFF"/>
          <w:lang w:val="en-GB"/>
        </w:rPr>
        <w:t>530</w:t>
      </w:r>
      <w:r w:rsidR="003B4D4B" w:rsidRPr="003B4D4B">
        <w:rPr>
          <w:spacing w:val="-4"/>
          <w:shd w:val="clear" w:color="auto" w:fill="FFFFFF"/>
          <w:lang w:val="en-GB"/>
        </w:rPr>
        <w:t xml:space="preserve"> </w:t>
      </w:r>
      <w:r w:rsidR="00365663">
        <w:rPr>
          <w:spacing w:val="-4"/>
          <w:shd w:val="clear" w:color="auto" w:fill="FFFFFF"/>
          <w:lang w:val="en-GB"/>
        </w:rPr>
        <w:t>in the previous year</w:t>
      </w:r>
      <w:r w:rsidR="00CD7B5E">
        <w:rPr>
          <w:spacing w:val="-4"/>
          <w:shd w:val="clear" w:color="auto" w:fill="FFFFFF"/>
          <w:lang w:val="en-GB"/>
        </w:rPr>
        <w:t>)</w:t>
      </w:r>
      <w:r w:rsidR="009000D6">
        <w:rPr>
          <w:spacing w:val="-4"/>
          <w:shd w:val="clear" w:color="auto" w:fill="FFFFFF"/>
          <w:lang w:val="en-GB"/>
        </w:rPr>
        <w:t>.</w:t>
      </w:r>
    </w:p>
    <w:p w14:paraId="6DA771CF" w14:textId="4EA1DD50" w:rsidR="00054314" w:rsidRDefault="000A7C88" w:rsidP="00896EB9">
      <w:pPr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>T</w:t>
      </w:r>
      <w:r w:rsidR="000348CC">
        <w:rPr>
          <w:shd w:val="clear" w:color="auto" w:fill="FFFFFF"/>
          <w:lang w:val="en-GB"/>
        </w:rPr>
        <w:t>he t</w:t>
      </w:r>
      <w:r w:rsidRPr="004829B9">
        <w:rPr>
          <w:shd w:val="clear" w:color="auto" w:fill="FFFFFF"/>
          <w:lang w:val="en-GB"/>
        </w:rPr>
        <w:t>otal useful floor</w:t>
      </w:r>
      <w:r w:rsidR="00D72B39">
        <w:rPr>
          <w:shd w:val="clear" w:color="auto" w:fill="FFFFFF"/>
          <w:lang w:val="en-GB"/>
        </w:rPr>
        <w:t xml:space="preserve"> area of dwellings completed </w:t>
      </w:r>
      <w:r w:rsidR="006A0E22" w:rsidRPr="004829B9">
        <w:rPr>
          <w:shd w:val="clear" w:color="auto" w:fill="FFFFFF"/>
          <w:lang w:val="en-GB"/>
        </w:rPr>
        <w:t>amounted to</w:t>
      </w:r>
      <w:r w:rsidRPr="004829B9">
        <w:rPr>
          <w:shd w:val="clear" w:color="auto" w:fill="FFFFFF"/>
          <w:lang w:val="en-GB"/>
        </w:rPr>
        <w:t xml:space="preserve"> </w:t>
      </w:r>
      <w:r w:rsidR="004E4BB8">
        <w:rPr>
          <w:shd w:val="clear" w:color="auto" w:fill="FFFFFF"/>
          <w:lang w:val="en-GB"/>
        </w:rPr>
        <w:t>3</w:t>
      </w:r>
      <w:r w:rsidR="00837231" w:rsidRPr="004829B9">
        <w:rPr>
          <w:shd w:val="clear" w:color="auto" w:fill="FFFFFF"/>
          <w:lang w:val="en-GB"/>
        </w:rPr>
        <w:t>.</w:t>
      </w:r>
      <w:r w:rsidR="004E4BB8">
        <w:rPr>
          <w:shd w:val="clear" w:color="auto" w:fill="FFFFFF"/>
          <w:lang w:val="en-GB"/>
        </w:rPr>
        <w:t>3</w:t>
      </w:r>
      <w:r w:rsidR="00837231" w:rsidRPr="004829B9">
        <w:rPr>
          <w:shd w:val="clear" w:color="auto" w:fill="FFFFFF"/>
          <w:lang w:val="en-GB"/>
        </w:rPr>
        <w:t xml:space="preserve"> m</w:t>
      </w:r>
      <w:r w:rsidR="000348CC">
        <w:rPr>
          <w:shd w:val="clear" w:color="auto" w:fill="FFFFFF"/>
          <w:lang w:val="en-GB"/>
        </w:rPr>
        <w:t>illion</w:t>
      </w:r>
      <w:r w:rsidR="00365663">
        <w:rPr>
          <w:shd w:val="clear" w:color="auto" w:fill="FFFFFF"/>
          <w:lang w:val="en-GB"/>
        </w:rPr>
        <w:t> </w:t>
      </w:r>
      <w:r w:rsidR="00837231"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="00837231" w:rsidRPr="004829B9">
        <w:rPr>
          <w:shd w:val="clear" w:color="auto" w:fill="FFFFFF"/>
          <w:lang w:val="en-GB"/>
        </w:rPr>
        <w:t xml:space="preserve">, i.e. by </w:t>
      </w:r>
      <w:r w:rsidR="004E4BB8">
        <w:rPr>
          <w:shd w:val="clear" w:color="auto" w:fill="FFFFFF"/>
          <w:lang w:val="en-GB"/>
        </w:rPr>
        <w:t>2</w:t>
      </w:r>
      <w:r w:rsidR="00837231" w:rsidRPr="004829B9">
        <w:rPr>
          <w:shd w:val="clear" w:color="auto" w:fill="FFFFFF"/>
          <w:lang w:val="en-GB"/>
        </w:rPr>
        <w:t>.</w:t>
      </w:r>
      <w:r w:rsidR="004E4BB8">
        <w:rPr>
          <w:shd w:val="clear" w:color="auto" w:fill="FFFFFF"/>
          <w:lang w:val="en-GB"/>
        </w:rPr>
        <w:t>1</w:t>
      </w:r>
      <w:r w:rsidR="00EF767E" w:rsidRPr="004829B9">
        <w:rPr>
          <w:shd w:val="clear" w:color="auto" w:fill="FFFFFF"/>
          <w:lang w:val="en-GB"/>
        </w:rPr>
        <w:t xml:space="preserve">% </w:t>
      </w:r>
      <w:r w:rsidR="004E4BB8">
        <w:rPr>
          <w:shd w:val="clear" w:color="auto" w:fill="FFFFFF"/>
          <w:lang w:val="en-GB"/>
        </w:rPr>
        <w:t>more</w:t>
      </w:r>
      <w:r w:rsidR="00EF767E" w:rsidRPr="004829B9">
        <w:rPr>
          <w:shd w:val="clear" w:color="auto" w:fill="FFFFFF"/>
          <w:lang w:val="en-GB"/>
        </w:rPr>
        <w:t xml:space="preserve"> tha</w:t>
      </w:r>
      <w:r w:rsidRPr="004829B9">
        <w:rPr>
          <w:shd w:val="clear" w:color="auto" w:fill="FFFFFF"/>
          <w:lang w:val="en-GB"/>
        </w:rPr>
        <w:t xml:space="preserve">n </w:t>
      </w:r>
      <w:r w:rsidR="00C214E1">
        <w:rPr>
          <w:shd w:val="clear" w:color="auto" w:fill="FFFFFF"/>
          <w:lang w:val="en-GB"/>
        </w:rPr>
        <w:t>a year ago</w:t>
      </w:r>
      <w:r w:rsidR="003557A1">
        <w:rPr>
          <w:shd w:val="clear" w:color="auto" w:fill="FFFFFF"/>
          <w:lang w:val="en-GB"/>
        </w:rPr>
        <w:t xml:space="preserve"> and </w:t>
      </w:r>
      <w:r w:rsidRPr="004829B9">
        <w:rPr>
          <w:shd w:val="clear" w:color="auto" w:fill="FFFFFF"/>
          <w:lang w:val="en-GB"/>
        </w:rPr>
        <w:t xml:space="preserve">the average </w:t>
      </w:r>
      <w:r w:rsidR="005E3825" w:rsidRPr="004829B9">
        <w:rPr>
          <w:shd w:val="clear" w:color="auto" w:fill="FFFFFF"/>
          <w:lang w:val="en-GB"/>
        </w:rPr>
        <w:t xml:space="preserve">useful </w:t>
      </w:r>
      <w:r w:rsidRPr="004829B9">
        <w:rPr>
          <w:shd w:val="clear" w:color="auto" w:fill="FFFFFF"/>
          <w:lang w:val="en-GB"/>
        </w:rPr>
        <w:t>floor are</w:t>
      </w:r>
      <w:r w:rsidR="00BF61F6" w:rsidRPr="004829B9">
        <w:rPr>
          <w:shd w:val="clear" w:color="auto" w:fill="FFFFFF"/>
          <w:lang w:val="en-GB"/>
        </w:rPr>
        <w:t>a of 1 </w:t>
      </w:r>
      <w:r w:rsidR="00C625B8">
        <w:rPr>
          <w:shd w:val="clear" w:color="auto" w:fill="FFFFFF"/>
          <w:lang w:val="en-GB"/>
        </w:rPr>
        <w:t xml:space="preserve">dwelling </w:t>
      </w:r>
      <w:r w:rsidR="003557A1">
        <w:rPr>
          <w:shd w:val="clear" w:color="auto" w:fill="FFFFFF"/>
          <w:lang w:val="en-GB"/>
        </w:rPr>
        <w:t>was</w:t>
      </w:r>
      <w:r w:rsidR="003460DF" w:rsidRPr="004829B9">
        <w:rPr>
          <w:shd w:val="clear" w:color="auto" w:fill="FFFFFF"/>
          <w:lang w:val="en-GB"/>
        </w:rPr>
        <w:t xml:space="preserve"> </w:t>
      </w:r>
      <w:r w:rsidR="004E4BB8">
        <w:rPr>
          <w:shd w:val="clear" w:color="auto" w:fill="FFFFFF"/>
          <w:lang w:val="en-GB"/>
        </w:rPr>
        <w:t>98</w:t>
      </w:r>
      <w:r w:rsidR="005D25AB" w:rsidRPr="004829B9">
        <w:rPr>
          <w:shd w:val="clear" w:color="auto" w:fill="FFFFFF"/>
          <w:lang w:val="en-GB"/>
        </w:rPr>
        <w:t>.</w:t>
      </w:r>
      <w:r w:rsidR="004E4BB8">
        <w:rPr>
          <w:shd w:val="clear" w:color="auto" w:fill="FFFFFF"/>
          <w:lang w:val="en-GB"/>
        </w:rPr>
        <w:t>0</w:t>
      </w:r>
      <w:r w:rsidR="00365663">
        <w:rPr>
          <w:shd w:val="clear" w:color="auto" w:fill="FFFFFF"/>
          <w:lang w:val="en-GB"/>
        </w:rPr>
        <w:t> </w:t>
      </w:r>
      <w:r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Pr="004829B9">
        <w:rPr>
          <w:shd w:val="clear" w:color="auto" w:fill="FFFFFF"/>
          <w:lang w:val="en-GB"/>
        </w:rPr>
        <w:t>.</w:t>
      </w:r>
    </w:p>
    <w:p w14:paraId="4BC5FB40" w14:textId="77777777" w:rsidR="00054314" w:rsidRPr="006D194B" w:rsidRDefault="00054314" w:rsidP="00054314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2268"/>
        <w:gridCol w:w="1276"/>
        <w:gridCol w:w="992"/>
        <w:gridCol w:w="994"/>
        <w:gridCol w:w="1274"/>
        <w:gridCol w:w="1200"/>
      </w:tblGrid>
      <w:tr w:rsidR="009A4851" w:rsidRPr="009A4851" w14:paraId="13F2CC01" w14:textId="77777777" w:rsidTr="005023D5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A6151F0" w14:textId="153D5C66" w:rsidR="009A4851" w:rsidRPr="009A4851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</w:pPr>
            <w:bookmarkStart w:id="1" w:name="OLE_LINK2"/>
            <w:r w:rsidRPr="009A4851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SPECIFICATION</w:t>
            </w:r>
          </w:p>
        </w:tc>
        <w:tc>
          <w:tcPr>
            <w:tcW w:w="326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12E84" w14:textId="77777777" w:rsidR="009A4851" w:rsidRPr="009A4851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9A4851">
              <w:rPr>
                <w:color w:val="000000" w:themeColor="text1"/>
                <w:szCs w:val="19"/>
              </w:rPr>
              <w:t>02 2022</w:t>
            </w:r>
          </w:p>
        </w:tc>
        <w:tc>
          <w:tcPr>
            <w:tcW w:w="2474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56B25EFC" w14:textId="77777777" w:rsidR="009A4851" w:rsidRPr="009A4851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9A4851">
              <w:rPr>
                <w:color w:val="000000" w:themeColor="text1"/>
                <w:szCs w:val="19"/>
              </w:rPr>
              <w:t>01-02 2022</w:t>
            </w:r>
          </w:p>
        </w:tc>
      </w:tr>
      <w:tr w:rsidR="009A4851" w:rsidRPr="009A4851" w14:paraId="2F027FA1" w14:textId="77777777" w:rsidTr="005023D5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4890FC3" w14:textId="77777777" w:rsidR="009A4851" w:rsidRPr="009A4851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92E9E07" w14:textId="04AC15C6" w:rsidR="009A4851" w:rsidRPr="009A4851" w:rsidRDefault="007C2881" w:rsidP="009A4851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7C2881">
              <w:rPr>
                <w:color w:val="000000" w:themeColor="text1"/>
                <w:szCs w:val="19"/>
              </w:rPr>
              <w:t xml:space="preserve">Number </w:t>
            </w:r>
            <w:r w:rsidRPr="007C2881">
              <w:rPr>
                <w:color w:val="000000" w:themeColor="text1"/>
                <w:szCs w:val="19"/>
              </w:rPr>
              <w:br/>
              <w:t>of dwellings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C716BDB" w14:textId="77777777" w:rsidR="009A4851" w:rsidRPr="009A4851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9A4851">
              <w:rPr>
                <w:color w:val="000000" w:themeColor="text1"/>
                <w:szCs w:val="19"/>
              </w:rPr>
              <w:t>02 2021=100</w:t>
            </w:r>
          </w:p>
        </w:tc>
        <w:tc>
          <w:tcPr>
            <w:tcW w:w="99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76436707" w14:textId="77777777" w:rsidR="009A4851" w:rsidRPr="009A4851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9A4851">
              <w:rPr>
                <w:color w:val="000000" w:themeColor="text1"/>
                <w:szCs w:val="19"/>
              </w:rPr>
              <w:t>01 2022=100</w:t>
            </w:r>
          </w:p>
        </w:tc>
        <w:tc>
          <w:tcPr>
            <w:tcW w:w="127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2D479C5" w14:textId="76214758" w:rsidR="009A4851" w:rsidRPr="009A4851" w:rsidRDefault="007C2881" w:rsidP="009A4851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7C2881">
              <w:rPr>
                <w:color w:val="000000" w:themeColor="text1"/>
                <w:szCs w:val="19"/>
              </w:rPr>
              <w:t xml:space="preserve">Number </w:t>
            </w:r>
            <w:r w:rsidRPr="007C2881">
              <w:rPr>
                <w:color w:val="000000" w:themeColor="text1"/>
                <w:szCs w:val="19"/>
              </w:rPr>
              <w:br/>
              <w:t>of dwellings</w:t>
            </w:r>
          </w:p>
        </w:tc>
        <w:tc>
          <w:tcPr>
            <w:tcW w:w="1200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7C5048B7" w14:textId="77777777" w:rsidR="009A4851" w:rsidRPr="009A4851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9A4851">
              <w:rPr>
                <w:color w:val="000000" w:themeColor="text1"/>
                <w:szCs w:val="19"/>
              </w:rPr>
              <w:t xml:space="preserve">01-02 </w:t>
            </w:r>
            <w:r w:rsidRPr="009A4851">
              <w:rPr>
                <w:color w:val="000000" w:themeColor="text1"/>
                <w:szCs w:val="19"/>
              </w:rPr>
              <w:br/>
              <w:t>2021=100</w:t>
            </w:r>
          </w:p>
        </w:tc>
      </w:tr>
      <w:tr w:rsidR="009A4851" w:rsidRPr="009A4851" w14:paraId="74C961E1" w14:textId="77777777" w:rsidTr="005023D5">
        <w:trPr>
          <w:trHeight w:val="54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0DE713BD" w14:textId="32B4E516" w:rsidR="009A4851" w:rsidRPr="009A4851" w:rsidRDefault="009A4851" w:rsidP="009A485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Cs w:val="19"/>
              </w:rPr>
            </w:pPr>
            <w:r w:rsidRPr="001D7052">
              <w:rPr>
                <w:b/>
                <w:color w:val="000000" w:themeColor="text1"/>
                <w:szCs w:val="19"/>
                <w:lang w:val="en-GB"/>
              </w:rPr>
              <w:t>TOTAL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74ED01BD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b/>
                <w:color w:val="000000" w:themeColor="text1"/>
                <w:szCs w:val="19"/>
              </w:rPr>
            </w:pPr>
            <w:r w:rsidRPr="009A4851">
              <w:rPr>
                <w:rFonts w:cs="Arial"/>
                <w:b/>
                <w:color w:val="000000" w:themeColor="text1"/>
                <w:szCs w:val="19"/>
              </w:rPr>
              <w:t>18 420</w:t>
            </w:r>
          </w:p>
        </w:tc>
        <w:tc>
          <w:tcPr>
            <w:tcW w:w="992" w:type="dxa"/>
            <w:tcBorders>
              <w:top w:val="single" w:sz="12" w:space="0" w:color="212492"/>
            </w:tcBorders>
            <w:vAlign w:val="center"/>
          </w:tcPr>
          <w:p w14:paraId="4368A5D2" w14:textId="1A8FF41C" w:rsidR="009A4851" w:rsidRPr="009A4851" w:rsidRDefault="007E4736" w:rsidP="009A4851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  <w:t>113.</w:t>
            </w:r>
            <w:r w:rsidR="009A4851" w:rsidRPr="009A4851"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  <w:t>2</w:t>
            </w:r>
          </w:p>
        </w:tc>
        <w:tc>
          <w:tcPr>
            <w:tcW w:w="994" w:type="dxa"/>
            <w:tcBorders>
              <w:top w:val="single" w:sz="12" w:space="0" w:color="212492"/>
              <w:right w:val="nil"/>
            </w:tcBorders>
            <w:vAlign w:val="center"/>
          </w:tcPr>
          <w:p w14:paraId="20AE545D" w14:textId="6F1F8D36" w:rsidR="009A4851" w:rsidRPr="009A4851" w:rsidRDefault="007E4736" w:rsidP="009A4851">
            <w:pPr>
              <w:spacing w:after="0"/>
              <w:jc w:val="right"/>
              <w:rPr>
                <w:rFonts w:cs="Arial"/>
                <w:b/>
                <w:color w:val="000000" w:themeColor="text1"/>
                <w:szCs w:val="19"/>
              </w:rPr>
            </w:pPr>
            <w:r>
              <w:rPr>
                <w:rFonts w:cs="Arial"/>
                <w:b/>
                <w:color w:val="000000" w:themeColor="text1"/>
                <w:szCs w:val="19"/>
              </w:rPr>
              <w:t>120.</w:t>
            </w:r>
            <w:r w:rsidR="009A4851" w:rsidRPr="009A4851">
              <w:rPr>
                <w:rFonts w:cs="Arial"/>
                <w:b/>
                <w:color w:val="000000" w:themeColor="text1"/>
                <w:szCs w:val="19"/>
              </w:rPr>
              <w:t>3</w:t>
            </w:r>
          </w:p>
        </w:tc>
        <w:tc>
          <w:tcPr>
            <w:tcW w:w="1274" w:type="dxa"/>
            <w:tcBorders>
              <w:top w:val="single" w:sz="12" w:space="0" w:color="212492"/>
              <w:right w:val="nil"/>
            </w:tcBorders>
            <w:vAlign w:val="center"/>
          </w:tcPr>
          <w:p w14:paraId="5AE73CEA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b/>
                <w:color w:val="000000" w:themeColor="text1"/>
                <w:szCs w:val="19"/>
              </w:rPr>
            </w:pPr>
            <w:r w:rsidRPr="009A4851">
              <w:rPr>
                <w:rFonts w:cs="Arial"/>
                <w:b/>
                <w:color w:val="000000" w:themeColor="text1"/>
                <w:szCs w:val="19"/>
              </w:rPr>
              <w:t>33 735</w:t>
            </w:r>
          </w:p>
        </w:tc>
        <w:tc>
          <w:tcPr>
            <w:tcW w:w="1200" w:type="dxa"/>
            <w:tcBorders>
              <w:top w:val="single" w:sz="12" w:space="0" w:color="212492"/>
              <w:right w:val="nil"/>
            </w:tcBorders>
            <w:vAlign w:val="center"/>
          </w:tcPr>
          <w:p w14:paraId="7418C1A2" w14:textId="62239242" w:rsidR="009A4851" w:rsidRPr="009A4851" w:rsidRDefault="007E4736" w:rsidP="009A4851">
            <w:pPr>
              <w:spacing w:after="0"/>
              <w:jc w:val="right"/>
              <w:rPr>
                <w:rFonts w:cs="Arial"/>
                <w:b/>
                <w:color w:val="000000" w:themeColor="text1"/>
                <w:szCs w:val="19"/>
              </w:rPr>
            </w:pPr>
            <w:r>
              <w:rPr>
                <w:rFonts w:cs="Arial"/>
                <w:b/>
                <w:color w:val="000000" w:themeColor="text1"/>
                <w:szCs w:val="19"/>
              </w:rPr>
              <w:t>99.</w:t>
            </w:r>
            <w:r w:rsidR="009A4851" w:rsidRPr="009A4851">
              <w:rPr>
                <w:rFonts w:cs="Arial"/>
                <w:b/>
                <w:color w:val="000000" w:themeColor="text1"/>
                <w:szCs w:val="19"/>
              </w:rPr>
              <w:t>9</w:t>
            </w:r>
          </w:p>
        </w:tc>
      </w:tr>
      <w:tr w:rsidR="009A4851" w:rsidRPr="009A4851" w14:paraId="1DBFB85F" w14:textId="77777777" w:rsidTr="005023D5">
        <w:trPr>
          <w:trHeight w:val="54"/>
        </w:trPr>
        <w:tc>
          <w:tcPr>
            <w:tcW w:w="2268" w:type="dxa"/>
            <w:vAlign w:val="center"/>
          </w:tcPr>
          <w:p w14:paraId="6CBCE2A8" w14:textId="09768B09" w:rsidR="009A4851" w:rsidRPr="009A4851" w:rsidRDefault="009A4851" w:rsidP="009A485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1D7052">
              <w:rPr>
                <w:rFonts w:eastAsiaTheme="majorEastAsia" w:cstheme="majorBidi"/>
                <w:color w:val="000000" w:themeColor="text1"/>
                <w:szCs w:val="19"/>
                <w:lang w:val="en-GB"/>
              </w:rPr>
              <w:t>Private</w:t>
            </w:r>
          </w:p>
        </w:tc>
        <w:tc>
          <w:tcPr>
            <w:tcW w:w="1276" w:type="dxa"/>
            <w:vAlign w:val="center"/>
          </w:tcPr>
          <w:p w14:paraId="255032DB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7 759</w:t>
            </w:r>
          </w:p>
        </w:tc>
        <w:tc>
          <w:tcPr>
            <w:tcW w:w="992" w:type="dxa"/>
            <w:vAlign w:val="center"/>
          </w:tcPr>
          <w:p w14:paraId="10BBBDB9" w14:textId="4B88D064" w:rsidR="009A4851" w:rsidRPr="009A4851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112.</w:t>
            </w:r>
            <w:r w:rsidR="009A4851" w:rsidRPr="009A4851">
              <w:rPr>
                <w:rFonts w:cs="Arial"/>
                <w:color w:val="000000" w:themeColor="text1"/>
                <w:szCs w:val="19"/>
              </w:rPr>
              <w:t>5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0D6A2499" w14:textId="6AD0C087" w:rsidR="009A4851" w:rsidRPr="009A4851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108.</w:t>
            </w:r>
            <w:r w:rsidR="009A4851" w:rsidRPr="009A4851">
              <w:rPr>
                <w:rFonts w:cs="Arial"/>
                <w:color w:val="000000" w:themeColor="text1"/>
                <w:szCs w:val="19"/>
              </w:rPr>
              <w:t>9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14:paraId="3C0AB283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14 883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016F1686" w14:textId="3821408A" w:rsidR="009A4851" w:rsidRPr="009A4851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107.</w:t>
            </w:r>
            <w:r w:rsidR="009A4851" w:rsidRPr="009A4851">
              <w:rPr>
                <w:rFonts w:cs="Arial"/>
                <w:color w:val="000000" w:themeColor="text1"/>
                <w:szCs w:val="19"/>
              </w:rPr>
              <w:t>8</w:t>
            </w:r>
          </w:p>
        </w:tc>
      </w:tr>
      <w:tr w:rsidR="009A4851" w:rsidRPr="009A4851" w14:paraId="6E2F06BB" w14:textId="77777777" w:rsidTr="005023D5">
        <w:trPr>
          <w:trHeight w:val="629"/>
        </w:trPr>
        <w:tc>
          <w:tcPr>
            <w:tcW w:w="2268" w:type="dxa"/>
            <w:vAlign w:val="center"/>
          </w:tcPr>
          <w:p w14:paraId="5F10D600" w14:textId="2BD51A89" w:rsidR="009A4851" w:rsidRPr="009A4851" w:rsidRDefault="009A4851" w:rsidP="009A485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1D7052">
              <w:rPr>
                <w:rFonts w:eastAsiaTheme="majorEastAsia" w:cstheme="majorBidi"/>
                <w:color w:val="000000" w:themeColor="text1"/>
                <w:szCs w:val="19"/>
                <w:lang w:val="en-GB"/>
              </w:rPr>
              <w:t xml:space="preserve">For sale or rent </w:t>
            </w:r>
          </w:p>
        </w:tc>
        <w:tc>
          <w:tcPr>
            <w:tcW w:w="1276" w:type="dxa"/>
            <w:vAlign w:val="center"/>
          </w:tcPr>
          <w:p w14:paraId="23EE99E7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10 270</w:t>
            </w:r>
          </w:p>
        </w:tc>
        <w:tc>
          <w:tcPr>
            <w:tcW w:w="992" w:type="dxa"/>
            <w:vAlign w:val="center"/>
          </w:tcPr>
          <w:p w14:paraId="1392F143" w14:textId="5D351054" w:rsidR="009A4851" w:rsidRPr="009A4851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112.</w:t>
            </w:r>
            <w:r w:rsidR="009A4851" w:rsidRPr="009A4851">
              <w:rPr>
                <w:rFonts w:cs="Arial"/>
                <w:color w:val="000000" w:themeColor="text1"/>
                <w:szCs w:val="19"/>
              </w:rPr>
              <w:t>7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073E4F9D" w14:textId="0808319E" w:rsidR="009A4851" w:rsidRPr="009A4851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129.</w:t>
            </w:r>
            <w:r w:rsidR="009A4851" w:rsidRPr="009A4851">
              <w:rPr>
                <w:rFonts w:cs="Arial"/>
                <w:color w:val="000000" w:themeColor="text1"/>
                <w:szCs w:val="19"/>
              </w:rPr>
              <w:t>9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14:paraId="7C80FD51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18 175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7B8310F8" w14:textId="20205893" w:rsidR="009A4851" w:rsidRPr="009A4851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93.</w:t>
            </w:r>
            <w:r w:rsidR="009A4851" w:rsidRPr="009A4851">
              <w:rPr>
                <w:rFonts w:cs="Arial"/>
                <w:color w:val="000000" w:themeColor="text1"/>
                <w:szCs w:val="19"/>
              </w:rPr>
              <w:t>5</w:t>
            </w:r>
          </w:p>
        </w:tc>
      </w:tr>
      <w:tr w:rsidR="009A4851" w:rsidRPr="009A4851" w14:paraId="24AD4DF0" w14:textId="77777777" w:rsidTr="005023D5">
        <w:trPr>
          <w:trHeight w:val="54"/>
        </w:trPr>
        <w:tc>
          <w:tcPr>
            <w:tcW w:w="2268" w:type="dxa"/>
            <w:vAlign w:val="center"/>
          </w:tcPr>
          <w:p w14:paraId="1D2231E4" w14:textId="0D64CDE9" w:rsidR="009A4851" w:rsidRPr="009A4851" w:rsidRDefault="009A4851" w:rsidP="009A485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  <w:vertAlign w:val="superscript"/>
              </w:rPr>
            </w:pPr>
            <w:r w:rsidRPr="001D7052">
              <w:rPr>
                <w:rFonts w:eastAsiaTheme="majorEastAsia" w:cstheme="majorBidi"/>
                <w:color w:val="000000" w:themeColor="text1"/>
                <w:szCs w:val="19"/>
                <w:lang w:val="en-GB"/>
              </w:rPr>
              <w:t xml:space="preserve">  of which for rent</w:t>
            </w:r>
          </w:p>
        </w:tc>
        <w:tc>
          <w:tcPr>
            <w:tcW w:w="1276" w:type="dxa"/>
            <w:vAlign w:val="center"/>
          </w:tcPr>
          <w:p w14:paraId="43E0B857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85</w:t>
            </w:r>
          </w:p>
        </w:tc>
        <w:tc>
          <w:tcPr>
            <w:tcW w:w="992" w:type="dxa"/>
            <w:vAlign w:val="center"/>
          </w:tcPr>
          <w:p w14:paraId="1F0CCA82" w14:textId="5838BBDD" w:rsidR="009A4851" w:rsidRPr="009A4851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157.</w:t>
            </w:r>
            <w:r w:rsidR="009A4851" w:rsidRPr="009A4851">
              <w:rPr>
                <w:rFonts w:cs="Arial"/>
                <w:color w:val="000000" w:themeColor="text1"/>
                <w:szCs w:val="19"/>
              </w:rPr>
              <w:t>4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48C19C17" w14:textId="65C19AAA" w:rsidR="009A4851" w:rsidRPr="009A4851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173.</w:t>
            </w:r>
            <w:r w:rsidR="009A4851" w:rsidRPr="009A4851">
              <w:rPr>
                <w:rFonts w:cs="Arial"/>
                <w:color w:val="000000" w:themeColor="text1"/>
                <w:szCs w:val="19"/>
              </w:rPr>
              <w:t>5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14:paraId="468E0768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134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51BEED95" w14:textId="139914E8" w:rsidR="009A4851" w:rsidRPr="009A4851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83.</w:t>
            </w:r>
            <w:r w:rsidR="009A4851" w:rsidRPr="009A4851">
              <w:rPr>
                <w:rFonts w:cs="Arial"/>
                <w:color w:val="000000" w:themeColor="text1"/>
                <w:szCs w:val="19"/>
              </w:rPr>
              <w:t>8</w:t>
            </w:r>
          </w:p>
        </w:tc>
      </w:tr>
      <w:tr w:rsidR="009A4851" w:rsidRPr="009A4851" w14:paraId="4DBF5999" w14:textId="77777777" w:rsidTr="005023D5">
        <w:trPr>
          <w:trHeight w:val="359"/>
        </w:trPr>
        <w:tc>
          <w:tcPr>
            <w:tcW w:w="2268" w:type="dxa"/>
            <w:vAlign w:val="center"/>
          </w:tcPr>
          <w:p w14:paraId="2793BDBD" w14:textId="6FB46D68" w:rsidR="009A4851" w:rsidRPr="009A4851" w:rsidRDefault="009A4851" w:rsidP="009A4851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Cs w:val="19"/>
              </w:rPr>
            </w:pPr>
            <w:r w:rsidRPr="001D7052">
              <w:rPr>
                <w:rFonts w:cstheme="majorBidi"/>
                <w:color w:val="000000" w:themeColor="text1"/>
                <w:szCs w:val="19"/>
                <w:lang w:val="en-GB"/>
              </w:rPr>
              <w:t>Cooperative</w:t>
            </w:r>
          </w:p>
        </w:tc>
        <w:tc>
          <w:tcPr>
            <w:tcW w:w="1276" w:type="dxa"/>
            <w:vAlign w:val="center"/>
          </w:tcPr>
          <w:p w14:paraId="69E2D56C" w14:textId="77777777" w:rsidR="009A4851" w:rsidRPr="009A4851" w:rsidRDefault="009A4851" w:rsidP="009A4851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37</w:t>
            </w:r>
          </w:p>
        </w:tc>
        <w:tc>
          <w:tcPr>
            <w:tcW w:w="992" w:type="dxa"/>
            <w:vAlign w:val="center"/>
          </w:tcPr>
          <w:p w14:paraId="3E22814D" w14:textId="77777777" w:rsidR="009A4851" w:rsidRPr="009A4851" w:rsidRDefault="009A4851" w:rsidP="009A4851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.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4CC7447C" w14:textId="2ECFE5A9" w:rsidR="009A4851" w:rsidRPr="009A4851" w:rsidRDefault="007E4736" w:rsidP="009A4851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22.</w:t>
            </w:r>
            <w:r w:rsidR="009A4851" w:rsidRPr="009A4851">
              <w:rPr>
                <w:rFonts w:cs="Arial"/>
                <w:color w:val="000000" w:themeColor="text1"/>
                <w:szCs w:val="19"/>
              </w:rPr>
              <w:t>8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14:paraId="139B16E7" w14:textId="77777777" w:rsidR="009A4851" w:rsidRPr="009A4851" w:rsidRDefault="009A4851" w:rsidP="009A4851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199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3FCA44D4" w14:textId="76585E3F" w:rsidR="009A4851" w:rsidRPr="009A4851" w:rsidRDefault="007E4736" w:rsidP="009A4851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122.</w:t>
            </w:r>
            <w:r w:rsidR="009A4851" w:rsidRPr="009A4851">
              <w:rPr>
                <w:rFonts w:cs="Arial"/>
                <w:color w:val="000000" w:themeColor="text1"/>
                <w:szCs w:val="19"/>
              </w:rPr>
              <w:t>8</w:t>
            </w:r>
          </w:p>
        </w:tc>
      </w:tr>
      <w:tr w:rsidR="009A4851" w:rsidRPr="009A4851" w14:paraId="2FCEF9DB" w14:textId="77777777" w:rsidTr="005023D5">
        <w:trPr>
          <w:trHeight w:val="366"/>
        </w:trPr>
        <w:tc>
          <w:tcPr>
            <w:tcW w:w="2268" w:type="dxa"/>
            <w:vAlign w:val="center"/>
          </w:tcPr>
          <w:p w14:paraId="40DD2197" w14:textId="6A68BE3F" w:rsidR="009A4851" w:rsidRPr="009A4851" w:rsidRDefault="009A4851" w:rsidP="009A485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 w:rsidRPr="001D7052">
              <w:rPr>
                <w:rFonts w:eastAsiaTheme="majorEastAsia" w:cstheme="majorBidi"/>
                <w:iCs/>
                <w:color w:val="000000" w:themeColor="text1"/>
                <w:szCs w:val="19"/>
                <w:lang w:val="en-GB"/>
              </w:rPr>
              <w:t>Municipal</w:t>
            </w:r>
          </w:p>
        </w:tc>
        <w:tc>
          <w:tcPr>
            <w:tcW w:w="1276" w:type="dxa"/>
            <w:vAlign w:val="center"/>
          </w:tcPr>
          <w:p w14:paraId="7E5E83FB" w14:textId="77777777" w:rsidR="009A4851" w:rsidRPr="009A4851" w:rsidRDefault="009A4851" w:rsidP="009A4851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128</w:t>
            </w:r>
          </w:p>
        </w:tc>
        <w:tc>
          <w:tcPr>
            <w:tcW w:w="992" w:type="dxa"/>
            <w:vAlign w:val="center"/>
          </w:tcPr>
          <w:p w14:paraId="0AFA2421" w14:textId="0DF9353F" w:rsidR="009A4851" w:rsidRPr="009A4851" w:rsidRDefault="007E4736" w:rsidP="009A4851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56.</w:t>
            </w:r>
            <w:r w:rsidR="009A4851" w:rsidRPr="009A4851">
              <w:rPr>
                <w:rFonts w:cs="Arial"/>
                <w:color w:val="000000" w:themeColor="text1"/>
                <w:szCs w:val="19"/>
              </w:rPr>
              <w:t>6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3948C7DA" w14:textId="327F8AAD" w:rsidR="009A4851" w:rsidRPr="009A4851" w:rsidRDefault="007E4736" w:rsidP="009A4851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609.</w:t>
            </w:r>
            <w:r w:rsidR="009A4851" w:rsidRPr="009A4851">
              <w:rPr>
                <w:rFonts w:cs="Arial"/>
                <w:color w:val="000000" w:themeColor="text1"/>
                <w:szCs w:val="19"/>
              </w:rPr>
              <w:t>5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14:paraId="3827C313" w14:textId="77777777" w:rsidR="009A4851" w:rsidRPr="009A4851" w:rsidRDefault="009A4851" w:rsidP="009A4851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149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68737150" w14:textId="70979EF6" w:rsidR="009A4851" w:rsidRPr="009A4851" w:rsidRDefault="007E4736" w:rsidP="009A4851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46.</w:t>
            </w:r>
            <w:r w:rsidR="009A4851" w:rsidRPr="009A4851">
              <w:rPr>
                <w:rFonts w:cs="Arial"/>
                <w:color w:val="000000" w:themeColor="text1"/>
                <w:szCs w:val="19"/>
              </w:rPr>
              <w:t>9</w:t>
            </w:r>
          </w:p>
        </w:tc>
      </w:tr>
      <w:tr w:rsidR="009A4851" w:rsidRPr="009A4851" w14:paraId="79AE12F9" w14:textId="77777777" w:rsidTr="005023D5">
        <w:trPr>
          <w:trHeight w:val="499"/>
        </w:trPr>
        <w:tc>
          <w:tcPr>
            <w:tcW w:w="2268" w:type="dxa"/>
            <w:vAlign w:val="center"/>
          </w:tcPr>
          <w:p w14:paraId="325420B3" w14:textId="669AE064" w:rsidR="009A4851" w:rsidRPr="009A4851" w:rsidRDefault="009A4851" w:rsidP="009A485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 w:rsidRPr="001D7052">
              <w:rPr>
                <w:rFonts w:eastAsiaTheme="majorEastAsia" w:cstheme="majorBidi"/>
                <w:iCs/>
                <w:color w:val="000000" w:themeColor="text1"/>
                <w:szCs w:val="19"/>
                <w:lang w:val="en-GB"/>
              </w:rPr>
              <w:t>Public building society</w:t>
            </w:r>
          </w:p>
        </w:tc>
        <w:tc>
          <w:tcPr>
            <w:tcW w:w="1276" w:type="dxa"/>
            <w:vAlign w:val="center"/>
          </w:tcPr>
          <w:p w14:paraId="60773A35" w14:textId="77777777" w:rsidR="009A4851" w:rsidRPr="009A4851" w:rsidRDefault="009A4851" w:rsidP="009A4851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226</w:t>
            </w:r>
          </w:p>
        </w:tc>
        <w:tc>
          <w:tcPr>
            <w:tcW w:w="992" w:type="dxa"/>
            <w:vAlign w:val="center"/>
          </w:tcPr>
          <w:p w14:paraId="5900F285" w14:textId="457A75EB" w:rsidR="009A4851" w:rsidRPr="009A4851" w:rsidRDefault="007E4736" w:rsidP="009A4851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869.</w:t>
            </w:r>
            <w:r w:rsidR="009A4851" w:rsidRPr="009A4851">
              <w:rPr>
                <w:rFonts w:cs="Arial"/>
                <w:color w:val="000000" w:themeColor="text1"/>
                <w:szCs w:val="19"/>
              </w:rPr>
              <w:t>2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1464CE68" w14:textId="508AF47F" w:rsidR="009A4851" w:rsidRPr="009A4851" w:rsidRDefault="007E4736" w:rsidP="009A4851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309.</w:t>
            </w:r>
            <w:r w:rsidR="009A4851" w:rsidRPr="009A4851">
              <w:rPr>
                <w:rFonts w:cs="Arial"/>
                <w:color w:val="000000" w:themeColor="text1"/>
                <w:szCs w:val="19"/>
              </w:rPr>
              <w:t>6</w:t>
            </w:r>
          </w:p>
        </w:tc>
        <w:tc>
          <w:tcPr>
            <w:tcW w:w="1274" w:type="dxa"/>
            <w:tcBorders>
              <w:right w:val="nil"/>
            </w:tcBorders>
            <w:vAlign w:val="center"/>
          </w:tcPr>
          <w:p w14:paraId="7A4F2972" w14:textId="77777777" w:rsidR="009A4851" w:rsidRPr="009A4851" w:rsidRDefault="009A4851" w:rsidP="009A4851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299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49F5E70F" w14:textId="30720419" w:rsidR="009A4851" w:rsidRPr="009A4851" w:rsidRDefault="007E4736" w:rsidP="009A4851">
            <w:pPr>
              <w:spacing w:before="0"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598.</w:t>
            </w:r>
            <w:r w:rsidR="009A4851" w:rsidRPr="009A4851">
              <w:rPr>
                <w:rFonts w:cs="Arial"/>
                <w:color w:val="000000" w:themeColor="text1"/>
                <w:szCs w:val="19"/>
              </w:rPr>
              <w:t>0</w:t>
            </w:r>
          </w:p>
        </w:tc>
      </w:tr>
      <w:tr w:rsidR="009A4851" w:rsidRPr="009A4851" w14:paraId="16EEE8B3" w14:textId="77777777" w:rsidTr="005023D5">
        <w:trPr>
          <w:trHeight w:val="521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61AC335" w14:textId="20F8B2BD" w:rsidR="009A4851" w:rsidRPr="009A4851" w:rsidRDefault="009A4851" w:rsidP="009A485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>
              <w:rPr>
                <w:rFonts w:eastAsiaTheme="majorEastAsia" w:cstheme="majorBidi"/>
                <w:iCs/>
                <w:color w:val="000000" w:themeColor="text1"/>
                <w:szCs w:val="19"/>
              </w:rPr>
              <w:t>Company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6BBF9FB1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4" w:space="0" w:color="212492"/>
            </w:tcBorders>
            <w:vAlign w:val="center"/>
          </w:tcPr>
          <w:p w14:paraId="315E4888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.</w:t>
            </w:r>
          </w:p>
        </w:tc>
        <w:tc>
          <w:tcPr>
            <w:tcW w:w="994" w:type="dxa"/>
            <w:tcBorders>
              <w:bottom w:val="single" w:sz="4" w:space="0" w:color="212492"/>
              <w:right w:val="nil"/>
            </w:tcBorders>
            <w:vAlign w:val="center"/>
          </w:tcPr>
          <w:p w14:paraId="09114D5F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.</w:t>
            </w:r>
          </w:p>
        </w:tc>
        <w:tc>
          <w:tcPr>
            <w:tcW w:w="1274" w:type="dxa"/>
            <w:tcBorders>
              <w:bottom w:val="single" w:sz="4" w:space="0" w:color="212492"/>
              <w:right w:val="nil"/>
            </w:tcBorders>
            <w:vAlign w:val="center"/>
          </w:tcPr>
          <w:p w14:paraId="77D1DF52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30</w:t>
            </w:r>
          </w:p>
        </w:tc>
        <w:tc>
          <w:tcPr>
            <w:tcW w:w="1200" w:type="dxa"/>
            <w:tcBorders>
              <w:bottom w:val="single" w:sz="4" w:space="0" w:color="212492"/>
              <w:right w:val="nil"/>
            </w:tcBorders>
            <w:vAlign w:val="center"/>
          </w:tcPr>
          <w:p w14:paraId="49713444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.</w:t>
            </w:r>
          </w:p>
        </w:tc>
      </w:tr>
      <w:bookmarkEnd w:id="1"/>
    </w:tbl>
    <w:p w14:paraId="4C4EBE85" w14:textId="7BD13EA5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14:paraId="03EFC1DF" w14:textId="77777777" w:rsidR="00154AC9" w:rsidRPr="004829B9" w:rsidRDefault="00154AC9" w:rsidP="00896EB9">
      <w:pPr>
        <w:rPr>
          <w:shd w:val="clear" w:color="auto" w:fill="FFFFFF"/>
          <w:lang w:val="en-GB"/>
        </w:rPr>
      </w:pPr>
    </w:p>
    <w:p w14:paraId="4ABA1322" w14:textId="77777777" w:rsidR="002858BC" w:rsidRDefault="002858BC" w:rsidP="008F6310">
      <w:pPr>
        <w:rPr>
          <w:b/>
          <w:color w:val="001D77"/>
          <w:spacing w:val="-4"/>
          <w:shd w:val="clear" w:color="auto" w:fill="FFFFFF"/>
          <w:lang w:val="en-GB"/>
        </w:rPr>
      </w:pPr>
    </w:p>
    <w:p w14:paraId="2D03BCD7" w14:textId="33E4BF22" w:rsidR="00896EB9" w:rsidRPr="006D194B" w:rsidRDefault="007E02D8" w:rsidP="008F6310">
      <w:pPr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55D6D" wp14:editId="17A1A23B">
                <wp:simplePos x="0" y="0"/>
                <wp:positionH relativeFrom="rightMargin">
                  <wp:posOffset>119020</wp:posOffset>
                </wp:positionH>
                <wp:positionV relativeFrom="paragraph">
                  <wp:posOffset>261156</wp:posOffset>
                </wp:positionV>
                <wp:extent cx="1796415" cy="1235075"/>
                <wp:effectExtent l="0" t="0" r="0" b="3175"/>
                <wp:wrapNone/>
                <wp:docPr id="15" name="Pole tekstowe 15" descr="The number of dwellings for which permits have been granted or which have been registered with a construction project decreased in the period of January -February 2022 by 5.8% y/y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15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CCB4E" w14:textId="5B3606D7" w:rsidR="00574E89" w:rsidRPr="00AD1492" w:rsidRDefault="00574E89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ED4B7C">
                              <w:rPr>
                                <w:lang w:val="en-US"/>
                              </w:rPr>
                              <w:t xml:space="preserve"> de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3B4D4B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A3775D">
                              <w:rPr>
                                <w:lang w:val="en-US"/>
                              </w:rPr>
                              <w:t xml:space="preserve">the period of </w:t>
                            </w:r>
                            <w:r w:rsidR="00ED4B7C">
                              <w:rPr>
                                <w:lang w:val="en-US"/>
                              </w:rPr>
                              <w:t>January</w:t>
                            </w:r>
                            <w:r w:rsidR="00A3775D">
                              <w:rPr>
                                <w:lang w:val="en-US"/>
                              </w:rPr>
                              <w:t>-February</w:t>
                            </w:r>
                            <w:r w:rsidR="00ED4B7C">
                              <w:rPr>
                                <w:lang w:val="en-US"/>
                              </w:rPr>
                              <w:t xml:space="preserve"> 2022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ED4B7C">
                              <w:rPr>
                                <w:lang w:val="en-US"/>
                              </w:rPr>
                              <w:t>5</w:t>
                            </w:r>
                            <w:r w:rsidRPr="00AD1492">
                              <w:rPr>
                                <w:lang w:val="en-US"/>
                              </w:rPr>
                              <w:t>.</w:t>
                            </w:r>
                            <w:r w:rsidR="00A3775D">
                              <w:rPr>
                                <w:lang w:val="en-US"/>
                              </w:rPr>
                              <w:t>8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% y/y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5D6D" id="Pole tekstowe 15" o:spid="_x0000_s1029" type="#_x0000_t202" alt="The number of dwellings for which permits have been granted or which have been registered with a construction project decreased in the period of January -February 2022 by 5.8% y/y " style="position:absolute;margin-left:9.35pt;margin-top:20.55pt;width:141.45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" filled="f" stroked="f" strokeweight=".5pt">
                <v:textbox>
                  <w:txbxContent>
                    <w:p w14:paraId="35DCCB4E" w14:textId="5B3606D7" w:rsidR="00574E89" w:rsidRPr="00AD1492" w:rsidRDefault="00574E89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 w:rsidR="00ED4B7C">
                        <w:rPr>
                          <w:lang w:val="en-US"/>
                        </w:rPr>
                        <w:t xml:space="preserve"> de</w:t>
                      </w:r>
                      <w:r w:rsidRPr="00AD1492">
                        <w:rPr>
                          <w:lang w:val="en-US"/>
                        </w:rPr>
                        <w:t xml:space="preserve">creased </w:t>
                      </w:r>
                      <w:r w:rsidR="003B4D4B">
                        <w:rPr>
                          <w:lang w:val="en-US"/>
                        </w:rPr>
                        <w:t xml:space="preserve">in </w:t>
                      </w:r>
                      <w:r w:rsidR="00A3775D">
                        <w:rPr>
                          <w:lang w:val="en-US"/>
                        </w:rPr>
                        <w:t xml:space="preserve">the period of </w:t>
                      </w:r>
                      <w:r w:rsidR="00ED4B7C">
                        <w:rPr>
                          <w:lang w:val="en-US"/>
                        </w:rPr>
                        <w:t>January</w:t>
                      </w:r>
                      <w:r w:rsidR="00A3775D">
                        <w:rPr>
                          <w:lang w:val="en-US"/>
                        </w:rPr>
                        <w:t>-February</w:t>
                      </w:r>
                      <w:r w:rsidR="00ED4B7C">
                        <w:rPr>
                          <w:lang w:val="en-US"/>
                        </w:rPr>
                        <w:t xml:space="preserve"> 2022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AD1492">
                        <w:rPr>
                          <w:lang w:val="en-US"/>
                        </w:rPr>
                        <w:t xml:space="preserve">by </w:t>
                      </w:r>
                      <w:r w:rsidR="00ED4B7C">
                        <w:rPr>
                          <w:lang w:val="en-US"/>
                        </w:rPr>
                        <w:t>5</w:t>
                      </w:r>
                      <w:r w:rsidRPr="00AD1492">
                        <w:rPr>
                          <w:lang w:val="en-US"/>
                        </w:rPr>
                        <w:t>.</w:t>
                      </w:r>
                      <w:r w:rsidR="00A3775D">
                        <w:rPr>
                          <w:lang w:val="en-US"/>
                        </w:rPr>
                        <w:t>8</w:t>
                      </w:r>
                      <w:r w:rsidRPr="00AD1492">
                        <w:rPr>
                          <w:lang w:val="en-US"/>
                        </w:rPr>
                        <w:t xml:space="preserve">% y/y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t xml:space="preserve">Dwellings for which permits have been granted or which have been registered with </w: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14:paraId="03705375" w14:textId="456099C2" w:rsidR="00C47CE4" w:rsidRPr="004829B9" w:rsidRDefault="003B4D4B" w:rsidP="00896EB9">
      <w:pPr>
        <w:rPr>
          <w:b/>
          <w:shd w:val="clear" w:color="auto" w:fill="FFFFFF"/>
          <w:lang w:val="en-GB"/>
        </w:rPr>
      </w:pPr>
      <w:r w:rsidRPr="003B4D4B">
        <w:rPr>
          <w:noProof/>
          <w:lang w:val="en-GB" w:eastAsia="pl-PL"/>
        </w:rPr>
        <w:t>In</w:t>
      </w:r>
      <w:r w:rsidR="004A3A9A">
        <w:rPr>
          <w:noProof/>
          <w:lang w:val="en-GB" w:eastAsia="pl-PL"/>
        </w:rPr>
        <w:t xml:space="preserve"> </w:t>
      </w:r>
      <w:r w:rsidR="00B769F0">
        <w:rPr>
          <w:noProof/>
          <w:lang w:val="en-GB" w:eastAsia="pl-PL"/>
        </w:rPr>
        <w:t>the period of January-February</w:t>
      </w:r>
      <w:r w:rsidR="004862A6">
        <w:rPr>
          <w:noProof/>
          <w:lang w:val="en-GB" w:eastAsia="pl-PL"/>
        </w:rPr>
        <w:t xml:space="preserve"> 2022</w:t>
      </w:r>
      <w:r w:rsidR="000348CC">
        <w:rPr>
          <w:szCs w:val="19"/>
          <w:shd w:val="clear" w:color="auto" w:fill="FFFFFF"/>
          <w:lang w:val="en-GB"/>
        </w:rPr>
        <w:t>,</w:t>
      </w:r>
      <w:r w:rsidR="00BD1D77" w:rsidRPr="004829B9">
        <w:rPr>
          <w:szCs w:val="19"/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>permits and registrations have been granted for</w:t>
      </w:r>
      <w:r w:rsidR="00314007">
        <w:rPr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 xml:space="preserve">construction of </w:t>
      </w:r>
      <w:r w:rsidR="00B5362C">
        <w:rPr>
          <w:shd w:val="clear" w:color="auto" w:fill="FFFFFF"/>
          <w:lang w:val="en-GB"/>
        </w:rPr>
        <w:t>47</w:t>
      </w:r>
      <w:r w:rsidR="00DE7DD4">
        <w:rPr>
          <w:shd w:val="clear" w:color="auto" w:fill="FFFFFF"/>
          <w:lang w:val="en-GB"/>
        </w:rPr>
        <w:t>.</w:t>
      </w:r>
      <w:r w:rsidR="00B769F0">
        <w:rPr>
          <w:shd w:val="clear" w:color="auto" w:fill="FFFFFF"/>
          <w:lang w:val="en-GB"/>
        </w:rPr>
        <w:t>7</w:t>
      </w:r>
      <w:r w:rsidR="00C571F3">
        <w:rPr>
          <w:shd w:val="clear" w:color="auto" w:fill="FFFFFF"/>
          <w:lang w:val="en-GB"/>
        </w:rPr>
        <w:t>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FD0C2F" w:rsidRPr="004829B9">
        <w:rPr>
          <w:shd w:val="clear" w:color="auto" w:fill="FFFFFF"/>
          <w:lang w:val="en-GB"/>
        </w:rPr>
        <w:t xml:space="preserve"> dwellings, </w:t>
      </w:r>
      <w:r w:rsidR="00C47CE4" w:rsidRPr="004829B9">
        <w:rPr>
          <w:shd w:val="clear" w:color="auto" w:fill="FFFFFF"/>
          <w:lang w:val="en-GB"/>
        </w:rPr>
        <w:t xml:space="preserve">i.e. by </w:t>
      </w:r>
      <w:r w:rsidR="004862A6">
        <w:rPr>
          <w:shd w:val="clear" w:color="auto" w:fill="FFFFFF"/>
          <w:lang w:val="en-GB"/>
        </w:rPr>
        <w:t>5</w:t>
      </w:r>
      <w:r w:rsidR="00E245E1" w:rsidRPr="004829B9">
        <w:rPr>
          <w:shd w:val="clear" w:color="auto" w:fill="FFFFFF"/>
          <w:lang w:val="en-GB"/>
        </w:rPr>
        <w:t>.</w:t>
      </w:r>
      <w:r w:rsidR="00B769F0">
        <w:rPr>
          <w:shd w:val="clear" w:color="auto" w:fill="FFFFFF"/>
          <w:lang w:val="en-GB"/>
        </w:rPr>
        <w:t>8</w:t>
      </w:r>
      <w:r w:rsidR="00C47CE4" w:rsidRPr="004829B9">
        <w:rPr>
          <w:shd w:val="clear" w:color="auto" w:fill="FFFFFF"/>
          <w:lang w:val="en-GB"/>
        </w:rPr>
        <w:t xml:space="preserve">% </w:t>
      </w:r>
      <w:r w:rsidR="004862A6">
        <w:rPr>
          <w:shd w:val="clear" w:color="auto" w:fill="FFFFFF"/>
          <w:lang w:val="en-GB"/>
        </w:rPr>
        <w:t>less</w:t>
      </w:r>
      <w:r w:rsidR="00C47CE4" w:rsidRPr="004829B9">
        <w:rPr>
          <w:shd w:val="clear" w:color="auto" w:fill="FFFFFF"/>
          <w:lang w:val="en-GB"/>
        </w:rPr>
        <w:t xml:space="preserve"> </w:t>
      </w:r>
      <w:r w:rsidR="00C47CE4" w:rsidRPr="00970E01">
        <w:rPr>
          <w:shd w:val="clear" w:color="auto" w:fill="FFFFFF"/>
          <w:lang w:val="en-GB"/>
        </w:rPr>
        <w:t>than in</w:t>
      </w:r>
      <w:r w:rsidR="00ED4B7C" w:rsidRPr="00970E01">
        <w:rPr>
          <w:shd w:val="clear" w:color="auto" w:fill="FFFFFF"/>
          <w:lang w:val="en-GB"/>
        </w:rPr>
        <w:t xml:space="preserve"> the corresponding </w:t>
      </w:r>
      <w:r w:rsidR="00B769F0">
        <w:rPr>
          <w:shd w:val="clear" w:color="auto" w:fill="FFFFFF"/>
          <w:lang w:val="en-GB"/>
        </w:rPr>
        <w:t>period</w:t>
      </w:r>
      <w:r w:rsidR="00ED4B7C" w:rsidRPr="00970E01">
        <w:rPr>
          <w:shd w:val="clear" w:color="auto" w:fill="FFFFFF"/>
          <w:lang w:val="en-GB"/>
        </w:rPr>
        <w:t xml:space="preserve"> of</w:t>
      </w:r>
      <w:r w:rsidR="00C47CE4" w:rsidRPr="00970E01">
        <w:rPr>
          <w:shd w:val="clear" w:color="auto" w:fill="FFFFFF"/>
          <w:lang w:val="en-GB"/>
        </w:rPr>
        <w:t xml:space="preserve"> </w:t>
      </w:r>
      <w:r w:rsidR="00ED4B7C" w:rsidRPr="00970E01">
        <w:rPr>
          <w:shd w:val="clear" w:color="auto" w:fill="FFFFFF"/>
          <w:lang w:val="en-GB"/>
        </w:rPr>
        <w:t>2021</w:t>
      </w:r>
      <w:r w:rsidR="00856FE3" w:rsidRPr="004829B9">
        <w:rPr>
          <w:shd w:val="clear" w:color="auto" w:fill="FFFFFF"/>
          <w:lang w:val="en-GB"/>
        </w:rPr>
        <w:t xml:space="preserve">. </w:t>
      </w:r>
      <w:r w:rsidR="00C47CE4" w:rsidRPr="004829B9">
        <w:rPr>
          <w:shd w:val="clear" w:color="auto" w:fill="FFFFFF"/>
          <w:lang w:val="en-GB"/>
        </w:rPr>
        <w:t xml:space="preserve">Permits for construction of the biggest number of dwellings were given to </w:t>
      </w:r>
      <w:r w:rsidR="00435283" w:rsidRPr="004829B9">
        <w:rPr>
          <w:b/>
          <w:shd w:val="clear" w:color="auto" w:fill="FFFFFF"/>
          <w:lang w:val="en-GB"/>
        </w:rPr>
        <w:t xml:space="preserve">developers </w:t>
      </w:r>
      <w:r w:rsidR="00BD1D77" w:rsidRPr="004829B9">
        <w:rPr>
          <w:shd w:val="clear" w:color="auto" w:fill="FFFFFF"/>
          <w:lang w:val="en-GB"/>
        </w:rPr>
        <w:t>(</w:t>
      </w:r>
      <w:r w:rsidR="00B769F0">
        <w:rPr>
          <w:shd w:val="clear" w:color="auto" w:fill="FFFFFF"/>
          <w:lang w:val="en-GB"/>
        </w:rPr>
        <w:t>33.1</w:t>
      </w:r>
      <w:r w:rsidR="000D0D69">
        <w:rPr>
          <w:shd w:val="clear" w:color="auto" w:fill="FFFFFF"/>
          <w:lang w:val="en-GB"/>
        </w:rPr>
        <w:t>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734857">
        <w:rPr>
          <w:shd w:val="clear" w:color="auto" w:fill="FFFFFF"/>
          <w:lang w:val="en-GB"/>
        </w:rPr>
        <w:t>, an</w:t>
      </w:r>
      <w:r w:rsidR="00B769F0">
        <w:rPr>
          <w:shd w:val="clear" w:color="auto" w:fill="FFFFFF"/>
          <w:lang w:val="en-GB"/>
        </w:rPr>
        <w:t xml:space="preserve"> decrease of 0.7</w:t>
      </w:r>
      <w:r w:rsidR="008A130C">
        <w:rPr>
          <w:shd w:val="clear" w:color="auto" w:fill="FFFFFF"/>
          <w:lang w:val="en-GB"/>
        </w:rPr>
        <w:t>%</w:t>
      </w:r>
      <w:r w:rsidR="00FE3A83">
        <w:rPr>
          <w:shd w:val="clear" w:color="auto" w:fill="FFFFFF"/>
          <w:lang w:val="en-GB"/>
        </w:rPr>
        <w:t xml:space="preserve"> y/y</w:t>
      </w:r>
      <w:r w:rsidR="00BD1D77" w:rsidRPr="004829B9">
        <w:rPr>
          <w:shd w:val="clear" w:color="auto" w:fill="FFFFFF"/>
          <w:lang w:val="en-GB"/>
        </w:rPr>
        <w:t>)</w:t>
      </w:r>
      <w:r w:rsidR="00C47CE4" w:rsidRPr="004829B9">
        <w:rPr>
          <w:shd w:val="clear" w:color="auto" w:fill="FFFFFF"/>
          <w:lang w:val="en-GB"/>
        </w:rPr>
        <w:t xml:space="preserve"> and to </w:t>
      </w:r>
      <w:r w:rsidR="00C47CE4" w:rsidRPr="004829B9">
        <w:rPr>
          <w:b/>
          <w:shd w:val="clear" w:color="auto" w:fill="FFFFFF"/>
          <w:lang w:val="en-GB"/>
        </w:rPr>
        <w:t>private investors</w:t>
      </w:r>
      <w:r w:rsidR="00BD1D77" w:rsidRPr="004829B9">
        <w:rPr>
          <w:shd w:val="clear" w:color="auto" w:fill="FFFFFF"/>
          <w:lang w:val="en-GB"/>
        </w:rPr>
        <w:t xml:space="preserve"> (</w:t>
      </w:r>
      <w:r w:rsidR="00B769F0">
        <w:rPr>
          <w:shd w:val="clear" w:color="auto" w:fill="FFFFFF"/>
          <w:lang w:val="en-GB"/>
        </w:rPr>
        <w:t>14</w:t>
      </w:r>
      <w:r w:rsidR="00DE7DD4">
        <w:rPr>
          <w:shd w:val="clear" w:color="auto" w:fill="FFFFFF"/>
          <w:lang w:val="en-GB"/>
        </w:rPr>
        <w:t>.</w:t>
      </w:r>
      <w:r w:rsidR="00B769F0">
        <w:rPr>
          <w:shd w:val="clear" w:color="auto" w:fill="FFFFFF"/>
          <w:lang w:val="en-GB"/>
        </w:rPr>
        <w:t>2</w:t>
      </w:r>
      <w:r w:rsidR="00DE7DD4" w:rsidRPr="00DE7DD4">
        <w:rPr>
          <w:shd w:val="clear" w:color="auto" w:fill="FFFFFF"/>
          <w:lang w:val="en-GB"/>
        </w:rPr>
        <w:t xml:space="preserve"> 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B769F0">
        <w:rPr>
          <w:shd w:val="clear" w:color="auto" w:fill="FFFFFF"/>
          <w:lang w:val="en-GB"/>
        </w:rPr>
        <w:t>, a decrease of 16.2</w:t>
      </w:r>
      <w:r w:rsidR="00FE3A83" w:rsidRPr="00B7342E">
        <w:rPr>
          <w:shd w:val="clear" w:color="auto" w:fill="FFFFFF"/>
          <w:lang w:val="en-GB"/>
        </w:rPr>
        <w:t>%</w:t>
      </w:r>
      <w:r w:rsidR="00BD1D77" w:rsidRPr="00B7342E">
        <w:rPr>
          <w:shd w:val="clear" w:color="auto" w:fill="FFFFFF"/>
          <w:lang w:val="en-GB"/>
        </w:rPr>
        <w:t>)</w:t>
      </w:r>
      <w:r w:rsidR="00CF36C5" w:rsidRPr="004829B9">
        <w:rPr>
          <w:shd w:val="clear" w:color="auto" w:fill="FFFFFF"/>
          <w:lang w:val="en-GB"/>
        </w:rPr>
        <w:t xml:space="preserve">. </w:t>
      </w:r>
      <w:r w:rsidR="000A40DF">
        <w:rPr>
          <w:shd w:val="clear" w:color="auto" w:fill="FFFFFF"/>
          <w:lang w:val="en-GB"/>
        </w:rPr>
        <w:t>W</w:t>
      </w:r>
      <w:r w:rsidR="003B05CF">
        <w:rPr>
          <w:shd w:val="clear" w:color="auto" w:fill="FFFFFF"/>
          <w:lang w:val="en-GB"/>
        </w:rPr>
        <w:t>ithin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0A7C88" w:rsidRPr="004829B9">
        <w:rPr>
          <w:shd w:val="clear" w:color="auto" w:fill="FFFFFF"/>
          <w:lang w:val="en-GB"/>
        </w:rPr>
        <w:t xml:space="preserve">these forms </w:t>
      </w:r>
      <w:r w:rsidR="003D5833">
        <w:rPr>
          <w:shd w:val="clear" w:color="auto" w:fill="FFFFFF"/>
          <w:lang w:val="en-GB"/>
        </w:rPr>
        <w:t>of construction</w:t>
      </w:r>
      <w:r w:rsidR="000A40DF">
        <w:rPr>
          <w:shd w:val="clear" w:color="auto" w:fill="FFFFFF"/>
          <w:lang w:val="en-GB"/>
        </w:rPr>
        <w:t xml:space="preserve">, </w:t>
      </w:r>
      <w:r w:rsidR="00AE2B3C">
        <w:rPr>
          <w:shd w:val="clear" w:color="auto" w:fill="FFFFFF"/>
          <w:lang w:val="en-GB"/>
        </w:rPr>
        <w:t xml:space="preserve">permits have been granted </w:t>
      </w:r>
      <w:r w:rsidR="000A40DF" w:rsidRPr="000A40DF">
        <w:rPr>
          <w:shd w:val="clear" w:color="auto" w:fill="FFFFFF"/>
          <w:lang w:val="en-GB"/>
        </w:rPr>
        <w:t>and registrations with a construction project were made</w:t>
      </w:r>
      <w:r w:rsidR="000A40DF">
        <w:rPr>
          <w:shd w:val="clear" w:color="auto" w:fill="FFFFFF"/>
          <w:lang w:val="en-GB"/>
        </w:rPr>
        <w:t xml:space="preserve"> for</w:t>
      </w:r>
      <w:r w:rsidR="00ED4B7C">
        <w:rPr>
          <w:shd w:val="clear" w:color="auto" w:fill="FFFFFF"/>
          <w:lang w:val="en-GB"/>
        </w:rPr>
        <w:t xml:space="preserve"> 99</w:t>
      </w:r>
      <w:r w:rsidR="001A1F89" w:rsidRPr="004829B9">
        <w:rPr>
          <w:shd w:val="clear" w:color="auto" w:fill="FFFFFF"/>
          <w:lang w:val="en-GB"/>
        </w:rPr>
        <w:t>.</w:t>
      </w:r>
      <w:r w:rsidR="006A4AA8">
        <w:rPr>
          <w:shd w:val="clear" w:color="auto" w:fill="FFFFFF"/>
          <w:lang w:val="en-GB"/>
        </w:rPr>
        <w:t>1</w:t>
      </w:r>
      <w:r w:rsidR="000A7C88" w:rsidRPr="004829B9">
        <w:rPr>
          <w:shd w:val="clear" w:color="auto" w:fill="FFFFFF"/>
          <w:lang w:val="en-GB"/>
        </w:rPr>
        <w:t>% of dwellings</w:t>
      </w:r>
      <w:r w:rsidR="000A40DF">
        <w:rPr>
          <w:shd w:val="clear" w:color="auto" w:fill="FFFFFF"/>
          <w:lang w:val="en-GB"/>
        </w:rPr>
        <w:t xml:space="preserve"> in total</w:t>
      </w:r>
      <w:r w:rsidR="00507D43" w:rsidRPr="004829B9">
        <w:rPr>
          <w:shd w:val="clear" w:color="auto" w:fill="FFFFFF"/>
          <w:lang w:val="en-GB"/>
        </w:rPr>
        <w:t xml:space="preserve">. </w:t>
      </w:r>
      <w:r w:rsidR="00A7208C">
        <w:rPr>
          <w:spacing w:val="-4"/>
          <w:shd w:val="clear" w:color="auto" w:fill="FFFFFF"/>
          <w:lang w:val="en-GB"/>
        </w:rPr>
        <w:t>In</w:t>
      </w:r>
      <w:r w:rsidR="00C214E1" w:rsidRPr="004B638F">
        <w:rPr>
          <w:spacing w:val="-4"/>
          <w:shd w:val="clear" w:color="auto" w:fill="FFFFFF"/>
          <w:lang w:val="en-GB"/>
        </w:rPr>
        <w:t xml:space="preserve"> </w:t>
      </w:r>
      <w:r w:rsidR="00B64363" w:rsidRPr="00B64363">
        <w:rPr>
          <w:b/>
          <w:spacing w:val="-4"/>
          <w:shd w:val="clear" w:color="auto" w:fill="FFFFFF"/>
          <w:lang w:val="en-GB"/>
        </w:rPr>
        <w:t xml:space="preserve">other forms </w:t>
      </w:r>
      <w:r w:rsidR="00B64363" w:rsidRPr="00B64363">
        <w:rPr>
          <w:spacing w:val="-4"/>
          <w:shd w:val="clear" w:color="auto" w:fill="FFFFFF"/>
          <w:lang w:val="en-GB"/>
        </w:rPr>
        <w:t xml:space="preserve">of construction </w:t>
      </w:r>
      <w:r w:rsidR="006A4AA8">
        <w:rPr>
          <w:spacing w:val="-4"/>
          <w:shd w:val="clear" w:color="auto" w:fill="FFFFFF"/>
          <w:lang w:val="en-GB"/>
        </w:rPr>
        <w:t>427</w:t>
      </w:r>
      <w:r w:rsidRPr="003B4D4B">
        <w:rPr>
          <w:spacing w:val="-4"/>
          <w:shd w:val="clear" w:color="auto" w:fill="FFFFFF"/>
          <w:lang w:val="en-GB"/>
        </w:rPr>
        <w:t xml:space="preserve"> </w:t>
      </w:r>
      <w:r w:rsidR="00B64363" w:rsidRPr="00B64363">
        <w:rPr>
          <w:spacing w:val="-4"/>
          <w:shd w:val="clear" w:color="auto" w:fill="FFFFFF"/>
          <w:lang w:val="en-GB"/>
        </w:rPr>
        <w:t>dwellings</w:t>
      </w:r>
      <w:r w:rsidR="00B64363">
        <w:rPr>
          <w:b/>
          <w:spacing w:val="-4"/>
          <w:shd w:val="clear" w:color="auto" w:fill="FFFFFF"/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for which permits have been granted or which have been registered </w:t>
      </w:r>
      <w:r w:rsidR="000E65E1" w:rsidRPr="004829B9">
        <w:rPr>
          <w:shd w:val="clear" w:color="auto" w:fill="FFFFFF"/>
          <w:lang w:val="en-GB"/>
        </w:rPr>
        <w:t>with a </w:t>
      </w:r>
      <w:r w:rsidR="00507D43" w:rsidRPr="004829B9">
        <w:rPr>
          <w:shd w:val="clear" w:color="auto" w:fill="FFFFFF"/>
          <w:lang w:val="en-GB"/>
        </w:rPr>
        <w:t xml:space="preserve">construction project </w:t>
      </w:r>
      <w:r w:rsidR="00C47CE4" w:rsidRPr="004829B9">
        <w:rPr>
          <w:shd w:val="clear" w:color="auto" w:fill="FFFFFF"/>
          <w:lang w:val="en-GB"/>
        </w:rPr>
        <w:t xml:space="preserve">were </w:t>
      </w:r>
      <w:r w:rsidR="00CD44F1" w:rsidRPr="004829B9">
        <w:rPr>
          <w:shd w:val="clear" w:color="auto" w:fill="FFFFFF"/>
          <w:lang w:val="en-GB"/>
        </w:rPr>
        <w:t>not</w:t>
      </w:r>
      <w:r w:rsidR="00507D43" w:rsidRPr="004829B9">
        <w:rPr>
          <w:shd w:val="clear" w:color="auto" w:fill="FFFFFF"/>
          <w:lang w:val="en-GB"/>
        </w:rPr>
        <w:t>ed</w:t>
      </w:r>
      <w:r w:rsidR="00C214E1">
        <w:rPr>
          <w:shd w:val="clear" w:color="auto" w:fill="FFFFFF"/>
          <w:lang w:val="en-GB"/>
        </w:rPr>
        <w:t xml:space="preserve"> (</w:t>
      </w:r>
      <w:r w:rsidR="006A4AA8">
        <w:rPr>
          <w:shd w:val="clear" w:color="auto" w:fill="FFFFFF"/>
          <w:lang w:val="en-GB"/>
        </w:rPr>
        <w:t>403</w:t>
      </w:r>
      <w:r w:rsidRPr="003B4D4B">
        <w:rPr>
          <w:shd w:val="clear" w:color="auto" w:fill="FFFFFF"/>
          <w:lang w:val="en-GB"/>
        </w:rPr>
        <w:t xml:space="preserve"> </w:t>
      </w:r>
      <w:r w:rsidR="00C214E1">
        <w:rPr>
          <w:shd w:val="clear" w:color="auto" w:fill="FFFFFF"/>
          <w:lang w:val="en-GB"/>
        </w:rPr>
        <w:t>dwellings in the previous year</w:t>
      </w:r>
      <w:r w:rsidR="00B64363">
        <w:rPr>
          <w:shd w:val="clear" w:color="auto" w:fill="FFFFFF"/>
          <w:lang w:val="en-GB"/>
        </w:rPr>
        <w:t>).</w:t>
      </w:r>
    </w:p>
    <w:p w14:paraId="073E70B2" w14:textId="77777777" w:rsidR="00896EB9" w:rsidRPr="007E02D8" w:rsidRDefault="00896EB9" w:rsidP="00DE7DD4">
      <w:pPr>
        <w:pStyle w:val="tytuwykresu"/>
        <w:ind w:left="709" w:hanging="709"/>
        <w:rPr>
          <w:sz w:val="19"/>
          <w:szCs w:val="19"/>
          <w:shd w:val="clear" w:color="auto" w:fill="FFFFFF"/>
          <w:lang w:val="en-GB"/>
        </w:rPr>
      </w:pPr>
      <w:r w:rsidRPr="007E02D8">
        <w:rPr>
          <w:sz w:val="19"/>
          <w:szCs w:val="19"/>
          <w:shd w:val="clear" w:color="auto" w:fill="FFFFFF"/>
          <w:lang w:val="en-GB"/>
        </w:rPr>
        <w:t xml:space="preserve">Table 2. Dwellings for which permits have been granted or which have been registered with </w:t>
      </w:r>
      <w:r w:rsidRPr="007E02D8">
        <w:rPr>
          <w:sz w:val="19"/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512"/>
        <w:tblpPr w:leftFromText="141" w:rightFromText="141" w:vertAnchor="text" w:horzAnchor="margin" w:tblpY="98"/>
        <w:tblW w:w="8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for which permits have been granted or which have been registered with a construction project&#10;"/>
      </w:tblPr>
      <w:tblGrid>
        <w:gridCol w:w="2268"/>
        <w:gridCol w:w="1418"/>
        <w:gridCol w:w="990"/>
        <w:gridCol w:w="994"/>
        <w:gridCol w:w="1369"/>
        <w:gridCol w:w="982"/>
      </w:tblGrid>
      <w:tr w:rsidR="009A4851" w:rsidRPr="009A4851" w14:paraId="0C48CC75" w14:textId="77777777" w:rsidTr="002040E0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4D81CFA6" w14:textId="13BB24C5" w:rsidR="009A4851" w:rsidRPr="009A4851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</w:pPr>
            <w:r w:rsidRPr="009A4851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0807E74E" w14:textId="77777777" w:rsidR="009A4851" w:rsidRPr="009A4851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9A4851">
              <w:rPr>
                <w:color w:val="000000" w:themeColor="text1"/>
                <w:szCs w:val="19"/>
              </w:rPr>
              <w:t>02 2022</w:t>
            </w:r>
          </w:p>
        </w:tc>
        <w:tc>
          <w:tcPr>
            <w:tcW w:w="2351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32414034" w14:textId="77777777" w:rsidR="009A4851" w:rsidRPr="009A4851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9A4851">
              <w:rPr>
                <w:color w:val="000000" w:themeColor="text1"/>
                <w:szCs w:val="19"/>
              </w:rPr>
              <w:t>01-02 2022</w:t>
            </w:r>
          </w:p>
        </w:tc>
      </w:tr>
      <w:tr w:rsidR="00D216F9" w:rsidRPr="009A4851" w14:paraId="2B29CAA9" w14:textId="77777777" w:rsidTr="00D216F9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FD85581" w14:textId="77777777" w:rsidR="009A4851" w:rsidRPr="009A4851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09552E20" w14:textId="6C76B806" w:rsidR="009A4851" w:rsidRPr="009A4851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9A4851">
              <w:rPr>
                <w:color w:val="000000" w:themeColor="text1"/>
                <w:szCs w:val="19"/>
              </w:rPr>
              <w:t xml:space="preserve">Number </w:t>
            </w:r>
            <w:r w:rsidRPr="009A4851">
              <w:rPr>
                <w:color w:val="000000" w:themeColor="text1"/>
                <w:szCs w:val="19"/>
              </w:rPr>
              <w:br/>
              <w:t>of dwellings</w:t>
            </w:r>
          </w:p>
        </w:tc>
        <w:tc>
          <w:tcPr>
            <w:tcW w:w="990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3D7498F" w14:textId="77777777" w:rsidR="009A4851" w:rsidRPr="009A4851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9A4851">
              <w:rPr>
                <w:color w:val="000000" w:themeColor="text1"/>
                <w:szCs w:val="19"/>
              </w:rPr>
              <w:t>02 2021=100</w:t>
            </w:r>
          </w:p>
        </w:tc>
        <w:tc>
          <w:tcPr>
            <w:tcW w:w="99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52DB4D0" w14:textId="77777777" w:rsidR="009A4851" w:rsidRPr="009A4851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9A4851">
              <w:rPr>
                <w:color w:val="000000" w:themeColor="text1"/>
                <w:szCs w:val="19"/>
              </w:rPr>
              <w:t>01 2022=100</w:t>
            </w:r>
          </w:p>
        </w:tc>
        <w:tc>
          <w:tcPr>
            <w:tcW w:w="1369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57E5C71" w14:textId="518752DB" w:rsidR="009A4851" w:rsidRPr="009A4851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C62692">
              <w:rPr>
                <w:color w:val="000000" w:themeColor="text1"/>
                <w:szCs w:val="19"/>
              </w:rPr>
              <w:t xml:space="preserve">Number </w:t>
            </w:r>
            <w:r w:rsidRPr="00C62692">
              <w:rPr>
                <w:color w:val="000000" w:themeColor="text1"/>
                <w:szCs w:val="19"/>
              </w:rPr>
              <w:br/>
              <w:t>of dwellings</w:t>
            </w:r>
          </w:p>
        </w:tc>
        <w:tc>
          <w:tcPr>
            <w:tcW w:w="982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2BAD1C77" w14:textId="77777777" w:rsidR="009A4851" w:rsidRPr="009A4851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9A4851">
              <w:rPr>
                <w:color w:val="000000" w:themeColor="text1"/>
                <w:szCs w:val="19"/>
              </w:rPr>
              <w:t xml:space="preserve">01-02 </w:t>
            </w:r>
            <w:r w:rsidRPr="009A4851">
              <w:rPr>
                <w:color w:val="000000" w:themeColor="text1"/>
                <w:szCs w:val="19"/>
              </w:rPr>
              <w:br/>
              <w:t>2021=100</w:t>
            </w:r>
          </w:p>
        </w:tc>
      </w:tr>
      <w:tr w:rsidR="00D216F9" w:rsidRPr="007E4736" w14:paraId="6D5F4864" w14:textId="77777777" w:rsidTr="00D216F9">
        <w:trPr>
          <w:trHeight w:val="53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7D508F88" w14:textId="441051A1" w:rsidR="009A4851" w:rsidRPr="009A4851" w:rsidRDefault="009A4851" w:rsidP="009A485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Cs w:val="19"/>
              </w:rPr>
            </w:pPr>
            <w:r w:rsidRPr="001D7052">
              <w:rPr>
                <w:b/>
                <w:color w:val="000000" w:themeColor="text1"/>
                <w:szCs w:val="19"/>
                <w:lang w:val="en-GB"/>
              </w:rPr>
              <w:t>TOTAL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14:paraId="169F41F4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b/>
                <w:color w:val="000000" w:themeColor="text1"/>
                <w:szCs w:val="19"/>
              </w:rPr>
            </w:pPr>
            <w:r w:rsidRPr="009A4851">
              <w:rPr>
                <w:rFonts w:cs="Arial"/>
                <w:b/>
                <w:color w:val="000000" w:themeColor="text1"/>
                <w:szCs w:val="19"/>
              </w:rPr>
              <w:t>25 522</w:t>
            </w:r>
          </w:p>
        </w:tc>
        <w:tc>
          <w:tcPr>
            <w:tcW w:w="990" w:type="dxa"/>
            <w:tcBorders>
              <w:top w:val="single" w:sz="12" w:space="0" w:color="212492"/>
            </w:tcBorders>
            <w:vAlign w:val="center"/>
          </w:tcPr>
          <w:p w14:paraId="76B1F6B1" w14:textId="29A6180E" w:rsidR="009A4851" w:rsidRPr="007E4736" w:rsidRDefault="009A4851" w:rsidP="007E4736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Cs w:val="19"/>
                <w:lang w:val="en-GB" w:eastAsia="pl-PL"/>
              </w:rPr>
            </w:pPr>
            <w:r w:rsidRPr="007E4736">
              <w:rPr>
                <w:rFonts w:eastAsia="Times New Roman" w:cs="Arial"/>
                <w:b/>
                <w:bCs/>
                <w:color w:val="000000" w:themeColor="text1"/>
                <w:szCs w:val="19"/>
                <w:lang w:val="en-GB" w:eastAsia="pl-PL"/>
              </w:rPr>
              <w:t>93</w:t>
            </w:r>
            <w:r w:rsidR="007E4736">
              <w:rPr>
                <w:rFonts w:eastAsia="Times New Roman" w:cs="Arial"/>
                <w:b/>
                <w:bCs/>
                <w:color w:val="000000" w:themeColor="text1"/>
                <w:szCs w:val="19"/>
                <w:lang w:val="en-GB" w:eastAsia="pl-PL"/>
              </w:rPr>
              <w:t>.</w:t>
            </w:r>
            <w:r w:rsidRPr="007E4736">
              <w:rPr>
                <w:rFonts w:eastAsia="Times New Roman" w:cs="Arial"/>
                <w:b/>
                <w:bCs/>
                <w:color w:val="000000" w:themeColor="text1"/>
                <w:szCs w:val="19"/>
                <w:lang w:val="en-GB" w:eastAsia="pl-PL"/>
              </w:rPr>
              <w:t>8</w:t>
            </w:r>
          </w:p>
        </w:tc>
        <w:tc>
          <w:tcPr>
            <w:tcW w:w="994" w:type="dxa"/>
            <w:tcBorders>
              <w:top w:val="single" w:sz="12" w:space="0" w:color="212492"/>
              <w:right w:val="nil"/>
            </w:tcBorders>
            <w:vAlign w:val="center"/>
          </w:tcPr>
          <w:p w14:paraId="2451E854" w14:textId="35C6E8A7" w:rsidR="009A4851" w:rsidRPr="007E4736" w:rsidRDefault="009A4851" w:rsidP="009A4851">
            <w:pPr>
              <w:spacing w:after="0"/>
              <w:jc w:val="right"/>
              <w:rPr>
                <w:rFonts w:cs="Arial"/>
                <w:b/>
                <w:color w:val="000000" w:themeColor="text1"/>
                <w:szCs w:val="19"/>
                <w:lang w:val="en-GB"/>
              </w:rPr>
            </w:pPr>
            <w:r w:rsidRPr="007E4736">
              <w:rPr>
                <w:rFonts w:cs="Arial"/>
                <w:b/>
                <w:color w:val="000000" w:themeColor="text1"/>
                <w:szCs w:val="19"/>
                <w:lang w:val="en-GB"/>
              </w:rPr>
              <w:t>1</w:t>
            </w:r>
            <w:r w:rsidR="007E4736">
              <w:rPr>
                <w:rFonts w:cs="Arial"/>
                <w:b/>
                <w:color w:val="000000" w:themeColor="text1"/>
                <w:szCs w:val="19"/>
                <w:lang w:val="en-GB"/>
              </w:rPr>
              <w:t>14.</w:t>
            </w:r>
            <w:r w:rsidRPr="007E4736">
              <w:rPr>
                <w:rFonts w:cs="Arial"/>
                <w:b/>
                <w:color w:val="000000" w:themeColor="text1"/>
                <w:szCs w:val="19"/>
                <w:lang w:val="en-GB"/>
              </w:rPr>
              <w:t>9</w:t>
            </w:r>
          </w:p>
        </w:tc>
        <w:tc>
          <w:tcPr>
            <w:tcW w:w="1369" w:type="dxa"/>
            <w:tcBorders>
              <w:top w:val="single" w:sz="12" w:space="0" w:color="212492"/>
              <w:right w:val="nil"/>
            </w:tcBorders>
          </w:tcPr>
          <w:p w14:paraId="754A9416" w14:textId="77777777" w:rsidR="009A4851" w:rsidRPr="007E4736" w:rsidRDefault="009A4851" w:rsidP="009A4851">
            <w:pPr>
              <w:spacing w:after="0"/>
              <w:jc w:val="right"/>
              <w:rPr>
                <w:rFonts w:cs="Arial"/>
                <w:b/>
                <w:color w:val="000000" w:themeColor="text1"/>
                <w:szCs w:val="19"/>
                <w:lang w:val="en-GB"/>
              </w:rPr>
            </w:pPr>
            <w:r w:rsidRPr="007E4736">
              <w:rPr>
                <w:rFonts w:cs="Arial"/>
                <w:b/>
                <w:color w:val="000000" w:themeColor="text1"/>
                <w:szCs w:val="19"/>
                <w:lang w:val="en-GB"/>
              </w:rPr>
              <w:t>47 743</w:t>
            </w:r>
          </w:p>
        </w:tc>
        <w:tc>
          <w:tcPr>
            <w:tcW w:w="982" w:type="dxa"/>
            <w:tcBorders>
              <w:top w:val="single" w:sz="12" w:space="0" w:color="212492"/>
              <w:right w:val="nil"/>
            </w:tcBorders>
          </w:tcPr>
          <w:p w14:paraId="49200B53" w14:textId="5A8EBC3A" w:rsidR="009A4851" w:rsidRPr="007E4736" w:rsidRDefault="007E4736" w:rsidP="009A4851">
            <w:pPr>
              <w:spacing w:after="0"/>
              <w:jc w:val="right"/>
              <w:rPr>
                <w:rFonts w:cs="Arial"/>
                <w:b/>
                <w:color w:val="000000" w:themeColor="text1"/>
                <w:szCs w:val="19"/>
                <w:lang w:val="en-GB"/>
              </w:rPr>
            </w:pPr>
            <w:r>
              <w:rPr>
                <w:rFonts w:cs="Arial"/>
                <w:b/>
                <w:color w:val="000000" w:themeColor="text1"/>
                <w:szCs w:val="19"/>
                <w:lang w:val="en-GB"/>
              </w:rPr>
              <w:t>94.</w:t>
            </w:r>
            <w:r w:rsidR="009A4851" w:rsidRPr="007E4736">
              <w:rPr>
                <w:rFonts w:cs="Arial"/>
                <w:b/>
                <w:color w:val="000000" w:themeColor="text1"/>
                <w:szCs w:val="19"/>
                <w:lang w:val="en-GB"/>
              </w:rPr>
              <w:t>2</w:t>
            </w:r>
          </w:p>
        </w:tc>
      </w:tr>
      <w:tr w:rsidR="00D216F9" w:rsidRPr="007E4736" w14:paraId="2637820A" w14:textId="77777777" w:rsidTr="00D216F9">
        <w:trPr>
          <w:trHeight w:val="53"/>
        </w:trPr>
        <w:tc>
          <w:tcPr>
            <w:tcW w:w="2268" w:type="dxa"/>
            <w:vAlign w:val="center"/>
          </w:tcPr>
          <w:p w14:paraId="7B690AFA" w14:textId="6171857A" w:rsidR="009A4851" w:rsidRPr="007E4736" w:rsidRDefault="009A4851" w:rsidP="009A485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  <w:lang w:val="en-GB"/>
              </w:rPr>
            </w:pPr>
            <w:r w:rsidRPr="001D7052">
              <w:rPr>
                <w:rFonts w:eastAsiaTheme="majorEastAsia" w:cstheme="majorBidi"/>
                <w:color w:val="000000" w:themeColor="text1"/>
                <w:szCs w:val="19"/>
                <w:lang w:val="en-GB"/>
              </w:rPr>
              <w:t>Private</w:t>
            </w:r>
          </w:p>
        </w:tc>
        <w:tc>
          <w:tcPr>
            <w:tcW w:w="1418" w:type="dxa"/>
            <w:vAlign w:val="center"/>
          </w:tcPr>
          <w:p w14:paraId="07D71355" w14:textId="77777777" w:rsidR="009A4851" w:rsidRPr="007E4736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7E4736">
              <w:rPr>
                <w:rFonts w:cs="Arial"/>
                <w:color w:val="000000" w:themeColor="text1"/>
                <w:szCs w:val="19"/>
                <w:lang w:val="en-GB"/>
              </w:rPr>
              <w:t>7 699</w:t>
            </w:r>
          </w:p>
        </w:tc>
        <w:tc>
          <w:tcPr>
            <w:tcW w:w="990" w:type="dxa"/>
            <w:vAlign w:val="center"/>
          </w:tcPr>
          <w:p w14:paraId="610D56C1" w14:textId="027ADAC1" w:rsidR="009A4851" w:rsidRPr="007E4736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>
              <w:rPr>
                <w:rFonts w:cs="Arial"/>
                <w:color w:val="000000" w:themeColor="text1"/>
                <w:szCs w:val="19"/>
                <w:lang w:val="en-GB"/>
              </w:rPr>
              <w:t>88.</w:t>
            </w:r>
            <w:r w:rsidR="009A4851" w:rsidRPr="007E4736">
              <w:rPr>
                <w:rFonts w:cs="Arial"/>
                <w:color w:val="000000" w:themeColor="text1"/>
                <w:szCs w:val="19"/>
                <w:lang w:val="en-GB"/>
              </w:rPr>
              <w:t>3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57C610C4" w14:textId="347A418E" w:rsidR="009A4851" w:rsidRPr="007E4736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>
              <w:rPr>
                <w:rFonts w:cs="Arial"/>
                <w:color w:val="000000" w:themeColor="text1"/>
                <w:szCs w:val="19"/>
                <w:lang w:val="en-GB"/>
              </w:rPr>
              <w:t>118.</w:t>
            </w:r>
            <w:r w:rsidR="009A4851" w:rsidRPr="007E4736">
              <w:rPr>
                <w:rFonts w:cs="Arial"/>
                <w:color w:val="000000" w:themeColor="text1"/>
                <w:szCs w:val="19"/>
                <w:lang w:val="en-GB"/>
              </w:rPr>
              <w:t>4</w:t>
            </w:r>
          </w:p>
        </w:tc>
        <w:tc>
          <w:tcPr>
            <w:tcW w:w="1369" w:type="dxa"/>
            <w:tcBorders>
              <w:right w:val="nil"/>
            </w:tcBorders>
          </w:tcPr>
          <w:p w14:paraId="647E0332" w14:textId="77777777" w:rsidR="009A4851" w:rsidRPr="007E4736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7E4736">
              <w:rPr>
                <w:rFonts w:cs="Arial"/>
                <w:color w:val="000000" w:themeColor="text1"/>
                <w:szCs w:val="19"/>
                <w:lang w:val="en-GB"/>
              </w:rPr>
              <w:t>14 204</w:t>
            </w:r>
          </w:p>
        </w:tc>
        <w:tc>
          <w:tcPr>
            <w:tcW w:w="982" w:type="dxa"/>
            <w:tcBorders>
              <w:right w:val="nil"/>
            </w:tcBorders>
          </w:tcPr>
          <w:p w14:paraId="514D86C1" w14:textId="13E8C95C" w:rsidR="009A4851" w:rsidRPr="007E4736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>
              <w:rPr>
                <w:rFonts w:cs="Arial"/>
                <w:color w:val="000000" w:themeColor="text1"/>
                <w:szCs w:val="19"/>
                <w:lang w:val="en-GB"/>
              </w:rPr>
              <w:t>83.</w:t>
            </w:r>
            <w:r w:rsidR="009A4851" w:rsidRPr="007E4736">
              <w:rPr>
                <w:rFonts w:cs="Arial"/>
                <w:color w:val="000000" w:themeColor="text1"/>
                <w:szCs w:val="19"/>
                <w:lang w:val="en-GB"/>
              </w:rPr>
              <w:t>8</w:t>
            </w:r>
          </w:p>
        </w:tc>
      </w:tr>
      <w:tr w:rsidR="00D216F9" w:rsidRPr="007E4736" w14:paraId="46C7F9F7" w14:textId="77777777" w:rsidTr="00D216F9">
        <w:trPr>
          <w:trHeight w:val="359"/>
        </w:trPr>
        <w:tc>
          <w:tcPr>
            <w:tcW w:w="2268" w:type="dxa"/>
            <w:vAlign w:val="center"/>
          </w:tcPr>
          <w:p w14:paraId="3A849100" w14:textId="243615BC" w:rsidR="009A4851" w:rsidRPr="007E4736" w:rsidRDefault="009A4851" w:rsidP="009A485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  <w:lang w:val="en-GB"/>
              </w:rPr>
            </w:pPr>
            <w:r w:rsidRPr="001D7052">
              <w:rPr>
                <w:rFonts w:eastAsiaTheme="majorEastAsia" w:cstheme="majorBidi"/>
                <w:color w:val="000000" w:themeColor="text1"/>
                <w:szCs w:val="19"/>
                <w:lang w:val="en-GB"/>
              </w:rPr>
              <w:t xml:space="preserve">For sale or rent </w:t>
            </w:r>
          </w:p>
        </w:tc>
        <w:tc>
          <w:tcPr>
            <w:tcW w:w="1418" w:type="dxa"/>
            <w:vAlign w:val="center"/>
          </w:tcPr>
          <w:p w14:paraId="0ABB7EE6" w14:textId="77777777" w:rsidR="009A4851" w:rsidRPr="007E4736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7E4736">
              <w:rPr>
                <w:rFonts w:cs="Arial"/>
                <w:color w:val="000000" w:themeColor="text1"/>
                <w:szCs w:val="19"/>
                <w:lang w:val="en-GB"/>
              </w:rPr>
              <w:t>17 512</w:t>
            </w:r>
          </w:p>
        </w:tc>
        <w:tc>
          <w:tcPr>
            <w:tcW w:w="990" w:type="dxa"/>
            <w:vAlign w:val="center"/>
          </w:tcPr>
          <w:p w14:paraId="5600057C" w14:textId="6D54DDC5" w:rsidR="009A4851" w:rsidRPr="007E4736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>
              <w:rPr>
                <w:rFonts w:cs="Arial"/>
                <w:color w:val="000000" w:themeColor="text1"/>
                <w:szCs w:val="19"/>
                <w:lang w:val="en-GB"/>
              </w:rPr>
              <w:t>96.</w:t>
            </w:r>
            <w:r w:rsidR="009A4851" w:rsidRPr="007E4736">
              <w:rPr>
                <w:rFonts w:cs="Arial"/>
                <w:color w:val="000000" w:themeColor="text1"/>
                <w:szCs w:val="19"/>
                <w:lang w:val="en-GB"/>
              </w:rPr>
              <w:t>1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59DF4E45" w14:textId="54380144" w:rsidR="009A4851" w:rsidRPr="007E4736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>
              <w:rPr>
                <w:rFonts w:cs="Arial"/>
                <w:color w:val="000000" w:themeColor="text1"/>
                <w:szCs w:val="19"/>
                <w:lang w:val="en-GB"/>
              </w:rPr>
              <w:t>112.</w:t>
            </w:r>
            <w:r w:rsidR="009A4851" w:rsidRPr="007E4736">
              <w:rPr>
                <w:rFonts w:cs="Arial"/>
                <w:color w:val="000000" w:themeColor="text1"/>
                <w:szCs w:val="19"/>
                <w:lang w:val="en-GB"/>
              </w:rPr>
              <w:t>3</w:t>
            </w:r>
          </w:p>
        </w:tc>
        <w:tc>
          <w:tcPr>
            <w:tcW w:w="1369" w:type="dxa"/>
            <w:tcBorders>
              <w:right w:val="nil"/>
            </w:tcBorders>
          </w:tcPr>
          <w:p w14:paraId="66CAA04E" w14:textId="77777777" w:rsidR="009A4851" w:rsidRPr="007E4736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7E4736">
              <w:rPr>
                <w:rFonts w:cs="Arial"/>
                <w:color w:val="000000" w:themeColor="text1"/>
                <w:szCs w:val="19"/>
                <w:lang w:val="en-GB"/>
              </w:rPr>
              <w:t>33 112</w:t>
            </w:r>
          </w:p>
        </w:tc>
        <w:tc>
          <w:tcPr>
            <w:tcW w:w="982" w:type="dxa"/>
            <w:tcBorders>
              <w:right w:val="nil"/>
            </w:tcBorders>
          </w:tcPr>
          <w:p w14:paraId="0674B81E" w14:textId="6866C587" w:rsidR="009A4851" w:rsidRPr="007E4736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>
              <w:rPr>
                <w:rFonts w:cs="Arial"/>
                <w:color w:val="000000" w:themeColor="text1"/>
                <w:szCs w:val="19"/>
                <w:lang w:val="en-GB"/>
              </w:rPr>
              <w:t>99.</w:t>
            </w:r>
            <w:r w:rsidR="009A4851" w:rsidRPr="007E4736">
              <w:rPr>
                <w:rFonts w:cs="Arial"/>
                <w:color w:val="000000" w:themeColor="text1"/>
                <w:szCs w:val="19"/>
                <w:lang w:val="en-GB"/>
              </w:rPr>
              <w:t>3</w:t>
            </w:r>
          </w:p>
        </w:tc>
      </w:tr>
      <w:tr w:rsidR="00D216F9" w:rsidRPr="009A4851" w14:paraId="35BFA825" w14:textId="77777777" w:rsidTr="00D216F9">
        <w:trPr>
          <w:trHeight w:val="376"/>
        </w:trPr>
        <w:tc>
          <w:tcPr>
            <w:tcW w:w="2268" w:type="dxa"/>
            <w:vAlign w:val="center"/>
          </w:tcPr>
          <w:p w14:paraId="00CD52E0" w14:textId="7279F439" w:rsidR="009A4851" w:rsidRPr="007E4736" w:rsidRDefault="009A4851" w:rsidP="009A4851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Cs w:val="19"/>
                <w:lang w:val="en-GB"/>
              </w:rPr>
            </w:pPr>
            <w:r w:rsidRPr="001D7052">
              <w:rPr>
                <w:rFonts w:cstheme="majorBidi"/>
                <w:color w:val="000000" w:themeColor="text1"/>
                <w:szCs w:val="19"/>
                <w:lang w:val="en-GB"/>
              </w:rPr>
              <w:t>Cooperative</w:t>
            </w:r>
          </w:p>
        </w:tc>
        <w:tc>
          <w:tcPr>
            <w:tcW w:w="1418" w:type="dxa"/>
            <w:vAlign w:val="center"/>
          </w:tcPr>
          <w:p w14:paraId="5FF0FC31" w14:textId="77777777" w:rsidR="009A4851" w:rsidRPr="007E4736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7E4736">
              <w:rPr>
                <w:rFonts w:cs="Arial"/>
                <w:color w:val="000000" w:themeColor="text1"/>
                <w:szCs w:val="19"/>
                <w:lang w:val="en-GB"/>
              </w:rPr>
              <w:t>15</w:t>
            </w:r>
          </w:p>
        </w:tc>
        <w:tc>
          <w:tcPr>
            <w:tcW w:w="990" w:type="dxa"/>
            <w:vAlign w:val="center"/>
          </w:tcPr>
          <w:p w14:paraId="3B07D312" w14:textId="0290BCC6" w:rsidR="009A4851" w:rsidRPr="007E4736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>
              <w:rPr>
                <w:rFonts w:cs="Arial"/>
                <w:color w:val="000000" w:themeColor="text1"/>
                <w:szCs w:val="19"/>
                <w:lang w:val="en-GB"/>
              </w:rPr>
              <w:t>12.</w:t>
            </w:r>
            <w:r w:rsidR="009A4851" w:rsidRPr="007E4736">
              <w:rPr>
                <w:rFonts w:cs="Arial"/>
                <w:color w:val="000000" w:themeColor="text1"/>
                <w:szCs w:val="19"/>
                <w:lang w:val="en-GB"/>
              </w:rPr>
              <w:t>3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363934BA" w14:textId="1D2D73E3" w:rsidR="009A4851" w:rsidRPr="009A4851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30.</w:t>
            </w:r>
            <w:r w:rsidR="009A4851" w:rsidRPr="009A4851">
              <w:rPr>
                <w:rFonts w:cs="Arial"/>
                <w:color w:val="000000" w:themeColor="text1"/>
                <w:szCs w:val="19"/>
              </w:rPr>
              <w:t>0</w:t>
            </w:r>
          </w:p>
        </w:tc>
        <w:tc>
          <w:tcPr>
            <w:tcW w:w="1369" w:type="dxa"/>
            <w:tcBorders>
              <w:right w:val="nil"/>
            </w:tcBorders>
          </w:tcPr>
          <w:p w14:paraId="4BA89F95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65</w:t>
            </w:r>
          </w:p>
        </w:tc>
        <w:tc>
          <w:tcPr>
            <w:tcW w:w="982" w:type="dxa"/>
            <w:tcBorders>
              <w:right w:val="nil"/>
            </w:tcBorders>
          </w:tcPr>
          <w:p w14:paraId="1EFEF311" w14:textId="24EE521D" w:rsidR="009A4851" w:rsidRPr="009A4851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33.</w:t>
            </w:r>
            <w:r w:rsidR="009A4851" w:rsidRPr="009A4851">
              <w:rPr>
                <w:rFonts w:cs="Arial"/>
                <w:color w:val="000000" w:themeColor="text1"/>
                <w:szCs w:val="19"/>
              </w:rPr>
              <w:t>0</w:t>
            </w:r>
          </w:p>
        </w:tc>
      </w:tr>
      <w:tr w:rsidR="00D216F9" w:rsidRPr="009A4851" w14:paraId="0015929B" w14:textId="77777777" w:rsidTr="00D216F9">
        <w:trPr>
          <w:trHeight w:val="53"/>
        </w:trPr>
        <w:tc>
          <w:tcPr>
            <w:tcW w:w="2268" w:type="dxa"/>
            <w:vAlign w:val="center"/>
          </w:tcPr>
          <w:p w14:paraId="14A26C89" w14:textId="1C5207BC" w:rsidR="009A4851" w:rsidRPr="009A4851" w:rsidRDefault="009A4851" w:rsidP="009A485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 w:rsidRPr="001D7052">
              <w:rPr>
                <w:rFonts w:eastAsiaTheme="majorEastAsia" w:cstheme="majorBidi"/>
                <w:iCs/>
                <w:color w:val="000000" w:themeColor="text1"/>
                <w:szCs w:val="19"/>
                <w:lang w:val="en-GB"/>
              </w:rPr>
              <w:t>Municipal</w:t>
            </w:r>
          </w:p>
        </w:tc>
        <w:tc>
          <w:tcPr>
            <w:tcW w:w="1418" w:type="dxa"/>
            <w:vAlign w:val="center"/>
          </w:tcPr>
          <w:p w14:paraId="362A761F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182</w:t>
            </w:r>
          </w:p>
        </w:tc>
        <w:tc>
          <w:tcPr>
            <w:tcW w:w="990" w:type="dxa"/>
            <w:vAlign w:val="center"/>
          </w:tcPr>
          <w:p w14:paraId="16025F80" w14:textId="28BB6099" w:rsidR="009A4851" w:rsidRPr="009A4851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171.</w:t>
            </w:r>
            <w:r w:rsidR="009A4851" w:rsidRPr="009A4851">
              <w:rPr>
                <w:rFonts w:cs="Arial"/>
                <w:color w:val="000000" w:themeColor="text1"/>
                <w:szCs w:val="19"/>
              </w:rPr>
              <w:t>7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74167BFA" w14:textId="3D905801" w:rsidR="009A4851" w:rsidRPr="009A4851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280.</w:t>
            </w:r>
            <w:r w:rsidR="009A4851" w:rsidRPr="009A4851">
              <w:rPr>
                <w:rFonts w:cs="Arial"/>
                <w:color w:val="000000" w:themeColor="text1"/>
                <w:szCs w:val="19"/>
              </w:rPr>
              <w:t>0</w:t>
            </w:r>
          </w:p>
        </w:tc>
        <w:tc>
          <w:tcPr>
            <w:tcW w:w="1369" w:type="dxa"/>
            <w:tcBorders>
              <w:right w:val="nil"/>
            </w:tcBorders>
          </w:tcPr>
          <w:p w14:paraId="1D9F14CB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247</w:t>
            </w:r>
          </w:p>
        </w:tc>
        <w:tc>
          <w:tcPr>
            <w:tcW w:w="982" w:type="dxa"/>
            <w:tcBorders>
              <w:right w:val="nil"/>
            </w:tcBorders>
          </w:tcPr>
          <w:p w14:paraId="7AED63AB" w14:textId="13D91DE6" w:rsidR="009A4851" w:rsidRPr="009A4851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184.</w:t>
            </w:r>
            <w:r w:rsidR="009A4851" w:rsidRPr="009A4851">
              <w:rPr>
                <w:rFonts w:cs="Arial"/>
                <w:color w:val="000000" w:themeColor="text1"/>
                <w:szCs w:val="19"/>
              </w:rPr>
              <w:t>3</w:t>
            </w:r>
          </w:p>
        </w:tc>
      </w:tr>
      <w:tr w:rsidR="00D216F9" w:rsidRPr="009A4851" w14:paraId="3AD83B84" w14:textId="77777777" w:rsidTr="00D216F9">
        <w:trPr>
          <w:trHeight w:val="328"/>
        </w:trPr>
        <w:tc>
          <w:tcPr>
            <w:tcW w:w="2268" w:type="dxa"/>
            <w:vAlign w:val="center"/>
          </w:tcPr>
          <w:p w14:paraId="56A604F8" w14:textId="113102C4" w:rsidR="009A4851" w:rsidRPr="009A4851" w:rsidRDefault="009A4851" w:rsidP="009A485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 w:rsidRPr="001D7052">
              <w:rPr>
                <w:rFonts w:eastAsiaTheme="majorEastAsia" w:cstheme="majorBidi"/>
                <w:iCs/>
                <w:color w:val="000000" w:themeColor="text1"/>
                <w:szCs w:val="19"/>
                <w:lang w:val="en-GB"/>
              </w:rPr>
              <w:t>Public building society</w:t>
            </w:r>
          </w:p>
        </w:tc>
        <w:tc>
          <w:tcPr>
            <w:tcW w:w="1418" w:type="dxa"/>
            <w:vAlign w:val="center"/>
          </w:tcPr>
          <w:p w14:paraId="3A1994EF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112</w:t>
            </w:r>
          </w:p>
        </w:tc>
        <w:tc>
          <w:tcPr>
            <w:tcW w:w="990" w:type="dxa"/>
            <w:vAlign w:val="center"/>
          </w:tcPr>
          <w:p w14:paraId="02735917" w14:textId="5F1CE8C8" w:rsidR="009A4851" w:rsidRPr="009A4851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203.</w:t>
            </w:r>
            <w:r w:rsidR="009A4851" w:rsidRPr="009A4851">
              <w:rPr>
                <w:rFonts w:cs="Arial"/>
                <w:color w:val="000000" w:themeColor="text1"/>
                <w:szCs w:val="19"/>
              </w:rPr>
              <w:t>6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1E2D66AE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.</w:t>
            </w:r>
          </w:p>
        </w:tc>
        <w:tc>
          <w:tcPr>
            <w:tcW w:w="1369" w:type="dxa"/>
            <w:tcBorders>
              <w:right w:val="nil"/>
            </w:tcBorders>
          </w:tcPr>
          <w:p w14:paraId="4EC8D1D7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112</w:t>
            </w:r>
          </w:p>
        </w:tc>
        <w:tc>
          <w:tcPr>
            <w:tcW w:w="982" w:type="dxa"/>
            <w:tcBorders>
              <w:right w:val="nil"/>
            </w:tcBorders>
          </w:tcPr>
          <w:p w14:paraId="09271188" w14:textId="121A7D75" w:rsidR="009A4851" w:rsidRPr="009A4851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160.</w:t>
            </w:r>
            <w:r w:rsidR="009A4851" w:rsidRPr="009A4851">
              <w:rPr>
                <w:rFonts w:cs="Arial"/>
                <w:color w:val="000000" w:themeColor="text1"/>
                <w:szCs w:val="19"/>
              </w:rPr>
              <w:t>0</w:t>
            </w:r>
          </w:p>
        </w:tc>
      </w:tr>
      <w:tr w:rsidR="00D216F9" w:rsidRPr="009A4851" w14:paraId="20CDE87C" w14:textId="77777777" w:rsidTr="00D216F9">
        <w:trPr>
          <w:trHeight w:val="53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46FF7C5" w14:textId="6440DEAF" w:rsidR="009A4851" w:rsidRPr="009A4851" w:rsidRDefault="009A4851" w:rsidP="009A485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>
              <w:rPr>
                <w:rFonts w:eastAsiaTheme="majorEastAsia" w:cstheme="majorBidi"/>
                <w:iCs/>
                <w:color w:val="000000" w:themeColor="text1"/>
                <w:szCs w:val="19"/>
              </w:rPr>
              <w:t>Company</w:t>
            </w:r>
          </w:p>
        </w:tc>
        <w:tc>
          <w:tcPr>
            <w:tcW w:w="1418" w:type="dxa"/>
            <w:tcBorders>
              <w:bottom w:val="single" w:sz="4" w:space="0" w:color="212492"/>
            </w:tcBorders>
            <w:vAlign w:val="center"/>
          </w:tcPr>
          <w:p w14:paraId="2680F89D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2</w:t>
            </w:r>
          </w:p>
        </w:tc>
        <w:tc>
          <w:tcPr>
            <w:tcW w:w="990" w:type="dxa"/>
            <w:tcBorders>
              <w:bottom w:val="single" w:sz="4" w:space="0" w:color="212492"/>
            </w:tcBorders>
            <w:vAlign w:val="center"/>
          </w:tcPr>
          <w:p w14:paraId="3CCE73C8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.</w:t>
            </w:r>
          </w:p>
        </w:tc>
        <w:tc>
          <w:tcPr>
            <w:tcW w:w="994" w:type="dxa"/>
            <w:tcBorders>
              <w:bottom w:val="single" w:sz="4" w:space="0" w:color="212492"/>
              <w:right w:val="nil"/>
            </w:tcBorders>
            <w:vAlign w:val="center"/>
          </w:tcPr>
          <w:p w14:paraId="573C83D7" w14:textId="6C48B27E" w:rsidR="009A4851" w:rsidRPr="009A4851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200.</w:t>
            </w:r>
            <w:r w:rsidR="009A4851" w:rsidRPr="009A4851">
              <w:rPr>
                <w:rFonts w:cs="Arial"/>
                <w:color w:val="000000" w:themeColor="text1"/>
                <w:szCs w:val="19"/>
              </w:rPr>
              <w:t>0</w:t>
            </w:r>
          </w:p>
        </w:tc>
        <w:tc>
          <w:tcPr>
            <w:tcW w:w="1369" w:type="dxa"/>
            <w:tcBorders>
              <w:bottom w:val="single" w:sz="4" w:space="0" w:color="212492"/>
              <w:right w:val="nil"/>
            </w:tcBorders>
          </w:tcPr>
          <w:p w14:paraId="479AB42F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3</w:t>
            </w:r>
          </w:p>
        </w:tc>
        <w:tc>
          <w:tcPr>
            <w:tcW w:w="982" w:type="dxa"/>
            <w:tcBorders>
              <w:bottom w:val="single" w:sz="4" w:space="0" w:color="212492"/>
              <w:right w:val="nil"/>
            </w:tcBorders>
          </w:tcPr>
          <w:p w14:paraId="14FF4A31" w14:textId="7C0A6B93" w:rsidR="009A4851" w:rsidRPr="009A4851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150.</w:t>
            </w:r>
            <w:r w:rsidR="009A4851" w:rsidRPr="009A4851">
              <w:rPr>
                <w:rFonts w:cs="Arial"/>
                <w:color w:val="000000" w:themeColor="text1"/>
                <w:szCs w:val="19"/>
              </w:rPr>
              <w:t>0</w:t>
            </w:r>
          </w:p>
        </w:tc>
      </w:tr>
    </w:tbl>
    <w:p w14:paraId="2230FC6A" w14:textId="77777777" w:rsidR="00896EB9" w:rsidRPr="004829B9" w:rsidRDefault="00896EB9" w:rsidP="007E02D8">
      <w:pPr>
        <w:pStyle w:val="tytuwykresu"/>
        <w:spacing w:before="0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14:paraId="3A8AA2D4" w14:textId="77777777" w:rsidR="00896EB9" w:rsidRPr="006D194B" w:rsidRDefault="00896EB9" w:rsidP="00E55DC7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739580B8" w14:textId="413DBE52" w:rsidR="00095A18" w:rsidRPr="004829B9" w:rsidRDefault="002034A6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From the begging of the year till the end of February</w:t>
      </w:r>
      <w:r w:rsidR="00F26939">
        <w:rPr>
          <w:b w:val="0"/>
          <w:sz w:val="19"/>
          <w:szCs w:val="19"/>
          <w:shd w:val="clear" w:color="auto" w:fill="FFFFFF"/>
          <w:lang w:val="en-GB"/>
        </w:rPr>
        <w:t xml:space="preserve"> 2022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BD1D77" w:rsidRPr="004829B9">
        <w:rPr>
          <w:b w:val="0"/>
          <w:sz w:val="19"/>
          <w:szCs w:val="19"/>
          <w:shd w:val="clear" w:color="auto" w:fill="FFFFFF"/>
          <w:lang w:val="en-GB"/>
        </w:rPr>
        <w:t xml:space="preserve"> t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 w:rsidRPr="004829B9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6A4AA8">
        <w:rPr>
          <w:b w:val="0"/>
          <w:sz w:val="19"/>
          <w:szCs w:val="19"/>
          <w:shd w:val="clear" w:color="auto" w:fill="FFFFFF"/>
          <w:lang w:val="en-GB"/>
        </w:rPr>
        <w:t>29.7</w:t>
      </w:r>
      <w:r w:rsidR="004A3A9A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6A4AA8">
        <w:rPr>
          <w:b w:val="0"/>
          <w:sz w:val="19"/>
          <w:szCs w:val="19"/>
          <w:shd w:val="clear" w:color="auto" w:fill="FFFFFF"/>
          <w:lang w:val="en-GB"/>
        </w:rPr>
        <w:t>, i.e. by 11.6</w:t>
      </w:r>
      <w:r w:rsidR="00856FE3" w:rsidRPr="004829B9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26939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D76E73" w:rsidRPr="004829B9">
        <w:rPr>
          <w:lang w:val="en-GB"/>
        </w:rPr>
        <w:t xml:space="preserve"> 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a year ago</w:t>
      </w:r>
      <w:r w:rsidR="00B2646D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4829B9">
        <w:rPr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evelopers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have started construction of </w:t>
      </w:r>
      <w:r w:rsidR="006A4AA8">
        <w:rPr>
          <w:b w:val="0"/>
          <w:sz w:val="19"/>
          <w:szCs w:val="19"/>
          <w:shd w:val="clear" w:color="auto" w:fill="FFFFFF"/>
          <w:lang w:val="en-GB"/>
        </w:rPr>
        <w:t>18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6A4AA8">
        <w:rPr>
          <w:b w:val="0"/>
          <w:sz w:val="19"/>
          <w:szCs w:val="19"/>
          <w:shd w:val="clear" w:color="auto" w:fill="FFFFFF"/>
          <w:lang w:val="en-GB"/>
        </w:rPr>
        <w:t>7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6A4AA8">
        <w:rPr>
          <w:b w:val="0"/>
          <w:sz w:val="19"/>
          <w:szCs w:val="19"/>
          <w:shd w:val="clear" w:color="auto" w:fill="FFFFFF"/>
          <w:lang w:val="en-GB"/>
        </w:rPr>
        <w:t>16</w:t>
      </w:r>
      <w:r w:rsidR="00954347">
        <w:rPr>
          <w:b w:val="0"/>
          <w:sz w:val="19"/>
          <w:szCs w:val="19"/>
          <w:shd w:val="clear" w:color="auto" w:fill="FFFFFF"/>
          <w:lang w:val="en-GB"/>
        </w:rPr>
        <w:t>.</w:t>
      </w:r>
      <w:r w:rsidR="006A4AA8">
        <w:rPr>
          <w:b w:val="0"/>
          <w:sz w:val="19"/>
          <w:szCs w:val="19"/>
          <w:shd w:val="clear" w:color="auto" w:fill="FFFFFF"/>
          <w:lang w:val="en-GB"/>
        </w:rPr>
        <w:t>4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private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investors </w:t>
      </w:r>
      <w:r w:rsidR="00F342E0" w:rsidRPr="004829B9">
        <w:rPr>
          <w:b w:val="0"/>
          <w:sz w:val="19"/>
          <w:szCs w:val="19"/>
          <w:shd w:val="clear" w:color="auto" w:fill="FFFFFF"/>
          <w:lang w:val="en-GB"/>
        </w:rPr>
        <w:t>of </w:t>
      </w:r>
      <w:r w:rsidR="006A4AA8">
        <w:rPr>
          <w:b w:val="0"/>
          <w:sz w:val="19"/>
          <w:szCs w:val="19"/>
          <w:shd w:val="clear" w:color="auto" w:fill="FFFFFF"/>
          <w:lang w:val="en-GB"/>
        </w:rPr>
        <w:t>10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6A4AA8">
        <w:rPr>
          <w:b w:val="0"/>
          <w:sz w:val="19"/>
          <w:szCs w:val="19"/>
          <w:shd w:val="clear" w:color="auto" w:fill="FFFFFF"/>
          <w:lang w:val="en-GB"/>
        </w:rPr>
        <w:t>6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71658F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A4AA8">
        <w:rPr>
          <w:b w:val="0"/>
          <w:sz w:val="19"/>
          <w:szCs w:val="19"/>
          <w:shd w:val="clear" w:color="auto" w:fill="FFFFFF"/>
          <w:lang w:val="en-GB"/>
        </w:rPr>
        <w:t>(by 3.7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6A4AA8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). A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ltogether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the share of these forms of construction</w:t>
      </w:r>
      <w:r w:rsidR="0046238A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was</w:t>
      </w:r>
      <w:r w:rsidR="00133F23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A4AA8">
        <w:rPr>
          <w:b w:val="0"/>
          <w:sz w:val="19"/>
          <w:szCs w:val="19"/>
          <w:shd w:val="clear" w:color="auto" w:fill="FFFFFF"/>
          <w:lang w:val="en-GB"/>
        </w:rPr>
        <w:t>98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6A4AA8">
        <w:rPr>
          <w:b w:val="0"/>
          <w:sz w:val="19"/>
          <w:szCs w:val="19"/>
          <w:shd w:val="clear" w:color="auto" w:fill="FFFFFF"/>
          <w:lang w:val="en-GB"/>
        </w:rPr>
        <w:t>5</w:t>
      </w:r>
      <w:r w:rsidR="00B77EC9" w:rsidRPr="00314007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of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the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total number of dwellings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</w:t>
      </w:r>
      <w:r w:rsidR="00B77062" w:rsidRPr="004829B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497FB5" w:rsidRPr="00497FB5">
        <w:rPr>
          <w:sz w:val="19"/>
          <w:szCs w:val="19"/>
          <w:shd w:val="clear" w:color="auto" w:fill="FFFFFF"/>
          <w:lang w:val="en-GB"/>
        </w:rPr>
        <w:t xml:space="preserve">other forms </w:t>
      </w:r>
      <w:r w:rsidR="00497FB5" w:rsidRPr="00497FB5">
        <w:rPr>
          <w:b w:val="0"/>
          <w:sz w:val="19"/>
          <w:szCs w:val="19"/>
          <w:shd w:val="clear" w:color="auto" w:fill="FFFFFF"/>
          <w:lang w:val="en-GB"/>
        </w:rPr>
        <w:t>of</w:t>
      </w:r>
      <w:r w:rsidR="00497FB5">
        <w:rPr>
          <w:sz w:val="19"/>
          <w:szCs w:val="19"/>
          <w:shd w:val="clear" w:color="auto" w:fill="FFFFFF"/>
          <w:lang w:val="en-GB"/>
        </w:rPr>
        <w:t xml:space="preserve"> </w:t>
      </w:r>
      <w:r w:rsidR="00B77062" w:rsidRPr="004829B9">
        <w:rPr>
          <w:b w:val="0"/>
          <w:sz w:val="19"/>
          <w:szCs w:val="19"/>
          <w:shd w:val="clear" w:color="auto" w:fill="FFFFFF"/>
          <w:lang w:val="en-GB"/>
        </w:rPr>
        <w:t xml:space="preserve">construction </w:t>
      </w:r>
      <w:r w:rsidR="00B77062" w:rsidRPr="00B77062">
        <w:rPr>
          <w:b w:val="0"/>
          <w:sz w:val="19"/>
          <w:szCs w:val="19"/>
          <w:shd w:val="clear" w:color="auto" w:fill="FFFFFF"/>
          <w:lang w:val="en-GB"/>
        </w:rPr>
        <w:t xml:space="preserve">the number of dwellings in which construction has begun was </w:t>
      </w:r>
      <w:r w:rsidR="006A4AA8">
        <w:rPr>
          <w:b w:val="0"/>
          <w:sz w:val="19"/>
          <w:szCs w:val="19"/>
          <w:shd w:val="clear" w:color="auto" w:fill="FFFFFF"/>
          <w:lang w:val="en-GB"/>
        </w:rPr>
        <w:t>444</w:t>
      </w:r>
      <w:r w:rsidR="003B4D4B" w:rsidRPr="003B4D4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6A4AA8">
        <w:rPr>
          <w:b w:val="0"/>
          <w:sz w:val="19"/>
          <w:szCs w:val="19"/>
          <w:shd w:val="clear" w:color="auto" w:fill="FFFFFF"/>
          <w:lang w:val="en-GB"/>
        </w:rPr>
        <w:t>1</w:t>
      </w:r>
      <w:r w:rsidR="001C4A4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A4AA8">
        <w:rPr>
          <w:b w:val="0"/>
          <w:sz w:val="19"/>
          <w:szCs w:val="19"/>
          <w:shd w:val="clear" w:color="auto" w:fill="FFFFFF"/>
          <w:lang w:val="en-GB"/>
        </w:rPr>
        <w:t>053</w:t>
      </w:r>
      <w:r w:rsidR="00BB44BD" w:rsidRPr="00BB44B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in the previous year</w:t>
      </w:r>
      <w:r w:rsidR="00677574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497FB5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398571FB" w14:textId="35569DC3" w:rsidR="00E26291" w:rsidRPr="007E02D8" w:rsidRDefault="00B4601E" w:rsidP="007207E6">
      <w:pPr>
        <w:pStyle w:val="tytuwykresu"/>
        <w:rPr>
          <w:sz w:val="19"/>
          <w:szCs w:val="19"/>
          <w:shd w:val="clear" w:color="auto" w:fill="FFFFFF"/>
          <w:lang w:val="en-GB"/>
        </w:rPr>
      </w:pPr>
      <w:r w:rsidRPr="007E02D8">
        <w:rPr>
          <w:bCs/>
          <w:sz w:val="19"/>
          <w:szCs w:val="19"/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3"/>
        <w:tblpPr w:leftFromText="141" w:rightFromText="141" w:vertAnchor="text" w:horzAnchor="margin" w:tblpY="98"/>
        <w:tblW w:w="8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2268"/>
        <w:gridCol w:w="1276"/>
        <w:gridCol w:w="992"/>
        <w:gridCol w:w="1134"/>
        <w:gridCol w:w="1276"/>
        <w:gridCol w:w="1220"/>
      </w:tblGrid>
      <w:tr w:rsidR="009A4851" w:rsidRPr="009A4851" w14:paraId="05C8F68F" w14:textId="77777777" w:rsidTr="002040E0">
        <w:trPr>
          <w:trHeight w:val="24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762BC9A9" w14:textId="5146E145" w:rsidR="009A4851" w:rsidRPr="009A4851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</w:pPr>
            <w:r w:rsidRPr="009A4851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08E44FE9" w14:textId="77777777" w:rsidR="009A4851" w:rsidRPr="009A4851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9A4851">
              <w:rPr>
                <w:color w:val="000000" w:themeColor="text1"/>
                <w:szCs w:val="19"/>
              </w:rPr>
              <w:t>02 2022</w:t>
            </w:r>
          </w:p>
        </w:tc>
        <w:tc>
          <w:tcPr>
            <w:tcW w:w="2496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39DA4655" w14:textId="77777777" w:rsidR="009A4851" w:rsidRPr="009A4851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9A4851">
              <w:rPr>
                <w:color w:val="000000" w:themeColor="text1"/>
                <w:szCs w:val="19"/>
              </w:rPr>
              <w:t>01-02 2022</w:t>
            </w:r>
          </w:p>
        </w:tc>
      </w:tr>
      <w:tr w:rsidR="009A4851" w:rsidRPr="009A4851" w14:paraId="489BFE3C" w14:textId="77777777" w:rsidTr="00592EC6">
        <w:trPr>
          <w:trHeight w:val="314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09A790F6" w14:textId="77777777" w:rsidR="009A4851" w:rsidRPr="009A4851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C70EC01" w14:textId="5CC9EB01" w:rsidR="009A4851" w:rsidRPr="009A4851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9A4851">
              <w:rPr>
                <w:color w:val="000000" w:themeColor="text1"/>
                <w:szCs w:val="19"/>
              </w:rPr>
              <w:t xml:space="preserve">Number </w:t>
            </w:r>
            <w:r w:rsidRPr="009A4851">
              <w:rPr>
                <w:color w:val="000000" w:themeColor="text1"/>
                <w:szCs w:val="19"/>
              </w:rPr>
              <w:br/>
              <w:t>of dwellings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131ADCE0" w14:textId="15C72E5A" w:rsidR="009A4851" w:rsidRPr="009A4851" w:rsidRDefault="007C2881" w:rsidP="009A4851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02 2021</w:t>
            </w:r>
            <w:r w:rsidR="009A4851" w:rsidRPr="009A4851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08983041" w14:textId="77777777" w:rsidR="009A4851" w:rsidRPr="009A4851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9A4851">
              <w:rPr>
                <w:color w:val="000000" w:themeColor="text1"/>
                <w:szCs w:val="19"/>
              </w:rPr>
              <w:t>01 2022=100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517FEDE7" w14:textId="081B4643" w:rsidR="009A4851" w:rsidRPr="009A4851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9A4851">
              <w:rPr>
                <w:color w:val="000000" w:themeColor="text1"/>
                <w:szCs w:val="19"/>
              </w:rPr>
              <w:t xml:space="preserve">Number </w:t>
            </w:r>
            <w:r w:rsidRPr="009A4851">
              <w:rPr>
                <w:color w:val="000000" w:themeColor="text1"/>
                <w:szCs w:val="19"/>
              </w:rPr>
              <w:br/>
              <w:t>of dwellings</w:t>
            </w:r>
          </w:p>
        </w:tc>
        <w:tc>
          <w:tcPr>
            <w:tcW w:w="1220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33D68AEA" w14:textId="77777777" w:rsidR="009A4851" w:rsidRPr="009A4851" w:rsidRDefault="009A4851" w:rsidP="009A4851">
            <w:pPr>
              <w:spacing w:before="0" w:after="0" w:line="240" w:lineRule="auto"/>
              <w:jc w:val="center"/>
              <w:rPr>
                <w:color w:val="000000" w:themeColor="text1"/>
                <w:szCs w:val="19"/>
              </w:rPr>
            </w:pPr>
            <w:r w:rsidRPr="009A4851">
              <w:rPr>
                <w:color w:val="000000" w:themeColor="text1"/>
                <w:szCs w:val="19"/>
              </w:rPr>
              <w:t xml:space="preserve">01-02 </w:t>
            </w:r>
            <w:r w:rsidRPr="009A4851">
              <w:rPr>
                <w:color w:val="000000" w:themeColor="text1"/>
                <w:szCs w:val="19"/>
              </w:rPr>
              <w:br/>
              <w:t>2021=100</w:t>
            </w:r>
          </w:p>
        </w:tc>
      </w:tr>
      <w:tr w:rsidR="00D216F9" w:rsidRPr="009A4851" w14:paraId="77437A33" w14:textId="77777777" w:rsidTr="00592EC6">
        <w:trPr>
          <w:trHeight w:val="74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23752BB9" w14:textId="2BFD9BDC" w:rsidR="009A4851" w:rsidRPr="009A4851" w:rsidRDefault="009A4851" w:rsidP="009A485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Cs w:val="19"/>
              </w:rPr>
            </w:pPr>
            <w:r w:rsidRPr="001D7052">
              <w:rPr>
                <w:b/>
                <w:color w:val="000000" w:themeColor="text1"/>
                <w:szCs w:val="19"/>
                <w:lang w:val="en-GB"/>
              </w:rPr>
              <w:t>TOTAL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611B2F92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b/>
                <w:color w:val="000000" w:themeColor="text1"/>
                <w:szCs w:val="19"/>
              </w:rPr>
            </w:pPr>
            <w:r w:rsidRPr="009A4851">
              <w:rPr>
                <w:rFonts w:cs="Arial"/>
                <w:b/>
                <w:color w:val="000000" w:themeColor="text1"/>
                <w:szCs w:val="19"/>
              </w:rPr>
              <w:t>17 855</w:t>
            </w:r>
          </w:p>
        </w:tc>
        <w:tc>
          <w:tcPr>
            <w:tcW w:w="992" w:type="dxa"/>
            <w:tcBorders>
              <w:top w:val="single" w:sz="12" w:space="0" w:color="212492"/>
            </w:tcBorders>
            <w:vAlign w:val="center"/>
          </w:tcPr>
          <w:p w14:paraId="6AFCEC4C" w14:textId="1214F114" w:rsidR="009A4851" w:rsidRPr="009A4851" w:rsidRDefault="007E4736" w:rsidP="009A4851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  <w:t>110.</w:t>
            </w:r>
            <w:r w:rsidR="009A4851" w:rsidRPr="009A4851"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04020DE8" w14:textId="4F027371" w:rsidR="009A4851" w:rsidRPr="009A4851" w:rsidRDefault="007E4736" w:rsidP="009A4851">
            <w:pPr>
              <w:spacing w:after="0"/>
              <w:jc w:val="right"/>
              <w:rPr>
                <w:rFonts w:cs="Arial"/>
                <w:b/>
                <w:color w:val="000000" w:themeColor="text1"/>
                <w:szCs w:val="19"/>
              </w:rPr>
            </w:pPr>
            <w:r>
              <w:rPr>
                <w:rFonts w:cs="Arial"/>
                <w:b/>
                <w:color w:val="000000" w:themeColor="text1"/>
                <w:szCs w:val="19"/>
              </w:rPr>
              <w:t>151.</w:t>
            </w:r>
            <w:r w:rsidR="009A4851" w:rsidRPr="009A4851">
              <w:rPr>
                <w:rFonts w:cs="Arial"/>
                <w:b/>
                <w:color w:val="000000" w:themeColor="text1"/>
                <w:szCs w:val="19"/>
              </w:rPr>
              <w:t>3</w:t>
            </w:r>
          </w:p>
        </w:tc>
        <w:tc>
          <w:tcPr>
            <w:tcW w:w="1276" w:type="dxa"/>
            <w:tcBorders>
              <w:top w:val="single" w:sz="12" w:space="0" w:color="212492"/>
              <w:right w:val="nil"/>
            </w:tcBorders>
            <w:vAlign w:val="center"/>
          </w:tcPr>
          <w:p w14:paraId="5DDC3F24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b/>
                <w:color w:val="000000" w:themeColor="text1"/>
                <w:szCs w:val="19"/>
              </w:rPr>
            </w:pPr>
            <w:r w:rsidRPr="009A4851">
              <w:rPr>
                <w:rFonts w:cs="Arial"/>
                <w:b/>
                <w:color w:val="000000" w:themeColor="text1"/>
                <w:szCs w:val="19"/>
              </w:rPr>
              <w:t>29 655</w:t>
            </w:r>
          </w:p>
        </w:tc>
        <w:tc>
          <w:tcPr>
            <w:tcW w:w="1220" w:type="dxa"/>
            <w:tcBorders>
              <w:top w:val="single" w:sz="12" w:space="0" w:color="212492"/>
              <w:right w:val="nil"/>
            </w:tcBorders>
            <w:vAlign w:val="center"/>
          </w:tcPr>
          <w:p w14:paraId="656F3B51" w14:textId="4D7C31BB" w:rsidR="009A4851" w:rsidRPr="009A4851" w:rsidRDefault="007E4736" w:rsidP="009A4851">
            <w:pPr>
              <w:spacing w:after="0"/>
              <w:jc w:val="right"/>
              <w:rPr>
                <w:rFonts w:cs="Arial"/>
                <w:b/>
                <w:color w:val="000000" w:themeColor="text1"/>
                <w:szCs w:val="19"/>
              </w:rPr>
            </w:pPr>
            <w:r>
              <w:rPr>
                <w:rFonts w:cs="Arial"/>
                <w:b/>
                <w:color w:val="000000" w:themeColor="text1"/>
                <w:szCs w:val="19"/>
              </w:rPr>
              <w:t>88.</w:t>
            </w:r>
            <w:r w:rsidR="009A4851" w:rsidRPr="009A4851">
              <w:rPr>
                <w:rFonts w:cs="Arial"/>
                <w:b/>
                <w:color w:val="000000" w:themeColor="text1"/>
                <w:szCs w:val="19"/>
              </w:rPr>
              <w:t>4</w:t>
            </w:r>
          </w:p>
        </w:tc>
      </w:tr>
      <w:tr w:rsidR="00D216F9" w:rsidRPr="007E4736" w14:paraId="0A3795FF" w14:textId="77777777" w:rsidTr="00592EC6">
        <w:trPr>
          <w:trHeight w:val="220"/>
        </w:trPr>
        <w:tc>
          <w:tcPr>
            <w:tcW w:w="2268" w:type="dxa"/>
            <w:vAlign w:val="center"/>
          </w:tcPr>
          <w:p w14:paraId="72B3E651" w14:textId="32B606C3" w:rsidR="009A4851" w:rsidRPr="009A4851" w:rsidRDefault="009A4851" w:rsidP="009A485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1D7052">
              <w:rPr>
                <w:rFonts w:eastAsiaTheme="majorEastAsia" w:cstheme="majorBidi"/>
                <w:color w:val="000000" w:themeColor="text1"/>
                <w:szCs w:val="19"/>
                <w:lang w:val="en-GB"/>
              </w:rPr>
              <w:t>Private</w:t>
            </w:r>
          </w:p>
        </w:tc>
        <w:tc>
          <w:tcPr>
            <w:tcW w:w="1276" w:type="dxa"/>
            <w:vAlign w:val="center"/>
          </w:tcPr>
          <w:p w14:paraId="7A97B1ED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6 202</w:t>
            </w:r>
          </w:p>
        </w:tc>
        <w:tc>
          <w:tcPr>
            <w:tcW w:w="992" w:type="dxa"/>
            <w:vAlign w:val="center"/>
          </w:tcPr>
          <w:p w14:paraId="2891BEB8" w14:textId="642BEADE" w:rsidR="009A4851" w:rsidRPr="007E4736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114</w:t>
            </w:r>
            <w:r w:rsidR="007E4736">
              <w:rPr>
                <w:rFonts w:cs="Arial"/>
                <w:color w:val="000000" w:themeColor="text1"/>
                <w:szCs w:val="19"/>
                <w:lang w:val="en-GB"/>
              </w:rPr>
              <w:t>.</w:t>
            </w:r>
            <w:r w:rsidRPr="007E4736">
              <w:rPr>
                <w:rFonts w:cs="Arial"/>
                <w:color w:val="000000" w:themeColor="text1"/>
                <w:szCs w:val="19"/>
                <w:lang w:val="en-GB"/>
              </w:rPr>
              <w:t>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A4E68CA" w14:textId="3E2DAE7B" w:rsidR="009A4851" w:rsidRPr="007E4736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>
              <w:rPr>
                <w:rFonts w:cs="Arial"/>
                <w:color w:val="000000" w:themeColor="text1"/>
                <w:szCs w:val="19"/>
                <w:lang w:val="en-GB"/>
              </w:rPr>
              <w:t>142.</w:t>
            </w:r>
            <w:r w:rsidR="009A4851" w:rsidRPr="007E4736">
              <w:rPr>
                <w:rFonts w:cs="Arial"/>
                <w:color w:val="000000" w:themeColor="text1"/>
                <w:szCs w:val="19"/>
                <w:lang w:val="en-GB"/>
              </w:rPr>
              <w:t>6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2D170652" w14:textId="77777777" w:rsidR="009A4851" w:rsidRPr="007E4736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7E4736">
              <w:rPr>
                <w:rFonts w:cs="Arial"/>
                <w:color w:val="000000" w:themeColor="text1"/>
                <w:szCs w:val="19"/>
                <w:lang w:val="en-GB"/>
              </w:rPr>
              <w:t>10 551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675A31DB" w14:textId="3414CD4B" w:rsidR="009A4851" w:rsidRPr="007E4736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7E4736">
              <w:rPr>
                <w:rFonts w:cs="Arial"/>
                <w:color w:val="000000" w:themeColor="text1"/>
                <w:szCs w:val="19"/>
                <w:lang w:val="en-GB"/>
              </w:rPr>
              <w:t>103</w:t>
            </w:r>
            <w:r w:rsidR="007E4736">
              <w:rPr>
                <w:rFonts w:cs="Arial"/>
                <w:color w:val="000000" w:themeColor="text1"/>
                <w:szCs w:val="19"/>
                <w:lang w:val="en-GB"/>
              </w:rPr>
              <w:t>.</w:t>
            </w:r>
            <w:r w:rsidRPr="007E4736">
              <w:rPr>
                <w:rFonts w:cs="Arial"/>
                <w:color w:val="000000" w:themeColor="text1"/>
                <w:szCs w:val="19"/>
                <w:lang w:val="en-GB"/>
              </w:rPr>
              <w:t>7</w:t>
            </w:r>
          </w:p>
        </w:tc>
      </w:tr>
      <w:tr w:rsidR="00D216F9" w:rsidRPr="007E4736" w14:paraId="05612C2F" w14:textId="77777777" w:rsidTr="00592EC6">
        <w:trPr>
          <w:trHeight w:val="220"/>
        </w:trPr>
        <w:tc>
          <w:tcPr>
            <w:tcW w:w="2268" w:type="dxa"/>
            <w:vAlign w:val="center"/>
          </w:tcPr>
          <w:p w14:paraId="11821FA5" w14:textId="64B94D49" w:rsidR="009A4851" w:rsidRPr="007E4736" w:rsidRDefault="009A4851" w:rsidP="009A485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  <w:lang w:val="en-GB"/>
              </w:rPr>
            </w:pPr>
            <w:r w:rsidRPr="001D7052">
              <w:rPr>
                <w:rFonts w:eastAsiaTheme="majorEastAsia" w:cstheme="majorBidi"/>
                <w:color w:val="000000" w:themeColor="text1"/>
                <w:szCs w:val="19"/>
                <w:lang w:val="en-GB"/>
              </w:rPr>
              <w:t xml:space="preserve">For sale or rent </w:t>
            </w:r>
          </w:p>
        </w:tc>
        <w:tc>
          <w:tcPr>
            <w:tcW w:w="1276" w:type="dxa"/>
            <w:vAlign w:val="center"/>
          </w:tcPr>
          <w:p w14:paraId="4804C5C6" w14:textId="77777777" w:rsidR="009A4851" w:rsidRPr="007E4736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7E4736">
              <w:rPr>
                <w:rFonts w:cs="Arial"/>
                <w:color w:val="000000" w:themeColor="text1"/>
                <w:szCs w:val="19"/>
                <w:lang w:val="en-GB"/>
              </w:rPr>
              <w:t>11 320</w:t>
            </w:r>
          </w:p>
        </w:tc>
        <w:tc>
          <w:tcPr>
            <w:tcW w:w="992" w:type="dxa"/>
            <w:vAlign w:val="center"/>
          </w:tcPr>
          <w:p w14:paraId="7A2405AF" w14:textId="4A669EB0" w:rsidR="009A4851" w:rsidRPr="007E4736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>
              <w:rPr>
                <w:rFonts w:cs="Arial"/>
                <w:color w:val="000000" w:themeColor="text1"/>
                <w:szCs w:val="19"/>
                <w:lang w:val="en-GB"/>
              </w:rPr>
              <w:t>114.</w:t>
            </w:r>
            <w:r w:rsidR="009A4851" w:rsidRPr="007E4736">
              <w:rPr>
                <w:rFonts w:cs="Arial"/>
                <w:color w:val="000000" w:themeColor="text1"/>
                <w:szCs w:val="19"/>
                <w:lang w:val="en-GB"/>
              </w:rPr>
              <w:t>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2FAF2B9" w14:textId="6430BDAA" w:rsidR="009A4851" w:rsidRPr="007E4736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>
              <w:rPr>
                <w:rFonts w:cs="Arial"/>
                <w:color w:val="000000" w:themeColor="text1"/>
                <w:szCs w:val="19"/>
                <w:lang w:val="en-GB"/>
              </w:rPr>
              <w:t>154.</w:t>
            </w:r>
            <w:r w:rsidR="009A4851" w:rsidRPr="007E4736">
              <w:rPr>
                <w:rFonts w:cs="Arial"/>
                <w:color w:val="000000" w:themeColor="text1"/>
                <w:szCs w:val="19"/>
                <w:lang w:val="en-GB"/>
              </w:rPr>
              <w:t>2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003E8FA2" w14:textId="77777777" w:rsidR="009A4851" w:rsidRPr="007E4736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7E4736">
              <w:rPr>
                <w:rFonts w:cs="Arial"/>
                <w:color w:val="000000" w:themeColor="text1"/>
                <w:szCs w:val="19"/>
                <w:lang w:val="en-GB"/>
              </w:rPr>
              <w:t>18 660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7B18E6F5" w14:textId="48043B02" w:rsidR="009A4851" w:rsidRPr="007E4736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>
              <w:rPr>
                <w:rFonts w:cs="Arial"/>
                <w:color w:val="000000" w:themeColor="text1"/>
                <w:szCs w:val="19"/>
                <w:lang w:val="en-GB"/>
              </w:rPr>
              <w:t>83.</w:t>
            </w:r>
            <w:r w:rsidR="009A4851" w:rsidRPr="007E4736">
              <w:rPr>
                <w:rFonts w:cs="Arial"/>
                <w:color w:val="000000" w:themeColor="text1"/>
                <w:szCs w:val="19"/>
                <w:lang w:val="en-GB"/>
              </w:rPr>
              <w:t>6</w:t>
            </w:r>
          </w:p>
        </w:tc>
      </w:tr>
      <w:tr w:rsidR="00D216F9" w:rsidRPr="007E4736" w14:paraId="42F7773F" w14:textId="77777777" w:rsidTr="00592EC6">
        <w:trPr>
          <w:trHeight w:val="234"/>
        </w:trPr>
        <w:tc>
          <w:tcPr>
            <w:tcW w:w="2268" w:type="dxa"/>
            <w:vAlign w:val="center"/>
          </w:tcPr>
          <w:p w14:paraId="7BE8CD94" w14:textId="56A611D1" w:rsidR="009A4851" w:rsidRPr="007E4736" w:rsidRDefault="009A4851" w:rsidP="009A485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  <w:vertAlign w:val="superscript"/>
                <w:lang w:val="en-GB"/>
              </w:rPr>
            </w:pPr>
            <w:r w:rsidRPr="001D7052">
              <w:rPr>
                <w:rFonts w:eastAsiaTheme="majorEastAsia" w:cstheme="majorBidi"/>
                <w:color w:val="000000" w:themeColor="text1"/>
                <w:szCs w:val="19"/>
                <w:lang w:val="en-GB"/>
              </w:rPr>
              <w:t xml:space="preserve">  of which for rent</w:t>
            </w:r>
          </w:p>
        </w:tc>
        <w:tc>
          <w:tcPr>
            <w:tcW w:w="1276" w:type="dxa"/>
            <w:vAlign w:val="center"/>
          </w:tcPr>
          <w:p w14:paraId="2D23A40C" w14:textId="77777777" w:rsidR="009A4851" w:rsidRPr="007E4736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7E4736">
              <w:rPr>
                <w:rFonts w:cs="Arial"/>
                <w:color w:val="000000" w:themeColor="text1"/>
                <w:szCs w:val="19"/>
                <w:lang w:val="en-GB"/>
              </w:rPr>
              <w:t>-</w:t>
            </w:r>
          </w:p>
        </w:tc>
        <w:tc>
          <w:tcPr>
            <w:tcW w:w="992" w:type="dxa"/>
            <w:vAlign w:val="center"/>
          </w:tcPr>
          <w:p w14:paraId="4B592ECF" w14:textId="77777777" w:rsidR="009A4851" w:rsidRPr="007E4736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7E4736">
              <w:rPr>
                <w:rFonts w:cs="Arial"/>
                <w:color w:val="000000" w:themeColor="text1"/>
                <w:szCs w:val="19"/>
                <w:lang w:val="en-GB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7659BDC" w14:textId="77777777" w:rsidR="009A4851" w:rsidRPr="007E4736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7E4736">
              <w:rPr>
                <w:rFonts w:cs="Arial"/>
                <w:color w:val="000000" w:themeColor="text1"/>
                <w:szCs w:val="19"/>
                <w:lang w:val="en-GB"/>
              </w:rPr>
              <w:t>.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50190689" w14:textId="77777777" w:rsidR="009A4851" w:rsidRPr="007E4736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7E4736">
              <w:rPr>
                <w:rFonts w:cs="Arial"/>
                <w:color w:val="000000" w:themeColor="text1"/>
                <w:szCs w:val="19"/>
                <w:lang w:val="en-GB"/>
              </w:rPr>
              <w:t>155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6B1C97C6" w14:textId="4ED43281" w:rsidR="009A4851" w:rsidRPr="007E4736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>
              <w:rPr>
                <w:rFonts w:cs="Arial"/>
                <w:color w:val="000000" w:themeColor="text1"/>
                <w:szCs w:val="19"/>
                <w:lang w:val="en-GB"/>
              </w:rPr>
              <w:t>360.</w:t>
            </w:r>
            <w:r w:rsidR="009A4851" w:rsidRPr="007E4736">
              <w:rPr>
                <w:rFonts w:cs="Arial"/>
                <w:color w:val="000000" w:themeColor="text1"/>
                <w:szCs w:val="19"/>
                <w:lang w:val="en-GB"/>
              </w:rPr>
              <w:t>5</w:t>
            </w:r>
          </w:p>
        </w:tc>
      </w:tr>
      <w:tr w:rsidR="00D216F9" w:rsidRPr="009A4851" w14:paraId="100B4DA8" w14:textId="77777777" w:rsidTr="00592EC6">
        <w:trPr>
          <w:trHeight w:val="226"/>
        </w:trPr>
        <w:tc>
          <w:tcPr>
            <w:tcW w:w="2268" w:type="dxa"/>
            <w:vAlign w:val="center"/>
          </w:tcPr>
          <w:p w14:paraId="2AA69084" w14:textId="5DFAA12C" w:rsidR="009A4851" w:rsidRPr="007E4736" w:rsidRDefault="009A4851" w:rsidP="009A4851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Cs w:val="19"/>
                <w:lang w:val="en-GB"/>
              </w:rPr>
            </w:pPr>
            <w:r w:rsidRPr="001D7052">
              <w:rPr>
                <w:rFonts w:cstheme="majorBidi"/>
                <w:color w:val="000000" w:themeColor="text1"/>
                <w:szCs w:val="19"/>
                <w:lang w:val="en-GB"/>
              </w:rPr>
              <w:t>Cooperative</w:t>
            </w:r>
          </w:p>
        </w:tc>
        <w:tc>
          <w:tcPr>
            <w:tcW w:w="1276" w:type="dxa"/>
            <w:vAlign w:val="center"/>
          </w:tcPr>
          <w:p w14:paraId="5302EF9E" w14:textId="77777777" w:rsidR="009A4851" w:rsidRPr="007E4736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7E4736">
              <w:rPr>
                <w:rFonts w:cs="Arial"/>
                <w:color w:val="000000" w:themeColor="text1"/>
                <w:szCs w:val="19"/>
                <w:lang w:val="en-GB"/>
              </w:rPr>
              <w:t>-</w:t>
            </w:r>
          </w:p>
        </w:tc>
        <w:tc>
          <w:tcPr>
            <w:tcW w:w="992" w:type="dxa"/>
            <w:vAlign w:val="center"/>
          </w:tcPr>
          <w:p w14:paraId="32AF6E2B" w14:textId="77777777" w:rsidR="009A4851" w:rsidRPr="007E4736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7E4736">
              <w:rPr>
                <w:rFonts w:cs="Arial"/>
                <w:color w:val="000000" w:themeColor="text1"/>
                <w:szCs w:val="19"/>
                <w:lang w:val="en-GB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F22456F" w14:textId="77777777" w:rsidR="009A4851" w:rsidRPr="007E4736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  <w:lang w:val="en-GB"/>
              </w:rPr>
            </w:pPr>
            <w:r w:rsidRPr="007E4736">
              <w:rPr>
                <w:rFonts w:cs="Arial"/>
                <w:color w:val="000000" w:themeColor="text1"/>
                <w:szCs w:val="19"/>
                <w:lang w:val="en-GB"/>
              </w:rPr>
              <w:t>.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30CE76B0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3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7BABFCB9" w14:textId="610813EA" w:rsidR="009A4851" w:rsidRPr="009A4851" w:rsidRDefault="00592EC6" w:rsidP="00592EC6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a</w:t>
            </w:r>
            <w:r w:rsidR="002034A6">
              <w:rPr>
                <w:rFonts w:cs="Arial"/>
                <w:color w:val="000000" w:themeColor="text1"/>
                <w:szCs w:val="19"/>
              </w:rPr>
              <w:t>lmost</w:t>
            </w:r>
            <w:r>
              <w:rPr>
                <w:rFonts w:cs="Arial"/>
                <w:color w:val="000000" w:themeColor="text1"/>
                <w:szCs w:val="19"/>
              </w:rPr>
              <w:t xml:space="preserve"> 59-fold less</w:t>
            </w:r>
            <w:r w:rsidR="002034A6">
              <w:rPr>
                <w:rFonts w:cs="Arial"/>
                <w:color w:val="000000" w:themeColor="text1"/>
                <w:szCs w:val="19"/>
              </w:rPr>
              <w:t xml:space="preserve"> </w:t>
            </w:r>
          </w:p>
        </w:tc>
      </w:tr>
      <w:tr w:rsidR="00D216F9" w:rsidRPr="009A4851" w14:paraId="582C0DF5" w14:textId="77777777" w:rsidTr="00592EC6">
        <w:trPr>
          <w:trHeight w:val="74"/>
        </w:trPr>
        <w:tc>
          <w:tcPr>
            <w:tcW w:w="2268" w:type="dxa"/>
            <w:vAlign w:val="center"/>
          </w:tcPr>
          <w:p w14:paraId="1CAED0AB" w14:textId="01BDF0CA" w:rsidR="009A4851" w:rsidRPr="009A4851" w:rsidRDefault="009A4851" w:rsidP="009A485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 w:rsidRPr="001D7052">
              <w:rPr>
                <w:rFonts w:eastAsiaTheme="majorEastAsia" w:cstheme="majorBidi"/>
                <w:iCs/>
                <w:color w:val="000000" w:themeColor="text1"/>
                <w:szCs w:val="19"/>
                <w:lang w:val="en-GB"/>
              </w:rPr>
              <w:t>Municipal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7987F128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54</w:t>
            </w:r>
          </w:p>
        </w:tc>
        <w:tc>
          <w:tcPr>
            <w:tcW w:w="992" w:type="dxa"/>
            <w:tcBorders>
              <w:bottom w:val="single" w:sz="4" w:space="0" w:color="212492"/>
            </w:tcBorders>
            <w:vAlign w:val="center"/>
          </w:tcPr>
          <w:p w14:paraId="6F3B7ED8" w14:textId="5C011F5D" w:rsidR="009A4851" w:rsidRPr="009A4851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54.</w:t>
            </w:r>
            <w:r w:rsidR="009A4851" w:rsidRPr="009A4851">
              <w:rPr>
                <w:rFonts w:cs="Arial"/>
                <w:color w:val="000000" w:themeColor="text1"/>
                <w:szCs w:val="19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587E1349" w14:textId="51CA8445" w:rsidR="009A4851" w:rsidRPr="009A4851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192.</w:t>
            </w:r>
            <w:r w:rsidR="009A4851" w:rsidRPr="009A4851">
              <w:rPr>
                <w:rFonts w:cs="Arial"/>
                <w:color w:val="000000" w:themeColor="text1"/>
                <w:szCs w:val="19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212492"/>
              <w:right w:val="nil"/>
            </w:tcBorders>
            <w:vAlign w:val="center"/>
          </w:tcPr>
          <w:p w14:paraId="77B6CA3B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82</w:t>
            </w:r>
          </w:p>
        </w:tc>
        <w:tc>
          <w:tcPr>
            <w:tcW w:w="1220" w:type="dxa"/>
            <w:tcBorders>
              <w:bottom w:val="single" w:sz="4" w:space="0" w:color="212492"/>
              <w:right w:val="nil"/>
            </w:tcBorders>
            <w:vAlign w:val="center"/>
          </w:tcPr>
          <w:p w14:paraId="3A793D29" w14:textId="4EE750B7" w:rsidR="009A4851" w:rsidRPr="009A4851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78.</w:t>
            </w:r>
            <w:r w:rsidR="009A4851" w:rsidRPr="009A4851">
              <w:rPr>
                <w:rFonts w:cs="Arial"/>
                <w:color w:val="000000" w:themeColor="text1"/>
                <w:szCs w:val="19"/>
              </w:rPr>
              <w:t>8</w:t>
            </w:r>
          </w:p>
        </w:tc>
      </w:tr>
      <w:tr w:rsidR="00D216F9" w:rsidRPr="009A4851" w14:paraId="52C7D605" w14:textId="77777777" w:rsidTr="00592EC6">
        <w:trPr>
          <w:trHeight w:val="74"/>
        </w:trPr>
        <w:tc>
          <w:tcPr>
            <w:tcW w:w="2268" w:type="dxa"/>
            <w:vAlign w:val="center"/>
          </w:tcPr>
          <w:p w14:paraId="2D205575" w14:textId="04492E9C" w:rsidR="009A4851" w:rsidRPr="009A4851" w:rsidRDefault="009A4851" w:rsidP="009A485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 w:rsidRPr="001D7052">
              <w:rPr>
                <w:rFonts w:eastAsiaTheme="majorEastAsia" w:cstheme="majorBidi"/>
                <w:iCs/>
                <w:color w:val="000000" w:themeColor="text1"/>
                <w:szCs w:val="19"/>
                <w:lang w:val="en-GB"/>
              </w:rPr>
              <w:t>Public building society</w:t>
            </w:r>
          </w:p>
        </w:tc>
        <w:tc>
          <w:tcPr>
            <w:tcW w:w="1276" w:type="dxa"/>
            <w:vAlign w:val="center"/>
          </w:tcPr>
          <w:p w14:paraId="4C7B4118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279</w:t>
            </w:r>
          </w:p>
        </w:tc>
        <w:tc>
          <w:tcPr>
            <w:tcW w:w="992" w:type="dxa"/>
            <w:vAlign w:val="center"/>
          </w:tcPr>
          <w:p w14:paraId="2F7D1C86" w14:textId="17A31AFA" w:rsidR="009A4851" w:rsidRPr="009A4851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43.</w:t>
            </w:r>
            <w:r w:rsidR="009A4851" w:rsidRPr="009A4851">
              <w:rPr>
                <w:rFonts w:cs="Arial"/>
                <w:color w:val="000000" w:themeColor="text1"/>
                <w:szCs w:val="19"/>
              </w:rPr>
              <w:t>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DBBFC3F" w14:textId="09AD8B88" w:rsidR="009A4851" w:rsidRPr="009A4851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348.</w:t>
            </w:r>
            <w:r w:rsidR="009A4851" w:rsidRPr="009A4851">
              <w:rPr>
                <w:rFonts w:cs="Arial"/>
                <w:color w:val="000000" w:themeColor="text1"/>
                <w:szCs w:val="19"/>
              </w:rPr>
              <w:t>8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5FC8E63C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359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3935749F" w14:textId="54156F04" w:rsidR="009A4851" w:rsidRPr="009A4851" w:rsidRDefault="007E4736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>
              <w:rPr>
                <w:rFonts w:cs="Arial"/>
                <w:color w:val="000000" w:themeColor="text1"/>
                <w:szCs w:val="19"/>
              </w:rPr>
              <w:t>46.</w:t>
            </w:r>
            <w:r w:rsidR="009A4851" w:rsidRPr="009A4851">
              <w:rPr>
                <w:rFonts w:cs="Arial"/>
                <w:color w:val="000000" w:themeColor="text1"/>
                <w:szCs w:val="19"/>
              </w:rPr>
              <w:t>4</w:t>
            </w:r>
          </w:p>
        </w:tc>
      </w:tr>
      <w:tr w:rsidR="009A4851" w:rsidRPr="009A4851" w14:paraId="119FBF81" w14:textId="77777777" w:rsidTr="00592EC6">
        <w:trPr>
          <w:trHeight w:val="7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76A6AFC" w14:textId="08F860D3" w:rsidR="009A4851" w:rsidRPr="009A4851" w:rsidRDefault="009A4851" w:rsidP="009A485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Cs w:val="19"/>
              </w:rPr>
            </w:pPr>
            <w:r>
              <w:rPr>
                <w:rFonts w:eastAsiaTheme="majorEastAsia" w:cstheme="majorBidi"/>
                <w:iCs/>
                <w:color w:val="000000" w:themeColor="text1"/>
                <w:szCs w:val="19"/>
              </w:rPr>
              <w:t>Company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28973857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-</w:t>
            </w:r>
          </w:p>
        </w:tc>
        <w:tc>
          <w:tcPr>
            <w:tcW w:w="992" w:type="dxa"/>
            <w:tcBorders>
              <w:bottom w:val="single" w:sz="4" w:space="0" w:color="212492"/>
            </w:tcBorders>
            <w:vAlign w:val="center"/>
          </w:tcPr>
          <w:p w14:paraId="4C591F92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121D0633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212492"/>
              <w:right w:val="nil"/>
            </w:tcBorders>
            <w:vAlign w:val="center"/>
          </w:tcPr>
          <w:p w14:paraId="7E83840D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-</w:t>
            </w:r>
          </w:p>
        </w:tc>
        <w:tc>
          <w:tcPr>
            <w:tcW w:w="1220" w:type="dxa"/>
            <w:tcBorders>
              <w:bottom w:val="single" w:sz="4" w:space="0" w:color="212492"/>
              <w:right w:val="nil"/>
            </w:tcBorders>
            <w:vAlign w:val="center"/>
          </w:tcPr>
          <w:p w14:paraId="166DE967" w14:textId="77777777" w:rsidR="009A4851" w:rsidRPr="009A4851" w:rsidRDefault="009A4851" w:rsidP="009A4851">
            <w:pPr>
              <w:spacing w:after="0"/>
              <w:jc w:val="right"/>
              <w:rPr>
                <w:rFonts w:cs="Arial"/>
                <w:color w:val="000000" w:themeColor="text1"/>
                <w:szCs w:val="19"/>
              </w:rPr>
            </w:pPr>
            <w:r w:rsidRPr="009A4851">
              <w:rPr>
                <w:rFonts w:cs="Arial"/>
                <w:color w:val="000000" w:themeColor="text1"/>
                <w:szCs w:val="19"/>
              </w:rPr>
              <w:t>.</w:t>
            </w:r>
          </w:p>
        </w:tc>
      </w:tr>
    </w:tbl>
    <w:p w14:paraId="009BF034" w14:textId="77777777" w:rsidR="007E02D8" w:rsidRDefault="007E02D8">
      <w:pPr>
        <w:spacing w:before="0" w:after="160" w:line="259" w:lineRule="auto"/>
        <w:rPr>
          <w:spacing w:val="-2"/>
          <w:szCs w:val="19"/>
          <w:shd w:val="clear" w:color="auto" w:fill="FFFFFF"/>
          <w:lang w:val="en-GB"/>
        </w:rPr>
      </w:pPr>
      <w:r>
        <w:rPr>
          <w:b/>
          <w:szCs w:val="19"/>
          <w:shd w:val="clear" w:color="auto" w:fill="FFFFFF"/>
          <w:lang w:val="en-GB"/>
        </w:rPr>
        <w:br w:type="page"/>
      </w:r>
    </w:p>
    <w:p w14:paraId="34D75009" w14:textId="1A26648E" w:rsidR="00154AC9" w:rsidRPr="004829B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at</w:t>
      </w:r>
      <w:r w:rsidR="008B64BD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the end of </w:t>
      </w:r>
      <w:r w:rsidR="00332CA8">
        <w:rPr>
          <w:b w:val="0"/>
          <w:sz w:val="19"/>
          <w:szCs w:val="19"/>
          <w:shd w:val="clear" w:color="auto" w:fill="FFFFFF"/>
          <w:lang w:val="en-GB"/>
        </w:rPr>
        <w:t>February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 xml:space="preserve"> 2022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6D17B3">
        <w:rPr>
          <w:b w:val="0"/>
          <w:sz w:val="19"/>
          <w:szCs w:val="19"/>
          <w:shd w:val="clear" w:color="auto" w:fill="FFFFFF"/>
          <w:lang w:val="en-GB"/>
        </w:rPr>
        <w:t xml:space="preserve"> there were 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>867</w:t>
      </w:r>
      <w:r w:rsidR="00D93EA6">
        <w:rPr>
          <w:b w:val="0"/>
          <w:sz w:val="19"/>
          <w:szCs w:val="19"/>
          <w:shd w:val="clear" w:color="auto" w:fill="FFFFFF"/>
          <w:lang w:val="en-GB"/>
        </w:rPr>
        <w:t>.</w:t>
      </w:r>
      <w:r w:rsidR="00332CA8">
        <w:rPr>
          <w:b w:val="0"/>
          <w:sz w:val="19"/>
          <w:szCs w:val="19"/>
          <w:shd w:val="clear" w:color="auto" w:fill="FFFFFF"/>
          <w:lang w:val="en-GB"/>
        </w:rPr>
        <w:t>0</w:t>
      </w:r>
      <w:r w:rsidR="00D93EA6" w:rsidRPr="00D93EA6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under construction, i.e. by 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>4.7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4829B9">
        <w:rPr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 xml:space="preserve">in the corresponding </w:t>
      </w:r>
      <w:r w:rsidR="00332CA8">
        <w:rPr>
          <w:b w:val="0"/>
          <w:sz w:val="19"/>
          <w:szCs w:val="19"/>
          <w:shd w:val="clear" w:color="auto" w:fill="FFFFFF"/>
          <w:lang w:val="en-GB"/>
        </w:rPr>
        <w:t>period</w:t>
      </w:r>
      <w:r w:rsidR="003969D1">
        <w:rPr>
          <w:b w:val="0"/>
          <w:sz w:val="19"/>
          <w:szCs w:val="19"/>
          <w:shd w:val="clear" w:color="auto" w:fill="FFFFFF"/>
          <w:lang w:val="en-GB"/>
        </w:rPr>
        <w:t xml:space="preserve"> of 2021</w:t>
      </w:r>
      <w:r w:rsidR="00AA22EE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2E8A539A" w14:textId="557E8BB6" w:rsidR="007207E6" w:rsidRPr="007E02D8" w:rsidRDefault="00AD1492" w:rsidP="007E02D8">
      <w:pPr>
        <w:pStyle w:val="tytuwykresu"/>
        <w:spacing w:before="240"/>
        <w:rPr>
          <w:sz w:val="19"/>
          <w:szCs w:val="19"/>
          <w:lang w:val="en-GB"/>
        </w:rPr>
      </w:pPr>
      <w:r w:rsidRPr="009038EF">
        <w:rPr>
          <w:szCs w:val="18"/>
          <w:lang w:val="en-GB"/>
        </w:rPr>
        <w:t>Chart 1.</w:t>
      </w:r>
      <w:r w:rsidRPr="007E02D8">
        <w:rPr>
          <w:sz w:val="19"/>
          <w:szCs w:val="19"/>
          <w:lang w:val="en-GB"/>
        </w:rPr>
        <w:t xml:space="preserve"> </w:t>
      </w:r>
      <w:r w:rsidRPr="009038EF">
        <w:rPr>
          <w:szCs w:val="18"/>
          <w:lang w:val="en-GB"/>
        </w:rPr>
        <w:t xml:space="preserve">Construction activity in the scope of </w:t>
      </w:r>
      <w:r w:rsidR="00256AD9" w:rsidRPr="009038EF">
        <w:rPr>
          <w:szCs w:val="18"/>
          <w:lang w:val="en-GB"/>
        </w:rPr>
        <w:t>residential construction</w:t>
      </w:r>
      <w:r w:rsidR="005D23AA" w:rsidRPr="009038EF">
        <w:rPr>
          <w:szCs w:val="18"/>
          <w:lang w:val="en-GB"/>
        </w:rPr>
        <w:t xml:space="preserve"> in Poland</w:t>
      </w:r>
    </w:p>
    <w:p w14:paraId="07DDCEC0" w14:textId="6E46588D" w:rsidR="00F37978" w:rsidRPr="00D93EA6" w:rsidRDefault="00CA6109" w:rsidP="003A600F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5004F21C">
                <wp:simplePos x="0" y="0"/>
                <wp:positionH relativeFrom="page">
                  <wp:align>right</wp:align>
                </wp:positionH>
                <wp:positionV relativeFrom="paragraph">
                  <wp:posOffset>86005</wp:posOffset>
                </wp:positionV>
                <wp:extent cx="1835785" cy="2305050"/>
                <wp:effectExtent l="0" t="0" r="0" b="0"/>
                <wp:wrapSquare wrapText="bothSides"/>
                <wp:docPr id="9" name="Pole tekstowe 2" descr="In February, compared to January 2022, the number of dwellings completed increased (by 20.3%), as well as the number of dwellings for which permits have been granted or which have been registered with a construction project (by 14.9%) and the number of dwellings in which construction has begun (by 51.3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230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DC315" w14:textId="77777777" w:rsidR="00CA6109" w:rsidRDefault="00CA6109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14:paraId="58FBF1C9" w14:textId="61B6E7E3" w:rsidR="00574E89" w:rsidRPr="00AC3185" w:rsidRDefault="00574E89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332C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February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332CA8" w:rsidRPr="00332C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January </w:t>
                            </w:r>
                            <w:r w:rsidR="00332C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the 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umber of dwellings</w:t>
                            </w:r>
                            <w:r w:rsidR="00332C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 increased (by 20.3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%), </w:t>
                            </w:r>
                            <w:r w:rsidR="007B36A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as well as</w:t>
                            </w:r>
                            <w:r w:rsidRPr="005825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574E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for which permits have been granted or which have been registered with a const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ruction </w:t>
                            </w:r>
                            <w:r w:rsidR="009F4C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project </w:t>
                            </w:r>
                            <w:r w:rsidR="00A974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</w:t>
                            </w:r>
                            <w:r w:rsidR="00332C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14.9</w:t>
                            </w:r>
                            <w:r w:rsidRPr="00574E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 w:rsidR="00F41A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and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</w:t>
                            </w:r>
                            <w:r w:rsidRPr="00700F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which construction has begun</w:t>
                            </w:r>
                            <w:r w:rsidR="00F41A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974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</w:t>
                            </w:r>
                            <w:r w:rsidR="00332C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51.3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6E1A" id="_x0000_s1030" type="#_x0000_t202" alt="In February, compared to January 2022, the number of dwellings completed increased (by 20.3%), as well as the number of dwellings for which permits have been granted or which have been registered with a construction project (by 14.9%) and the number of dwellings in which construction has begun (by 51.3%)" style="position:absolute;margin-left:93.35pt;margin-top:6.75pt;width:144.55pt;height:181.5pt;z-index:25176883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" filled="f" stroked="f">
                <v:textbox>
                  <w:txbxContent>
                    <w:p w14:paraId="328DC315" w14:textId="77777777" w:rsidR="00CA6109" w:rsidRDefault="00CA6109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14:paraId="58FBF1C9" w14:textId="61B6E7E3" w:rsidR="00574E89" w:rsidRPr="00AC3185" w:rsidRDefault="00574E89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332C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February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332CA8" w:rsidRPr="00332C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January </w:t>
                      </w:r>
                      <w:r w:rsidR="00332C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the 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umber of dwellings</w:t>
                      </w:r>
                      <w:r w:rsidR="00332C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 increased (by 20.3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%), </w:t>
                      </w:r>
                      <w:r w:rsidR="007B36A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as well as</w:t>
                      </w:r>
                      <w:r w:rsidRPr="005825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574E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for which permits have been granted or which have been registered with a const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ruction </w:t>
                      </w:r>
                      <w:r w:rsidR="009F4C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project </w:t>
                      </w:r>
                      <w:r w:rsidR="00A974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</w:t>
                      </w:r>
                      <w:r w:rsidR="00332C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14.9</w:t>
                      </w:r>
                      <w:r w:rsidRPr="00574E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 w:rsidR="00F41A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and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</w:t>
                      </w:r>
                      <w:r w:rsidRPr="00700F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which construction has begun</w:t>
                      </w:r>
                      <w:r w:rsidR="00F41A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974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</w:t>
                      </w:r>
                      <w:r w:rsidR="00332C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51.3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34696" w:rsidRPr="007C2881">
        <w:rPr>
          <w:noProof/>
          <w:lang w:val="en-GB"/>
        </w:rPr>
        <w:t xml:space="preserve"> </w:t>
      </w:r>
      <w:r w:rsidR="00C34696" w:rsidRPr="00C34696">
        <w:rPr>
          <w:noProof/>
        </w:rPr>
        <w:drawing>
          <wp:inline distT="0" distB="0" distL="0" distR="0" wp14:anchorId="28817340" wp14:editId="0B9DC3C8">
            <wp:extent cx="5122545" cy="2580005"/>
            <wp:effectExtent l="0" t="0" r="1905" b="0"/>
            <wp:docPr id="1" name="Obraz 1" descr="Number of dwellings completed, number of dwellings for which permits have been granted or which have been registered with a construction project and number of dwellings in which construction has begun in particular months of year 2018, 2019, 2020,2021 and 2022" title="Chart 1. Construction activity in the scope of residential construction in Po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58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09BB8" w14:textId="23A77FAE" w:rsidR="0032276A" w:rsidRDefault="004C012E" w:rsidP="00CB6084">
      <w:pPr>
        <w:rPr>
          <w:szCs w:val="19"/>
          <w:shd w:val="clear" w:color="auto" w:fill="FFFFFF"/>
          <w:lang w:val="en-GB"/>
        </w:rPr>
      </w:pPr>
      <w:r>
        <w:rPr>
          <w:noProof/>
          <w:lang w:eastAsia="pl-PL"/>
        </w:rPr>
        <w:drawing>
          <wp:inline distT="0" distB="0" distL="0" distR="0" wp14:anchorId="7BFC4272" wp14:editId="3AD604D7">
            <wp:extent cx="5122545" cy="2580005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B2C5EA1" w14:textId="511DFFFD" w:rsidR="00CB6084" w:rsidRPr="004829B9" w:rsidRDefault="005702F8" w:rsidP="00CB6084">
      <w:pPr>
        <w:rPr>
          <w:szCs w:val="19"/>
          <w:shd w:val="clear" w:color="auto" w:fill="FFFFFF"/>
          <w:lang w:val="en-GB"/>
        </w:rPr>
      </w:pPr>
      <w:r w:rsidRPr="005702F8">
        <w:rPr>
          <w:szCs w:val="19"/>
          <w:shd w:val="clear" w:color="auto" w:fill="FFFFFF"/>
          <w:lang w:val="en-GB"/>
        </w:rPr>
        <w:t xml:space="preserve">In </w:t>
      </w:r>
      <w:r w:rsidR="00182585">
        <w:rPr>
          <w:szCs w:val="19"/>
          <w:shd w:val="clear" w:color="auto" w:fill="FFFFFF"/>
          <w:lang w:val="en-GB"/>
        </w:rPr>
        <w:t>the period of January-February</w:t>
      </w:r>
      <w:r w:rsidR="00D941DB">
        <w:rPr>
          <w:szCs w:val="19"/>
          <w:shd w:val="clear" w:color="auto" w:fill="FFFFFF"/>
          <w:lang w:val="en-GB"/>
        </w:rPr>
        <w:t xml:space="preserve"> 2022</w:t>
      </w:r>
      <w:r w:rsidR="00E26291" w:rsidRPr="005702F8">
        <w:rPr>
          <w:szCs w:val="19"/>
          <w:shd w:val="clear" w:color="auto" w:fill="FFFFFF"/>
          <w:lang w:val="en-GB"/>
        </w:rPr>
        <w:t xml:space="preserve">, </w:t>
      </w:r>
      <w:r w:rsidR="00574E89">
        <w:rPr>
          <w:szCs w:val="19"/>
          <w:shd w:val="clear" w:color="auto" w:fill="FFFFFF"/>
          <w:lang w:val="en-GB"/>
        </w:rPr>
        <w:t xml:space="preserve">the </w:t>
      </w:r>
      <w:r w:rsidR="002A29A6">
        <w:rPr>
          <w:szCs w:val="19"/>
          <w:shd w:val="clear" w:color="auto" w:fill="FFFFFF"/>
          <w:lang w:val="en-GB"/>
        </w:rPr>
        <w:t>high</w:t>
      </w:r>
      <w:r w:rsidR="00574E89">
        <w:rPr>
          <w:szCs w:val="19"/>
          <w:shd w:val="clear" w:color="auto" w:fill="FFFFFF"/>
          <w:lang w:val="en-GB"/>
        </w:rPr>
        <w:t>est</w:t>
      </w:r>
      <w:r w:rsidR="002A29A6">
        <w:rPr>
          <w:szCs w:val="19"/>
          <w:shd w:val="clear" w:color="auto" w:fill="FFFFFF"/>
          <w:lang w:val="en-GB"/>
        </w:rPr>
        <w:t xml:space="preserve"> values of </w:t>
      </w:r>
      <w:r w:rsidR="00CB6084" w:rsidRPr="004829B9">
        <w:rPr>
          <w:szCs w:val="19"/>
          <w:shd w:val="clear" w:color="auto" w:fill="FFFFFF"/>
          <w:lang w:val="en-GB"/>
        </w:rPr>
        <w:t>dwellings</w:t>
      </w:r>
      <w:r w:rsidR="00E43CD7" w:rsidRPr="00E43CD7">
        <w:rPr>
          <w:szCs w:val="19"/>
          <w:shd w:val="clear" w:color="auto" w:fill="FFFFFF"/>
          <w:lang w:val="en-GB"/>
        </w:rPr>
        <w:t xml:space="preserve"> </w:t>
      </w:r>
      <w:r w:rsidR="00D81B78">
        <w:rPr>
          <w:szCs w:val="19"/>
          <w:shd w:val="clear" w:color="auto" w:fill="FFFFFF"/>
          <w:lang w:val="en-GB"/>
        </w:rPr>
        <w:t>completed</w:t>
      </w:r>
      <w:r w:rsidR="0016126E">
        <w:rPr>
          <w:szCs w:val="19"/>
          <w:shd w:val="clear" w:color="auto" w:fill="FFFFFF"/>
          <w:lang w:val="en-GB"/>
        </w:rPr>
        <w:t xml:space="preserve">, as well as </w:t>
      </w:r>
      <w:r w:rsidR="0016126E" w:rsidRPr="0016126E">
        <w:rPr>
          <w:szCs w:val="19"/>
          <w:shd w:val="clear" w:color="auto" w:fill="FFFFFF"/>
          <w:lang w:val="en-GB"/>
        </w:rPr>
        <w:t xml:space="preserve">dwellings </w:t>
      </w:r>
      <w:r w:rsidR="00700FC6" w:rsidRPr="00700FC6">
        <w:rPr>
          <w:szCs w:val="19"/>
          <w:shd w:val="clear" w:color="auto" w:fill="FFFFFF"/>
          <w:lang w:val="en-GB"/>
        </w:rPr>
        <w:t xml:space="preserve">in which construction has begun </w:t>
      </w:r>
      <w:r w:rsidR="00700FC6">
        <w:rPr>
          <w:szCs w:val="19"/>
          <w:shd w:val="clear" w:color="auto" w:fill="FFFFFF"/>
          <w:lang w:val="en-GB"/>
        </w:rPr>
        <w:t xml:space="preserve">and dwellings </w:t>
      </w:r>
      <w:r w:rsidR="0016126E" w:rsidRPr="0016126E">
        <w:rPr>
          <w:szCs w:val="19"/>
          <w:shd w:val="clear" w:color="auto" w:fill="FFFFFF"/>
          <w:lang w:val="en-GB"/>
        </w:rPr>
        <w:t>for which permits have been granted or which have been registered with a construction project</w:t>
      </w:r>
      <w:r w:rsidR="00DD2696">
        <w:rPr>
          <w:szCs w:val="19"/>
          <w:shd w:val="clear" w:color="auto" w:fill="FFFFFF"/>
          <w:lang w:val="en-GB"/>
        </w:rPr>
        <w:t xml:space="preserve">, </w:t>
      </w:r>
      <w:r w:rsidR="002A29A6">
        <w:rPr>
          <w:szCs w:val="19"/>
          <w:shd w:val="clear" w:color="auto" w:fill="FFFFFF"/>
          <w:lang w:val="en-GB"/>
        </w:rPr>
        <w:t>were</w:t>
      </w:r>
      <w:r w:rsidR="00EF6032" w:rsidRPr="00EF6032">
        <w:rPr>
          <w:szCs w:val="19"/>
          <w:shd w:val="clear" w:color="auto" w:fill="FFFFFF"/>
          <w:lang w:val="en-GB"/>
        </w:rPr>
        <w:t xml:space="preserve"> recorded in </w:t>
      </w:r>
      <w:r w:rsidR="00EF6032" w:rsidRPr="00A4625F">
        <w:rPr>
          <w:szCs w:val="19"/>
          <w:shd w:val="clear" w:color="auto" w:fill="FFFFFF"/>
          <w:lang w:val="en-GB"/>
        </w:rPr>
        <w:t>Mazowieckie</w:t>
      </w:r>
      <w:r w:rsidR="00EF6032" w:rsidRPr="00EF6032">
        <w:rPr>
          <w:szCs w:val="19"/>
          <w:shd w:val="clear" w:color="auto" w:fill="FFFFFF"/>
          <w:lang w:val="en-GB"/>
        </w:rPr>
        <w:t xml:space="preserve"> voivodship</w:t>
      </w:r>
      <w:r w:rsidR="00EF6032">
        <w:rPr>
          <w:szCs w:val="19"/>
          <w:shd w:val="clear" w:color="auto" w:fill="FFFFFF"/>
          <w:lang w:val="en-GB"/>
        </w:rPr>
        <w:t xml:space="preserve"> (</w:t>
      </w:r>
      <w:r w:rsidR="00DD2696">
        <w:rPr>
          <w:szCs w:val="19"/>
          <w:shd w:val="clear" w:color="auto" w:fill="FFFFFF"/>
          <w:lang w:val="en-GB"/>
        </w:rPr>
        <w:t xml:space="preserve">respectively </w:t>
      </w:r>
      <w:r w:rsidR="00C34696">
        <w:rPr>
          <w:szCs w:val="19"/>
          <w:shd w:val="clear" w:color="auto" w:fill="FFFFFF"/>
          <w:lang w:val="en-GB"/>
        </w:rPr>
        <w:t>5</w:t>
      </w:r>
      <w:r w:rsidR="00D6223C">
        <w:rPr>
          <w:szCs w:val="19"/>
          <w:shd w:val="clear" w:color="auto" w:fill="FFFFFF"/>
          <w:lang w:val="en-GB"/>
        </w:rPr>
        <w:t>.</w:t>
      </w:r>
      <w:r w:rsidR="00C34696">
        <w:rPr>
          <w:szCs w:val="19"/>
          <w:shd w:val="clear" w:color="auto" w:fill="FFFFFF"/>
          <w:lang w:val="en-GB"/>
        </w:rPr>
        <w:t>6</w:t>
      </w:r>
      <w:r w:rsidR="007B36AE">
        <w:rPr>
          <w:szCs w:val="19"/>
          <w:shd w:val="clear" w:color="auto" w:fill="FFFFFF"/>
          <w:lang w:val="en-GB"/>
        </w:rPr>
        <w:t> </w:t>
      </w:r>
      <w:r w:rsidR="00EF6032">
        <w:rPr>
          <w:szCs w:val="19"/>
          <w:shd w:val="clear" w:color="auto" w:fill="FFFFFF"/>
          <w:lang w:val="en-GB"/>
        </w:rPr>
        <w:t>thousand</w:t>
      </w:r>
      <w:r w:rsidR="00BB44BD">
        <w:rPr>
          <w:szCs w:val="19"/>
          <w:shd w:val="clear" w:color="auto" w:fill="FFFFFF"/>
          <w:lang w:val="en-GB"/>
        </w:rPr>
        <w:t xml:space="preserve">, </w:t>
      </w:r>
      <w:r w:rsidR="00C34696">
        <w:rPr>
          <w:szCs w:val="19"/>
          <w:shd w:val="clear" w:color="auto" w:fill="FFFFFF"/>
          <w:lang w:val="en-GB"/>
        </w:rPr>
        <w:t>5.6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7C2881">
        <w:rPr>
          <w:szCs w:val="19"/>
          <w:shd w:val="clear" w:color="auto" w:fill="FFFFFF"/>
          <w:lang w:val="en-GB"/>
        </w:rPr>
        <w:t xml:space="preserve"> and 7</w:t>
      </w:r>
      <w:r w:rsidR="00C34696">
        <w:rPr>
          <w:szCs w:val="19"/>
          <w:shd w:val="clear" w:color="auto" w:fill="FFFFFF"/>
          <w:lang w:val="en-GB"/>
        </w:rPr>
        <w:t>.9</w:t>
      </w:r>
      <w:r w:rsidR="00CC4866">
        <w:rPr>
          <w:szCs w:val="19"/>
          <w:shd w:val="clear" w:color="auto" w:fill="FFFFFF"/>
          <w:lang w:val="en-GB"/>
        </w:rPr>
        <w:t> </w:t>
      </w:r>
      <w:r w:rsidR="00CF2564" w:rsidRPr="00CF2564">
        <w:rPr>
          <w:szCs w:val="19"/>
          <w:shd w:val="clear" w:color="auto" w:fill="FFFFFF"/>
          <w:lang w:val="en-GB"/>
        </w:rPr>
        <w:t>thousand</w:t>
      </w:r>
      <w:r w:rsidR="00574E89">
        <w:rPr>
          <w:szCs w:val="19"/>
          <w:shd w:val="clear" w:color="auto" w:fill="FFFFFF"/>
          <w:lang w:val="en-GB"/>
        </w:rPr>
        <w:t xml:space="preserve">). High values were also noted in </w:t>
      </w:r>
      <w:r w:rsidR="00D6223C" w:rsidRPr="00A4625F">
        <w:rPr>
          <w:szCs w:val="19"/>
          <w:shd w:val="clear" w:color="auto" w:fill="FFFFFF"/>
          <w:lang w:val="en-GB"/>
        </w:rPr>
        <w:t>Wielkopolskie</w:t>
      </w:r>
      <w:r w:rsidR="00D6223C" w:rsidRPr="00D6223C">
        <w:rPr>
          <w:szCs w:val="19"/>
          <w:shd w:val="clear" w:color="auto" w:fill="FFFFFF"/>
          <w:lang w:val="en-GB"/>
        </w:rPr>
        <w:t xml:space="preserve"> </w:t>
      </w:r>
      <w:r w:rsidR="00C34696">
        <w:rPr>
          <w:szCs w:val="19"/>
          <w:shd w:val="clear" w:color="auto" w:fill="FFFFFF"/>
          <w:lang w:val="en-GB"/>
        </w:rPr>
        <w:t>(4.4</w:t>
      </w:r>
      <w:r w:rsidR="009F4CF9" w:rsidRPr="009F4CF9">
        <w:rPr>
          <w:szCs w:val="19"/>
          <w:shd w:val="clear" w:color="auto" w:fill="FFFFFF"/>
          <w:lang w:val="en-GB"/>
        </w:rPr>
        <w:t> thousand</w:t>
      </w:r>
      <w:r w:rsidR="00C34696">
        <w:rPr>
          <w:szCs w:val="19"/>
          <w:shd w:val="clear" w:color="auto" w:fill="FFFFFF"/>
          <w:lang w:val="en-GB"/>
        </w:rPr>
        <w:t>, 2.5</w:t>
      </w:r>
      <w:r w:rsidR="009F4CF9" w:rsidRPr="009F4CF9">
        <w:rPr>
          <w:szCs w:val="19"/>
          <w:shd w:val="clear" w:color="auto" w:fill="FFFFFF"/>
          <w:lang w:val="en-GB"/>
        </w:rPr>
        <w:t> thousand</w:t>
      </w:r>
      <w:r w:rsidR="00C34696">
        <w:rPr>
          <w:szCs w:val="19"/>
          <w:shd w:val="clear" w:color="auto" w:fill="FFFFFF"/>
          <w:lang w:val="en-GB"/>
        </w:rPr>
        <w:t xml:space="preserve"> and 5</w:t>
      </w:r>
      <w:r w:rsidR="00BB44BD">
        <w:rPr>
          <w:szCs w:val="19"/>
          <w:shd w:val="clear" w:color="auto" w:fill="FFFFFF"/>
          <w:lang w:val="en-GB"/>
        </w:rPr>
        <w:t>.</w:t>
      </w:r>
      <w:r w:rsidR="00C34696">
        <w:rPr>
          <w:szCs w:val="19"/>
          <w:shd w:val="clear" w:color="auto" w:fill="FFFFFF"/>
          <w:lang w:val="en-GB"/>
        </w:rPr>
        <w:t>6</w:t>
      </w:r>
      <w:r w:rsidR="00D941DB">
        <w:rPr>
          <w:szCs w:val="19"/>
          <w:shd w:val="clear" w:color="auto" w:fill="FFFFFF"/>
          <w:lang w:val="en-GB"/>
        </w:rPr>
        <w:t> thousand)</w:t>
      </w:r>
      <w:r w:rsidR="00C34696" w:rsidRPr="00C34696">
        <w:rPr>
          <w:szCs w:val="19"/>
          <w:shd w:val="clear" w:color="auto" w:fill="FFFFFF"/>
          <w:lang w:val="en-GB"/>
        </w:rPr>
        <w:t xml:space="preserve"> and </w:t>
      </w:r>
      <w:r w:rsidR="00D941DB">
        <w:rPr>
          <w:szCs w:val="19"/>
          <w:shd w:val="clear" w:color="auto" w:fill="FFFFFF"/>
          <w:lang w:val="en-GB"/>
        </w:rPr>
        <w:t>Małopolskie</w:t>
      </w:r>
      <w:r w:rsidR="00700FC6">
        <w:rPr>
          <w:szCs w:val="19"/>
          <w:shd w:val="clear" w:color="auto" w:fill="FFFFFF"/>
          <w:lang w:val="en-GB"/>
        </w:rPr>
        <w:t xml:space="preserve"> </w:t>
      </w:r>
      <w:r w:rsidR="00C34696">
        <w:rPr>
          <w:szCs w:val="19"/>
          <w:shd w:val="clear" w:color="auto" w:fill="FFFFFF"/>
          <w:lang w:val="en-GB"/>
        </w:rPr>
        <w:t>(3</w:t>
      </w:r>
      <w:r w:rsidR="00D941DB">
        <w:rPr>
          <w:szCs w:val="19"/>
          <w:shd w:val="clear" w:color="auto" w:fill="FFFFFF"/>
          <w:lang w:val="en-GB"/>
        </w:rPr>
        <w:t>.7</w:t>
      </w:r>
      <w:r>
        <w:rPr>
          <w:szCs w:val="19"/>
          <w:shd w:val="clear" w:color="auto" w:fill="FFFFFF"/>
          <w:lang w:val="en-GB"/>
        </w:rPr>
        <w:t> </w:t>
      </w:r>
      <w:r w:rsidR="00C34696">
        <w:rPr>
          <w:szCs w:val="19"/>
          <w:shd w:val="clear" w:color="auto" w:fill="FFFFFF"/>
          <w:lang w:val="en-GB"/>
        </w:rPr>
        <w:t>thousand, 2.9</w:t>
      </w:r>
      <w:r w:rsidR="00406BFF">
        <w:rPr>
          <w:szCs w:val="19"/>
          <w:shd w:val="clear" w:color="auto" w:fill="FFFFFF"/>
          <w:lang w:val="en-GB"/>
        </w:rPr>
        <w:t> </w:t>
      </w:r>
      <w:r w:rsidR="00F333CC">
        <w:rPr>
          <w:szCs w:val="19"/>
          <w:shd w:val="clear" w:color="auto" w:fill="FFFFFF"/>
          <w:lang w:val="en-GB"/>
        </w:rPr>
        <w:t>thousand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and</w:t>
      </w:r>
      <w:r w:rsidR="00C34696">
        <w:rPr>
          <w:szCs w:val="19"/>
          <w:shd w:val="clear" w:color="auto" w:fill="FFFFFF"/>
          <w:lang w:val="en-GB"/>
        </w:rPr>
        <w:t xml:space="preserve"> 4.2</w:t>
      </w:r>
      <w:r w:rsidR="00AB0212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C34696">
        <w:rPr>
          <w:szCs w:val="19"/>
          <w:shd w:val="clear" w:color="auto" w:fill="FFFFFF"/>
          <w:lang w:val="en-GB"/>
        </w:rPr>
        <w:t>).</w:t>
      </w:r>
    </w:p>
    <w:p w14:paraId="73CBA65A" w14:textId="0ADA8D93" w:rsidR="00903A58" w:rsidRPr="006D194B" w:rsidRDefault="001C1808" w:rsidP="006D194B">
      <w:pPr>
        <w:pStyle w:val="Nagwek1"/>
        <w:tabs>
          <w:tab w:val="left" w:pos="851"/>
        </w:tabs>
        <w:ind w:left="709" w:hanging="709"/>
        <w:rPr>
          <w:rFonts w:ascii="Fira Sans" w:hAnsi="Fira Sans"/>
          <w:b/>
          <w:color w:val="auto"/>
          <w:szCs w:val="19"/>
          <w:lang w:val="en-GB"/>
        </w:rPr>
      </w:pP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="006D194B" w:rsidRPr="009038EF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 xml:space="preserve">Construction activity in the scope of </w:t>
      </w:r>
      <w:r w:rsidR="00256AD9" w:rsidRPr="009038EF">
        <w:rPr>
          <w:rFonts w:ascii="Fira Sans" w:hAnsi="Fira Sans"/>
          <w:b/>
          <w:color w:val="auto"/>
          <w:sz w:val="18"/>
          <w:szCs w:val="18"/>
          <w:lang w:val="en-GB"/>
        </w:rPr>
        <w:t>residential construction</w:t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 xml:space="preserve"> by voivodships</w:t>
      </w:r>
      <w:r w:rsidR="006D194B" w:rsidRPr="009038EF">
        <w:rPr>
          <w:rFonts w:ascii="Fira Sans" w:hAnsi="Fira Sans"/>
          <w:b/>
          <w:color w:val="auto"/>
          <w:sz w:val="18"/>
          <w:szCs w:val="18"/>
          <w:lang w:val="en-GB"/>
        </w:rPr>
        <w:br/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(January- February </w:t>
      </w:r>
      <w:r w:rsidR="0032276A" w:rsidRPr="009038EF">
        <w:rPr>
          <w:rFonts w:ascii="Fira Sans" w:hAnsi="Fira Sans"/>
          <w:b/>
          <w:color w:val="auto"/>
          <w:sz w:val="18"/>
          <w:szCs w:val="18"/>
          <w:lang w:val="en-GB"/>
        </w:rPr>
        <w:t>2022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>)</w:t>
      </w:r>
    </w:p>
    <w:p w14:paraId="66C5A628" w14:textId="752B8C67" w:rsidR="003A358E" w:rsidRPr="00BB44BD" w:rsidRDefault="00A664FC" w:rsidP="00A12B93">
      <w:pPr>
        <w:pStyle w:val="Nagwek1"/>
        <w:rPr>
          <w:color w:val="auto"/>
          <w:sz w:val="18"/>
          <w:szCs w:val="18"/>
          <w:lang w:val="en-GB"/>
        </w:rPr>
      </w:pPr>
      <w:r w:rsidRPr="00A664FC">
        <w:rPr>
          <w:noProof/>
        </w:rPr>
        <w:drawing>
          <wp:inline distT="0" distB="0" distL="0" distR="0" wp14:anchorId="22B64A46" wp14:editId="45B2C024">
            <wp:extent cx="5122545" cy="2520315"/>
            <wp:effectExtent l="0" t="0" r="1905" b="0"/>
            <wp:docPr id="4" name="Obraz 4" descr="Number of dwellings completed, number of dwellings for which permits have been granted or which have been registered with a construction project and number of dwellings in which construction has begun in January-February 2022 in particular voivodships" title="Chart 2. Construction activity in the scope of residential construction by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A40B4" w14:textId="5F8B6B3B" w:rsidR="00A12B93" w:rsidRDefault="00A12B93" w:rsidP="00A12B93">
      <w:pPr>
        <w:rPr>
          <w:lang w:val="en-GB" w:eastAsia="pl-PL"/>
        </w:rPr>
      </w:pPr>
    </w:p>
    <w:p w14:paraId="67ED41DD" w14:textId="77777777" w:rsidR="007E02D8" w:rsidRDefault="007E02D8" w:rsidP="0046503D">
      <w:pPr>
        <w:rPr>
          <w:szCs w:val="19"/>
          <w:shd w:val="clear" w:color="auto" w:fill="FFFFFF"/>
          <w:lang w:val="en-GB"/>
        </w:rPr>
      </w:pPr>
    </w:p>
    <w:p w14:paraId="14049859" w14:textId="77777777" w:rsidR="007E02D8" w:rsidRDefault="007E02D8" w:rsidP="0046503D">
      <w:pPr>
        <w:rPr>
          <w:szCs w:val="19"/>
          <w:shd w:val="clear" w:color="auto" w:fill="FFFFFF"/>
          <w:lang w:val="en-GB"/>
        </w:rPr>
      </w:pPr>
    </w:p>
    <w:p w14:paraId="0F5558BD" w14:textId="77777777" w:rsidR="007E02D8" w:rsidRDefault="007E02D8" w:rsidP="0046503D">
      <w:pPr>
        <w:rPr>
          <w:szCs w:val="19"/>
          <w:shd w:val="clear" w:color="auto" w:fill="FFFFFF"/>
          <w:lang w:val="en-GB"/>
        </w:rPr>
      </w:pPr>
    </w:p>
    <w:p w14:paraId="47844B4F" w14:textId="6E2D5CE7" w:rsidR="00694AF0" w:rsidRPr="00257306" w:rsidRDefault="00257306" w:rsidP="0046503D">
      <w:pPr>
        <w:rPr>
          <w:szCs w:val="19"/>
          <w:shd w:val="clear" w:color="auto" w:fill="FFFFFF"/>
          <w:lang w:val="en-GB"/>
        </w:rPr>
        <w:sectPr w:rsidR="00694AF0" w:rsidRPr="00257306" w:rsidSect="00E9286A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257306">
        <w:rPr>
          <w:szCs w:val="19"/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</w:t>
      </w:r>
      <w:r>
        <w:rPr>
          <w:szCs w:val="19"/>
          <w:shd w:val="clear" w:color="auto" w:fill="FFFFFF"/>
          <w:lang w:val="en-GB"/>
        </w:rPr>
        <w:t>res from Statistics Poland”.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02D8" w14:paraId="2A8C1537" w14:textId="77777777" w:rsidTr="002F0239">
        <w:trPr>
          <w:trHeight w:val="1626"/>
        </w:trPr>
        <w:tc>
          <w:tcPr>
            <w:tcW w:w="4926" w:type="dxa"/>
          </w:tcPr>
          <w:p w14:paraId="24C4749C" w14:textId="77777777" w:rsidR="007E02D8" w:rsidRPr="000E7A1B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FBA39B9" w14:textId="5E2E8874" w:rsidR="007E02D8" w:rsidRPr="001D2179" w:rsidRDefault="00A63BC0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r:id="rId17" w:tgtFrame="_blank" w:history="1">
              <w:r w:rsidR="007E02D8" w:rsidRPr="001D2179">
                <w:rPr>
                  <w:b/>
                  <w:sz w:val="20"/>
                  <w:lang w:val="en-GB"/>
                </w:rPr>
                <w:t>Statistical Office in</w:t>
              </w:r>
            </w:hyperlink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14:paraId="464538C3" w14:textId="77777777" w:rsidR="007E02D8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14:paraId="689F6069" w14:textId="1E6F6BC6" w:rsidR="007E02D8" w:rsidRPr="000E7A1B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r w:rsidRPr="000E7A1B">
              <w:rPr>
                <w:rFonts w:cs="Arial"/>
                <w:b/>
                <w:sz w:val="20"/>
                <w:lang w:val="en-GB"/>
              </w:rPr>
              <w:t xml:space="preserve">Director </w:t>
            </w:r>
            <w:r w:rsidR="00A47EBA">
              <w:rPr>
                <w:rFonts w:cs="Arial"/>
                <w:b/>
                <w:sz w:val="20"/>
                <w:lang w:val="en-GB"/>
              </w:rPr>
              <w:t>Krzysztof Markowski</w:t>
            </w:r>
          </w:p>
          <w:p w14:paraId="4542989A" w14:textId="2DA8D1FA" w:rsidR="007E02D8" w:rsidRPr="00FF3B5B" w:rsidRDefault="007E02D8" w:rsidP="002F0239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81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20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A47EBA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14:paraId="26E51A79" w14:textId="77777777" w:rsidR="007E02D8" w:rsidRPr="00AB24E4" w:rsidRDefault="007E02D8" w:rsidP="002F0239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14:paraId="3E355538" w14:textId="77777777" w:rsidR="007E02D8" w:rsidRPr="00A4625F" w:rsidRDefault="007E02D8" w:rsidP="002F0239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The </w:t>
            </w:r>
            <w:r w:rsidRPr="00B55DAB">
              <w:rPr>
                <w:rFonts w:cs="Arial"/>
                <w:b/>
                <w:sz w:val="20"/>
                <w:lang w:val="en-GB"/>
              </w:rPr>
              <w:t>Spokesperson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for the </w:t>
            </w:r>
            <w:r w:rsidRPr="00B55DAB">
              <w:rPr>
                <w:rFonts w:cs="Arial"/>
                <w:b/>
                <w:sz w:val="20"/>
                <w:lang w:val="en-GB"/>
              </w:rPr>
              <w:t>President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</w:t>
            </w:r>
            <w:r w:rsidRPr="00A4625F">
              <w:rPr>
                <w:rFonts w:cs="Arial"/>
                <w:b/>
                <w:sz w:val="20"/>
                <w:lang w:val="en-GB"/>
              </w:rPr>
              <w:br/>
              <w:t xml:space="preserve">of </w:t>
            </w:r>
            <w:r w:rsidRPr="00B55DAB">
              <w:rPr>
                <w:rFonts w:cs="Arial"/>
                <w:b/>
                <w:sz w:val="20"/>
                <w:lang w:val="en-GB"/>
              </w:rPr>
              <w:t>Statistics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Poland</w:t>
            </w:r>
          </w:p>
          <w:p w14:paraId="1F132734" w14:textId="77777777" w:rsidR="007E02D8" w:rsidRPr="004A1D19" w:rsidRDefault="007E02D8" w:rsidP="002F0239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CD3B1E9" w14:textId="77777777" w:rsidR="007E02D8" w:rsidRPr="004A1D19" w:rsidRDefault="007E02D8" w:rsidP="002F0239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CD0869">
              <w:rPr>
                <w:rFonts w:ascii="Fira Sans" w:hAnsi="Fira Sans" w:cs="Arial"/>
                <w:color w:val="auto"/>
                <w:sz w:val="20"/>
                <w:lang w:val="fi-FI"/>
              </w:rPr>
              <w:t>: (+48) 695 255 011</w:t>
            </w:r>
          </w:p>
          <w:p w14:paraId="205CFE14" w14:textId="77777777" w:rsidR="007E02D8" w:rsidRDefault="007E02D8" w:rsidP="002F0239">
            <w:pPr>
              <w:rPr>
                <w:sz w:val="18"/>
              </w:rPr>
            </w:pPr>
          </w:p>
        </w:tc>
      </w:tr>
      <w:tr w:rsidR="007E02D8" w:rsidRPr="005047F8" w14:paraId="528C155A" w14:textId="77777777" w:rsidTr="002F0239">
        <w:trPr>
          <w:trHeight w:val="418"/>
        </w:trPr>
        <w:tc>
          <w:tcPr>
            <w:tcW w:w="4926" w:type="dxa"/>
            <w:vMerge w:val="restart"/>
          </w:tcPr>
          <w:p w14:paraId="5B16B18D" w14:textId="77777777" w:rsidR="007E02D8" w:rsidRPr="000E7A1B" w:rsidRDefault="007E02D8" w:rsidP="002F0239">
            <w:pPr>
              <w:rPr>
                <w:b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Press Office</w:t>
            </w:r>
          </w:p>
          <w:p w14:paraId="10A64E82" w14:textId="77777777" w:rsidR="007E02D8" w:rsidRPr="001A4621" w:rsidRDefault="007E02D8" w:rsidP="002F0239">
            <w:pPr>
              <w:rPr>
                <w:sz w:val="20"/>
                <w:lang w:val="en-GB"/>
              </w:rPr>
            </w:pPr>
            <w:r>
              <w:rPr>
                <w:rFonts w:cs="Arial"/>
                <w:sz w:val="20"/>
                <w:szCs w:val="24"/>
                <w:lang w:val="fi-FI"/>
              </w:rPr>
              <w:t>Phone:</w:t>
            </w:r>
            <w:r w:rsidRPr="001A4621">
              <w:rPr>
                <w:rFonts w:cs="Arial"/>
                <w:sz w:val="20"/>
                <w:szCs w:val="24"/>
                <w:lang w:val="fi-FI"/>
              </w:rPr>
              <w:t xml:space="preserve"> (+48 22) </w:t>
            </w:r>
            <w:r w:rsidRPr="001A4621">
              <w:rPr>
                <w:sz w:val="20"/>
                <w:lang w:val="en-GB"/>
              </w:rPr>
              <w:t xml:space="preserve">608 38 04 </w:t>
            </w:r>
          </w:p>
          <w:p w14:paraId="571E945C" w14:textId="77777777" w:rsidR="007E02D8" w:rsidRPr="00F05FC7" w:rsidRDefault="007E02D8" w:rsidP="002F0239">
            <w:pPr>
              <w:rPr>
                <w:sz w:val="18"/>
                <w:lang w:val="en-US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r:id="rId18" w:history="1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4B2E8408" w14:textId="77777777" w:rsidR="007E02D8" w:rsidRPr="00A4625F" w:rsidRDefault="007E02D8" w:rsidP="002F0239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6EB873B" wp14:editId="04AFB5C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14:paraId="6FE59F17" w14:textId="77777777" w:rsidTr="002F0239">
        <w:trPr>
          <w:trHeight w:val="418"/>
        </w:trPr>
        <w:tc>
          <w:tcPr>
            <w:tcW w:w="4926" w:type="dxa"/>
            <w:vMerge/>
          </w:tcPr>
          <w:p w14:paraId="631BED7E" w14:textId="77777777" w:rsidR="007E02D8" w:rsidRPr="00A4625F" w:rsidRDefault="007E02D8" w:rsidP="002F0239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172E5C5" w14:textId="77777777" w:rsidR="007E02D8" w:rsidRDefault="007E02D8" w:rsidP="002F023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63DC865A" wp14:editId="1E1B115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E02D8" w14:paraId="4AA5751D" w14:textId="77777777" w:rsidTr="002F0239">
        <w:trPr>
          <w:trHeight w:val="418"/>
        </w:trPr>
        <w:tc>
          <w:tcPr>
            <w:tcW w:w="4926" w:type="dxa"/>
            <w:vMerge/>
          </w:tcPr>
          <w:p w14:paraId="57151E1B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030C940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0F755754" wp14:editId="23A3FCB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14:paraId="4DBF6F6A" w14:textId="77777777" w:rsidTr="002F0239">
        <w:trPr>
          <w:trHeight w:val="418"/>
        </w:trPr>
        <w:tc>
          <w:tcPr>
            <w:tcW w:w="4926" w:type="dxa"/>
            <w:vMerge/>
          </w:tcPr>
          <w:p w14:paraId="488AC3B5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E82DF5B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6523ECF2" wp14:editId="2E45FDA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02D8" w14:paraId="53D37E7C" w14:textId="77777777" w:rsidTr="002F0239">
        <w:trPr>
          <w:trHeight w:val="418"/>
        </w:trPr>
        <w:tc>
          <w:tcPr>
            <w:tcW w:w="4926" w:type="dxa"/>
            <w:vMerge/>
          </w:tcPr>
          <w:p w14:paraId="442208AE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B3C683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4E2074D6" wp14:editId="4E2F240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02D8" w14:paraId="501A43E0" w14:textId="77777777" w:rsidTr="002F0239">
        <w:trPr>
          <w:trHeight w:val="953"/>
        </w:trPr>
        <w:tc>
          <w:tcPr>
            <w:tcW w:w="4926" w:type="dxa"/>
            <w:vMerge/>
          </w:tcPr>
          <w:p w14:paraId="73A82E4A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604C585" w14:textId="77777777" w:rsidR="007E02D8" w:rsidRDefault="007E02D8" w:rsidP="002F0239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1865580" wp14:editId="198AB60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14:paraId="3E49F93E" w14:textId="77777777" w:rsidTr="002F0239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AAAC9EF" w14:textId="77777777" w:rsidR="007E02D8" w:rsidRPr="00B55DAB" w:rsidRDefault="007E02D8" w:rsidP="002F0239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14:paraId="393A9FAC" w14:textId="3C869D17" w:rsidR="0045506B" w:rsidRPr="005E4843" w:rsidRDefault="0045506B" w:rsidP="0045506B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14:paraId="190C4F05" w14:textId="33E3502E" w:rsidR="0045506B" w:rsidRPr="005E4843" w:rsidRDefault="0045506B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r:id="rId25" w:tooltip="Internet link to &quot;Socio-economic situation of the country&quot;" w:history="1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14:paraId="169B323E" w14:textId="78546C32" w:rsidR="0045506B" w:rsidRPr="005E4843" w:rsidRDefault="00A63BC0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6" w:tooltip="Internet link to &quot;Construction results in 2020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14:paraId="4EF7A59B" w14:textId="17CDD499" w:rsidR="007E02D8" w:rsidRPr="00B55DAB" w:rsidRDefault="0045506B" w:rsidP="0045506B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="007E02D8" w:rsidRPr="00B55DAB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14:paraId="6F79BEB1" w14:textId="24A4E03B" w:rsidR="0045506B" w:rsidRPr="005E4843" w:rsidRDefault="00A63BC0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7" w:tooltip="Internet link to Knowledge Databases Construction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Construction</w:t>
              </w:r>
            </w:hyperlink>
          </w:p>
          <w:p w14:paraId="2C95890F" w14:textId="44AD6C4F" w:rsidR="0045506B" w:rsidRPr="005E4843" w:rsidRDefault="00A63BC0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8" w:tooltip="Internet link to Local Data Bank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14:paraId="42CCC631" w14:textId="7FB7C88E" w:rsidR="007E02D8" w:rsidRPr="00B55DAB" w:rsidRDefault="007E02D8" w:rsidP="002F0239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14:paraId="7E474CB7" w14:textId="4C45C780" w:rsidR="0045506B" w:rsidRPr="005E4843" w:rsidRDefault="00A63BC0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9" w:tooltip="Internet link to Glossary of statistical terms, headword &quot;Dwellings for which permits have been granted or which have been registered with a construction project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14:paraId="1057108E" w14:textId="7748D173" w:rsidR="0045506B" w:rsidRPr="005E4843" w:rsidRDefault="00A63BC0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0" w:tooltip="Internet link to Glossary of statistical terms, headword &quot;Dwellings in which construction begun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r:id="rId31" w:history="1"/>
          </w:p>
          <w:p w14:paraId="7722C5AA" w14:textId="435FCE24" w:rsidR="0045506B" w:rsidRPr="005E4843" w:rsidRDefault="00A63BC0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2" w:tooltip="Internet link to Glossary of statistical terms, headword &quot;Dwellings completed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14:paraId="58FFC111" w14:textId="3BEC961B" w:rsidR="007E02D8" w:rsidRPr="00417835" w:rsidRDefault="007E02D8" w:rsidP="002F0239">
            <w:pPr>
              <w:rPr>
                <w:rStyle w:val="Hipercze"/>
              </w:rPr>
            </w:pPr>
          </w:p>
          <w:p w14:paraId="669E7C92" w14:textId="77777777" w:rsidR="007E02D8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91DCD3F" w14:textId="77777777" w:rsidR="007E02D8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3757CC6B" w14:textId="77777777" w:rsidR="007E02D8" w:rsidRPr="00876479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080FA477" w14:textId="48ECE00C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3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DB6FB" w14:textId="77777777" w:rsidR="00A63BC0" w:rsidRDefault="00A63BC0" w:rsidP="000662E2">
      <w:pPr>
        <w:spacing w:after="0" w:line="240" w:lineRule="auto"/>
      </w:pPr>
      <w:r>
        <w:separator/>
      </w:r>
    </w:p>
  </w:endnote>
  <w:endnote w:type="continuationSeparator" w:id="0">
    <w:p w14:paraId="70783528" w14:textId="77777777" w:rsidR="00A63BC0" w:rsidRDefault="00A63BC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77777777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47F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E4E8CE" w14:textId="77777777" w:rsidR="00574E89" w:rsidRPr="007B4F73" w:rsidRDefault="00574E89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7777777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47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DECD5F" w14:textId="77777777" w:rsidR="00574E89" w:rsidRPr="00CC1C7C" w:rsidRDefault="00574E89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9ACEC" w14:textId="77777777" w:rsidR="00A63BC0" w:rsidRDefault="00A63BC0" w:rsidP="000662E2">
      <w:pPr>
        <w:spacing w:after="0" w:line="240" w:lineRule="auto"/>
      </w:pPr>
      <w:r>
        <w:separator/>
      </w:r>
    </w:p>
  </w:footnote>
  <w:footnote w:type="continuationSeparator" w:id="0">
    <w:p w14:paraId="035EF4D4" w14:textId="77777777" w:rsidR="00A63BC0" w:rsidRDefault="00A63BC0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574E89" w:rsidRPr="008C48C6" w:rsidRDefault="00574E89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9038EF">
        <w:rPr>
          <w:sz w:val="19"/>
          <w:szCs w:val="19"/>
          <w:shd w:val="clear" w:color="auto" w:fill="FFFFFF"/>
          <w:lang w:val="en-GB"/>
        </w:rPr>
        <w:t>Reported data – subject to change upon developing quarterly reports.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80C5A" w14:textId="25E2FD68" w:rsidR="00574E89" w:rsidRDefault="00574E8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1764D1" wp14:editId="4C839CD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1FDF09E6" w:rsidR="00574E89" w:rsidRDefault="0094138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313F1FD1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Date of publication 21.03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44635E7C" w:rsidR="00574E89" w:rsidRPr="00C97596" w:rsidRDefault="00494121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21.03</w:t>
                          </w:r>
                          <w:r w:rsidR="009D4061">
                            <w:rPr>
                              <w:rFonts w:ascii="Fira Sans SemiBold" w:hAnsi="Fira Sans SemiBold"/>
                              <w:color w:val="001D77"/>
                            </w:rPr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e of publication 21.03.2022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" filled="f" stroked="f">
              <v:textbox>
                <w:txbxContent>
                  <w:p w14:paraId="2046DC43" w14:textId="44635E7C" w:rsidR="00574E89" w:rsidRPr="00C97596" w:rsidRDefault="00494121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21.03</w:t>
                    </w:r>
                    <w:r w:rsidR="009D4061">
                      <w:rPr>
                        <w:rFonts w:ascii="Fira Sans SemiBold" w:hAnsi="Fira Sans SemiBold"/>
                        <w:color w:val="001D77"/>
                      </w:rPr>
                      <w:t>.2022</w:t>
                    </w:r>
                  </w:p>
                </w:txbxContent>
              </v:textbox>
            </v:shape>
          </w:pict>
        </mc:Fallback>
      </mc:AlternateContent>
    </w:r>
    <w:r w:rsidR="00574E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7263B80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574E89" w:rsidRPr="003C6C8D" w:rsidRDefault="00574E89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2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574E89" w:rsidRPr="003C6C8D" w:rsidRDefault="00574E89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 w:rsidR="00574E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77F284B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0945D6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970E01"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77777777" w:rsidR="00574E89" w:rsidRDefault="00574E89">
    <w:pPr>
      <w:pStyle w:val="Nagwek"/>
    </w:pPr>
  </w:p>
  <w:p w14:paraId="77A82982" w14:textId="77777777" w:rsidR="00574E89" w:rsidRDefault="00574E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4.5pt;height:124.5pt;visibility:visible;mso-wrap-style:square" o:bullet="t">
        <v:imagedata r:id="rId1" o:title=""/>
      </v:shape>
    </w:pict>
  </w:numPicBullet>
  <w:numPicBullet w:numPicBulletId="1">
    <w:pict>
      <v:shape id="_x0000_i1031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301D"/>
    <w:rsid w:val="00003437"/>
    <w:rsid w:val="00005167"/>
    <w:rsid w:val="0000709F"/>
    <w:rsid w:val="00007996"/>
    <w:rsid w:val="00007BF9"/>
    <w:rsid w:val="00010800"/>
    <w:rsid w:val="000108B8"/>
    <w:rsid w:val="00010A4A"/>
    <w:rsid w:val="00010F9B"/>
    <w:rsid w:val="000111EC"/>
    <w:rsid w:val="00011E33"/>
    <w:rsid w:val="00013599"/>
    <w:rsid w:val="000152F5"/>
    <w:rsid w:val="00016549"/>
    <w:rsid w:val="000169EB"/>
    <w:rsid w:val="00024626"/>
    <w:rsid w:val="00024871"/>
    <w:rsid w:val="000271FB"/>
    <w:rsid w:val="0003236F"/>
    <w:rsid w:val="00033479"/>
    <w:rsid w:val="000348CC"/>
    <w:rsid w:val="00035EA7"/>
    <w:rsid w:val="000363D0"/>
    <w:rsid w:val="000401D6"/>
    <w:rsid w:val="000411F6"/>
    <w:rsid w:val="000441C0"/>
    <w:rsid w:val="000457C6"/>
    <w:rsid w:val="0004582E"/>
    <w:rsid w:val="000470AA"/>
    <w:rsid w:val="0005122F"/>
    <w:rsid w:val="00051868"/>
    <w:rsid w:val="00052A8A"/>
    <w:rsid w:val="00052F03"/>
    <w:rsid w:val="00053190"/>
    <w:rsid w:val="0005394E"/>
    <w:rsid w:val="00054314"/>
    <w:rsid w:val="00057CA1"/>
    <w:rsid w:val="000614C9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34A5"/>
    <w:rsid w:val="00084531"/>
    <w:rsid w:val="00084FCD"/>
    <w:rsid w:val="000869CD"/>
    <w:rsid w:val="00086B7D"/>
    <w:rsid w:val="00086F9F"/>
    <w:rsid w:val="0008718C"/>
    <w:rsid w:val="00087CEB"/>
    <w:rsid w:val="00091E35"/>
    <w:rsid w:val="00093BAC"/>
    <w:rsid w:val="00095A18"/>
    <w:rsid w:val="000A0447"/>
    <w:rsid w:val="000A0B6F"/>
    <w:rsid w:val="000A39FD"/>
    <w:rsid w:val="000A3ACF"/>
    <w:rsid w:val="000A40D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2EA"/>
    <w:rsid w:val="000C570E"/>
    <w:rsid w:val="000D0089"/>
    <w:rsid w:val="000D0D69"/>
    <w:rsid w:val="000D1427"/>
    <w:rsid w:val="000D1A71"/>
    <w:rsid w:val="000D1D43"/>
    <w:rsid w:val="000D225C"/>
    <w:rsid w:val="000D2A5C"/>
    <w:rsid w:val="000D2E0B"/>
    <w:rsid w:val="000D348A"/>
    <w:rsid w:val="000E04F3"/>
    <w:rsid w:val="000E0918"/>
    <w:rsid w:val="000E1F4F"/>
    <w:rsid w:val="000E65E1"/>
    <w:rsid w:val="000F1626"/>
    <w:rsid w:val="000F435D"/>
    <w:rsid w:val="000F445C"/>
    <w:rsid w:val="000F74F0"/>
    <w:rsid w:val="000F7A5A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4472"/>
    <w:rsid w:val="00127C74"/>
    <w:rsid w:val="00130296"/>
    <w:rsid w:val="00133F23"/>
    <w:rsid w:val="00135C93"/>
    <w:rsid w:val="00135E5C"/>
    <w:rsid w:val="00135FC7"/>
    <w:rsid w:val="00136D24"/>
    <w:rsid w:val="00137794"/>
    <w:rsid w:val="001409E1"/>
    <w:rsid w:val="00140E7D"/>
    <w:rsid w:val="001423B6"/>
    <w:rsid w:val="001425F7"/>
    <w:rsid w:val="001448A7"/>
    <w:rsid w:val="00146621"/>
    <w:rsid w:val="00146D85"/>
    <w:rsid w:val="00151460"/>
    <w:rsid w:val="00152273"/>
    <w:rsid w:val="00152A93"/>
    <w:rsid w:val="0015468F"/>
    <w:rsid w:val="00154AC9"/>
    <w:rsid w:val="00154CEA"/>
    <w:rsid w:val="0016126E"/>
    <w:rsid w:val="001616F5"/>
    <w:rsid w:val="00162325"/>
    <w:rsid w:val="001646C4"/>
    <w:rsid w:val="00167EED"/>
    <w:rsid w:val="00175380"/>
    <w:rsid w:val="0017779B"/>
    <w:rsid w:val="00177DD6"/>
    <w:rsid w:val="00177F32"/>
    <w:rsid w:val="00182464"/>
    <w:rsid w:val="00182585"/>
    <w:rsid w:val="001850EA"/>
    <w:rsid w:val="001855B0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58F4"/>
    <w:rsid w:val="001A6EC1"/>
    <w:rsid w:val="001B1CE5"/>
    <w:rsid w:val="001B2850"/>
    <w:rsid w:val="001B4A86"/>
    <w:rsid w:val="001B7948"/>
    <w:rsid w:val="001C1808"/>
    <w:rsid w:val="001C30AD"/>
    <w:rsid w:val="001C3269"/>
    <w:rsid w:val="001C3694"/>
    <w:rsid w:val="001C42F9"/>
    <w:rsid w:val="001C4A49"/>
    <w:rsid w:val="001C5029"/>
    <w:rsid w:val="001C50CA"/>
    <w:rsid w:val="001D03B4"/>
    <w:rsid w:val="001D087B"/>
    <w:rsid w:val="001D112D"/>
    <w:rsid w:val="001D1DB4"/>
    <w:rsid w:val="001D270F"/>
    <w:rsid w:val="001D2AD6"/>
    <w:rsid w:val="001D508C"/>
    <w:rsid w:val="001D7052"/>
    <w:rsid w:val="001D7244"/>
    <w:rsid w:val="001D7448"/>
    <w:rsid w:val="001E307A"/>
    <w:rsid w:val="001E3ACC"/>
    <w:rsid w:val="001E475A"/>
    <w:rsid w:val="001E64AD"/>
    <w:rsid w:val="001F1170"/>
    <w:rsid w:val="001F31BD"/>
    <w:rsid w:val="001F3686"/>
    <w:rsid w:val="001F5873"/>
    <w:rsid w:val="001F649C"/>
    <w:rsid w:val="00202E71"/>
    <w:rsid w:val="002030BE"/>
    <w:rsid w:val="002034A6"/>
    <w:rsid w:val="00203BDB"/>
    <w:rsid w:val="002040E0"/>
    <w:rsid w:val="00207BF8"/>
    <w:rsid w:val="00211FA7"/>
    <w:rsid w:val="002123EA"/>
    <w:rsid w:val="00212787"/>
    <w:rsid w:val="00216F21"/>
    <w:rsid w:val="00217D5E"/>
    <w:rsid w:val="00223849"/>
    <w:rsid w:val="00224A09"/>
    <w:rsid w:val="00224D54"/>
    <w:rsid w:val="00237220"/>
    <w:rsid w:val="00237A99"/>
    <w:rsid w:val="00243A60"/>
    <w:rsid w:val="00244842"/>
    <w:rsid w:val="002452B8"/>
    <w:rsid w:val="00246441"/>
    <w:rsid w:val="00247F97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524A"/>
    <w:rsid w:val="00270874"/>
    <w:rsid w:val="0027193F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29A6"/>
    <w:rsid w:val="002A42E3"/>
    <w:rsid w:val="002A4348"/>
    <w:rsid w:val="002B0009"/>
    <w:rsid w:val="002B0472"/>
    <w:rsid w:val="002B04B3"/>
    <w:rsid w:val="002B0D68"/>
    <w:rsid w:val="002B0FE9"/>
    <w:rsid w:val="002B18C6"/>
    <w:rsid w:val="002B1FCD"/>
    <w:rsid w:val="002B42CC"/>
    <w:rsid w:val="002B6593"/>
    <w:rsid w:val="002B6B12"/>
    <w:rsid w:val="002B6B7B"/>
    <w:rsid w:val="002C1E44"/>
    <w:rsid w:val="002C2695"/>
    <w:rsid w:val="002C35CD"/>
    <w:rsid w:val="002C39C1"/>
    <w:rsid w:val="002C424B"/>
    <w:rsid w:val="002C751B"/>
    <w:rsid w:val="002D2ECD"/>
    <w:rsid w:val="002D6990"/>
    <w:rsid w:val="002D6C7A"/>
    <w:rsid w:val="002E13A8"/>
    <w:rsid w:val="002E1E0B"/>
    <w:rsid w:val="002E3590"/>
    <w:rsid w:val="002E462D"/>
    <w:rsid w:val="002E5ABC"/>
    <w:rsid w:val="002E6140"/>
    <w:rsid w:val="002E6985"/>
    <w:rsid w:val="002E71B6"/>
    <w:rsid w:val="002E727B"/>
    <w:rsid w:val="002E7AB0"/>
    <w:rsid w:val="002F1F42"/>
    <w:rsid w:val="002F2C84"/>
    <w:rsid w:val="002F2E8D"/>
    <w:rsid w:val="002F77C8"/>
    <w:rsid w:val="0030115B"/>
    <w:rsid w:val="003029E3"/>
    <w:rsid w:val="00303D96"/>
    <w:rsid w:val="00304F22"/>
    <w:rsid w:val="00306C7C"/>
    <w:rsid w:val="00313E16"/>
    <w:rsid w:val="00314007"/>
    <w:rsid w:val="0031409D"/>
    <w:rsid w:val="00315805"/>
    <w:rsid w:val="00317C29"/>
    <w:rsid w:val="00320924"/>
    <w:rsid w:val="0032276A"/>
    <w:rsid w:val="003228C1"/>
    <w:rsid w:val="00322EDD"/>
    <w:rsid w:val="003231A1"/>
    <w:rsid w:val="003244EC"/>
    <w:rsid w:val="0033001D"/>
    <w:rsid w:val="00332263"/>
    <w:rsid w:val="00332320"/>
    <w:rsid w:val="00332CA8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C1F"/>
    <w:rsid w:val="00347D72"/>
    <w:rsid w:val="00352354"/>
    <w:rsid w:val="003523EB"/>
    <w:rsid w:val="003557A1"/>
    <w:rsid w:val="003563AE"/>
    <w:rsid w:val="00357611"/>
    <w:rsid w:val="003613E6"/>
    <w:rsid w:val="003621DC"/>
    <w:rsid w:val="00362216"/>
    <w:rsid w:val="003627FC"/>
    <w:rsid w:val="003646B3"/>
    <w:rsid w:val="00365663"/>
    <w:rsid w:val="00365F22"/>
    <w:rsid w:val="00367237"/>
    <w:rsid w:val="003674D8"/>
    <w:rsid w:val="0037077F"/>
    <w:rsid w:val="00371C7E"/>
    <w:rsid w:val="00372328"/>
    <w:rsid w:val="00372B16"/>
    <w:rsid w:val="0037385E"/>
    <w:rsid w:val="00373882"/>
    <w:rsid w:val="00375215"/>
    <w:rsid w:val="00381DB4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6499"/>
    <w:rsid w:val="003969D1"/>
    <w:rsid w:val="00397D18"/>
    <w:rsid w:val="003A09C1"/>
    <w:rsid w:val="003A18A4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4D4B"/>
    <w:rsid w:val="003B5AC1"/>
    <w:rsid w:val="003B6350"/>
    <w:rsid w:val="003B7573"/>
    <w:rsid w:val="003C0487"/>
    <w:rsid w:val="003C0C8F"/>
    <w:rsid w:val="003C1155"/>
    <w:rsid w:val="003C1BFD"/>
    <w:rsid w:val="003C34BC"/>
    <w:rsid w:val="003C59E0"/>
    <w:rsid w:val="003C6C8D"/>
    <w:rsid w:val="003C75D4"/>
    <w:rsid w:val="003D0A95"/>
    <w:rsid w:val="003D3374"/>
    <w:rsid w:val="003D4820"/>
    <w:rsid w:val="003D4F95"/>
    <w:rsid w:val="003D5465"/>
    <w:rsid w:val="003D5833"/>
    <w:rsid w:val="003D5F42"/>
    <w:rsid w:val="003D60A9"/>
    <w:rsid w:val="003D6FE0"/>
    <w:rsid w:val="003D795B"/>
    <w:rsid w:val="003D7C6F"/>
    <w:rsid w:val="003E0F23"/>
    <w:rsid w:val="003E3031"/>
    <w:rsid w:val="003E3A04"/>
    <w:rsid w:val="003F13A9"/>
    <w:rsid w:val="003F19F4"/>
    <w:rsid w:val="003F3B3C"/>
    <w:rsid w:val="003F4C97"/>
    <w:rsid w:val="003F53CA"/>
    <w:rsid w:val="003F68D3"/>
    <w:rsid w:val="003F7ED6"/>
    <w:rsid w:val="003F7FE6"/>
    <w:rsid w:val="00400193"/>
    <w:rsid w:val="00401DB3"/>
    <w:rsid w:val="004045B4"/>
    <w:rsid w:val="00406BFF"/>
    <w:rsid w:val="00412461"/>
    <w:rsid w:val="004130BC"/>
    <w:rsid w:val="004132CC"/>
    <w:rsid w:val="00417F0D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3F1E"/>
    <w:rsid w:val="00444B75"/>
    <w:rsid w:val="00445047"/>
    <w:rsid w:val="004466B1"/>
    <w:rsid w:val="00450A42"/>
    <w:rsid w:val="00450E62"/>
    <w:rsid w:val="0045309B"/>
    <w:rsid w:val="00454004"/>
    <w:rsid w:val="0045506B"/>
    <w:rsid w:val="00456EF1"/>
    <w:rsid w:val="0046238A"/>
    <w:rsid w:val="00462D3F"/>
    <w:rsid w:val="0046324F"/>
    <w:rsid w:val="00463E39"/>
    <w:rsid w:val="00464D4F"/>
    <w:rsid w:val="0046503D"/>
    <w:rsid w:val="004652C2"/>
    <w:rsid w:val="004657A9"/>
    <w:rsid w:val="004657FC"/>
    <w:rsid w:val="00467905"/>
    <w:rsid w:val="00467EFF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A6"/>
    <w:rsid w:val="004862B6"/>
    <w:rsid w:val="0049056D"/>
    <w:rsid w:val="0049115E"/>
    <w:rsid w:val="00494121"/>
    <w:rsid w:val="004949CA"/>
    <w:rsid w:val="00495B6E"/>
    <w:rsid w:val="0049621B"/>
    <w:rsid w:val="00497680"/>
    <w:rsid w:val="00497FB5"/>
    <w:rsid w:val="004A3A9A"/>
    <w:rsid w:val="004A4E61"/>
    <w:rsid w:val="004A7498"/>
    <w:rsid w:val="004B05FE"/>
    <w:rsid w:val="004B638F"/>
    <w:rsid w:val="004B68FC"/>
    <w:rsid w:val="004C012E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2155"/>
    <w:rsid w:val="004E377B"/>
    <w:rsid w:val="004E4BB8"/>
    <w:rsid w:val="004E6F53"/>
    <w:rsid w:val="004F0C3C"/>
    <w:rsid w:val="004F33FB"/>
    <w:rsid w:val="004F4FCA"/>
    <w:rsid w:val="004F63FC"/>
    <w:rsid w:val="004F6903"/>
    <w:rsid w:val="00500D10"/>
    <w:rsid w:val="005023D5"/>
    <w:rsid w:val="005047F8"/>
    <w:rsid w:val="00505433"/>
    <w:rsid w:val="00505A92"/>
    <w:rsid w:val="00507A17"/>
    <w:rsid w:val="00507D43"/>
    <w:rsid w:val="00510FCF"/>
    <w:rsid w:val="0051287F"/>
    <w:rsid w:val="0051647C"/>
    <w:rsid w:val="005201F8"/>
    <w:rsid w:val="005203F1"/>
    <w:rsid w:val="00521ABB"/>
    <w:rsid w:val="00521BC3"/>
    <w:rsid w:val="00522606"/>
    <w:rsid w:val="0052510F"/>
    <w:rsid w:val="00525CAC"/>
    <w:rsid w:val="00527B0C"/>
    <w:rsid w:val="00527BA1"/>
    <w:rsid w:val="00533632"/>
    <w:rsid w:val="005352B1"/>
    <w:rsid w:val="00536E29"/>
    <w:rsid w:val="005378A0"/>
    <w:rsid w:val="005415DA"/>
    <w:rsid w:val="0054251F"/>
    <w:rsid w:val="00542771"/>
    <w:rsid w:val="005430E7"/>
    <w:rsid w:val="005454EF"/>
    <w:rsid w:val="00546790"/>
    <w:rsid w:val="005501C7"/>
    <w:rsid w:val="00550618"/>
    <w:rsid w:val="005520D8"/>
    <w:rsid w:val="00552C60"/>
    <w:rsid w:val="005537BF"/>
    <w:rsid w:val="0055460F"/>
    <w:rsid w:val="00556A1B"/>
    <w:rsid w:val="00556CF1"/>
    <w:rsid w:val="0055770D"/>
    <w:rsid w:val="00561AEB"/>
    <w:rsid w:val="0056331F"/>
    <w:rsid w:val="005676B0"/>
    <w:rsid w:val="005702F8"/>
    <w:rsid w:val="005744C0"/>
    <w:rsid w:val="00574E89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916AB"/>
    <w:rsid w:val="005916D7"/>
    <w:rsid w:val="00592EC6"/>
    <w:rsid w:val="005A30AB"/>
    <w:rsid w:val="005A4C6A"/>
    <w:rsid w:val="005A4E6A"/>
    <w:rsid w:val="005A61DB"/>
    <w:rsid w:val="005A698C"/>
    <w:rsid w:val="005A6F2D"/>
    <w:rsid w:val="005B093B"/>
    <w:rsid w:val="005B0979"/>
    <w:rsid w:val="005B2080"/>
    <w:rsid w:val="005B5EB4"/>
    <w:rsid w:val="005B659C"/>
    <w:rsid w:val="005C16BE"/>
    <w:rsid w:val="005C2FE4"/>
    <w:rsid w:val="005C4A86"/>
    <w:rsid w:val="005C4E91"/>
    <w:rsid w:val="005C7839"/>
    <w:rsid w:val="005D01B4"/>
    <w:rsid w:val="005D23AA"/>
    <w:rsid w:val="005D25AB"/>
    <w:rsid w:val="005D2FB0"/>
    <w:rsid w:val="005D77B4"/>
    <w:rsid w:val="005D7A40"/>
    <w:rsid w:val="005D7D25"/>
    <w:rsid w:val="005E0799"/>
    <w:rsid w:val="005E2974"/>
    <w:rsid w:val="005E3825"/>
    <w:rsid w:val="005E4843"/>
    <w:rsid w:val="005E48B2"/>
    <w:rsid w:val="005E4E00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B9F"/>
    <w:rsid w:val="00616583"/>
    <w:rsid w:val="00620ACB"/>
    <w:rsid w:val="0062187C"/>
    <w:rsid w:val="00621F5F"/>
    <w:rsid w:val="00625029"/>
    <w:rsid w:val="006262B3"/>
    <w:rsid w:val="006263DA"/>
    <w:rsid w:val="006264BA"/>
    <w:rsid w:val="006266F0"/>
    <w:rsid w:val="00626952"/>
    <w:rsid w:val="00626A13"/>
    <w:rsid w:val="00626D87"/>
    <w:rsid w:val="00627CBE"/>
    <w:rsid w:val="006318DA"/>
    <w:rsid w:val="00632DF8"/>
    <w:rsid w:val="00633014"/>
    <w:rsid w:val="0063437B"/>
    <w:rsid w:val="006349AE"/>
    <w:rsid w:val="00642327"/>
    <w:rsid w:val="00642778"/>
    <w:rsid w:val="00645CCC"/>
    <w:rsid w:val="00646D6F"/>
    <w:rsid w:val="00647DE3"/>
    <w:rsid w:val="0065707D"/>
    <w:rsid w:val="00664589"/>
    <w:rsid w:val="00665C38"/>
    <w:rsid w:val="00666C53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790E"/>
    <w:rsid w:val="00690C38"/>
    <w:rsid w:val="00691FC1"/>
    <w:rsid w:val="00694AF0"/>
    <w:rsid w:val="00696CCE"/>
    <w:rsid w:val="006A0E22"/>
    <w:rsid w:val="006A133B"/>
    <w:rsid w:val="006A1938"/>
    <w:rsid w:val="006A37E8"/>
    <w:rsid w:val="006A46FA"/>
    <w:rsid w:val="006A4AA8"/>
    <w:rsid w:val="006B0E9E"/>
    <w:rsid w:val="006B2C7B"/>
    <w:rsid w:val="006B5AE4"/>
    <w:rsid w:val="006B6187"/>
    <w:rsid w:val="006B6263"/>
    <w:rsid w:val="006B6B03"/>
    <w:rsid w:val="006B6D5F"/>
    <w:rsid w:val="006C645A"/>
    <w:rsid w:val="006D17B3"/>
    <w:rsid w:val="006D194B"/>
    <w:rsid w:val="006D4054"/>
    <w:rsid w:val="006D5A05"/>
    <w:rsid w:val="006D5ABB"/>
    <w:rsid w:val="006D7F1E"/>
    <w:rsid w:val="006E02EC"/>
    <w:rsid w:val="006E35EE"/>
    <w:rsid w:val="006E4D66"/>
    <w:rsid w:val="006E56A0"/>
    <w:rsid w:val="006E5888"/>
    <w:rsid w:val="006E5F08"/>
    <w:rsid w:val="006E6053"/>
    <w:rsid w:val="006E6C7B"/>
    <w:rsid w:val="006F3F3D"/>
    <w:rsid w:val="006F5EF5"/>
    <w:rsid w:val="00700FC6"/>
    <w:rsid w:val="007039DD"/>
    <w:rsid w:val="00704521"/>
    <w:rsid w:val="00707935"/>
    <w:rsid w:val="00710A0B"/>
    <w:rsid w:val="00710C03"/>
    <w:rsid w:val="007120F9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857"/>
    <w:rsid w:val="00734924"/>
    <w:rsid w:val="00734C04"/>
    <w:rsid w:val="00741554"/>
    <w:rsid w:val="007418AC"/>
    <w:rsid w:val="007432DC"/>
    <w:rsid w:val="00746187"/>
    <w:rsid w:val="00746A9F"/>
    <w:rsid w:val="0075636C"/>
    <w:rsid w:val="007571FA"/>
    <w:rsid w:val="007573AD"/>
    <w:rsid w:val="00760FC2"/>
    <w:rsid w:val="0076254F"/>
    <w:rsid w:val="00763711"/>
    <w:rsid w:val="00764DF2"/>
    <w:rsid w:val="00766AF6"/>
    <w:rsid w:val="007702BD"/>
    <w:rsid w:val="0077058F"/>
    <w:rsid w:val="00770725"/>
    <w:rsid w:val="0077078E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6124"/>
    <w:rsid w:val="0079134B"/>
    <w:rsid w:val="007927C9"/>
    <w:rsid w:val="0079437B"/>
    <w:rsid w:val="0079498A"/>
    <w:rsid w:val="0079514B"/>
    <w:rsid w:val="00797294"/>
    <w:rsid w:val="007A0D24"/>
    <w:rsid w:val="007A1014"/>
    <w:rsid w:val="007A2C85"/>
    <w:rsid w:val="007A2DC1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2881"/>
    <w:rsid w:val="007C2C9F"/>
    <w:rsid w:val="007C3CC8"/>
    <w:rsid w:val="007C58D3"/>
    <w:rsid w:val="007C6C81"/>
    <w:rsid w:val="007C792E"/>
    <w:rsid w:val="007D3319"/>
    <w:rsid w:val="007D335D"/>
    <w:rsid w:val="007D6458"/>
    <w:rsid w:val="007E02D8"/>
    <w:rsid w:val="007E1643"/>
    <w:rsid w:val="007E3314"/>
    <w:rsid w:val="007E4736"/>
    <w:rsid w:val="007E4B03"/>
    <w:rsid w:val="007E58A2"/>
    <w:rsid w:val="007E7CE3"/>
    <w:rsid w:val="007E7D97"/>
    <w:rsid w:val="007F0C1A"/>
    <w:rsid w:val="007F1098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014"/>
    <w:rsid w:val="00804C08"/>
    <w:rsid w:val="0080553C"/>
    <w:rsid w:val="00805B46"/>
    <w:rsid w:val="00813014"/>
    <w:rsid w:val="00815E57"/>
    <w:rsid w:val="00820D18"/>
    <w:rsid w:val="00820FB9"/>
    <w:rsid w:val="00821C1C"/>
    <w:rsid w:val="008235EC"/>
    <w:rsid w:val="00825DC2"/>
    <w:rsid w:val="00834AD3"/>
    <w:rsid w:val="00836CD7"/>
    <w:rsid w:val="00837231"/>
    <w:rsid w:val="00841E19"/>
    <w:rsid w:val="00841FC9"/>
    <w:rsid w:val="008433EE"/>
    <w:rsid w:val="00843795"/>
    <w:rsid w:val="00843B16"/>
    <w:rsid w:val="00846DBD"/>
    <w:rsid w:val="00846E9E"/>
    <w:rsid w:val="00847F0F"/>
    <w:rsid w:val="008500B1"/>
    <w:rsid w:val="00852448"/>
    <w:rsid w:val="00853635"/>
    <w:rsid w:val="0085445D"/>
    <w:rsid w:val="00854717"/>
    <w:rsid w:val="00856FE3"/>
    <w:rsid w:val="00857B21"/>
    <w:rsid w:val="00860518"/>
    <w:rsid w:val="00860F7B"/>
    <w:rsid w:val="00861C75"/>
    <w:rsid w:val="00863E09"/>
    <w:rsid w:val="008646DA"/>
    <w:rsid w:val="00866416"/>
    <w:rsid w:val="0087438B"/>
    <w:rsid w:val="0088258A"/>
    <w:rsid w:val="00882FBF"/>
    <w:rsid w:val="00883234"/>
    <w:rsid w:val="0088355D"/>
    <w:rsid w:val="008843BB"/>
    <w:rsid w:val="00885B26"/>
    <w:rsid w:val="00885F42"/>
    <w:rsid w:val="00886332"/>
    <w:rsid w:val="008873C9"/>
    <w:rsid w:val="00887CDB"/>
    <w:rsid w:val="00887F70"/>
    <w:rsid w:val="00891CF0"/>
    <w:rsid w:val="00893B4E"/>
    <w:rsid w:val="008941E0"/>
    <w:rsid w:val="008948E4"/>
    <w:rsid w:val="00896EB9"/>
    <w:rsid w:val="008A130C"/>
    <w:rsid w:val="008A1C80"/>
    <w:rsid w:val="008A26D9"/>
    <w:rsid w:val="008A2B34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933"/>
    <w:rsid w:val="008F1CC2"/>
    <w:rsid w:val="008F2D53"/>
    <w:rsid w:val="008F3638"/>
    <w:rsid w:val="008F5556"/>
    <w:rsid w:val="008F578D"/>
    <w:rsid w:val="008F5A0F"/>
    <w:rsid w:val="008F6310"/>
    <w:rsid w:val="008F6F31"/>
    <w:rsid w:val="008F74DF"/>
    <w:rsid w:val="009000D6"/>
    <w:rsid w:val="0090079C"/>
    <w:rsid w:val="00901350"/>
    <w:rsid w:val="009038EF"/>
    <w:rsid w:val="00903A58"/>
    <w:rsid w:val="009046F6"/>
    <w:rsid w:val="00905A67"/>
    <w:rsid w:val="00906857"/>
    <w:rsid w:val="00907546"/>
    <w:rsid w:val="009118D4"/>
    <w:rsid w:val="00912608"/>
    <w:rsid w:val="009127BA"/>
    <w:rsid w:val="0091499D"/>
    <w:rsid w:val="00914AA5"/>
    <w:rsid w:val="0091637A"/>
    <w:rsid w:val="00916639"/>
    <w:rsid w:val="009168D8"/>
    <w:rsid w:val="009222E9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1380"/>
    <w:rsid w:val="00944262"/>
    <w:rsid w:val="009510F1"/>
    <w:rsid w:val="009530DB"/>
    <w:rsid w:val="00953676"/>
    <w:rsid w:val="00954347"/>
    <w:rsid w:val="00954AC7"/>
    <w:rsid w:val="00956313"/>
    <w:rsid w:val="009609A1"/>
    <w:rsid w:val="00960A1C"/>
    <w:rsid w:val="00960A9C"/>
    <w:rsid w:val="00960BE4"/>
    <w:rsid w:val="00961CE9"/>
    <w:rsid w:val="00964B1A"/>
    <w:rsid w:val="009651E5"/>
    <w:rsid w:val="009664CD"/>
    <w:rsid w:val="00967266"/>
    <w:rsid w:val="0096740A"/>
    <w:rsid w:val="00970194"/>
    <w:rsid w:val="009705EE"/>
    <w:rsid w:val="00970E01"/>
    <w:rsid w:val="009729CD"/>
    <w:rsid w:val="00972B83"/>
    <w:rsid w:val="00973F56"/>
    <w:rsid w:val="009742AF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6309"/>
    <w:rsid w:val="009A112C"/>
    <w:rsid w:val="009A4851"/>
    <w:rsid w:val="009A61DB"/>
    <w:rsid w:val="009A6EA0"/>
    <w:rsid w:val="009A7910"/>
    <w:rsid w:val="009B0217"/>
    <w:rsid w:val="009B0770"/>
    <w:rsid w:val="009B382F"/>
    <w:rsid w:val="009B5267"/>
    <w:rsid w:val="009B6361"/>
    <w:rsid w:val="009B7341"/>
    <w:rsid w:val="009B7D46"/>
    <w:rsid w:val="009C0CCF"/>
    <w:rsid w:val="009C1335"/>
    <w:rsid w:val="009C1AB2"/>
    <w:rsid w:val="009C2B30"/>
    <w:rsid w:val="009C36F0"/>
    <w:rsid w:val="009C7251"/>
    <w:rsid w:val="009D2F59"/>
    <w:rsid w:val="009D4061"/>
    <w:rsid w:val="009D5DFA"/>
    <w:rsid w:val="009D785B"/>
    <w:rsid w:val="009E13F6"/>
    <w:rsid w:val="009E19F6"/>
    <w:rsid w:val="009E1F94"/>
    <w:rsid w:val="009E29C3"/>
    <w:rsid w:val="009E2E91"/>
    <w:rsid w:val="009E3371"/>
    <w:rsid w:val="009E6202"/>
    <w:rsid w:val="009F0127"/>
    <w:rsid w:val="009F16E7"/>
    <w:rsid w:val="009F1C77"/>
    <w:rsid w:val="009F1CDB"/>
    <w:rsid w:val="009F200F"/>
    <w:rsid w:val="009F3C8A"/>
    <w:rsid w:val="009F4CF9"/>
    <w:rsid w:val="009F686F"/>
    <w:rsid w:val="00A00250"/>
    <w:rsid w:val="00A00C56"/>
    <w:rsid w:val="00A00F1A"/>
    <w:rsid w:val="00A01686"/>
    <w:rsid w:val="00A02ED8"/>
    <w:rsid w:val="00A035BA"/>
    <w:rsid w:val="00A05A3A"/>
    <w:rsid w:val="00A05EE7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90"/>
    <w:rsid w:val="00A27763"/>
    <w:rsid w:val="00A309AB"/>
    <w:rsid w:val="00A31D21"/>
    <w:rsid w:val="00A31F52"/>
    <w:rsid w:val="00A33759"/>
    <w:rsid w:val="00A342B4"/>
    <w:rsid w:val="00A365F4"/>
    <w:rsid w:val="00A3775D"/>
    <w:rsid w:val="00A40D16"/>
    <w:rsid w:val="00A4219B"/>
    <w:rsid w:val="00A4223C"/>
    <w:rsid w:val="00A4333F"/>
    <w:rsid w:val="00A453D6"/>
    <w:rsid w:val="00A45EB1"/>
    <w:rsid w:val="00A4625F"/>
    <w:rsid w:val="00A47D80"/>
    <w:rsid w:val="00A47EBA"/>
    <w:rsid w:val="00A51E03"/>
    <w:rsid w:val="00A521F6"/>
    <w:rsid w:val="00A53132"/>
    <w:rsid w:val="00A536D2"/>
    <w:rsid w:val="00A53E7E"/>
    <w:rsid w:val="00A563F2"/>
    <w:rsid w:val="00A566E8"/>
    <w:rsid w:val="00A569FC"/>
    <w:rsid w:val="00A63BC0"/>
    <w:rsid w:val="00A63CAF"/>
    <w:rsid w:val="00A65560"/>
    <w:rsid w:val="00A664FC"/>
    <w:rsid w:val="00A66E7E"/>
    <w:rsid w:val="00A7208C"/>
    <w:rsid w:val="00A72CF4"/>
    <w:rsid w:val="00A741A0"/>
    <w:rsid w:val="00A810F9"/>
    <w:rsid w:val="00A846D6"/>
    <w:rsid w:val="00A84818"/>
    <w:rsid w:val="00A86ECC"/>
    <w:rsid w:val="00A86FCC"/>
    <w:rsid w:val="00A87439"/>
    <w:rsid w:val="00A87DC7"/>
    <w:rsid w:val="00A91D74"/>
    <w:rsid w:val="00A96DEB"/>
    <w:rsid w:val="00A97466"/>
    <w:rsid w:val="00A97495"/>
    <w:rsid w:val="00AA05AC"/>
    <w:rsid w:val="00AA087A"/>
    <w:rsid w:val="00AA22EE"/>
    <w:rsid w:val="00AA298E"/>
    <w:rsid w:val="00AA3EB6"/>
    <w:rsid w:val="00AA4B7C"/>
    <w:rsid w:val="00AA5069"/>
    <w:rsid w:val="00AA710D"/>
    <w:rsid w:val="00AB0212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3F9F"/>
    <w:rsid w:val="00AD4A4E"/>
    <w:rsid w:val="00AD5C65"/>
    <w:rsid w:val="00AE19DE"/>
    <w:rsid w:val="00AE2B3C"/>
    <w:rsid w:val="00AE2D4B"/>
    <w:rsid w:val="00AE3772"/>
    <w:rsid w:val="00AE3FB3"/>
    <w:rsid w:val="00AE4F99"/>
    <w:rsid w:val="00AE726C"/>
    <w:rsid w:val="00AE7EE2"/>
    <w:rsid w:val="00AF0752"/>
    <w:rsid w:val="00AF19C9"/>
    <w:rsid w:val="00AF72D5"/>
    <w:rsid w:val="00B01B1A"/>
    <w:rsid w:val="00B036BF"/>
    <w:rsid w:val="00B0456F"/>
    <w:rsid w:val="00B052B2"/>
    <w:rsid w:val="00B05C6B"/>
    <w:rsid w:val="00B106B0"/>
    <w:rsid w:val="00B11740"/>
    <w:rsid w:val="00B130CA"/>
    <w:rsid w:val="00B14629"/>
    <w:rsid w:val="00B14952"/>
    <w:rsid w:val="00B166F1"/>
    <w:rsid w:val="00B16CB2"/>
    <w:rsid w:val="00B1769B"/>
    <w:rsid w:val="00B21A70"/>
    <w:rsid w:val="00B21BA7"/>
    <w:rsid w:val="00B21C01"/>
    <w:rsid w:val="00B2646D"/>
    <w:rsid w:val="00B26F7F"/>
    <w:rsid w:val="00B30CCF"/>
    <w:rsid w:val="00B30E2E"/>
    <w:rsid w:val="00B31E5A"/>
    <w:rsid w:val="00B34C4C"/>
    <w:rsid w:val="00B3644A"/>
    <w:rsid w:val="00B37C80"/>
    <w:rsid w:val="00B407D3"/>
    <w:rsid w:val="00B407E7"/>
    <w:rsid w:val="00B413C9"/>
    <w:rsid w:val="00B416AE"/>
    <w:rsid w:val="00B42455"/>
    <w:rsid w:val="00B44C5A"/>
    <w:rsid w:val="00B453D4"/>
    <w:rsid w:val="00B4601E"/>
    <w:rsid w:val="00B465A7"/>
    <w:rsid w:val="00B500C4"/>
    <w:rsid w:val="00B519FF"/>
    <w:rsid w:val="00B5362C"/>
    <w:rsid w:val="00B53935"/>
    <w:rsid w:val="00B55DAB"/>
    <w:rsid w:val="00B55F47"/>
    <w:rsid w:val="00B56724"/>
    <w:rsid w:val="00B6240E"/>
    <w:rsid w:val="00B64363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6621"/>
    <w:rsid w:val="00B769F0"/>
    <w:rsid w:val="00B77062"/>
    <w:rsid w:val="00B77EC9"/>
    <w:rsid w:val="00B80305"/>
    <w:rsid w:val="00B80D90"/>
    <w:rsid w:val="00B82E2D"/>
    <w:rsid w:val="00B847C4"/>
    <w:rsid w:val="00B84896"/>
    <w:rsid w:val="00B86655"/>
    <w:rsid w:val="00B914E9"/>
    <w:rsid w:val="00B93B71"/>
    <w:rsid w:val="00B956EE"/>
    <w:rsid w:val="00B95FA8"/>
    <w:rsid w:val="00B963B0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4BD"/>
    <w:rsid w:val="00BB4F09"/>
    <w:rsid w:val="00BB632D"/>
    <w:rsid w:val="00BC3F05"/>
    <w:rsid w:val="00BC46FE"/>
    <w:rsid w:val="00BC4AAD"/>
    <w:rsid w:val="00BC514E"/>
    <w:rsid w:val="00BC70F1"/>
    <w:rsid w:val="00BD1222"/>
    <w:rsid w:val="00BD1D77"/>
    <w:rsid w:val="00BD2577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7969"/>
    <w:rsid w:val="00BF01CB"/>
    <w:rsid w:val="00BF0335"/>
    <w:rsid w:val="00BF2A76"/>
    <w:rsid w:val="00BF36AA"/>
    <w:rsid w:val="00BF475A"/>
    <w:rsid w:val="00BF61F6"/>
    <w:rsid w:val="00C021FE"/>
    <w:rsid w:val="00C03049"/>
    <w:rsid w:val="00C030DE"/>
    <w:rsid w:val="00C0397D"/>
    <w:rsid w:val="00C05C8B"/>
    <w:rsid w:val="00C158F6"/>
    <w:rsid w:val="00C16ABB"/>
    <w:rsid w:val="00C175B6"/>
    <w:rsid w:val="00C202E0"/>
    <w:rsid w:val="00C2042B"/>
    <w:rsid w:val="00C20CA7"/>
    <w:rsid w:val="00C214E1"/>
    <w:rsid w:val="00C21FA8"/>
    <w:rsid w:val="00C22105"/>
    <w:rsid w:val="00C22EA2"/>
    <w:rsid w:val="00C230EE"/>
    <w:rsid w:val="00C244B6"/>
    <w:rsid w:val="00C31051"/>
    <w:rsid w:val="00C34696"/>
    <w:rsid w:val="00C35DEE"/>
    <w:rsid w:val="00C3702F"/>
    <w:rsid w:val="00C40F4B"/>
    <w:rsid w:val="00C41764"/>
    <w:rsid w:val="00C45997"/>
    <w:rsid w:val="00C46DF3"/>
    <w:rsid w:val="00C47820"/>
    <w:rsid w:val="00C47CE4"/>
    <w:rsid w:val="00C52C74"/>
    <w:rsid w:val="00C5434F"/>
    <w:rsid w:val="00C555C2"/>
    <w:rsid w:val="00C571F3"/>
    <w:rsid w:val="00C57EF3"/>
    <w:rsid w:val="00C60835"/>
    <w:rsid w:val="00C625B8"/>
    <w:rsid w:val="00C62692"/>
    <w:rsid w:val="00C6337B"/>
    <w:rsid w:val="00C64A37"/>
    <w:rsid w:val="00C7158E"/>
    <w:rsid w:val="00C7250B"/>
    <w:rsid w:val="00C733A3"/>
    <w:rsid w:val="00C7346B"/>
    <w:rsid w:val="00C74E74"/>
    <w:rsid w:val="00C769E6"/>
    <w:rsid w:val="00C77C0E"/>
    <w:rsid w:val="00C77D1B"/>
    <w:rsid w:val="00C77DB4"/>
    <w:rsid w:val="00C8094E"/>
    <w:rsid w:val="00C82362"/>
    <w:rsid w:val="00C84740"/>
    <w:rsid w:val="00C84D08"/>
    <w:rsid w:val="00C91687"/>
    <w:rsid w:val="00C924A8"/>
    <w:rsid w:val="00C942FC"/>
    <w:rsid w:val="00C945FE"/>
    <w:rsid w:val="00C94AC8"/>
    <w:rsid w:val="00C96F23"/>
    <w:rsid w:val="00C96FAA"/>
    <w:rsid w:val="00C97A04"/>
    <w:rsid w:val="00CA107B"/>
    <w:rsid w:val="00CA3423"/>
    <w:rsid w:val="00CA38D1"/>
    <w:rsid w:val="00CA484D"/>
    <w:rsid w:val="00CA6109"/>
    <w:rsid w:val="00CA7767"/>
    <w:rsid w:val="00CA7A9B"/>
    <w:rsid w:val="00CA7DBD"/>
    <w:rsid w:val="00CB09AF"/>
    <w:rsid w:val="00CB0BB2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4866"/>
    <w:rsid w:val="00CC739E"/>
    <w:rsid w:val="00CD07B6"/>
    <w:rsid w:val="00CD1C2A"/>
    <w:rsid w:val="00CD26C7"/>
    <w:rsid w:val="00CD44F1"/>
    <w:rsid w:val="00CD5580"/>
    <w:rsid w:val="00CD58B7"/>
    <w:rsid w:val="00CD7B5E"/>
    <w:rsid w:val="00CE0F21"/>
    <w:rsid w:val="00CE124B"/>
    <w:rsid w:val="00CE53E0"/>
    <w:rsid w:val="00CE66F6"/>
    <w:rsid w:val="00CE7F38"/>
    <w:rsid w:val="00CF0172"/>
    <w:rsid w:val="00CF140B"/>
    <w:rsid w:val="00CF2564"/>
    <w:rsid w:val="00CF36C5"/>
    <w:rsid w:val="00CF4099"/>
    <w:rsid w:val="00CF46EE"/>
    <w:rsid w:val="00D00796"/>
    <w:rsid w:val="00D06341"/>
    <w:rsid w:val="00D10E44"/>
    <w:rsid w:val="00D110E3"/>
    <w:rsid w:val="00D14E83"/>
    <w:rsid w:val="00D216F9"/>
    <w:rsid w:val="00D21D71"/>
    <w:rsid w:val="00D242EC"/>
    <w:rsid w:val="00D261A2"/>
    <w:rsid w:val="00D30D5C"/>
    <w:rsid w:val="00D30EF4"/>
    <w:rsid w:val="00D35383"/>
    <w:rsid w:val="00D35C2E"/>
    <w:rsid w:val="00D45A80"/>
    <w:rsid w:val="00D45F1D"/>
    <w:rsid w:val="00D46532"/>
    <w:rsid w:val="00D47F69"/>
    <w:rsid w:val="00D504E4"/>
    <w:rsid w:val="00D536C0"/>
    <w:rsid w:val="00D54185"/>
    <w:rsid w:val="00D54994"/>
    <w:rsid w:val="00D569E3"/>
    <w:rsid w:val="00D616D2"/>
    <w:rsid w:val="00D6223C"/>
    <w:rsid w:val="00D631C8"/>
    <w:rsid w:val="00D63B5F"/>
    <w:rsid w:val="00D66289"/>
    <w:rsid w:val="00D667BC"/>
    <w:rsid w:val="00D67B34"/>
    <w:rsid w:val="00D70EF7"/>
    <w:rsid w:val="00D72B39"/>
    <w:rsid w:val="00D7366A"/>
    <w:rsid w:val="00D737AD"/>
    <w:rsid w:val="00D76E73"/>
    <w:rsid w:val="00D8018C"/>
    <w:rsid w:val="00D81B78"/>
    <w:rsid w:val="00D8211E"/>
    <w:rsid w:val="00D8397C"/>
    <w:rsid w:val="00D83D00"/>
    <w:rsid w:val="00D862D9"/>
    <w:rsid w:val="00D923F1"/>
    <w:rsid w:val="00D92898"/>
    <w:rsid w:val="00D934F6"/>
    <w:rsid w:val="00D93EA6"/>
    <w:rsid w:val="00D941DB"/>
    <w:rsid w:val="00D94EED"/>
    <w:rsid w:val="00D96026"/>
    <w:rsid w:val="00DA26F5"/>
    <w:rsid w:val="00DA5A02"/>
    <w:rsid w:val="00DA7C1C"/>
    <w:rsid w:val="00DB147A"/>
    <w:rsid w:val="00DB1B7A"/>
    <w:rsid w:val="00DB562E"/>
    <w:rsid w:val="00DB65EA"/>
    <w:rsid w:val="00DC0356"/>
    <w:rsid w:val="00DC2850"/>
    <w:rsid w:val="00DC3774"/>
    <w:rsid w:val="00DC6708"/>
    <w:rsid w:val="00DC6D6D"/>
    <w:rsid w:val="00DD1D64"/>
    <w:rsid w:val="00DD20E2"/>
    <w:rsid w:val="00DD21A2"/>
    <w:rsid w:val="00DD2696"/>
    <w:rsid w:val="00DE2711"/>
    <w:rsid w:val="00DE4176"/>
    <w:rsid w:val="00DE6865"/>
    <w:rsid w:val="00DE7D23"/>
    <w:rsid w:val="00DE7DD4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6291"/>
    <w:rsid w:val="00E27154"/>
    <w:rsid w:val="00E31232"/>
    <w:rsid w:val="00E32061"/>
    <w:rsid w:val="00E322C8"/>
    <w:rsid w:val="00E34610"/>
    <w:rsid w:val="00E3705B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0048"/>
    <w:rsid w:val="00E641D0"/>
    <w:rsid w:val="00E661E4"/>
    <w:rsid w:val="00E664C5"/>
    <w:rsid w:val="00E671A2"/>
    <w:rsid w:val="00E67A9D"/>
    <w:rsid w:val="00E71068"/>
    <w:rsid w:val="00E717AF"/>
    <w:rsid w:val="00E724BA"/>
    <w:rsid w:val="00E736D7"/>
    <w:rsid w:val="00E7580A"/>
    <w:rsid w:val="00E75F97"/>
    <w:rsid w:val="00E76D26"/>
    <w:rsid w:val="00E82DBC"/>
    <w:rsid w:val="00E839D0"/>
    <w:rsid w:val="00E873C8"/>
    <w:rsid w:val="00E87A8F"/>
    <w:rsid w:val="00E90AC0"/>
    <w:rsid w:val="00E90F89"/>
    <w:rsid w:val="00E91C42"/>
    <w:rsid w:val="00E9286A"/>
    <w:rsid w:val="00E928D6"/>
    <w:rsid w:val="00E94640"/>
    <w:rsid w:val="00E97E48"/>
    <w:rsid w:val="00EA1333"/>
    <w:rsid w:val="00EA20F6"/>
    <w:rsid w:val="00EA5D60"/>
    <w:rsid w:val="00EA644B"/>
    <w:rsid w:val="00EB1390"/>
    <w:rsid w:val="00EB1C36"/>
    <w:rsid w:val="00EB20CA"/>
    <w:rsid w:val="00EB2C71"/>
    <w:rsid w:val="00EB3907"/>
    <w:rsid w:val="00EB4340"/>
    <w:rsid w:val="00EB556D"/>
    <w:rsid w:val="00EB5A7D"/>
    <w:rsid w:val="00EB6230"/>
    <w:rsid w:val="00EB69AF"/>
    <w:rsid w:val="00EC38C8"/>
    <w:rsid w:val="00EC5BC4"/>
    <w:rsid w:val="00EC7E66"/>
    <w:rsid w:val="00ED04D0"/>
    <w:rsid w:val="00ED2310"/>
    <w:rsid w:val="00ED25CD"/>
    <w:rsid w:val="00ED4B7C"/>
    <w:rsid w:val="00ED55C0"/>
    <w:rsid w:val="00ED682B"/>
    <w:rsid w:val="00ED7983"/>
    <w:rsid w:val="00EE373E"/>
    <w:rsid w:val="00EE41D5"/>
    <w:rsid w:val="00EE7EA3"/>
    <w:rsid w:val="00EF3597"/>
    <w:rsid w:val="00EF6032"/>
    <w:rsid w:val="00EF69B8"/>
    <w:rsid w:val="00EF767E"/>
    <w:rsid w:val="00F037A4"/>
    <w:rsid w:val="00F06543"/>
    <w:rsid w:val="00F11509"/>
    <w:rsid w:val="00F11843"/>
    <w:rsid w:val="00F137F7"/>
    <w:rsid w:val="00F14CD9"/>
    <w:rsid w:val="00F16590"/>
    <w:rsid w:val="00F17D27"/>
    <w:rsid w:val="00F245D9"/>
    <w:rsid w:val="00F25757"/>
    <w:rsid w:val="00F26939"/>
    <w:rsid w:val="00F26991"/>
    <w:rsid w:val="00F272FB"/>
    <w:rsid w:val="00F27301"/>
    <w:rsid w:val="00F27C8F"/>
    <w:rsid w:val="00F300D6"/>
    <w:rsid w:val="00F32749"/>
    <w:rsid w:val="00F32F64"/>
    <w:rsid w:val="00F333CC"/>
    <w:rsid w:val="00F342E0"/>
    <w:rsid w:val="00F35AD5"/>
    <w:rsid w:val="00F37172"/>
    <w:rsid w:val="00F37480"/>
    <w:rsid w:val="00F374DC"/>
    <w:rsid w:val="00F37978"/>
    <w:rsid w:val="00F41AD0"/>
    <w:rsid w:val="00F43757"/>
    <w:rsid w:val="00F4397D"/>
    <w:rsid w:val="00F4477E"/>
    <w:rsid w:val="00F46B76"/>
    <w:rsid w:val="00F52982"/>
    <w:rsid w:val="00F52D79"/>
    <w:rsid w:val="00F54505"/>
    <w:rsid w:val="00F55F41"/>
    <w:rsid w:val="00F56F73"/>
    <w:rsid w:val="00F57745"/>
    <w:rsid w:val="00F6158E"/>
    <w:rsid w:val="00F64AC1"/>
    <w:rsid w:val="00F67D8F"/>
    <w:rsid w:val="00F70272"/>
    <w:rsid w:val="00F70DFA"/>
    <w:rsid w:val="00F74AF8"/>
    <w:rsid w:val="00F75655"/>
    <w:rsid w:val="00F802BE"/>
    <w:rsid w:val="00F81CDA"/>
    <w:rsid w:val="00F830BE"/>
    <w:rsid w:val="00F84A50"/>
    <w:rsid w:val="00F84FEA"/>
    <w:rsid w:val="00F86024"/>
    <w:rsid w:val="00F8611A"/>
    <w:rsid w:val="00F9379A"/>
    <w:rsid w:val="00F94574"/>
    <w:rsid w:val="00F95941"/>
    <w:rsid w:val="00F97730"/>
    <w:rsid w:val="00FA049B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762F"/>
    <w:rsid w:val="00FC2AED"/>
    <w:rsid w:val="00FC3AF5"/>
    <w:rsid w:val="00FC5B45"/>
    <w:rsid w:val="00FC77BB"/>
    <w:rsid w:val="00FD050C"/>
    <w:rsid w:val="00FD0C2F"/>
    <w:rsid w:val="00FD1099"/>
    <w:rsid w:val="00FD19CC"/>
    <w:rsid w:val="00FD5EA7"/>
    <w:rsid w:val="00FE3A83"/>
    <w:rsid w:val="00FE6CB4"/>
    <w:rsid w:val="00FE705C"/>
    <w:rsid w:val="00FF1686"/>
    <w:rsid w:val="00FF37E0"/>
    <w:rsid w:val="00FF4E3F"/>
    <w:rsid w:val="00FF5E10"/>
    <w:rsid w:val="00FF61AB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topics/industry-construction-fixed-assets/construction/publikacja,1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://warszawa.stat.gov.pl/en/" TargetMode="External"/><Relationship Id="rId25" Type="http://schemas.openxmlformats.org/officeDocument/2006/relationships/hyperlink" Target="https://stat.gov.pl/en/topics/other-studies/informations-on-socio-economic-situation/publikacja,1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hyperlink" Target="https://stat.gov.pl/en/metainformation/glossary/terms-used-in-official-statistics/3763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image" Target="media/image11.png"/><Relationship Id="rId32" Type="http://schemas.openxmlformats.org/officeDocument/2006/relationships/hyperlink" Target="https://stat.gov.pl/en/metainformation/glossary/terms-used-in-official-statistics/201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0.png"/><Relationship Id="rId28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31" Type="http://schemas.openxmlformats.org/officeDocument/2006/relationships/hyperlink" Target="http://stat.gov.pl/en/metainformations/glossary/terms-used-in-official-statistics/94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9.png"/><Relationship Id="rId27" Type="http://schemas.openxmlformats.org/officeDocument/2006/relationships/hyperlink" Target="http://swaid.stat.gov.pl/EN/Budownictwo_dashboards/Raporty_predefiniowane/RAP_DBD_BUD_7.aspx" TargetMode="External"/><Relationship Id="rId30" Type="http://schemas.openxmlformats.org/officeDocument/2006/relationships/hyperlink" Target="https://stat.gov.pl/en/metainformation/glossary/terms-used-in-official-statistics/945,term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oweskaa\Desktop\B-06%202022\notatka%20synalna\stycze&#324;\Informacja%20sygnalna%20Budownictwo%20mieszkaniowe_wykres_012022_english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32827518589E-2"/>
          <c:y val="0.14401601226021243"/>
          <c:w val="0.8683723551868533"/>
          <c:h val="0.58932938751783548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Arkusz1!$B$2:$AX$3</c:f>
              <c:multiLvlStrCache>
                <c:ptCount val="49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  <c:pt idx="26">
                    <c:v>03</c:v>
                  </c:pt>
                  <c:pt idx="27">
                    <c:v>04</c:v>
                  </c:pt>
                  <c:pt idx="28">
                    <c:v>05</c:v>
                  </c:pt>
                  <c:pt idx="29">
                    <c:v>06</c:v>
                  </c:pt>
                  <c:pt idx="30">
                    <c:v>07</c:v>
                  </c:pt>
                  <c:pt idx="31">
                    <c:v>08</c:v>
                  </c:pt>
                  <c:pt idx="32">
                    <c:v>09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01</c:v>
                  </c:pt>
                  <c:pt idx="37">
                    <c:v>02</c:v>
                  </c:pt>
                  <c:pt idx="38">
                    <c:v>03</c:v>
                  </c:pt>
                  <c:pt idx="39">
                    <c:v>04</c:v>
                  </c:pt>
                  <c:pt idx="40">
                    <c:v>05</c:v>
                  </c:pt>
                  <c:pt idx="41">
                    <c:v>06</c:v>
                  </c:pt>
                  <c:pt idx="42">
                    <c:v>07</c:v>
                  </c:pt>
                  <c:pt idx="43">
                    <c:v>08</c:v>
                  </c:pt>
                  <c:pt idx="44">
                    <c:v>09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01</c:v>
                  </c:pt>
                </c:lvl>
                <c:lvl>
                  <c:pt idx="6">
                    <c:v>2018</c:v>
                  </c:pt>
                  <c:pt idx="18">
                    <c:v>2019</c:v>
                  </c:pt>
                  <c:pt idx="30">
                    <c:v>2020</c:v>
                  </c:pt>
                  <c:pt idx="42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Arkusz1!$B$4:$AX$4</c:f>
              <c:numCache>
                <c:formatCode>General</c:formatCode>
                <c:ptCount val="49"/>
                <c:pt idx="0">
                  <c:v>15005</c:v>
                </c:pt>
                <c:pt idx="1">
                  <c:v>14921</c:v>
                </c:pt>
                <c:pt idx="2">
                  <c:v>14708</c:v>
                </c:pt>
                <c:pt idx="3">
                  <c:v>13861</c:v>
                </c:pt>
                <c:pt idx="4">
                  <c:v>11972</c:v>
                </c:pt>
                <c:pt idx="5">
                  <c:v>12319</c:v>
                </c:pt>
                <c:pt idx="6" formatCode="#,##0">
                  <c:v>16637</c:v>
                </c:pt>
                <c:pt idx="7" formatCode="#,##0">
                  <c:v>16415</c:v>
                </c:pt>
                <c:pt idx="8" formatCode="#,##0">
                  <c:v>13914</c:v>
                </c:pt>
                <c:pt idx="9" formatCode="#,##0">
                  <c:v>18871</c:v>
                </c:pt>
                <c:pt idx="10" formatCode="#,##0">
                  <c:v>16470</c:v>
                </c:pt>
                <c:pt idx="11" formatCode="#,##0">
                  <c:v>19970</c:v>
                </c:pt>
                <c:pt idx="12" formatCode="#,##0">
                  <c:v>17405</c:v>
                </c:pt>
                <c:pt idx="13" formatCode="#,##0">
                  <c:v>15021</c:v>
                </c:pt>
                <c:pt idx="14">
                  <c:v>14991</c:v>
                </c:pt>
                <c:pt idx="15">
                  <c:v>17673</c:v>
                </c:pt>
                <c:pt idx="16">
                  <c:v>14974</c:v>
                </c:pt>
                <c:pt idx="17">
                  <c:v>14412</c:v>
                </c:pt>
                <c:pt idx="18">
                  <c:v>16908</c:v>
                </c:pt>
                <c:pt idx="19">
                  <c:v>17334</c:v>
                </c:pt>
                <c:pt idx="20">
                  <c:v>16998</c:v>
                </c:pt>
                <c:pt idx="21">
                  <c:v>20592</c:v>
                </c:pt>
                <c:pt idx="22">
                  <c:v>19042</c:v>
                </c:pt>
                <c:pt idx="23">
                  <c:v>22075</c:v>
                </c:pt>
                <c:pt idx="24">
                  <c:v>18501</c:v>
                </c:pt>
                <c:pt idx="25">
                  <c:v>15507</c:v>
                </c:pt>
                <c:pt idx="26">
                  <c:v>15569</c:v>
                </c:pt>
                <c:pt idx="27">
                  <c:v>14116</c:v>
                </c:pt>
                <c:pt idx="28">
                  <c:v>16343</c:v>
                </c:pt>
                <c:pt idx="29">
                  <c:v>17036</c:v>
                </c:pt>
                <c:pt idx="30">
                  <c:v>23648</c:v>
                </c:pt>
                <c:pt idx="31" formatCode="#,##0">
                  <c:v>16183</c:v>
                </c:pt>
                <c:pt idx="32">
                  <c:v>19369</c:v>
                </c:pt>
                <c:pt idx="33">
                  <c:v>20973</c:v>
                </c:pt>
                <c:pt idx="34">
                  <c:v>20560</c:v>
                </c:pt>
                <c:pt idx="35">
                  <c:v>23026</c:v>
                </c:pt>
                <c:pt idx="36" formatCode="#,##0">
                  <c:v>17511</c:v>
                </c:pt>
                <c:pt idx="37" formatCode="#,##0">
                  <c:v>16266</c:v>
                </c:pt>
                <c:pt idx="38">
                  <c:v>19274</c:v>
                </c:pt>
                <c:pt idx="39">
                  <c:v>19108</c:v>
                </c:pt>
                <c:pt idx="40">
                  <c:v>15727</c:v>
                </c:pt>
                <c:pt idx="41">
                  <c:v>17698</c:v>
                </c:pt>
                <c:pt idx="42">
                  <c:v>19116</c:v>
                </c:pt>
                <c:pt idx="43" formatCode="#,##0">
                  <c:v>18544</c:v>
                </c:pt>
                <c:pt idx="44">
                  <c:v>21040</c:v>
                </c:pt>
                <c:pt idx="45">
                  <c:v>19973</c:v>
                </c:pt>
                <c:pt idx="46">
                  <c:v>24108</c:v>
                </c:pt>
                <c:pt idx="47">
                  <c:v>26353</c:v>
                </c:pt>
                <c:pt idx="48">
                  <c:v>15315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Arkusz1!$B$2:$AX$3</c:f>
              <c:multiLvlStrCache>
                <c:ptCount val="49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  <c:pt idx="26">
                    <c:v>03</c:v>
                  </c:pt>
                  <c:pt idx="27">
                    <c:v>04</c:v>
                  </c:pt>
                  <c:pt idx="28">
                    <c:v>05</c:v>
                  </c:pt>
                  <c:pt idx="29">
                    <c:v>06</c:v>
                  </c:pt>
                  <c:pt idx="30">
                    <c:v>07</c:v>
                  </c:pt>
                  <c:pt idx="31">
                    <c:v>08</c:v>
                  </c:pt>
                  <c:pt idx="32">
                    <c:v>09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01</c:v>
                  </c:pt>
                  <c:pt idx="37">
                    <c:v>02</c:v>
                  </c:pt>
                  <c:pt idx="38">
                    <c:v>03</c:v>
                  </c:pt>
                  <c:pt idx="39">
                    <c:v>04</c:v>
                  </c:pt>
                  <c:pt idx="40">
                    <c:v>05</c:v>
                  </c:pt>
                  <c:pt idx="41">
                    <c:v>06</c:v>
                  </c:pt>
                  <c:pt idx="42">
                    <c:v>07</c:v>
                  </c:pt>
                  <c:pt idx="43">
                    <c:v>08</c:v>
                  </c:pt>
                  <c:pt idx="44">
                    <c:v>09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01</c:v>
                  </c:pt>
                </c:lvl>
                <c:lvl>
                  <c:pt idx="6">
                    <c:v>2018</c:v>
                  </c:pt>
                  <c:pt idx="18">
                    <c:v>2019</c:v>
                  </c:pt>
                  <c:pt idx="30">
                    <c:v>2020</c:v>
                  </c:pt>
                  <c:pt idx="42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Arkusz1!$B$16:$AX$16</c:f>
              <c:numCache>
                <c:formatCode>General</c:formatCode>
                <c:ptCount val="49"/>
                <c:pt idx="0">
                  <c:v>20783</c:v>
                </c:pt>
                <c:pt idx="1">
                  <c:v>20410</c:v>
                </c:pt>
                <c:pt idx="2">
                  <c:v>25239</c:v>
                </c:pt>
                <c:pt idx="3">
                  <c:v>20895</c:v>
                </c:pt>
                <c:pt idx="4">
                  <c:v>22003</c:v>
                </c:pt>
                <c:pt idx="5">
                  <c:v>22608</c:v>
                </c:pt>
                <c:pt idx="6">
                  <c:v>19658</c:v>
                </c:pt>
                <c:pt idx="7" formatCode="#,##0">
                  <c:v>22017</c:v>
                </c:pt>
                <c:pt idx="8">
                  <c:v>19613</c:v>
                </c:pt>
                <c:pt idx="9" formatCode="#,##0">
                  <c:v>24773</c:v>
                </c:pt>
                <c:pt idx="10" formatCode="#,##0">
                  <c:v>19748</c:v>
                </c:pt>
                <c:pt idx="11" formatCode="#,##0">
                  <c:v>19325</c:v>
                </c:pt>
                <c:pt idx="12" formatCode="#,##0">
                  <c:v>20630</c:v>
                </c:pt>
                <c:pt idx="13" formatCode="#,##0">
                  <c:v>16849</c:v>
                </c:pt>
                <c:pt idx="14">
                  <c:v>19732</c:v>
                </c:pt>
                <c:pt idx="15">
                  <c:v>22828</c:v>
                </c:pt>
                <c:pt idx="16">
                  <c:v>26965</c:v>
                </c:pt>
                <c:pt idx="17">
                  <c:v>22514</c:v>
                </c:pt>
                <c:pt idx="18">
                  <c:v>24407</c:v>
                </c:pt>
                <c:pt idx="19">
                  <c:v>22431</c:v>
                </c:pt>
                <c:pt idx="20">
                  <c:v>24754</c:v>
                </c:pt>
                <c:pt idx="21">
                  <c:v>27824</c:v>
                </c:pt>
                <c:pt idx="22">
                  <c:v>19448</c:v>
                </c:pt>
                <c:pt idx="23">
                  <c:v>20101</c:v>
                </c:pt>
                <c:pt idx="24">
                  <c:v>18370</c:v>
                </c:pt>
                <c:pt idx="25">
                  <c:v>18920</c:v>
                </c:pt>
                <c:pt idx="26">
                  <c:v>22122</c:v>
                </c:pt>
                <c:pt idx="27">
                  <c:v>16714</c:v>
                </c:pt>
                <c:pt idx="28">
                  <c:v>19338</c:v>
                </c:pt>
                <c:pt idx="29">
                  <c:v>26845</c:v>
                </c:pt>
                <c:pt idx="30">
                  <c:v>25237</c:v>
                </c:pt>
                <c:pt idx="31">
                  <c:v>20975</c:v>
                </c:pt>
                <c:pt idx="32">
                  <c:v>23885</c:v>
                </c:pt>
                <c:pt idx="33">
                  <c:v>26960</c:v>
                </c:pt>
                <c:pt idx="34">
                  <c:v>22183</c:v>
                </c:pt>
                <c:pt idx="35">
                  <c:v>34605</c:v>
                </c:pt>
                <c:pt idx="36">
                  <c:v>23485</c:v>
                </c:pt>
                <c:pt idx="37">
                  <c:v>27222</c:v>
                </c:pt>
                <c:pt idx="38">
                  <c:v>33901</c:v>
                </c:pt>
                <c:pt idx="39">
                  <c:v>27163</c:v>
                </c:pt>
                <c:pt idx="40">
                  <c:v>29768</c:v>
                </c:pt>
                <c:pt idx="41">
                  <c:v>30170</c:v>
                </c:pt>
                <c:pt idx="42">
                  <c:v>28922</c:v>
                </c:pt>
                <c:pt idx="43">
                  <c:v>27204</c:v>
                </c:pt>
                <c:pt idx="44">
                  <c:v>27397</c:v>
                </c:pt>
                <c:pt idx="45">
                  <c:v>28728</c:v>
                </c:pt>
                <c:pt idx="46">
                  <c:v>23904</c:v>
                </c:pt>
                <c:pt idx="47">
                  <c:v>32749</c:v>
                </c:pt>
                <c:pt idx="48">
                  <c:v>22221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Arkusz1!$B$2:$AX$3</c:f>
              <c:multiLvlStrCache>
                <c:ptCount val="49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  <c:pt idx="26">
                    <c:v>03</c:v>
                  </c:pt>
                  <c:pt idx="27">
                    <c:v>04</c:v>
                  </c:pt>
                  <c:pt idx="28">
                    <c:v>05</c:v>
                  </c:pt>
                  <c:pt idx="29">
                    <c:v>06</c:v>
                  </c:pt>
                  <c:pt idx="30">
                    <c:v>07</c:v>
                  </c:pt>
                  <c:pt idx="31">
                    <c:v>08</c:v>
                  </c:pt>
                  <c:pt idx="32">
                    <c:v>09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01</c:v>
                  </c:pt>
                  <c:pt idx="37">
                    <c:v>02</c:v>
                  </c:pt>
                  <c:pt idx="38">
                    <c:v>03</c:v>
                  </c:pt>
                  <c:pt idx="39">
                    <c:v>04</c:v>
                  </c:pt>
                  <c:pt idx="40">
                    <c:v>05</c:v>
                  </c:pt>
                  <c:pt idx="41">
                    <c:v>06</c:v>
                  </c:pt>
                  <c:pt idx="42">
                    <c:v>07</c:v>
                  </c:pt>
                  <c:pt idx="43">
                    <c:v>08</c:v>
                  </c:pt>
                  <c:pt idx="44">
                    <c:v>09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01</c:v>
                  </c:pt>
                </c:lvl>
                <c:lvl>
                  <c:pt idx="6">
                    <c:v>2018</c:v>
                  </c:pt>
                  <c:pt idx="18">
                    <c:v>2019</c:v>
                  </c:pt>
                  <c:pt idx="30">
                    <c:v>2020</c:v>
                  </c:pt>
                  <c:pt idx="42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Arkusz1!$B$10:$AX$10</c:f>
              <c:numCache>
                <c:formatCode>General</c:formatCode>
                <c:ptCount val="49"/>
                <c:pt idx="0">
                  <c:v>13949</c:v>
                </c:pt>
                <c:pt idx="1">
                  <c:v>13851</c:v>
                </c:pt>
                <c:pt idx="2">
                  <c:v>20178</c:v>
                </c:pt>
                <c:pt idx="3">
                  <c:v>22924</c:v>
                </c:pt>
                <c:pt idx="4">
                  <c:v>20536</c:v>
                </c:pt>
                <c:pt idx="5">
                  <c:v>22228</c:v>
                </c:pt>
                <c:pt idx="6">
                  <c:v>18900</c:v>
                </c:pt>
                <c:pt idx="7">
                  <c:v>21929</c:v>
                </c:pt>
                <c:pt idx="8">
                  <c:v>19466</c:v>
                </c:pt>
                <c:pt idx="9" formatCode="#,##0">
                  <c:v>20063</c:v>
                </c:pt>
                <c:pt idx="10" formatCode="#,##0">
                  <c:v>16792</c:v>
                </c:pt>
                <c:pt idx="11" formatCode="#,##0">
                  <c:v>11091</c:v>
                </c:pt>
                <c:pt idx="12" formatCode="#,##0">
                  <c:v>13444</c:v>
                </c:pt>
                <c:pt idx="13" formatCode="#,##0">
                  <c:v>16682</c:v>
                </c:pt>
                <c:pt idx="14">
                  <c:v>23752</c:v>
                </c:pt>
                <c:pt idx="15">
                  <c:v>21958</c:v>
                </c:pt>
                <c:pt idx="16">
                  <c:v>20600</c:v>
                </c:pt>
                <c:pt idx="17">
                  <c:v>18956</c:v>
                </c:pt>
                <c:pt idx="18">
                  <c:v>21958</c:v>
                </c:pt>
                <c:pt idx="19">
                  <c:v>19528</c:v>
                </c:pt>
                <c:pt idx="20">
                  <c:v>21566</c:v>
                </c:pt>
                <c:pt idx="21">
                  <c:v>24095</c:v>
                </c:pt>
                <c:pt idx="22">
                  <c:v>18884</c:v>
                </c:pt>
                <c:pt idx="23">
                  <c:v>15858</c:v>
                </c:pt>
                <c:pt idx="24">
                  <c:v>15891</c:v>
                </c:pt>
                <c:pt idx="25">
                  <c:v>17875</c:v>
                </c:pt>
                <c:pt idx="26">
                  <c:v>18777</c:v>
                </c:pt>
                <c:pt idx="27">
                  <c:v>13647</c:v>
                </c:pt>
                <c:pt idx="28">
                  <c:v>15012</c:v>
                </c:pt>
                <c:pt idx="29">
                  <c:v>18763</c:v>
                </c:pt>
                <c:pt idx="30">
                  <c:v>21690</c:v>
                </c:pt>
                <c:pt idx="31">
                  <c:v>19460</c:v>
                </c:pt>
                <c:pt idx="32">
                  <c:v>26232</c:v>
                </c:pt>
                <c:pt idx="33">
                  <c:v>19601</c:v>
                </c:pt>
                <c:pt idx="34">
                  <c:v>19785</c:v>
                </c:pt>
                <c:pt idx="35">
                  <c:v>17109</c:v>
                </c:pt>
                <c:pt idx="36">
                  <c:v>17419</c:v>
                </c:pt>
                <c:pt idx="37" formatCode="#,##0">
                  <c:v>16116</c:v>
                </c:pt>
                <c:pt idx="38">
                  <c:v>30143</c:v>
                </c:pt>
                <c:pt idx="39">
                  <c:v>26261</c:v>
                </c:pt>
                <c:pt idx="40">
                  <c:v>28878</c:v>
                </c:pt>
                <c:pt idx="41">
                  <c:v>25744</c:v>
                </c:pt>
                <c:pt idx="42">
                  <c:v>25837</c:v>
                </c:pt>
                <c:pt idx="43">
                  <c:v>23971</c:v>
                </c:pt>
                <c:pt idx="44">
                  <c:v>21959</c:v>
                </c:pt>
                <c:pt idx="45">
                  <c:v>22533</c:v>
                </c:pt>
                <c:pt idx="46">
                  <c:v>21200</c:v>
                </c:pt>
                <c:pt idx="47">
                  <c:v>17364</c:v>
                </c:pt>
                <c:pt idx="48">
                  <c:v>11800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39383456"/>
        <c:axId val="-1039370400"/>
      </c:lineChart>
      <c:catAx>
        <c:axId val="-1039383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39370400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039370400"/>
        <c:scaling>
          <c:orientation val="minMax"/>
          <c:max val="3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39383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5086811765223486E-2"/>
          <c:y val="0.82101411021987136"/>
          <c:w val="0.74061592692893519"/>
          <c:h val="0.1518393683970446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STAT\POWESKAA</Osoba>
    <NazwaPliku xmlns="8C029B3F-2CC4-4A59-AF0D-A90575FA3373">residential_construction_in_January-February_2022.docx.docx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7B257-98A6-4D1A-9F5A-EF79A74F8051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7840AD8D-DFE4-4BAC-A7DB-3B935E0A70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1093</Words>
  <Characters>6564</Characters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the period of January-June 2021</vt:lpstr>
    </vt:vector>
  </TitlesOfParts>
  <Company>Statistics Poland</Company>
  <LinksUpToDate>false</LinksUpToDate>
  <CharactersWithSpaces>7642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the period of January-February 2022</dc:title>
  <dc:subject>Residential construction</dc:subject>
  <dc:creator>Statistics Poland</dc:creator>
  <cp:keywords>dwellings completed; dwellings under construction; dwellings started; building permit; useful floor area</cp:keywords>
  <cp:lastPrinted>2022-02-08T11:49:00Z</cp:lastPrinted>
  <dcterms:created xsi:type="dcterms:W3CDTF">2022-03-16T14:05:00Z</dcterms:created>
  <dcterms:modified xsi:type="dcterms:W3CDTF">2022-03-16T14:05:00Z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LUB-OSB.6362.2.2021.19</vt:lpwstr>
  </property>
  <property fmtid="{D5CDD505-2E9C-101B-9397-08002B2CF9AE}" pid="4" name="UNPPisma">
    <vt:lpwstr>2021-285366</vt:lpwstr>
  </property>
  <property fmtid="{D5CDD505-2E9C-101B-9397-08002B2CF9AE}" pid="5" name="ZnakSprawy">
    <vt:lpwstr>LUB-OSB.6362.2.2021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Notatka sygnalna "Budownictwo mieszkaniowe w okresie I-IX 2021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2021-10-20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