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2EEC6A35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79134B">
        <w:rPr>
          <w:szCs w:val="32"/>
          <w:lang w:val="en-GB"/>
        </w:rPr>
        <w:t xml:space="preserve">the period of </w:t>
      </w:r>
      <w:r w:rsidR="009D4061">
        <w:rPr>
          <w:szCs w:val="32"/>
          <w:lang w:val="en-GB"/>
        </w:rPr>
        <w:t>January-December</w:t>
      </w:r>
      <w:r w:rsidR="00CF46EE">
        <w:rPr>
          <w:szCs w:val="32"/>
          <w:lang w:val="en-GB"/>
        </w:rPr>
        <w:t xml:space="preserve"> </w:t>
      </w:r>
      <w:r w:rsidR="003D4820">
        <w:rPr>
          <w:szCs w:val="32"/>
          <w:shd w:val="clear" w:color="auto" w:fill="FFFFFF"/>
          <w:lang w:val="en-GB"/>
        </w:rPr>
        <w:t>2021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5A63366F" w:rsidR="00095A18" w:rsidRPr="004829B9" w:rsidRDefault="005F302D" w:rsidP="00896EB9">
      <w:pPr>
        <w:pStyle w:val="LID"/>
        <w:rPr>
          <w:lang w:val="en-GB"/>
        </w:rPr>
      </w:pPr>
      <w:r w:rsidRPr="0015468F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574E89" w:rsidRPr="00612A93" w:rsidRDefault="00574E8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574E89" w:rsidRPr="00F64AC1" w:rsidRDefault="00574E8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574E89" w:rsidRPr="00612A93" w:rsidRDefault="00574E8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574E89" w:rsidRPr="00F64AC1" w:rsidRDefault="00574E89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468F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5D129FAA" w:rsidR="00574E89" w:rsidRPr="002C751B" w:rsidRDefault="00574E89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2EEE19CB">
                                  <wp:extent cx="334699" cy="317472"/>
                                  <wp:effectExtent l="0" t="0" r="8255" b="698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406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106</w:t>
                            </w:r>
                            <w:r w:rsidR="00BD32C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.3</w:t>
                            </w:r>
                          </w:p>
                          <w:p w14:paraId="4A535B62" w14:textId="2AEDB9F7" w:rsidR="00574E89" w:rsidRPr="002C751B" w:rsidRDefault="00574E89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CAA2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5D129FAA" w:rsidR="00574E89" w:rsidRPr="002C751B" w:rsidRDefault="00574E89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2EEE19CB">
                            <wp:extent cx="334699" cy="317472"/>
                            <wp:effectExtent l="0" t="0" r="8255" b="698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406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106</w:t>
                      </w:r>
                      <w:r w:rsidR="00BD32C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.3</w:t>
                      </w:r>
                    </w:p>
                    <w:p w14:paraId="4A535B62" w14:textId="2AEDB9F7" w:rsidR="00574E89" w:rsidRPr="002C751B" w:rsidRDefault="00574E89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5433" w:rsidRPr="0015468F">
        <w:rPr>
          <w:lang w:val="en-GB"/>
        </w:rPr>
        <w:t xml:space="preserve">In </w:t>
      </w:r>
      <w:r w:rsidR="003D4820" w:rsidRPr="0015468F">
        <w:rPr>
          <w:lang w:val="en-GB"/>
        </w:rPr>
        <w:t>2021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92898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D92898">
        <w:rPr>
          <w:lang w:val="en-GB"/>
        </w:rPr>
        <w:t>also in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E7E4591">
                <wp:simplePos x="0" y="0"/>
                <wp:positionH relativeFrom="rightMargin">
                  <wp:posOffset>125730</wp:posOffset>
                </wp:positionH>
                <wp:positionV relativeFrom="paragraph">
                  <wp:posOffset>113030</wp:posOffset>
                </wp:positionV>
                <wp:extent cx="1804670" cy="990600"/>
                <wp:effectExtent l="0" t="0" r="0" b="0"/>
                <wp:wrapTight wrapText="bothSides">
                  <wp:wrapPolygon edited="0">
                    <wp:start x="684" y="0"/>
                    <wp:lineTo x="684" y="21185"/>
                    <wp:lineTo x="20749" y="21185"/>
                    <wp:lineTo x="20749" y="0"/>
                    <wp:lineTo x="68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39C00355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BB44BD">
                              <w:rPr>
                                <w:lang w:val="en-US"/>
                              </w:rPr>
                              <w:t>estors completed respectively 60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3B4D4B">
                              <w:rPr>
                                <w:lang w:val="en-US"/>
                              </w:rPr>
                              <w:t>4% and 37.6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9.9pt;margin-top:8.9pt;width:142.1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" filled="f" stroked="f">
                <v:textbox>
                  <w:txbxContent>
                    <w:p w14:paraId="55217834" w14:textId="39C00355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BB44BD">
                        <w:rPr>
                          <w:lang w:val="en-US"/>
                        </w:rPr>
                        <w:t>estors completed respectively 60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3B4D4B">
                        <w:rPr>
                          <w:lang w:val="en-US"/>
                        </w:rPr>
                        <w:t>4% and 37.6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61422C20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9D4061">
        <w:rPr>
          <w:spacing w:val="-4"/>
          <w:shd w:val="clear" w:color="auto" w:fill="FFFFFF"/>
          <w:lang w:val="en-GB"/>
        </w:rPr>
        <w:t>234.7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9D4061">
        <w:rPr>
          <w:spacing w:val="-4"/>
          <w:shd w:val="clear" w:color="auto" w:fill="FFFFFF"/>
          <w:lang w:val="en-GB"/>
        </w:rPr>
        <w:t xml:space="preserve">in </w:t>
      </w:r>
      <w:r w:rsidR="004B638F" w:rsidRPr="004B638F">
        <w:rPr>
          <w:spacing w:val="-4"/>
          <w:shd w:val="clear" w:color="auto" w:fill="FFFFFF"/>
          <w:lang w:val="en-GB"/>
        </w:rPr>
        <w:t>2021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9D4061">
        <w:rPr>
          <w:spacing w:val="-4"/>
          <w:shd w:val="clear" w:color="auto" w:fill="FFFFFF"/>
          <w:lang w:val="en-GB"/>
        </w:rPr>
        <w:t>6</w:t>
      </w:r>
      <w:r w:rsidR="00B416AE">
        <w:rPr>
          <w:spacing w:val="-4"/>
          <w:shd w:val="clear" w:color="auto" w:fill="FFFFFF"/>
          <w:lang w:val="en-GB"/>
        </w:rPr>
        <w:t>.3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D92898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9D4061">
        <w:rPr>
          <w:spacing w:val="-4"/>
          <w:shd w:val="clear" w:color="auto" w:fill="FFFFFF"/>
          <w:lang w:val="en-GB"/>
        </w:rPr>
        <w:t>141</w:t>
      </w:r>
      <w:r w:rsidR="00372328">
        <w:rPr>
          <w:spacing w:val="-4"/>
          <w:shd w:val="clear" w:color="auto" w:fill="FFFFFF"/>
          <w:lang w:val="en-GB"/>
        </w:rPr>
        <w:t>.</w:t>
      </w:r>
      <w:r w:rsidR="009D4061">
        <w:rPr>
          <w:spacing w:val="-4"/>
          <w:shd w:val="clear" w:color="auto" w:fill="FFFFFF"/>
          <w:lang w:val="en-GB"/>
        </w:rPr>
        <w:t>7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9D4061">
        <w:rPr>
          <w:spacing w:val="-4"/>
          <w:shd w:val="clear" w:color="auto" w:fill="FFFFFF"/>
          <w:lang w:val="en-GB"/>
        </w:rPr>
        <w:t>0.7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="009D4061">
        <w:rPr>
          <w:spacing w:val="-4"/>
          <w:shd w:val="clear" w:color="auto" w:fill="FFFFFF"/>
          <w:lang w:val="en-GB"/>
        </w:rPr>
        <w:t xml:space="preserve"> than in </w:t>
      </w:r>
      <w:r w:rsidR="004B638F">
        <w:rPr>
          <w:spacing w:val="-4"/>
          <w:shd w:val="clear" w:color="auto" w:fill="FFFFFF"/>
          <w:lang w:val="en-GB"/>
        </w:rPr>
        <w:t>2020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9D4061">
        <w:rPr>
          <w:spacing w:val="-4"/>
          <w:shd w:val="clear" w:color="auto" w:fill="FFFFFF"/>
          <w:lang w:val="en-GB"/>
        </w:rPr>
        <w:t>8</w:t>
      </w:r>
      <w:r w:rsidR="00BB44BD">
        <w:rPr>
          <w:spacing w:val="-4"/>
          <w:shd w:val="clear" w:color="auto" w:fill="FFFFFF"/>
          <w:lang w:val="en-GB"/>
        </w:rPr>
        <w:t>8</w:t>
      </w:r>
      <w:r w:rsidR="00372328">
        <w:rPr>
          <w:spacing w:val="-4"/>
          <w:shd w:val="clear" w:color="auto" w:fill="FFFFFF"/>
          <w:lang w:val="en-GB"/>
        </w:rPr>
        <w:t>.</w:t>
      </w:r>
      <w:r w:rsidR="009D4061">
        <w:rPr>
          <w:spacing w:val="-4"/>
          <w:shd w:val="clear" w:color="auto" w:fill="FFFFFF"/>
          <w:lang w:val="en-GB"/>
        </w:rPr>
        <w:t>3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9D4061">
        <w:rPr>
          <w:spacing w:val="-4"/>
          <w:shd w:val="clear" w:color="auto" w:fill="FFFFFF"/>
          <w:lang w:val="en-GB"/>
        </w:rPr>
        <w:t>19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9D4061">
        <w:rPr>
          <w:spacing w:val="-4"/>
          <w:shd w:val="clear" w:color="auto" w:fill="FFFFFF"/>
          <w:lang w:val="en-GB"/>
        </w:rPr>
        <w:t>4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BB44BD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BB44BD">
        <w:rPr>
          <w:spacing w:val="-4"/>
          <w:shd w:val="clear" w:color="auto" w:fill="FFFFFF"/>
          <w:lang w:val="en-GB"/>
        </w:rPr>
        <w:t>0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3B4D4B" w:rsidRPr="003B4D4B">
        <w:rPr>
          <w:spacing w:val="-4"/>
          <w:shd w:val="clear" w:color="auto" w:fill="FFFFFF"/>
          <w:lang w:val="en-GB"/>
        </w:rPr>
        <w:t>4 637 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3B4D4B">
        <w:rPr>
          <w:spacing w:val="-4"/>
          <w:shd w:val="clear" w:color="auto" w:fill="FFFFFF"/>
          <w:lang w:val="en-GB"/>
        </w:rPr>
        <w:t>4</w:t>
      </w:r>
      <w:r w:rsidR="00AD3F9F">
        <w:rPr>
          <w:spacing w:val="-4"/>
          <w:shd w:val="clear" w:color="auto" w:fill="FFFFFF"/>
          <w:lang w:val="en-GB"/>
        </w:rPr>
        <w:t xml:space="preserve"> </w:t>
      </w:r>
      <w:r w:rsidR="003B4D4B" w:rsidRPr="003B4D4B">
        <w:rPr>
          <w:spacing w:val="-4"/>
          <w:shd w:val="clear" w:color="auto" w:fill="FFFFFF"/>
          <w:lang w:val="en-GB"/>
        </w:rPr>
        <w:t xml:space="preserve">149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63D8B821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</w:t>
      </w:r>
      <w:r w:rsidR="00365663">
        <w:rPr>
          <w:shd w:val="clear" w:color="auto" w:fill="FFFFFF"/>
          <w:lang w:val="en-GB"/>
        </w:rPr>
        <w:t>2021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3B4D4B">
        <w:rPr>
          <w:shd w:val="clear" w:color="auto" w:fill="FFFFFF"/>
          <w:lang w:val="en-GB"/>
        </w:rPr>
        <w:t>21</w:t>
      </w:r>
      <w:r w:rsidR="00837231" w:rsidRPr="004829B9">
        <w:rPr>
          <w:shd w:val="clear" w:color="auto" w:fill="FFFFFF"/>
          <w:lang w:val="en-GB"/>
        </w:rPr>
        <w:t>.</w:t>
      </w:r>
      <w:r w:rsidR="003B4D4B">
        <w:rPr>
          <w:shd w:val="clear" w:color="auto" w:fill="FFFFFF"/>
          <w:lang w:val="en-GB"/>
        </w:rPr>
        <w:t>8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3B4D4B">
        <w:rPr>
          <w:shd w:val="clear" w:color="auto" w:fill="FFFFFF"/>
          <w:lang w:val="en-GB"/>
        </w:rPr>
        <w:t>11</w:t>
      </w:r>
      <w:r w:rsidR="00837231" w:rsidRPr="004829B9">
        <w:rPr>
          <w:shd w:val="clear" w:color="auto" w:fill="FFFFFF"/>
          <w:lang w:val="en-GB"/>
        </w:rPr>
        <w:t>.</w:t>
      </w:r>
      <w:r w:rsidR="003B4D4B">
        <w:rPr>
          <w:shd w:val="clear" w:color="auto" w:fill="FFFFFF"/>
          <w:lang w:val="en-GB"/>
        </w:rPr>
        <w:t>4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243A60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BB44BD">
        <w:rPr>
          <w:shd w:val="clear" w:color="auto" w:fill="FFFFFF"/>
          <w:lang w:val="en-GB"/>
        </w:rPr>
        <w:t>92</w:t>
      </w:r>
      <w:r w:rsidR="005D25AB" w:rsidRPr="004829B9">
        <w:rPr>
          <w:shd w:val="clear" w:color="auto" w:fill="FFFFFF"/>
          <w:lang w:val="en-GB"/>
        </w:rPr>
        <w:t>.</w:t>
      </w:r>
      <w:r w:rsidR="003B4D4B">
        <w:rPr>
          <w:shd w:val="clear" w:color="auto" w:fill="FFFFFF"/>
          <w:lang w:val="en-GB"/>
        </w:rPr>
        <w:t>9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679F1787" w14:textId="77777777" w:rsidR="00B64363" w:rsidRPr="004829B9" w:rsidRDefault="00B64363" w:rsidP="00896EB9">
      <w:pPr>
        <w:rPr>
          <w:shd w:val="clear" w:color="auto" w:fill="FFFFFF"/>
          <w:lang w:val="en-GB"/>
        </w:rPr>
      </w:pP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134"/>
        <w:gridCol w:w="1276"/>
      </w:tblGrid>
      <w:tr w:rsidR="00B64363" w:rsidRPr="003C2145" w14:paraId="3D74A51D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6DA6E46E" w14:textId="0739132C" w:rsidR="00B64363" w:rsidRPr="003C214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6964227" w14:textId="77777777" w:rsidR="00B64363" w:rsidRPr="003C2145" w:rsidRDefault="00B64363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B64363" w:rsidRPr="003C2145" w14:paraId="0D3C2463" w14:textId="77777777" w:rsidTr="00247F9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EEF264C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79D0680" w14:textId="1352B083" w:rsidR="00B64363" w:rsidRPr="003C2145" w:rsidRDefault="00B64363" w:rsidP="007810BC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7810BC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5E0F54FC" w14:textId="4C1A19E5" w:rsidR="00B64363" w:rsidRPr="003C2145" w:rsidRDefault="007810BC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</w:p>
        </w:tc>
      </w:tr>
      <w:tr w:rsidR="00B64363" w:rsidRPr="003C2145" w14:paraId="451F7C87" w14:textId="77777777" w:rsidTr="00247F9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4C9F76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8E663B" w14:textId="5818BE05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EF4C2A5" w14:textId="2AE39DC8" w:rsidR="00B64363" w:rsidRPr="003C2145" w:rsidRDefault="007810BC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>
              <w:rPr>
                <w:color w:val="000000" w:themeColor="text1"/>
                <w:sz w:val="16"/>
                <w:szCs w:val="16"/>
              </w:rPr>
              <w:t>2020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sz="12" w:space="0" w:color="212492"/>
            </w:tcBorders>
            <w:vAlign w:val="center"/>
          </w:tcPr>
          <w:p w14:paraId="4EDC0C48" w14:textId="2E1AB896" w:rsidR="00B64363" w:rsidRPr="003C2145" w:rsidRDefault="007810BC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64363">
              <w:rPr>
                <w:color w:val="000000" w:themeColor="text1"/>
                <w:sz w:val="16"/>
                <w:szCs w:val="16"/>
              </w:rPr>
              <w:t>21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AD005EA" w14:textId="1EC2AB08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497FC117" w14:textId="77F68AFD" w:rsidR="00B64363" w:rsidRPr="003C2145" w:rsidRDefault="007810BC" w:rsidP="007810B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5744C0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12</w:t>
            </w:r>
            <w:r w:rsidR="00247F97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20</w:t>
            </w:r>
            <w:r w:rsidR="00B64363">
              <w:rPr>
                <w:color w:val="000000" w:themeColor="text1"/>
                <w:sz w:val="16"/>
                <w:szCs w:val="16"/>
              </w:rPr>
              <w:t>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7810BC" w:rsidRPr="003C2145" w14:paraId="77C682AA" w14:textId="77777777" w:rsidTr="00247F97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3F91378" w14:textId="10364BB0" w:rsidR="007810BC" w:rsidRPr="003C2145" w:rsidRDefault="007810BC" w:rsidP="007810B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6CC6EC" w14:textId="648F54DE" w:rsidR="007810BC" w:rsidRPr="003C2145" w:rsidRDefault="007810BC" w:rsidP="007810B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26 353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9182DE5" w14:textId="7A4CA05D" w:rsidR="007810BC" w:rsidRPr="003C2145" w:rsidRDefault="007810BC" w:rsidP="007810B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114.4</w:t>
            </w:r>
          </w:p>
        </w:tc>
        <w:tc>
          <w:tcPr>
            <w:tcW w:w="1209" w:type="dxa"/>
            <w:tcBorders>
              <w:top w:val="single" w:sz="12" w:space="0" w:color="212492"/>
            </w:tcBorders>
            <w:vAlign w:val="center"/>
          </w:tcPr>
          <w:p w14:paraId="4FA55BB8" w14:textId="31130448" w:rsidR="007810BC" w:rsidRPr="003C2145" w:rsidRDefault="007810BC" w:rsidP="007810B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109.3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15BC7E29" w14:textId="6A5C22A2" w:rsidR="007810BC" w:rsidRPr="003C2145" w:rsidRDefault="007810BC" w:rsidP="007810B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234 718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B4095FA" w14:textId="50D1A5AD" w:rsidR="007810BC" w:rsidRPr="003C2145" w:rsidRDefault="007810BC" w:rsidP="007810B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106.3</w:t>
            </w:r>
          </w:p>
        </w:tc>
      </w:tr>
      <w:tr w:rsidR="007810BC" w:rsidRPr="003C2145" w14:paraId="1D40C008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158FB4DD" w14:textId="085A529E" w:rsidR="007810BC" w:rsidRPr="003C2145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51A3490" w14:textId="1B0F457C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9 769</w:t>
            </w:r>
          </w:p>
        </w:tc>
        <w:tc>
          <w:tcPr>
            <w:tcW w:w="1206" w:type="dxa"/>
            <w:vAlign w:val="center"/>
          </w:tcPr>
          <w:p w14:paraId="195F4D95" w14:textId="6D883A2B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124.1</w:t>
            </w:r>
          </w:p>
        </w:tc>
        <w:tc>
          <w:tcPr>
            <w:tcW w:w="1209" w:type="dxa"/>
            <w:vAlign w:val="center"/>
          </w:tcPr>
          <w:p w14:paraId="78301BBA" w14:textId="1058932E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129.3</w:t>
            </w:r>
          </w:p>
        </w:tc>
        <w:tc>
          <w:tcPr>
            <w:tcW w:w="1134" w:type="dxa"/>
          </w:tcPr>
          <w:p w14:paraId="68A49D2A" w14:textId="51F51A84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88 343</w:t>
            </w:r>
          </w:p>
        </w:tc>
        <w:tc>
          <w:tcPr>
            <w:tcW w:w="1276" w:type="dxa"/>
            <w:vAlign w:val="center"/>
          </w:tcPr>
          <w:p w14:paraId="0E2E31FF" w14:textId="10DBA34D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119.4</w:t>
            </w:r>
          </w:p>
        </w:tc>
      </w:tr>
      <w:tr w:rsidR="007810BC" w:rsidRPr="003C2145" w14:paraId="508A87A2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5813B5D1" w14:textId="48E027A2" w:rsidR="007810BC" w:rsidRPr="003C2145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0732F4A3" w14:textId="5C308C6D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16 134</w:t>
            </w:r>
          </w:p>
        </w:tc>
        <w:tc>
          <w:tcPr>
            <w:tcW w:w="1206" w:type="dxa"/>
            <w:vAlign w:val="center"/>
          </w:tcPr>
          <w:p w14:paraId="48DFBF4C" w14:textId="2899D7B7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110.6</w:t>
            </w:r>
          </w:p>
        </w:tc>
        <w:tc>
          <w:tcPr>
            <w:tcW w:w="1209" w:type="dxa"/>
            <w:vAlign w:val="center"/>
          </w:tcPr>
          <w:p w14:paraId="4ABA9549" w14:textId="03A97A21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1134" w:type="dxa"/>
            <w:vAlign w:val="center"/>
          </w:tcPr>
          <w:p w14:paraId="72FDE0B7" w14:textId="457C93B6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141 738</w:t>
            </w:r>
          </w:p>
        </w:tc>
        <w:tc>
          <w:tcPr>
            <w:tcW w:w="1276" w:type="dxa"/>
            <w:vAlign w:val="center"/>
          </w:tcPr>
          <w:p w14:paraId="10A2CC76" w14:textId="0E39E0A4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99.3</w:t>
            </w:r>
          </w:p>
        </w:tc>
      </w:tr>
      <w:tr w:rsidR="007810BC" w:rsidRPr="003C2145" w14:paraId="58824C75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6D82379A" w14:textId="48F6CDEB" w:rsidR="007810BC" w:rsidRPr="003C2145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06" w:type="dxa"/>
            <w:vAlign w:val="center"/>
          </w:tcPr>
          <w:p w14:paraId="379C0269" w14:textId="3864AD4C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1206" w:type="dxa"/>
            <w:vAlign w:val="center"/>
          </w:tcPr>
          <w:p w14:paraId="77154C89" w14:textId="4D4D9EDF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171.8</w:t>
            </w:r>
          </w:p>
        </w:tc>
        <w:tc>
          <w:tcPr>
            <w:tcW w:w="1209" w:type="dxa"/>
            <w:vAlign w:val="center"/>
          </w:tcPr>
          <w:p w14:paraId="07260E2C" w14:textId="163C29FB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180.2</w:t>
            </w:r>
          </w:p>
        </w:tc>
        <w:tc>
          <w:tcPr>
            <w:tcW w:w="1134" w:type="dxa"/>
            <w:vAlign w:val="center"/>
          </w:tcPr>
          <w:p w14:paraId="59FA5EC3" w14:textId="4C0336EF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2 006</w:t>
            </w:r>
          </w:p>
        </w:tc>
        <w:tc>
          <w:tcPr>
            <w:tcW w:w="1276" w:type="dxa"/>
            <w:vAlign w:val="center"/>
          </w:tcPr>
          <w:p w14:paraId="75124231" w14:textId="06171436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146.2</w:t>
            </w:r>
          </w:p>
        </w:tc>
      </w:tr>
      <w:tr w:rsidR="007810BC" w:rsidRPr="003C2145" w14:paraId="2288CE1E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19BC0BAF" w14:textId="12E2EC41" w:rsidR="007810BC" w:rsidRPr="003C2145" w:rsidRDefault="007810BC" w:rsidP="007810B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18F09E" w14:textId="51309A88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1206" w:type="dxa"/>
            <w:vAlign w:val="center"/>
          </w:tcPr>
          <w:p w14:paraId="7DD3D881" w14:textId="3A0D25FB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79.8</w:t>
            </w:r>
          </w:p>
        </w:tc>
        <w:tc>
          <w:tcPr>
            <w:tcW w:w="1209" w:type="dxa"/>
            <w:vAlign w:val="center"/>
          </w:tcPr>
          <w:p w14:paraId="4325B769" w14:textId="6B77FE6F" w:rsidR="007810BC" w:rsidRPr="003C214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133.8</w:t>
            </w:r>
          </w:p>
        </w:tc>
        <w:tc>
          <w:tcPr>
            <w:tcW w:w="1134" w:type="dxa"/>
            <w:vAlign w:val="center"/>
          </w:tcPr>
          <w:p w14:paraId="18FA1C60" w14:textId="24AD36E4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2 019</w:t>
            </w:r>
          </w:p>
        </w:tc>
        <w:tc>
          <w:tcPr>
            <w:tcW w:w="1276" w:type="dxa"/>
            <w:vAlign w:val="center"/>
          </w:tcPr>
          <w:p w14:paraId="4E1F5190" w14:textId="43E8314F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134.8</w:t>
            </w:r>
          </w:p>
        </w:tc>
      </w:tr>
      <w:tr w:rsidR="007810BC" w:rsidRPr="003C2145" w14:paraId="3F448AE5" w14:textId="77777777" w:rsidTr="00152A93">
        <w:trPr>
          <w:trHeight w:val="308"/>
        </w:trPr>
        <w:tc>
          <w:tcPr>
            <w:tcW w:w="2049" w:type="dxa"/>
            <w:vAlign w:val="center"/>
          </w:tcPr>
          <w:p w14:paraId="75580F57" w14:textId="38954F52" w:rsidR="007810BC" w:rsidRPr="003C2145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4E517085" w14:textId="0A00ED67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206" w:type="dxa"/>
            <w:vAlign w:val="center"/>
          </w:tcPr>
          <w:p w14:paraId="25567828" w14:textId="5D17A6B4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43.8</w:t>
            </w:r>
          </w:p>
        </w:tc>
        <w:tc>
          <w:tcPr>
            <w:tcW w:w="1209" w:type="dxa"/>
            <w:vAlign w:val="center"/>
          </w:tcPr>
          <w:p w14:paraId="014C6835" w14:textId="52AACBDD" w:rsidR="007810BC" w:rsidRPr="003C214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42.7</w:t>
            </w:r>
          </w:p>
        </w:tc>
        <w:tc>
          <w:tcPr>
            <w:tcW w:w="1134" w:type="dxa"/>
          </w:tcPr>
          <w:p w14:paraId="6B466C47" w14:textId="76BB7290" w:rsidR="007810BC" w:rsidRPr="00BC3F0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1 261</w:t>
            </w:r>
          </w:p>
        </w:tc>
        <w:tc>
          <w:tcPr>
            <w:tcW w:w="1276" w:type="dxa"/>
            <w:vAlign w:val="center"/>
          </w:tcPr>
          <w:p w14:paraId="07B4D463" w14:textId="49706C63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125.0</w:t>
            </w:r>
          </w:p>
        </w:tc>
      </w:tr>
      <w:tr w:rsidR="007810BC" w:rsidRPr="003C2145" w14:paraId="0BA0AF5E" w14:textId="77777777" w:rsidTr="00E71068">
        <w:trPr>
          <w:trHeight w:val="220"/>
        </w:trPr>
        <w:tc>
          <w:tcPr>
            <w:tcW w:w="2049" w:type="dxa"/>
            <w:vAlign w:val="center"/>
          </w:tcPr>
          <w:p w14:paraId="43913E1F" w14:textId="45BC4A8B" w:rsidR="007810BC" w:rsidRPr="003C2145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3608F751" w14:textId="4A830EC3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1206" w:type="dxa"/>
            <w:vAlign w:val="center"/>
          </w:tcPr>
          <w:p w14:paraId="11049FEB" w14:textId="4CE9D8F8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74.1</w:t>
            </w:r>
          </w:p>
        </w:tc>
        <w:tc>
          <w:tcPr>
            <w:tcW w:w="1209" w:type="dxa"/>
            <w:vAlign w:val="center"/>
          </w:tcPr>
          <w:p w14:paraId="7977A467" w14:textId="43CF09D0" w:rsidR="007810BC" w:rsidRPr="003C214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143.2</w:t>
            </w:r>
          </w:p>
        </w:tc>
        <w:tc>
          <w:tcPr>
            <w:tcW w:w="1134" w:type="dxa"/>
          </w:tcPr>
          <w:p w14:paraId="7DEAFFCC" w14:textId="6B4642E1" w:rsidR="007810BC" w:rsidRPr="001646C4" w:rsidRDefault="007810BC" w:rsidP="007810B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1 239</w:t>
            </w:r>
          </w:p>
        </w:tc>
        <w:tc>
          <w:tcPr>
            <w:tcW w:w="1276" w:type="dxa"/>
            <w:vAlign w:val="center"/>
          </w:tcPr>
          <w:p w14:paraId="3B642308" w14:textId="4CD353E8" w:rsidR="007810BC" w:rsidRPr="001646C4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76.7</w:t>
            </w:r>
          </w:p>
        </w:tc>
      </w:tr>
      <w:tr w:rsidR="007810BC" w:rsidRPr="003C2145" w14:paraId="0EA6F2E3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2E746B3D" w14:textId="3505B440" w:rsidR="007810BC" w:rsidRPr="003C2145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4342BE94" w14:textId="3A10968B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06" w:type="dxa"/>
            <w:vAlign w:val="center"/>
          </w:tcPr>
          <w:p w14:paraId="72960F2D" w14:textId="19325AFB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40-fold more</w:t>
            </w:r>
          </w:p>
        </w:tc>
        <w:tc>
          <w:tcPr>
            <w:tcW w:w="1209" w:type="dxa"/>
            <w:vAlign w:val="center"/>
          </w:tcPr>
          <w:p w14:paraId="01D12245" w14:textId="7E5C6E79" w:rsidR="007810BC" w:rsidRPr="003C214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4F1C5A5A" w14:textId="1BAC5DD5" w:rsidR="007810BC" w:rsidRPr="003C2145" w:rsidRDefault="007810BC" w:rsidP="007810B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276" w:type="dxa"/>
            <w:vAlign w:val="center"/>
          </w:tcPr>
          <w:p w14:paraId="0DC30BC3" w14:textId="4DF41FBB" w:rsidR="007810BC" w:rsidRPr="003C2145" w:rsidRDefault="007810BC" w:rsidP="007810B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437.0</w:t>
            </w:r>
          </w:p>
        </w:tc>
      </w:tr>
      <w:bookmarkEnd w:id="0"/>
    </w:tbl>
    <w:p w14:paraId="4C4EBE85" w14:textId="7BD13EA5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6E432B7F" w14:textId="77777777" w:rsidR="007C58D3" w:rsidRDefault="007C58D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55D46D0" w14:textId="77777777" w:rsidR="00717E8B" w:rsidRDefault="00717E8B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3DD2FBFC" w14:textId="77777777" w:rsidR="00E71068" w:rsidRDefault="00E7106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0C1CAC99" w14:textId="77777777" w:rsidR="003B4D4B" w:rsidRDefault="003B4D4B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79AEC25F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4664CADF">
                <wp:simplePos x="0" y="0"/>
                <wp:positionH relativeFrom="rightMargin">
                  <wp:posOffset>89535</wp:posOffset>
                </wp:positionH>
                <wp:positionV relativeFrom="paragraph">
                  <wp:posOffset>6516</wp:posOffset>
                </wp:positionV>
                <wp:extent cx="179699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623C1E8D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>
                              <w:rPr>
                                <w:lang w:val="en-US"/>
                              </w:rPr>
                              <w:t xml:space="preserve">2021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3B4D4B">
                              <w:rPr>
                                <w:lang w:val="en-US"/>
                              </w:rPr>
                              <w:t>23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3B4D4B">
                              <w:rPr>
                                <w:lang w:val="en-US"/>
                              </w:rPr>
                              <w:t>3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0" type="#_x0000_t202" style="position:absolute;margin-left:7.05pt;margin-top:.5pt;width:141.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" filled="f" stroked="f" strokeweight=".5pt">
                <v:textbox>
                  <w:txbxContent>
                    <w:p w14:paraId="35DCCB4E" w14:textId="623C1E8D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>
                        <w:rPr>
                          <w:lang w:val="en-US"/>
                        </w:rPr>
                        <w:t xml:space="preserve">2021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 w:rsidR="003B4D4B">
                        <w:rPr>
                          <w:lang w:val="en-US"/>
                        </w:rPr>
                        <w:t>23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3B4D4B">
                        <w:rPr>
                          <w:lang w:val="en-US"/>
                        </w:rPr>
                        <w:t>3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4D4B" w:rsidRPr="003B4D4B">
        <w:rPr>
          <w:noProof/>
          <w:lang w:val="en-GB" w:eastAsia="pl-PL"/>
        </w:rPr>
        <w:t>In</w:t>
      </w:r>
      <w:r w:rsidR="004A3A9A">
        <w:rPr>
          <w:noProof/>
          <w:lang w:val="en-GB" w:eastAsia="pl-PL"/>
        </w:rPr>
        <w:t xml:space="preserve"> 2021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3B4D4B">
        <w:rPr>
          <w:shd w:val="clear" w:color="auto" w:fill="FFFFFF"/>
          <w:lang w:val="en-GB"/>
        </w:rPr>
        <w:t>340</w:t>
      </w:r>
      <w:r w:rsidR="00DE7DD4">
        <w:rPr>
          <w:shd w:val="clear" w:color="auto" w:fill="FFFFFF"/>
          <w:lang w:val="en-GB"/>
        </w:rPr>
        <w:t>.</w:t>
      </w:r>
      <w:r w:rsidR="003B4D4B">
        <w:rPr>
          <w:shd w:val="clear" w:color="auto" w:fill="FFFFFF"/>
          <w:lang w:val="en-GB"/>
        </w:rPr>
        <w:t>6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5415DA">
        <w:rPr>
          <w:shd w:val="clear" w:color="auto" w:fill="FFFFFF"/>
          <w:lang w:val="en-GB"/>
        </w:rPr>
        <w:t>2</w:t>
      </w:r>
      <w:r w:rsidR="003B4D4B">
        <w:rPr>
          <w:shd w:val="clear" w:color="auto" w:fill="FFFFFF"/>
          <w:lang w:val="en-GB"/>
        </w:rPr>
        <w:t>3</w:t>
      </w:r>
      <w:r w:rsidR="00E245E1" w:rsidRPr="004829B9">
        <w:rPr>
          <w:shd w:val="clear" w:color="auto" w:fill="FFFFFF"/>
          <w:lang w:val="en-GB"/>
        </w:rPr>
        <w:t>.</w:t>
      </w:r>
      <w:r w:rsidR="003B4D4B">
        <w:rPr>
          <w:shd w:val="clear" w:color="auto" w:fill="FFFFFF"/>
          <w:lang w:val="en-GB"/>
        </w:rPr>
        <w:t>3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="00C47CE4" w:rsidRPr="004829B9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3B4D4B">
        <w:rPr>
          <w:shd w:val="clear" w:color="auto" w:fill="FFFFFF"/>
          <w:lang w:val="en-GB"/>
        </w:rPr>
        <w:t>213</w:t>
      </w:r>
      <w:r w:rsidR="00DE7DD4">
        <w:rPr>
          <w:shd w:val="clear" w:color="auto" w:fill="FFFFFF"/>
          <w:lang w:val="en-GB"/>
        </w:rPr>
        <w:t>.</w:t>
      </w:r>
      <w:r w:rsidR="003B4D4B">
        <w:rPr>
          <w:shd w:val="clear" w:color="auto" w:fill="FFFFFF"/>
          <w:lang w:val="en-GB"/>
        </w:rPr>
        <w:t>0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3B4D4B">
        <w:rPr>
          <w:shd w:val="clear" w:color="auto" w:fill="FFFFFF"/>
          <w:lang w:val="en-GB"/>
        </w:rPr>
        <w:t xml:space="preserve"> increase of 23.9</w:t>
      </w:r>
      <w:r w:rsidR="008A130C">
        <w:rPr>
          <w:shd w:val="clear" w:color="auto" w:fill="FFFFFF"/>
          <w:lang w:val="en-GB"/>
        </w:rPr>
        <w:t>%</w:t>
      </w:r>
      <w:r w:rsidR="00FE3A83">
        <w:rPr>
          <w:shd w:val="clear" w:color="auto" w:fill="FFFFFF"/>
          <w:lang w:val="en-GB"/>
        </w:rPr>
        <w:t xml:space="preserve">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3B4D4B">
        <w:rPr>
          <w:shd w:val="clear" w:color="auto" w:fill="FFFFFF"/>
          <w:lang w:val="en-GB"/>
        </w:rPr>
        <w:t>123</w:t>
      </w:r>
      <w:r w:rsidR="00DE7DD4">
        <w:rPr>
          <w:shd w:val="clear" w:color="auto" w:fill="FFFFFF"/>
          <w:lang w:val="en-GB"/>
        </w:rPr>
        <w:t>.</w:t>
      </w:r>
      <w:r w:rsidR="003B4D4B">
        <w:rPr>
          <w:shd w:val="clear" w:color="auto" w:fill="FFFFFF"/>
          <w:lang w:val="en-GB"/>
        </w:rPr>
        <w:t>2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3B4D4B">
        <w:rPr>
          <w:shd w:val="clear" w:color="auto" w:fill="FFFFFF"/>
          <w:lang w:val="en-GB"/>
        </w:rPr>
        <w:t>, an increase of 21.4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93EA6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3B4D4B">
        <w:rPr>
          <w:shd w:val="clear" w:color="auto" w:fill="FFFFFF"/>
          <w:lang w:val="en-GB"/>
        </w:rPr>
        <w:t>7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3B4D4B" w:rsidRPr="003B4D4B">
        <w:rPr>
          <w:spacing w:val="-4"/>
          <w:shd w:val="clear" w:color="auto" w:fill="FFFFFF"/>
          <w:lang w:val="en-GB"/>
        </w:rPr>
        <w:t xml:space="preserve">4 474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3B4D4B" w:rsidRPr="003B4D4B">
        <w:rPr>
          <w:shd w:val="clear" w:color="auto" w:fill="FFFFFF"/>
          <w:lang w:val="en-GB"/>
        </w:rPr>
        <w:t xml:space="preserve">2 756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DE7DD4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="009742AF" w:rsidRPr="004075A5" w14:paraId="652EDD20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A568A9" w14:textId="2D9D8E34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3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76ACFB3A" w14:textId="77777777" w:rsidR="009742AF" w:rsidRPr="004075A5" w:rsidRDefault="009742AF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7810BC" w:rsidRPr="004075A5" w14:paraId="407E8CA0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F49B" w14:textId="77777777" w:rsidR="007810BC" w:rsidRPr="004075A5" w:rsidRDefault="007810BC" w:rsidP="007810B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DE5D24B" w14:textId="1588B76D" w:rsidR="007810BC" w:rsidRPr="004075A5" w:rsidRDefault="007810BC" w:rsidP="003B4D4B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12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74C18E57" w14:textId="24957C61" w:rsidR="007810BC" w:rsidRPr="004075A5" w:rsidRDefault="007810BC" w:rsidP="007810B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</w:p>
        </w:tc>
      </w:tr>
      <w:tr w:rsidR="007810BC" w:rsidRPr="004075A5" w14:paraId="34D84E6E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BB0D" w14:textId="77777777" w:rsidR="007810BC" w:rsidRPr="004075A5" w:rsidRDefault="007810BC" w:rsidP="007810B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45D542" w14:textId="19CDFB6C" w:rsidR="007810BC" w:rsidRPr="004075A5" w:rsidRDefault="007810BC" w:rsidP="007810B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31348A1" w14:textId="58A5A001" w:rsidR="007810BC" w:rsidRPr="004075A5" w:rsidRDefault="007810BC" w:rsidP="007810B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5D60182" w14:textId="42C79DDF" w:rsidR="007810BC" w:rsidRPr="004075A5" w:rsidRDefault="00DC0356" w:rsidP="007810B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C0356">
              <w:rPr>
                <w:color w:val="000000" w:themeColor="text1"/>
                <w:sz w:val="16"/>
                <w:szCs w:val="16"/>
              </w:rPr>
              <w:t>11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04BAD5" w14:textId="0AD90828" w:rsidR="007810BC" w:rsidRPr="004075A5" w:rsidRDefault="00DC0356" w:rsidP="007810B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C035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768058B7" w14:textId="40D73D67" w:rsidR="007810BC" w:rsidRPr="004075A5" w:rsidRDefault="00DC0356" w:rsidP="007810B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C0356">
              <w:rPr>
                <w:color w:val="000000" w:themeColor="text1"/>
                <w:sz w:val="16"/>
                <w:szCs w:val="16"/>
              </w:rPr>
              <w:t>01-12 2020=100</w:t>
            </w:r>
          </w:p>
        </w:tc>
      </w:tr>
      <w:tr w:rsidR="007810BC" w:rsidRPr="004075A5" w14:paraId="363C5E69" w14:textId="77777777" w:rsidTr="00574E8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945A5CE" w14:textId="0F3C1913" w:rsidR="007810BC" w:rsidRPr="004075A5" w:rsidRDefault="007810BC" w:rsidP="007810B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FF6B37E" w14:textId="6EFF0F54" w:rsidR="007810BC" w:rsidRPr="004075A5" w:rsidRDefault="007810BC" w:rsidP="007810B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32 749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2650B294" w14:textId="520F19F6" w:rsidR="007810BC" w:rsidRPr="004075A5" w:rsidRDefault="007810BC" w:rsidP="007810B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94.6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0DFAE63" w14:textId="41333414" w:rsidR="007810BC" w:rsidRPr="004075A5" w:rsidRDefault="007810BC" w:rsidP="007810B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137.0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031BE8B" w14:textId="1D67A081" w:rsidR="007810BC" w:rsidRPr="004075A5" w:rsidRDefault="007810BC" w:rsidP="007810B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340 613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F67A547" w14:textId="525801EE" w:rsidR="007810BC" w:rsidRPr="004075A5" w:rsidRDefault="007810BC" w:rsidP="007810B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123.3</w:t>
            </w:r>
          </w:p>
        </w:tc>
      </w:tr>
      <w:tr w:rsidR="007810BC" w:rsidRPr="005430E7" w14:paraId="5A60AF97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4FEBA86" w14:textId="3CBD3A6D" w:rsidR="007810BC" w:rsidRPr="004075A5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7B4676B3" w14:textId="17910635" w:rsidR="007810BC" w:rsidRPr="004075A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8 241</w:t>
            </w:r>
          </w:p>
        </w:tc>
        <w:tc>
          <w:tcPr>
            <w:tcW w:w="1281" w:type="dxa"/>
            <w:vAlign w:val="center"/>
          </w:tcPr>
          <w:p w14:paraId="5944B0EE" w14:textId="2863C624" w:rsidR="007810BC" w:rsidRPr="004075A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89.8</w:t>
            </w:r>
          </w:p>
        </w:tc>
        <w:tc>
          <w:tcPr>
            <w:tcW w:w="1134" w:type="dxa"/>
            <w:vAlign w:val="center"/>
          </w:tcPr>
          <w:p w14:paraId="3B4476B3" w14:textId="15753CEA" w:rsidR="007810BC" w:rsidRPr="004075A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86.5</w:t>
            </w:r>
          </w:p>
        </w:tc>
        <w:tc>
          <w:tcPr>
            <w:tcW w:w="1134" w:type="dxa"/>
            <w:vAlign w:val="center"/>
          </w:tcPr>
          <w:p w14:paraId="4C8A7B81" w14:textId="7306BA84" w:rsidR="007810BC" w:rsidRPr="004075A5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123 154</w:t>
            </w:r>
          </w:p>
        </w:tc>
        <w:tc>
          <w:tcPr>
            <w:tcW w:w="1276" w:type="dxa"/>
            <w:vAlign w:val="center"/>
          </w:tcPr>
          <w:p w14:paraId="77B0F2D4" w14:textId="0F11CE0B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121.4</w:t>
            </w:r>
          </w:p>
        </w:tc>
      </w:tr>
      <w:tr w:rsidR="007810BC" w:rsidRPr="005430E7" w14:paraId="253F359E" w14:textId="77777777" w:rsidTr="00574E89">
        <w:trPr>
          <w:trHeight w:val="381"/>
        </w:trPr>
        <w:tc>
          <w:tcPr>
            <w:tcW w:w="2049" w:type="dxa"/>
            <w:vAlign w:val="center"/>
          </w:tcPr>
          <w:p w14:paraId="4A3D285E" w14:textId="713098B9" w:rsidR="007810BC" w:rsidRPr="005430E7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2742894C" w14:textId="1B30FC36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23 526</w:t>
            </w:r>
          </w:p>
        </w:tc>
        <w:tc>
          <w:tcPr>
            <w:tcW w:w="1281" w:type="dxa"/>
            <w:vAlign w:val="center"/>
          </w:tcPr>
          <w:p w14:paraId="3E99F8B5" w14:textId="3A368258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1134" w:type="dxa"/>
            <w:vAlign w:val="center"/>
          </w:tcPr>
          <w:p w14:paraId="33E71843" w14:textId="3D233422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166.1</w:t>
            </w:r>
          </w:p>
        </w:tc>
        <w:tc>
          <w:tcPr>
            <w:tcW w:w="1134" w:type="dxa"/>
            <w:vAlign w:val="center"/>
          </w:tcPr>
          <w:p w14:paraId="439A9A61" w14:textId="618355C9" w:rsidR="007810BC" w:rsidRPr="005430E7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212 985</w:t>
            </w:r>
          </w:p>
        </w:tc>
        <w:tc>
          <w:tcPr>
            <w:tcW w:w="1276" w:type="dxa"/>
            <w:vAlign w:val="center"/>
          </w:tcPr>
          <w:p w14:paraId="1D21657D" w14:textId="3DA47ABB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123.9</w:t>
            </w:r>
          </w:p>
        </w:tc>
      </w:tr>
      <w:tr w:rsidR="007810BC" w:rsidRPr="005430E7" w14:paraId="49CCABB5" w14:textId="77777777" w:rsidTr="00574E89">
        <w:trPr>
          <w:trHeight w:val="254"/>
        </w:trPr>
        <w:tc>
          <w:tcPr>
            <w:tcW w:w="2049" w:type="dxa"/>
            <w:vAlign w:val="center"/>
          </w:tcPr>
          <w:p w14:paraId="04F8B3A3" w14:textId="40A4038A" w:rsidR="007810BC" w:rsidRPr="005430E7" w:rsidRDefault="007810BC" w:rsidP="007810B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4102165" w14:textId="0A26360B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1281" w:type="dxa"/>
            <w:vAlign w:val="center"/>
          </w:tcPr>
          <w:p w14:paraId="09DE0DD7" w14:textId="09D99E14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6C5A508" w14:textId="41A47323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 xml:space="preserve">9-fold </w:t>
            </w:r>
            <w:r>
              <w:rPr>
                <w:rFonts w:cs="Arial"/>
                <w:sz w:val="16"/>
                <w:szCs w:val="16"/>
              </w:rPr>
              <w:br/>
              <w:t>more</w:t>
            </w:r>
          </w:p>
        </w:tc>
        <w:tc>
          <w:tcPr>
            <w:tcW w:w="1134" w:type="dxa"/>
            <w:vAlign w:val="center"/>
          </w:tcPr>
          <w:p w14:paraId="0758F907" w14:textId="4DF2C032" w:rsidR="007810BC" w:rsidRPr="005430E7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846</w:t>
            </w:r>
          </w:p>
        </w:tc>
        <w:tc>
          <w:tcPr>
            <w:tcW w:w="1276" w:type="dxa"/>
            <w:vAlign w:val="center"/>
          </w:tcPr>
          <w:p w14:paraId="3736BBBA" w14:textId="64EE839E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72.2</w:t>
            </w:r>
          </w:p>
        </w:tc>
      </w:tr>
      <w:tr w:rsidR="007810BC" w:rsidRPr="005430E7" w14:paraId="6AE47FC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BE41020" w14:textId="03705341" w:rsidR="007810BC" w:rsidRPr="005430E7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074B7F82" w14:textId="60F31F45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870</w:t>
            </w:r>
          </w:p>
        </w:tc>
        <w:tc>
          <w:tcPr>
            <w:tcW w:w="1281" w:type="dxa"/>
            <w:vAlign w:val="center"/>
          </w:tcPr>
          <w:p w14:paraId="75710FA7" w14:textId="6C5DC20E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over 31-fold more</w:t>
            </w:r>
          </w:p>
        </w:tc>
        <w:tc>
          <w:tcPr>
            <w:tcW w:w="1134" w:type="dxa"/>
            <w:vAlign w:val="center"/>
          </w:tcPr>
          <w:p w14:paraId="0D727A2C" w14:textId="3ACB40C2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over 19-fold more</w:t>
            </w:r>
          </w:p>
        </w:tc>
        <w:tc>
          <w:tcPr>
            <w:tcW w:w="1134" w:type="dxa"/>
            <w:vAlign w:val="center"/>
          </w:tcPr>
          <w:p w14:paraId="7BC5B13D" w14:textId="782A8B88" w:rsidR="007810BC" w:rsidRPr="005430E7" w:rsidRDefault="007810BC" w:rsidP="007810B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1 769</w:t>
            </w:r>
          </w:p>
        </w:tc>
        <w:tc>
          <w:tcPr>
            <w:tcW w:w="1276" w:type="dxa"/>
            <w:vAlign w:val="center"/>
          </w:tcPr>
          <w:p w14:paraId="6A2D6765" w14:textId="7774CF6A" w:rsidR="007810BC" w:rsidRPr="005430E7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247.8</w:t>
            </w:r>
          </w:p>
        </w:tc>
      </w:tr>
      <w:tr w:rsidR="007810BC" w:rsidRPr="004075A5" w14:paraId="3743047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5B07F42D" w14:textId="55C2ED06" w:rsidR="007810BC" w:rsidRPr="004075A5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5B2F4361" w14:textId="5EFFB30B" w:rsidR="007810BC" w:rsidRPr="004075A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81" w:type="dxa"/>
            <w:vAlign w:val="center"/>
          </w:tcPr>
          <w:p w14:paraId="3F38C2B2" w14:textId="035A98B8" w:rsidR="007810BC" w:rsidRPr="004075A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F91F410" w14:textId="5C6CE482" w:rsidR="007810BC" w:rsidRPr="004075A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D4CFC01" w14:textId="54D1DC40" w:rsidR="007810BC" w:rsidRPr="004075A5" w:rsidRDefault="007810BC" w:rsidP="007810B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1 670</w:t>
            </w:r>
          </w:p>
        </w:tc>
        <w:tc>
          <w:tcPr>
            <w:tcW w:w="1276" w:type="dxa"/>
            <w:vAlign w:val="center"/>
          </w:tcPr>
          <w:p w14:paraId="2D6C854F" w14:textId="34DE8E55" w:rsidR="007810BC" w:rsidRPr="004075A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197.2</w:t>
            </w:r>
          </w:p>
        </w:tc>
      </w:tr>
      <w:tr w:rsidR="007810BC" w:rsidRPr="005537BF" w14:paraId="600577D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210EF7C3" w14:textId="0E998393" w:rsidR="007810BC" w:rsidRPr="004075A5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5643C5F6" w14:textId="3B92CA1F" w:rsidR="007810BC" w:rsidRPr="004075A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81" w:type="dxa"/>
            <w:vAlign w:val="center"/>
          </w:tcPr>
          <w:p w14:paraId="010E4B35" w14:textId="64DF11A8" w:rsidR="007810BC" w:rsidRPr="004075A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C67E5C1" w14:textId="63A13213" w:rsidR="007810BC" w:rsidRPr="004075A5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66.7</w:t>
            </w:r>
          </w:p>
        </w:tc>
        <w:tc>
          <w:tcPr>
            <w:tcW w:w="1134" w:type="dxa"/>
            <w:vAlign w:val="center"/>
          </w:tcPr>
          <w:p w14:paraId="58E5EB1D" w14:textId="2A9E694D" w:rsidR="007810BC" w:rsidRPr="004075A5" w:rsidRDefault="007810BC" w:rsidP="007810B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276" w:type="dxa"/>
            <w:vAlign w:val="center"/>
          </w:tcPr>
          <w:p w14:paraId="0779A040" w14:textId="0726015B" w:rsidR="007810BC" w:rsidRPr="005537B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almost 8- fold more</w:t>
            </w:r>
          </w:p>
        </w:tc>
      </w:tr>
      <w:bookmarkEnd w:id="1"/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7A0B1B4A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277.4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23.9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166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3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27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7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106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1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(by 17.5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% more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2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3B4D4B" w:rsidRPr="003B4D4B">
        <w:rPr>
          <w:b w:val="0"/>
          <w:sz w:val="19"/>
          <w:szCs w:val="19"/>
          <w:shd w:val="clear" w:color="auto" w:fill="FFFFFF"/>
          <w:lang w:val="en-GB"/>
        </w:rPr>
        <w:t xml:space="preserve">5 072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3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 </w:t>
      </w:r>
      <w:r w:rsidR="003B4D4B">
        <w:rPr>
          <w:b w:val="0"/>
          <w:sz w:val="19"/>
          <w:szCs w:val="19"/>
          <w:shd w:val="clear" w:color="auto" w:fill="FFFFFF"/>
          <w:lang w:val="en-GB"/>
        </w:rPr>
        <w:t>325</w:t>
      </w:r>
      <w:r w:rsidR="00BB44BD" w:rsidRPr="00BB4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9742AF" w:rsidRDefault="00B4601E" w:rsidP="007207E6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7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275"/>
        <w:gridCol w:w="1134"/>
        <w:gridCol w:w="1134"/>
        <w:gridCol w:w="1276"/>
      </w:tblGrid>
      <w:tr w:rsidR="009742AF" w:rsidRPr="009742AF" w14:paraId="42B31331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7AD684F9" w14:textId="5A20F73E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2B8481C" w14:textId="77777777" w:rsidR="009742AF" w:rsidRPr="009742AF" w:rsidRDefault="009742AF" w:rsidP="009742A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7810BC" w:rsidRPr="009742AF" w14:paraId="21415E66" w14:textId="77777777" w:rsidTr="000D0D6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AF42167" w14:textId="77777777" w:rsidR="007810BC" w:rsidRPr="009742AF" w:rsidRDefault="007810BC" w:rsidP="007810B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32B26E1F" w14:textId="66A38564" w:rsidR="007810BC" w:rsidRPr="009742AF" w:rsidRDefault="007810BC" w:rsidP="003B4D4B">
            <w:pPr>
              <w:spacing w:before="0"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12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02375EED" w14:textId="25F1EFF6" w:rsidR="007810BC" w:rsidRPr="009742AF" w:rsidRDefault="007810BC" w:rsidP="007810B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01-12</w:t>
            </w:r>
          </w:p>
        </w:tc>
      </w:tr>
      <w:tr w:rsidR="007810BC" w:rsidRPr="009742AF" w14:paraId="20FBE1E6" w14:textId="77777777" w:rsidTr="00303D96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3CF40A7" w14:textId="77777777" w:rsidR="007810BC" w:rsidRPr="009742AF" w:rsidRDefault="007810BC" w:rsidP="007810BC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sz="12" w:space="0" w:color="212492"/>
            </w:tcBorders>
            <w:vAlign w:val="center"/>
          </w:tcPr>
          <w:p w14:paraId="20F03018" w14:textId="122C992D" w:rsidR="007810BC" w:rsidRPr="009742AF" w:rsidRDefault="007810BC" w:rsidP="007810B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71D200" w14:textId="2F34C4B8" w:rsidR="007810BC" w:rsidRPr="009742AF" w:rsidRDefault="007810BC" w:rsidP="007810B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921633" w14:textId="76C980F1" w:rsidR="007810BC" w:rsidRPr="009742AF" w:rsidRDefault="00DC0356" w:rsidP="007810B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C0356">
              <w:rPr>
                <w:color w:val="000000" w:themeColor="text1"/>
                <w:sz w:val="16"/>
                <w:szCs w:val="16"/>
              </w:rPr>
              <w:t>11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56A9851" w14:textId="4BA6B4B5" w:rsidR="007810BC" w:rsidRPr="009742AF" w:rsidRDefault="00DC0356" w:rsidP="007810B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C0356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5622396" w14:textId="4133C966" w:rsidR="007810BC" w:rsidRPr="009742AF" w:rsidRDefault="00DC0356" w:rsidP="007810B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DC0356">
              <w:rPr>
                <w:color w:val="000000" w:themeColor="text1"/>
                <w:sz w:val="16"/>
                <w:szCs w:val="16"/>
              </w:rPr>
              <w:t>01-12 2020=100</w:t>
            </w:r>
          </w:p>
        </w:tc>
      </w:tr>
      <w:tr w:rsidR="007810BC" w:rsidRPr="009742AF" w14:paraId="78BFCBE6" w14:textId="77777777" w:rsidTr="00303D96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15F511" w14:textId="7E144C87" w:rsidR="007810BC" w:rsidRPr="009742AF" w:rsidRDefault="007810BC" w:rsidP="007810BC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12" w:type="dxa"/>
            <w:tcBorders>
              <w:top w:val="single" w:sz="12" w:space="0" w:color="212492"/>
            </w:tcBorders>
            <w:vAlign w:val="center"/>
          </w:tcPr>
          <w:p w14:paraId="37677614" w14:textId="1006BCF9" w:rsidR="007810BC" w:rsidRPr="009742AF" w:rsidRDefault="007810BC" w:rsidP="007810B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17 364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17299C22" w14:textId="3473AC0E" w:rsidR="007810BC" w:rsidRPr="009742AF" w:rsidRDefault="007810BC" w:rsidP="007810B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101.5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3257870A" w14:textId="0421A6CB" w:rsidR="007810BC" w:rsidRPr="009742AF" w:rsidRDefault="007810BC" w:rsidP="007810B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81.9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62E4576F" w14:textId="4D76E721" w:rsidR="007810BC" w:rsidRPr="009742AF" w:rsidRDefault="007810BC" w:rsidP="007810B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277 425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CFB1E21" w14:textId="1177AC8C" w:rsidR="007810BC" w:rsidRPr="009742AF" w:rsidRDefault="007810BC" w:rsidP="007810BC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123.9</w:t>
            </w:r>
          </w:p>
        </w:tc>
      </w:tr>
      <w:tr w:rsidR="007810BC" w:rsidRPr="009742AF" w14:paraId="1AF51B79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70FE36C1" w14:textId="11A32CE6" w:rsidR="007810BC" w:rsidRPr="009742AF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12" w:type="dxa"/>
            <w:vAlign w:val="center"/>
          </w:tcPr>
          <w:p w14:paraId="63878239" w14:textId="2985A31A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4 691</w:t>
            </w:r>
          </w:p>
        </w:tc>
        <w:tc>
          <w:tcPr>
            <w:tcW w:w="1275" w:type="dxa"/>
            <w:vAlign w:val="center"/>
          </w:tcPr>
          <w:p w14:paraId="609BA523" w14:textId="104CCC4A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1134" w:type="dxa"/>
            <w:vAlign w:val="center"/>
          </w:tcPr>
          <w:p w14:paraId="4E1B2726" w14:textId="5041B627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62.9</w:t>
            </w:r>
          </w:p>
        </w:tc>
        <w:tc>
          <w:tcPr>
            <w:tcW w:w="1134" w:type="dxa"/>
            <w:vAlign w:val="center"/>
          </w:tcPr>
          <w:p w14:paraId="02B9CB2E" w14:textId="334A92E5" w:rsidR="007810BC" w:rsidRPr="009742AF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106 068</w:t>
            </w:r>
          </w:p>
        </w:tc>
        <w:tc>
          <w:tcPr>
            <w:tcW w:w="1276" w:type="dxa"/>
            <w:vAlign w:val="center"/>
          </w:tcPr>
          <w:p w14:paraId="2CB4462E" w14:textId="5B21B6A7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117.5</w:t>
            </w:r>
          </w:p>
        </w:tc>
      </w:tr>
      <w:tr w:rsidR="007810BC" w:rsidRPr="009742AF" w14:paraId="5438C4EC" w14:textId="77777777" w:rsidTr="00303D96">
        <w:trPr>
          <w:trHeight w:val="381"/>
        </w:trPr>
        <w:tc>
          <w:tcPr>
            <w:tcW w:w="2049" w:type="dxa"/>
            <w:vAlign w:val="center"/>
          </w:tcPr>
          <w:p w14:paraId="482BA362" w14:textId="1F4BF9AB" w:rsidR="007810BC" w:rsidRPr="009742AF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12" w:type="dxa"/>
            <w:vAlign w:val="center"/>
          </w:tcPr>
          <w:p w14:paraId="4D27C9CE" w14:textId="26A9CC0F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12 595</w:t>
            </w:r>
          </w:p>
        </w:tc>
        <w:tc>
          <w:tcPr>
            <w:tcW w:w="1275" w:type="dxa"/>
            <w:vAlign w:val="center"/>
          </w:tcPr>
          <w:p w14:paraId="0A75D08F" w14:textId="300A4D6B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1134" w:type="dxa"/>
            <w:vAlign w:val="center"/>
          </w:tcPr>
          <w:p w14:paraId="64CEC6ED" w14:textId="0BDD0480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97.6</w:t>
            </w:r>
          </w:p>
        </w:tc>
        <w:tc>
          <w:tcPr>
            <w:tcW w:w="1134" w:type="dxa"/>
            <w:vAlign w:val="center"/>
          </w:tcPr>
          <w:p w14:paraId="6BB26F27" w14:textId="6A1FBAC5" w:rsidR="007810BC" w:rsidRPr="009742AF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166 285</w:t>
            </w:r>
          </w:p>
        </w:tc>
        <w:tc>
          <w:tcPr>
            <w:tcW w:w="1276" w:type="dxa"/>
            <w:vAlign w:val="center"/>
          </w:tcPr>
          <w:p w14:paraId="375F0B14" w14:textId="566ADFAF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127.7</w:t>
            </w:r>
          </w:p>
        </w:tc>
      </w:tr>
      <w:tr w:rsidR="007810BC" w:rsidRPr="009742AF" w14:paraId="0C63BA5A" w14:textId="77777777" w:rsidTr="00303D96">
        <w:trPr>
          <w:trHeight w:val="265"/>
        </w:trPr>
        <w:tc>
          <w:tcPr>
            <w:tcW w:w="2049" w:type="dxa"/>
            <w:vAlign w:val="center"/>
          </w:tcPr>
          <w:p w14:paraId="20E77697" w14:textId="1AF9CEF1" w:rsidR="007810BC" w:rsidRPr="009742AF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12" w:type="dxa"/>
            <w:vAlign w:val="center"/>
          </w:tcPr>
          <w:p w14:paraId="6ABD4510" w14:textId="62BE5DA2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14:paraId="7A0F5837" w14:textId="7D99AB0D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 23-fold less</w:t>
            </w:r>
          </w:p>
        </w:tc>
        <w:tc>
          <w:tcPr>
            <w:tcW w:w="1134" w:type="dxa"/>
            <w:vAlign w:val="center"/>
          </w:tcPr>
          <w:p w14:paraId="39B83B47" w14:textId="5CEDFF82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over 56-fold less</w:t>
            </w:r>
          </w:p>
        </w:tc>
        <w:tc>
          <w:tcPr>
            <w:tcW w:w="1134" w:type="dxa"/>
            <w:vAlign w:val="center"/>
          </w:tcPr>
          <w:p w14:paraId="6BC6F206" w14:textId="415762CD" w:rsidR="007810BC" w:rsidRPr="009742AF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1 473</w:t>
            </w:r>
          </w:p>
        </w:tc>
        <w:tc>
          <w:tcPr>
            <w:tcW w:w="1276" w:type="dxa"/>
            <w:vAlign w:val="center"/>
          </w:tcPr>
          <w:p w14:paraId="4A3FCB36" w14:textId="6941D46F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118.7</w:t>
            </w:r>
          </w:p>
        </w:tc>
      </w:tr>
      <w:tr w:rsidR="007810BC" w:rsidRPr="009742AF" w14:paraId="4D26EBDA" w14:textId="77777777" w:rsidTr="00303D96">
        <w:trPr>
          <w:trHeight w:val="254"/>
        </w:trPr>
        <w:tc>
          <w:tcPr>
            <w:tcW w:w="2049" w:type="dxa"/>
            <w:vAlign w:val="center"/>
          </w:tcPr>
          <w:p w14:paraId="68F0B91A" w14:textId="0C9794B6" w:rsidR="007810BC" w:rsidRPr="009742AF" w:rsidRDefault="007810BC" w:rsidP="007810BC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12" w:type="dxa"/>
            <w:vAlign w:val="center"/>
          </w:tcPr>
          <w:p w14:paraId="75FA134D" w14:textId="33C3BC05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15C370A7" w14:textId="5ED6E93C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5C57DEE" w14:textId="2B4CA205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47CBCFA" w14:textId="64D6C299" w:rsidR="007810BC" w:rsidRPr="009742AF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1 913</w:t>
            </w:r>
          </w:p>
        </w:tc>
        <w:tc>
          <w:tcPr>
            <w:tcW w:w="1276" w:type="dxa"/>
            <w:vAlign w:val="center"/>
          </w:tcPr>
          <w:p w14:paraId="406A680F" w14:textId="41028A4F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116.8</w:t>
            </w:r>
          </w:p>
        </w:tc>
      </w:tr>
      <w:tr w:rsidR="007810BC" w:rsidRPr="009742AF" w14:paraId="75797574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6932F351" w14:textId="210E2910" w:rsidR="007810BC" w:rsidRPr="009742AF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12" w:type="dxa"/>
            <w:vAlign w:val="center"/>
          </w:tcPr>
          <w:p w14:paraId="62AD648F" w14:textId="6FACAD4A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vAlign w:val="center"/>
          </w:tcPr>
          <w:p w14:paraId="30F79EA3" w14:textId="3FD2B86B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26BB853" w14:textId="2AB75D56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33.0</w:t>
            </w:r>
          </w:p>
        </w:tc>
        <w:tc>
          <w:tcPr>
            <w:tcW w:w="1134" w:type="dxa"/>
            <w:vAlign w:val="center"/>
          </w:tcPr>
          <w:p w14:paraId="198AFE41" w14:textId="32CCF99E" w:rsidR="007810BC" w:rsidRPr="009742AF" w:rsidRDefault="007810BC" w:rsidP="007810B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1 056</w:t>
            </w:r>
          </w:p>
        </w:tc>
        <w:tc>
          <w:tcPr>
            <w:tcW w:w="1276" w:type="dxa"/>
            <w:vAlign w:val="center"/>
          </w:tcPr>
          <w:p w14:paraId="0448BCA3" w14:textId="7B56A99E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289.3</w:t>
            </w:r>
          </w:p>
        </w:tc>
      </w:tr>
      <w:tr w:rsidR="007810BC" w:rsidRPr="009742AF" w14:paraId="19303E3E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4F9BE4D7" w14:textId="2EC3D680" w:rsidR="007810BC" w:rsidRPr="009742AF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12" w:type="dxa"/>
            <w:vAlign w:val="center"/>
          </w:tcPr>
          <w:p w14:paraId="2AA6F621" w14:textId="381CD034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14:paraId="5F9A1A43" w14:textId="031C1F0B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5EE7520" w14:textId="2F2E5EBB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almost 17-fold less</w:t>
            </w:r>
          </w:p>
        </w:tc>
        <w:tc>
          <w:tcPr>
            <w:tcW w:w="1134" w:type="dxa"/>
            <w:vAlign w:val="center"/>
          </w:tcPr>
          <w:p w14:paraId="18101EF9" w14:textId="045AF610" w:rsidR="007810BC" w:rsidRPr="009742AF" w:rsidRDefault="007810BC" w:rsidP="007810B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1 914</w:t>
            </w:r>
          </w:p>
        </w:tc>
        <w:tc>
          <w:tcPr>
            <w:tcW w:w="1276" w:type="dxa"/>
            <w:vAlign w:val="center"/>
          </w:tcPr>
          <w:p w14:paraId="3D8101D6" w14:textId="4E96167D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164.6</w:t>
            </w:r>
          </w:p>
        </w:tc>
      </w:tr>
      <w:tr w:rsidR="007810BC" w:rsidRPr="009742AF" w14:paraId="08F9BC9D" w14:textId="77777777" w:rsidTr="00303D96">
        <w:trPr>
          <w:trHeight w:val="57"/>
        </w:trPr>
        <w:tc>
          <w:tcPr>
            <w:tcW w:w="2049" w:type="dxa"/>
            <w:vAlign w:val="center"/>
          </w:tcPr>
          <w:p w14:paraId="6AD09FA5" w14:textId="2DB948C3" w:rsidR="007810BC" w:rsidRPr="009742AF" w:rsidRDefault="007810BC" w:rsidP="007810B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12" w:type="dxa"/>
            <w:vAlign w:val="center"/>
          </w:tcPr>
          <w:p w14:paraId="608975F3" w14:textId="3AED7E00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147ED29B" w14:textId="726979D6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0624A4A" w14:textId="244CAE52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5C8EBC0" w14:textId="1C966D80" w:rsidR="007810BC" w:rsidRPr="009742AF" w:rsidRDefault="007810BC" w:rsidP="007810BC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276" w:type="dxa"/>
            <w:vAlign w:val="center"/>
          </w:tcPr>
          <w:p w14:paraId="7808E9AE" w14:textId="140A55AC" w:rsidR="007810BC" w:rsidRPr="009742AF" w:rsidRDefault="007810BC" w:rsidP="007810B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118.9</w:t>
            </w:r>
          </w:p>
        </w:tc>
      </w:tr>
    </w:tbl>
    <w:p w14:paraId="34D75009" w14:textId="0800FE40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7B36AE">
        <w:rPr>
          <w:b w:val="0"/>
          <w:sz w:val="19"/>
          <w:szCs w:val="19"/>
          <w:shd w:val="clear" w:color="auto" w:fill="FFFFFF"/>
          <w:lang w:val="en-GB"/>
        </w:rPr>
        <w:t>871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BB44BD">
        <w:rPr>
          <w:b w:val="0"/>
          <w:sz w:val="19"/>
          <w:szCs w:val="19"/>
          <w:shd w:val="clear" w:color="auto" w:fill="FFFFFF"/>
          <w:lang w:val="en-GB"/>
        </w:rPr>
        <w:t>3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7B36AE">
        <w:rPr>
          <w:b w:val="0"/>
          <w:sz w:val="19"/>
          <w:szCs w:val="19"/>
          <w:shd w:val="clear" w:color="auto" w:fill="FFFFFF"/>
          <w:lang w:val="en-GB"/>
        </w:rPr>
        <w:t>5.2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7B36AE">
        <w:rPr>
          <w:b w:val="0"/>
          <w:sz w:val="19"/>
          <w:szCs w:val="19"/>
          <w:shd w:val="clear" w:color="auto" w:fill="FFFFFF"/>
          <w:lang w:val="en-GB"/>
        </w:rPr>
        <w:t xml:space="preserve">at the end of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37A8AFFD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07DDCEC0" w14:textId="119975C6" w:rsidR="00F37978" w:rsidRPr="00D93EA6" w:rsidRDefault="007B2590" w:rsidP="003A600F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1553E2D0">
                <wp:simplePos x="0" y="0"/>
                <wp:positionH relativeFrom="page">
                  <wp:align>right</wp:align>
                </wp:positionH>
                <wp:positionV relativeFrom="paragraph">
                  <wp:posOffset>86005</wp:posOffset>
                </wp:positionV>
                <wp:extent cx="1835785" cy="217233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17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6C88EE40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7B36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December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7B36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November</w:t>
                            </w:r>
                            <w:r w:rsidRP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7B36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increased (by 9.3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7B36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ruction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7B36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37.0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7B36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B36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7B36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18.1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36E1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93.35pt;margin-top:6.75pt;width:144.55pt;height:171.0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" filled="f" stroked="f">
                <v:textbox>
                  <w:txbxContent>
                    <w:p w14:paraId="58FBF1C9" w14:textId="6C88EE40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7B36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December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7B36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November</w:t>
                      </w:r>
                      <w:r w:rsidRP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7B36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increased (by 9.3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7B36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ruction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7B36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37.0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7B36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B36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7B36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18.1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810BC">
        <w:rPr>
          <w:noProof/>
        </w:rPr>
        <w:drawing>
          <wp:inline distT="0" distB="0" distL="0" distR="0" wp14:anchorId="0E5D331B" wp14:editId="7BC69351">
            <wp:extent cx="5122545" cy="2265528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2" w:name="_GoBack"/>
      <w:bookmarkEnd w:id="2"/>
    </w:p>
    <w:p w14:paraId="3DBFE4B9" w14:textId="77777777" w:rsidR="00010F9B" w:rsidRDefault="00010F9B" w:rsidP="00CB6084">
      <w:pPr>
        <w:rPr>
          <w:szCs w:val="19"/>
          <w:shd w:val="clear" w:color="auto" w:fill="FFFFFF"/>
          <w:lang w:val="en-GB"/>
        </w:rPr>
      </w:pPr>
    </w:p>
    <w:p w14:paraId="6B2C5EA1" w14:textId="73198A91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>In 2021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700FC6" w:rsidRP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7B36AE">
        <w:rPr>
          <w:szCs w:val="19"/>
          <w:shd w:val="clear" w:color="auto" w:fill="FFFFFF"/>
          <w:lang w:val="en-GB"/>
        </w:rPr>
        <w:t>44</w:t>
      </w:r>
      <w:r w:rsidR="00D6223C">
        <w:rPr>
          <w:szCs w:val="19"/>
          <w:shd w:val="clear" w:color="auto" w:fill="FFFFFF"/>
          <w:lang w:val="en-GB"/>
        </w:rPr>
        <w:t>.</w:t>
      </w:r>
      <w:r w:rsidR="007B36AE">
        <w:rPr>
          <w:szCs w:val="19"/>
          <w:shd w:val="clear" w:color="auto" w:fill="FFFFFF"/>
          <w:lang w:val="en-GB"/>
        </w:rPr>
        <w:t>6 </w:t>
      </w:r>
      <w:r w:rsidR="00EF6032">
        <w:rPr>
          <w:szCs w:val="19"/>
          <w:shd w:val="clear" w:color="auto" w:fill="FFFFFF"/>
          <w:lang w:val="en-GB"/>
        </w:rPr>
        <w:t>thousand</w:t>
      </w:r>
      <w:r w:rsidR="00BB44BD">
        <w:rPr>
          <w:szCs w:val="19"/>
          <w:shd w:val="clear" w:color="auto" w:fill="FFFFFF"/>
          <w:lang w:val="en-GB"/>
        </w:rPr>
        <w:t xml:space="preserve">, </w:t>
      </w:r>
      <w:r w:rsidR="007B36AE">
        <w:rPr>
          <w:szCs w:val="19"/>
          <w:shd w:val="clear" w:color="auto" w:fill="FFFFFF"/>
          <w:lang w:val="en-GB"/>
        </w:rPr>
        <w:t>50</w:t>
      </w:r>
      <w:r w:rsidR="00BB44BD">
        <w:rPr>
          <w:szCs w:val="19"/>
          <w:shd w:val="clear" w:color="auto" w:fill="FFFFFF"/>
          <w:lang w:val="en-GB"/>
        </w:rPr>
        <w:t>.7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7B36AE">
        <w:rPr>
          <w:szCs w:val="19"/>
          <w:shd w:val="clear" w:color="auto" w:fill="FFFFFF"/>
          <w:lang w:val="en-GB"/>
        </w:rPr>
        <w:t xml:space="preserve"> and 62.4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D6223C" w:rsidRPr="00D6223C">
        <w:rPr>
          <w:szCs w:val="19"/>
          <w:shd w:val="clear" w:color="auto" w:fill="FFFFFF"/>
          <w:lang w:val="en-GB"/>
        </w:rPr>
        <w:t xml:space="preserve">Wielkopolskie </w:t>
      </w:r>
      <w:r w:rsidR="007B36AE">
        <w:rPr>
          <w:szCs w:val="19"/>
          <w:shd w:val="clear" w:color="auto" w:fill="FFFFFF"/>
          <w:lang w:val="en-GB"/>
        </w:rPr>
        <w:t>(27.3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7B36AE">
        <w:rPr>
          <w:szCs w:val="19"/>
          <w:shd w:val="clear" w:color="auto" w:fill="FFFFFF"/>
          <w:lang w:val="en-GB"/>
        </w:rPr>
        <w:t>, 29.5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7B36AE">
        <w:rPr>
          <w:szCs w:val="19"/>
          <w:shd w:val="clear" w:color="auto" w:fill="FFFFFF"/>
          <w:lang w:val="en-GB"/>
        </w:rPr>
        <w:t xml:space="preserve"> and 37</w:t>
      </w:r>
      <w:r w:rsidR="00BB44BD">
        <w:rPr>
          <w:szCs w:val="19"/>
          <w:shd w:val="clear" w:color="auto" w:fill="FFFFFF"/>
          <w:lang w:val="en-GB"/>
        </w:rPr>
        <w:t>.</w:t>
      </w:r>
      <w:r w:rsidR="007B36AE">
        <w:rPr>
          <w:szCs w:val="19"/>
          <w:shd w:val="clear" w:color="auto" w:fill="FFFFFF"/>
          <w:lang w:val="en-GB"/>
        </w:rPr>
        <w:t>2</w:t>
      </w:r>
      <w:r w:rsidR="004A4E61">
        <w:rPr>
          <w:szCs w:val="19"/>
          <w:shd w:val="clear" w:color="auto" w:fill="FFFFFF"/>
          <w:lang w:val="en-GB"/>
        </w:rPr>
        <w:t> thousand) and</w:t>
      </w:r>
      <w:r w:rsidR="00D6223C">
        <w:rPr>
          <w:szCs w:val="19"/>
          <w:shd w:val="clear" w:color="auto" w:fill="FFFFFF"/>
          <w:lang w:val="en-GB"/>
        </w:rPr>
        <w:t xml:space="preserve"> Dolnośląskie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7B36AE">
        <w:rPr>
          <w:szCs w:val="19"/>
          <w:shd w:val="clear" w:color="auto" w:fill="FFFFFF"/>
          <w:lang w:val="en-GB"/>
        </w:rPr>
        <w:t>(24.8</w:t>
      </w:r>
      <w:r>
        <w:rPr>
          <w:szCs w:val="19"/>
          <w:shd w:val="clear" w:color="auto" w:fill="FFFFFF"/>
          <w:lang w:val="en-GB"/>
        </w:rPr>
        <w:t> </w:t>
      </w:r>
      <w:r w:rsidR="007B36AE">
        <w:rPr>
          <w:szCs w:val="19"/>
          <w:shd w:val="clear" w:color="auto" w:fill="FFFFFF"/>
          <w:lang w:val="en-GB"/>
        </w:rPr>
        <w:t>thousand, 25.2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7B36AE">
        <w:rPr>
          <w:szCs w:val="19"/>
          <w:shd w:val="clear" w:color="auto" w:fill="FFFFFF"/>
          <w:lang w:val="en-GB"/>
        </w:rPr>
        <w:t xml:space="preserve"> 28</w:t>
      </w:r>
      <w:r w:rsidR="00BB44BD">
        <w:rPr>
          <w:szCs w:val="19"/>
          <w:shd w:val="clear" w:color="auto" w:fill="FFFFFF"/>
          <w:lang w:val="en-GB"/>
        </w:rPr>
        <w:t>.9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4A4E61">
        <w:rPr>
          <w:szCs w:val="19"/>
          <w:shd w:val="clear" w:color="auto" w:fill="FFFFFF"/>
          <w:lang w:val="en-GB"/>
        </w:rPr>
        <w:t>).</w:t>
      </w:r>
    </w:p>
    <w:p w14:paraId="73CBA65A" w14:textId="7F86F809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9D4061">
        <w:rPr>
          <w:color w:val="auto"/>
          <w:sz w:val="18"/>
          <w:szCs w:val="18"/>
          <w:lang w:val="en-GB"/>
        </w:rPr>
        <w:t>in 2021</w:t>
      </w:r>
    </w:p>
    <w:p w14:paraId="66C5A628" w14:textId="533F3448" w:rsidR="003A358E" w:rsidRPr="00BB44BD" w:rsidRDefault="009D4061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3AC5A1EC" wp14:editId="7B904B6B">
            <wp:extent cx="5122545" cy="252031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1B1E8DEE" w14:textId="77777777" w:rsidR="0015468F" w:rsidRPr="00A12B93" w:rsidRDefault="0015468F" w:rsidP="00A12B93">
      <w:pPr>
        <w:rPr>
          <w:lang w:val="en-GB" w:eastAsia="pl-PL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7810BC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9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@StatPoland</w:t>
            </w:r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@GlownyUrzadStatystyczny</w:t>
            </w:r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574E89" w:rsidRDefault="00574E89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574E89" w:rsidRDefault="00574E8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574E89" w:rsidRPr="004E377B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574E89" w:rsidRPr="008235EC" w:rsidRDefault="00574E89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3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574E89" w:rsidRPr="005C7839" w:rsidRDefault="00372B16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574E8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74E8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574E89" w:rsidRPr="00734C04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574E89" w:rsidRPr="0026083F" w:rsidRDefault="00372B16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574E89" w:rsidRDefault="00372B16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574E89" w:rsidRDefault="00574E8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08BD4F3D" w:rsidR="00574E89" w:rsidRPr="008235EC" w:rsidRDefault="00372B16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7" w:history="1">
                              <w:r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2055407B" w:rsidR="00574E89" w:rsidRPr="00F11843" w:rsidRDefault="00372B16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9" w:history="1"/>
                          </w:p>
                          <w:p w14:paraId="35275A7D" w14:textId="48375907" w:rsidR="00574E89" w:rsidRPr="00F11843" w:rsidRDefault="00372B16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30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574E89" w:rsidRDefault="00574E8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574E89" w:rsidRPr="003B6350" w:rsidRDefault="00574E8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2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574E89" w:rsidRDefault="00574E89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574E89" w:rsidRDefault="00574E89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574E89" w:rsidRPr="004E377B" w:rsidRDefault="00574E89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574E89" w:rsidRPr="008235EC" w:rsidRDefault="00574E89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1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574E89" w:rsidRPr="005C7839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574E8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574E8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574E89" w:rsidRPr="00734C04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574E89" w:rsidRPr="0026083F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574E89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574E89" w:rsidRDefault="00574E8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08BD4F3D" w:rsidR="00574E89" w:rsidRPr="008235EC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2055407B" w:rsidR="00574E89" w:rsidRPr="00F11843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7" w:history="1"/>
                    </w:p>
                    <w:p w14:paraId="35275A7D" w14:textId="48375907" w:rsidR="00574E89" w:rsidRPr="00F11843" w:rsidRDefault="00124472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8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574E89" w:rsidRDefault="00574E89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574E89" w:rsidRPr="003B6350" w:rsidRDefault="00574E8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615C6" w14:textId="77777777" w:rsidR="00372B16" w:rsidRDefault="00372B16" w:rsidP="000662E2">
      <w:pPr>
        <w:spacing w:after="0" w:line="240" w:lineRule="auto"/>
      </w:pPr>
      <w:r>
        <w:separator/>
      </w:r>
    </w:p>
  </w:endnote>
  <w:endnote w:type="continuationSeparator" w:id="0">
    <w:p w14:paraId="3CF72223" w14:textId="77777777" w:rsidR="00372B16" w:rsidRDefault="00372B1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6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6769F" w14:textId="77777777" w:rsidR="00372B16" w:rsidRDefault="00372B16" w:rsidP="000662E2">
      <w:pPr>
        <w:spacing w:after="0" w:line="240" w:lineRule="auto"/>
      </w:pPr>
      <w:r>
        <w:separator/>
      </w:r>
    </w:p>
  </w:footnote>
  <w:footnote w:type="continuationSeparator" w:id="0">
    <w:p w14:paraId="3B4218EC" w14:textId="77777777" w:rsidR="00372B16" w:rsidRDefault="00372B16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574E89" w:rsidRDefault="00574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574E89" w:rsidRDefault="00574E8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139F8525" w:rsidR="00574E89" w:rsidRPr="00C97596" w:rsidRDefault="007B36AE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21.01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139F8525" w:rsidR="00574E89" w:rsidRPr="00C97596" w:rsidRDefault="007B36AE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21.01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574E89" w:rsidRPr="00C97596" w:rsidRDefault="00574E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574E89" w:rsidRPr="00C97596" w:rsidRDefault="00574E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85pt;height:123.85pt;visibility:visible;mso-wrap-style:square" o:bullet="t">
        <v:imagedata r:id="rId1" o:title=""/>
      </v:shape>
    </w:pict>
  </w:numPicBullet>
  <w:numPicBullet w:numPicBulletId="1">
    <w:pict>
      <v:shape id="_x0000_i1039" type="#_x0000_t75" style="width:123.85pt;height:123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0B6F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A86"/>
    <w:rsid w:val="001B7948"/>
    <w:rsid w:val="001C1808"/>
    <w:rsid w:val="001C30AD"/>
    <w:rsid w:val="001C3269"/>
    <w:rsid w:val="001C3694"/>
    <w:rsid w:val="001C42F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BDB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244EC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2B16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33FB"/>
    <w:rsid w:val="004F4FCA"/>
    <w:rsid w:val="004F63FC"/>
    <w:rsid w:val="004F6903"/>
    <w:rsid w:val="00500D10"/>
    <w:rsid w:val="00505433"/>
    <w:rsid w:val="00505A92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15DA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2974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FC1"/>
    <w:rsid w:val="00694AF0"/>
    <w:rsid w:val="00696CCE"/>
    <w:rsid w:val="006A0E22"/>
    <w:rsid w:val="006A133B"/>
    <w:rsid w:val="006A1938"/>
    <w:rsid w:val="006A37E8"/>
    <w:rsid w:val="006A46FA"/>
    <w:rsid w:val="006B0E9E"/>
    <w:rsid w:val="006B2C7B"/>
    <w:rsid w:val="006B5AE4"/>
    <w:rsid w:val="006B6187"/>
    <w:rsid w:val="006B6263"/>
    <w:rsid w:val="006B6B03"/>
    <w:rsid w:val="006B6D5F"/>
    <w:rsid w:val="006C645A"/>
    <w:rsid w:val="006D17B3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C9F"/>
    <w:rsid w:val="007C3CC8"/>
    <w:rsid w:val="007C58D3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3C9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1350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64CD"/>
    <w:rsid w:val="00967266"/>
    <w:rsid w:val="0096740A"/>
    <w:rsid w:val="00970194"/>
    <w:rsid w:val="009705EE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4061"/>
    <w:rsid w:val="009D5DFA"/>
    <w:rsid w:val="009D785B"/>
    <w:rsid w:val="009E13F6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3C8A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66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935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1F3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A7DBD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35C2E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3EA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068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1333"/>
    <w:rsid w:val="00EA20F6"/>
    <w:rsid w:val="00EA5D60"/>
    <w:rsid w:val="00EA644B"/>
    <w:rsid w:val="00EB1390"/>
    <w:rsid w:val="00EB1C36"/>
    <w:rsid w:val="00EB20CA"/>
    <w:rsid w:val="00EB2C71"/>
    <w:rsid w:val="00EB3907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31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397D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start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start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945,term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topics/industry-construction-fixed-assets/construction/publikacja,1.html" TargetMode="External"/><Relationship Id="rId32" Type="http://schemas.openxmlformats.org/officeDocument/2006/relationships/hyperlink" Target="https://stat.gov.pl/en/topics/industry-construction-fixed-assets/construction/publikacja,1.html" TargetMode="External"/><Relationship Id="rId37" Type="http://schemas.openxmlformats.org/officeDocument/2006/relationships/hyperlink" Target="http://stat.gov.pl/en/metainformations/glossary/terms-used-in-official-statistics/945,term.html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publikacja,1.html" TargetMode="External"/><Relationship Id="rId28" Type="http://schemas.openxmlformats.org/officeDocument/2006/relationships/hyperlink" Target="https://stat.gov.pl/en/metainformation/glossary/terms-used-in-official-statistics/945,term.html" TargetMode="External"/><Relationship Id="rId36" Type="http://schemas.openxmlformats.org/officeDocument/2006/relationships/hyperlink" Target="https://stat.gov.pl/en/metainformation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topics/other-studies/informations-on-socio-economic-situa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stat.gov.pl/en/metainformation/glossary/terms-used-in-official-statistics/3763,term.html" TargetMode="External"/><Relationship Id="rId30" Type="http://schemas.openxmlformats.org/officeDocument/2006/relationships/hyperlink" Target="https://stat.gov.pl/en/metainformation/glossary/terms-used-in-official-statistics/201,term.html" TargetMode="External"/><Relationship Id="rId35" Type="http://schemas.openxmlformats.org/officeDocument/2006/relationships/hyperlink" Target="https://stat.gov.pl/en/metainformation/glossary/terms-used-in-official-statistics/376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1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Budownictwo_dashboards/Raporty_predefiniowane/RAP_DBD_BUD_7.aspx" TargetMode="External"/><Relationship Id="rId33" Type="http://schemas.openxmlformats.org/officeDocument/2006/relationships/hyperlink" Target="http://swaid.stat.gov.pl/EN/Budownictwo_dashboards/Raporty_predefiniowane/RAP_DBD_BUD_7.aspx" TargetMode="External"/><Relationship Id="rId38" Type="http://schemas.openxmlformats.org/officeDocument/2006/relationships/hyperlink" Target="https://stat.gov.pl/en/metainformation/glossary/terms-used-in-official-statistics/201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8.7946597087475084E-2"/>
          <c:w val="0.8683723551868533"/>
          <c:h val="0.59493652443991174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Arkusz1!$B$2:$BI$3</c:f>
              <c:multiLvlStrCache>
                <c:ptCount val="6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  <c:pt idx="50">
                    <c:v>03</c:v>
                  </c:pt>
                  <c:pt idx="51">
                    <c:v>04</c:v>
                  </c:pt>
                  <c:pt idx="52">
                    <c:v>05</c:v>
                  </c:pt>
                  <c:pt idx="53">
                    <c:v>06</c:v>
                  </c:pt>
                  <c:pt idx="54">
                    <c:v>07</c:v>
                  </c:pt>
                  <c:pt idx="55">
                    <c:v>08</c:v>
                  </c:pt>
                  <c:pt idx="56">
                    <c:v>09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</c:lvl>
                <c:lvl>
                  <c:pt idx="6">
                    <c:v>2017</c:v>
                  </c:pt>
                  <c:pt idx="18">
                    <c:v>2018</c:v>
                  </c:pt>
                  <c:pt idx="30">
                    <c:v>2019</c:v>
                  </c:pt>
                  <c:pt idx="42">
                    <c:v>2020</c:v>
                  </c:pt>
                  <c:pt idx="54">
                    <c:v>2021</c:v>
                  </c:pt>
                </c:lvl>
              </c:multiLvlStrCache>
            </c:multiLvlStrRef>
          </c:cat>
          <c:val>
            <c:numRef>
              <c:f>Arkusz1!$B$4:$BI$4</c:f>
              <c:numCache>
                <c:formatCode>General</c:formatCode>
                <c:ptCount val="60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19108</c:v>
                </c:pt>
                <c:pt idx="52">
                  <c:v>15727</c:v>
                </c:pt>
                <c:pt idx="53">
                  <c:v>17698</c:v>
                </c:pt>
                <c:pt idx="54">
                  <c:v>19116</c:v>
                </c:pt>
                <c:pt idx="55" formatCode="#,##0">
                  <c:v>18544</c:v>
                </c:pt>
                <c:pt idx="56">
                  <c:v>21040</c:v>
                </c:pt>
                <c:pt idx="57">
                  <c:v>19973</c:v>
                </c:pt>
                <c:pt idx="58">
                  <c:v>24108</c:v>
                </c:pt>
                <c:pt idx="59">
                  <c:v>26353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Arkusz1!$B$2:$BI$3</c:f>
              <c:multiLvlStrCache>
                <c:ptCount val="6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  <c:pt idx="50">
                    <c:v>03</c:v>
                  </c:pt>
                  <c:pt idx="51">
                    <c:v>04</c:v>
                  </c:pt>
                  <c:pt idx="52">
                    <c:v>05</c:v>
                  </c:pt>
                  <c:pt idx="53">
                    <c:v>06</c:v>
                  </c:pt>
                  <c:pt idx="54">
                    <c:v>07</c:v>
                  </c:pt>
                  <c:pt idx="55">
                    <c:v>08</c:v>
                  </c:pt>
                  <c:pt idx="56">
                    <c:v>09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</c:lvl>
                <c:lvl>
                  <c:pt idx="6">
                    <c:v>2017</c:v>
                  </c:pt>
                  <c:pt idx="18">
                    <c:v>2018</c:v>
                  </c:pt>
                  <c:pt idx="30">
                    <c:v>2019</c:v>
                  </c:pt>
                  <c:pt idx="42">
                    <c:v>2020</c:v>
                  </c:pt>
                  <c:pt idx="54">
                    <c:v>2021</c:v>
                  </c:pt>
                </c:lvl>
              </c:multiLvlStrCache>
            </c:multiLvlStrRef>
          </c:cat>
          <c:val>
            <c:numRef>
              <c:f>Arkusz1!$B$16:$BI$16</c:f>
              <c:numCache>
                <c:formatCode>General</c:formatCode>
                <c:ptCount val="60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>
                  <c:v>27222</c:v>
                </c:pt>
                <c:pt idx="50">
                  <c:v>33901</c:v>
                </c:pt>
                <c:pt idx="51">
                  <c:v>27163</c:v>
                </c:pt>
                <c:pt idx="52">
                  <c:v>29768</c:v>
                </c:pt>
                <c:pt idx="53">
                  <c:v>30170</c:v>
                </c:pt>
                <c:pt idx="54">
                  <c:v>28922</c:v>
                </c:pt>
                <c:pt idx="55">
                  <c:v>27204</c:v>
                </c:pt>
                <c:pt idx="56">
                  <c:v>27397</c:v>
                </c:pt>
                <c:pt idx="57">
                  <c:v>28728</c:v>
                </c:pt>
                <c:pt idx="58">
                  <c:v>23904</c:v>
                </c:pt>
                <c:pt idx="59">
                  <c:v>32749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Arkusz1!$B$2:$BI$3</c:f>
              <c:multiLvlStrCache>
                <c:ptCount val="60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  <c:pt idx="49">
                    <c:v>02</c:v>
                  </c:pt>
                  <c:pt idx="50">
                    <c:v>03</c:v>
                  </c:pt>
                  <c:pt idx="51">
                    <c:v>04</c:v>
                  </c:pt>
                  <c:pt idx="52">
                    <c:v>05</c:v>
                  </c:pt>
                  <c:pt idx="53">
                    <c:v>06</c:v>
                  </c:pt>
                  <c:pt idx="54">
                    <c:v>07</c:v>
                  </c:pt>
                  <c:pt idx="55">
                    <c:v>08</c:v>
                  </c:pt>
                  <c:pt idx="56">
                    <c:v>09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</c:lvl>
                <c:lvl>
                  <c:pt idx="6">
                    <c:v>2017</c:v>
                  </c:pt>
                  <c:pt idx="18">
                    <c:v>2018</c:v>
                  </c:pt>
                  <c:pt idx="30">
                    <c:v>2019</c:v>
                  </c:pt>
                  <c:pt idx="42">
                    <c:v>2020</c:v>
                  </c:pt>
                  <c:pt idx="54">
                    <c:v>2021</c:v>
                  </c:pt>
                </c:lvl>
              </c:multiLvlStrCache>
            </c:multiLvlStrRef>
          </c:cat>
          <c:val>
            <c:numRef>
              <c:f>Arkusz1!$B$10:$BI$10</c:f>
              <c:numCache>
                <c:formatCode>General</c:formatCode>
                <c:ptCount val="60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25837</c:v>
                </c:pt>
                <c:pt idx="55">
                  <c:v>23971</c:v>
                </c:pt>
                <c:pt idx="56">
                  <c:v>21959</c:v>
                </c:pt>
                <c:pt idx="57">
                  <c:v>22533</c:v>
                </c:pt>
                <c:pt idx="58">
                  <c:v>21200</c:v>
                </c:pt>
                <c:pt idx="59">
                  <c:v>17364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73715136"/>
        <c:axId val="-1773703712"/>
      </c:lineChart>
      <c:catAx>
        <c:axId val="-177371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7370371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773703712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7371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338350370762972E-2"/>
          <c:y val="0.81850780006578239"/>
          <c:w val="0.79492888788678295"/>
          <c:h val="0.12709813712310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4243</c:v>
                </c:pt>
                <c:pt idx="1">
                  <c:v>5942</c:v>
                </c:pt>
                <c:pt idx="2">
                  <c:v>6107</c:v>
                </c:pt>
                <c:pt idx="3">
                  <c:v>7753</c:v>
                </c:pt>
                <c:pt idx="4">
                  <c:v>8378</c:v>
                </c:pt>
                <c:pt idx="5">
                  <c:v>13671</c:v>
                </c:pt>
                <c:pt idx="6">
                  <c:v>13275</c:v>
                </c:pt>
                <c:pt idx="7">
                  <c:v>10446</c:v>
                </c:pt>
                <c:pt idx="8">
                  <c:v>11790</c:v>
                </c:pt>
                <c:pt idx="9">
                  <c:v>17511</c:v>
                </c:pt>
                <c:pt idx="10">
                  <c:v>23224</c:v>
                </c:pt>
                <c:pt idx="11">
                  <c:v>23723</c:v>
                </c:pt>
                <c:pt idx="12">
                  <c:v>25921</c:v>
                </c:pt>
                <c:pt idx="13">
                  <c:v>25207</c:v>
                </c:pt>
                <c:pt idx="14">
                  <c:v>29527</c:v>
                </c:pt>
                <c:pt idx="15">
                  <c:v>50707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4895</c:v>
                </c:pt>
                <c:pt idx="1">
                  <c:v>6584</c:v>
                </c:pt>
                <c:pt idx="2">
                  <c:v>7636</c:v>
                </c:pt>
                <c:pt idx="3">
                  <c:v>10868</c:v>
                </c:pt>
                <c:pt idx="4">
                  <c:v>10441</c:v>
                </c:pt>
                <c:pt idx="5">
                  <c:v>15366</c:v>
                </c:pt>
                <c:pt idx="6">
                  <c:v>16218</c:v>
                </c:pt>
                <c:pt idx="7">
                  <c:v>12229</c:v>
                </c:pt>
                <c:pt idx="8">
                  <c:v>13978</c:v>
                </c:pt>
                <c:pt idx="9">
                  <c:v>22587</c:v>
                </c:pt>
                <c:pt idx="10">
                  <c:v>30586</c:v>
                </c:pt>
                <c:pt idx="11">
                  <c:v>31079</c:v>
                </c:pt>
                <c:pt idx="12">
                  <c:v>29688</c:v>
                </c:pt>
                <c:pt idx="13">
                  <c:v>28859</c:v>
                </c:pt>
                <c:pt idx="14">
                  <c:v>37188</c:v>
                </c:pt>
                <c:pt idx="15">
                  <c:v>62411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3331</c:v>
                </c:pt>
                <c:pt idx="1">
                  <c:v>4538</c:v>
                </c:pt>
                <c:pt idx="2">
                  <c:v>5011</c:v>
                </c:pt>
                <c:pt idx="3">
                  <c:v>5896</c:v>
                </c:pt>
                <c:pt idx="4">
                  <c:v>7705</c:v>
                </c:pt>
                <c:pt idx="5">
                  <c:v>9012</c:v>
                </c:pt>
                <c:pt idx="6">
                  <c:v>9793</c:v>
                </c:pt>
                <c:pt idx="7">
                  <c:v>9908</c:v>
                </c:pt>
                <c:pt idx="8">
                  <c:v>10040</c:v>
                </c:pt>
                <c:pt idx="9">
                  <c:v>12128</c:v>
                </c:pt>
                <c:pt idx="10">
                  <c:v>16994</c:v>
                </c:pt>
                <c:pt idx="11">
                  <c:v>21726</c:v>
                </c:pt>
                <c:pt idx="12">
                  <c:v>21984</c:v>
                </c:pt>
                <c:pt idx="13">
                  <c:v>24817</c:v>
                </c:pt>
                <c:pt idx="14">
                  <c:v>27282</c:v>
                </c:pt>
                <c:pt idx="15">
                  <c:v>44553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773712960"/>
        <c:axId val="-1773717312"/>
      </c:barChart>
      <c:catAx>
        <c:axId val="-17737129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73717312"/>
        <c:crosses val="autoZero"/>
        <c:auto val="1"/>
        <c:lblAlgn val="ctr"/>
        <c:lblOffset val="100"/>
        <c:noMultiLvlLbl val="0"/>
      </c:catAx>
      <c:valAx>
        <c:axId val="-1773717312"/>
        <c:scaling>
          <c:orientation val="minMax"/>
          <c:max val="65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773712960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811765440811159"/>
          <c:y val="0.83253640913933358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residential_construction_in_the_period_of_i-xii_2021.docx.docx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11B83D50-C7FD-457B-B3BF-13CB1BD1D5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2021</vt:lpstr>
    </vt:vector>
  </TitlesOfParts>
  <Company>Statistics Poland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January-June 2021</dc:title>
  <dc:subject>Residential construction</dc:subject>
  <cp:keywords>dwellings completed; dwellings under construction; dwellings started; building permit; useful floor area</cp:keywords>
  <cp:lastPrinted>2021-02-17T13:06:00Z</cp:lastPrinted>
  <dcterms:created xsi:type="dcterms:W3CDTF">2022-01-19T07:46:00Z</dcterms:created>
  <dcterms:modified xsi:type="dcterms:W3CDTF">2022-01-19T07:46:00Z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