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03CD258E" w:rsidR="0098135C" w:rsidRPr="006F4D72" w:rsidRDefault="00B621D4" w:rsidP="008A697D">
      <w:pPr>
        <w:pStyle w:val="tytuinformacji"/>
        <w:rPr>
          <w:color w:val="auto"/>
          <w:spacing w:val="-4"/>
          <w:shd w:val="clear" w:color="auto" w:fill="FFFFFF"/>
          <w:lang w:val="en-AU"/>
        </w:rPr>
      </w:pPr>
      <w:r w:rsidRPr="006F4D72">
        <w:rPr>
          <w:color w:val="auto"/>
          <w:spacing w:val="-3"/>
          <w:lang w:val="en-AU" w:eastAsia="pl-PL"/>
        </w:rPr>
        <w:t>Border traffic and expenses made by foreigners in</w:t>
      </w:r>
      <w:r w:rsidR="006F4D72">
        <w:rPr>
          <w:color w:val="auto"/>
          <w:spacing w:val="-4"/>
          <w:lang w:val="en-AU" w:eastAsia="pl-PL"/>
        </w:rPr>
        <w:br/>
      </w:r>
      <w:r w:rsidRPr="006F4D72">
        <w:rPr>
          <w:color w:val="auto"/>
          <w:spacing w:val="-4"/>
          <w:lang w:val="en-AU" w:eastAsia="pl-PL"/>
        </w:rPr>
        <w:t xml:space="preserve">Poland and by Poles abroad in the </w:t>
      </w:r>
      <w:r w:rsidR="00CB0228" w:rsidRPr="006F4D72">
        <w:rPr>
          <w:color w:val="auto"/>
          <w:spacing w:val="-4"/>
          <w:lang w:val="en-AU" w:eastAsia="pl-PL"/>
        </w:rPr>
        <w:t>2nd</w:t>
      </w:r>
      <w:r w:rsidRPr="006F4D72">
        <w:rPr>
          <w:color w:val="auto"/>
          <w:spacing w:val="-4"/>
          <w:lang w:val="en-AU" w:eastAsia="pl-PL"/>
        </w:rPr>
        <w:t xml:space="preserve"> quarter of 202</w:t>
      </w:r>
      <w:r w:rsidR="006F4D72" w:rsidRPr="006F4D72">
        <w:rPr>
          <w:color w:val="auto"/>
          <w:spacing w:val="-4"/>
          <w:lang w:val="en-AU" w:eastAsia="pl-PL"/>
        </w:rPr>
        <w:t>2</w:t>
      </w:r>
    </w:p>
    <w:p w14:paraId="7B920C37" w14:textId="268FF310" w:rsidR="00393761" w:rsidRPr="008F07A8" w:rsidRDefault="00393761" w:rsidP="004809B1">
      <w:pPr>
        <w:pStyle w:val="tytuinformacji"/>
        <w:rPr>
          <w:color w:val="auto"/>
          <w:sz w:val="32"/>
          <w:szCs w:val="32"/>
          <w:lang w:val="en-AU"/>
        </w:rPr>
      </w:pPr>
    </w:p>
    <w:p w14:paraId="492510AA" w14:textId="44CC02E3" w:rsidR="005A4C9B" w:rsidRPr="008F07A8" w:rsidRDefault="00055B99" w:rsidP="005A4C9B">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4EFADDEB" wp14:editId="0112D0E8">
                <wp:simplePos x="0" y="0"/>
                <wp:positionH relativeFrom="margin">
                  <wp:align>left</wp:align>
                </wp:positionH>
                <wp:positionV relativeFrom="paragraph">
                  <wp:posOffset>67310</wp:posOffset>
                </wp:positionV>
                <wp:extent cx="2289175" cy="1552575"/>
                <wp:effectExtent l="0" t="0" r="0" b="9525"/>
                <wp:wrapSquare wrapText="bothSides"/>
                <wp:docPr id="7" name="Pole tekstowe 2" descr="An upward-pointing arrow icon, which indicates a 58.3% increase in the number of crossings of the Polish border in the 1st half of 2022 in relation to the 1st half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552575"/>
                        </a:xfrm>
                        <a:prstGeom prst="roundRect">
                          <a:avLst/>
                        </a:prstGeom>
                        <a:solidFill>
                          <a:srgbClr val="001D77"/>
                        </a:solidFill>
                        <a:ln w="9525">
                          <a:noFill/>
                          <a:miter lim="800000"/>
                          <a:headEnd/>
                          <a:tailEnd/>
                        </a:ln>
                      </wps:spPr>
                      <wps:txbx>
                        <w:txbxContent>
                          <w:p w14:paraId="4F5888F8" w14:textId="17F4F1A0" w:rsidR="00055B99" w:rsidRPr="005D7794" w:rsidRDefault="00055B99" w:rsidP="00055B99">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sidR="0082162F">
                              <w:rPr>
                                <w:rStyle w:val="WartowskanikaZnak"/>
                                <w:sz w:val="72"/>
                                <w:szCs w:val="72"/>
                                <w:lang w:val="en-AU"/>
                              </w:rPr>
                              <w:t>58</w:t>
                            </w:r>
                            <w:r w:rsidRPr="005D7794">
                              <w:rPr>
                                <w:rStyle w:val="WartowskanikaZnak"/>
                                <w:sz w:val="72"/>
                                <w:szCs w:val="72"/>
                                <w:lang w:val="en-AU"/>
                              </w:rPr>
                              <w:t>.</w:t>
                            </w:r>
                            <w:r w:rsidR="0082162F">
                              <w:rPr>
                                <w:rStyle w:val="WartowskanikaZnak"/>
                                <w:sz w:val="72"/>
                                <w:szCs w:val="72"/>
                                <w:lang w:val="en-AU"/>
                              </w:rPr>
                              <w:t>3</w:t>
                            </w:r>
                            <w:r w:rsidRPr="005D7794">
                              <w:rPr>
                                <w:rStyle w:val="WartowskanikaZnak"/>
                                <w:sz w:val="72"/>
                                <w:szCs w:val="72"/>
                                <w:lang w:val="en-AU"/>
                              </w:rPr>
                              <w:t>%</w:t>
                            </w:r>
                          </w:p>
                          <w:p w14:paraId="128B7334" w14:textId="69C284CA" w:rsidR="00055B99" w:rsidRPr="005D7794" w:rsidRDefault="005D7794" w:rsidP="00055B99">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w:t>
                            </w:r>
                            <w:r w:rsidR="0013550B">
                              <w:rPr>
                                <w:rStyle w:val="tlid-translation"/>
                                <w:lang w:val="en-US"/>
                              </w:rPr>
                              <w:t>1st</w:t>
                            </w:r>
                            <w:r w:rsidR="0082162F">
                              <w:rPr>
                                <w:rStyle w:val="tlid-translation"/>
                                <w:lang w:val="en-US"/>
                              </w:rPr>
                              <w:t xml:space="preserve"> half of 2022 </w:t>
                            </w:r>
                            <w:r w:rsidR="0082162F" w:rsidRPr="00061B43">
                              <w:rPr>
                                <w:rStyle w:val="tlid-translation"/>
                                <w:lang w:val="en-US"/>
                              </w:rPr>
                              <w:t>in relation</w:t>
                            </w:r>
                            <w:r w:rsidR="0082162F">
                              <w:rPr>
                                <w:rStyle w:val="tlid-translation"/>
                                <w:lang w:val="en-US"/>
                              </w:rPr>
                              <w:t xml:space="preserve"> to </w:t>
                            </w:r>
                            <w:r w:rsidR="0082162F" w:rsidRPr="00281510">
                              <w:rPr>
                                <w:rStyle w:val="tlid-translation"/>
                                <w:lang w:val="en-US"/>
                              </w:rPr>
                              <w:t>the same period of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EFADDEB" id="Pole tekstowe 2" o:spid="_x0000_s1026" alt="An upward-pointing arrow icon, which indicates a 58.3% increase in the number of crossings of the Polish border in the 1st half of 2022 in relation to the 1st half of 2021" style="position:absolute;margin-left:0;margin-top:5.3pt;width:180.25pt;height:122.25pt;z-index:251798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" fillcolor="#001d77" stroked="f">
                <v:stroke joinstyle="miter"/>
                <v:textbox>
                  <w:txbxContent>
                    <w:p w14:paraId="4F5888F8" w14:textId="17F4F1A0" w:rsidR="00055B99" w:rsidRPr="005D7794" w:rsidRDefault="00055B99" w:rsidP="00055B99">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sidR="0082162F">
                        <w:rPr>
                          <w:rStyle w:val="WartowskanikaZnak"/>
                          <w:sz w:val="72"/>
                          <w:szCs w:val="72"/>
                          <w:lang w:val="en-AU"/>
                        </w:rPr>
                        <w:t>58</w:t>
                      </w:r>
                      <w:r w:rsidRPr="005D7794">
                        <w:rPr>
                          <w:rStyle w:val="WartowskanikaZnak"/>
                          <w:sz w:val="72"/>
                          <w:szCs w:val="72"/>
                          <w:lang w:val="en-AU"/>
                        </w:rPr>
                        <w:t>.</w:t>
                      </w:r>
                      <w:r w:rsidR="0082162F">
                        <w:rPr>
                          <w:rStyle w:val="WartowskanikaZnak"/>
                          <w:sz w:val="72"/>
                          <w:szCs w:val="72"/>
                          <w:lang w:val="en-AU"/>
                        </w:rPr>
                        <w:t>3</w:t>
                      </w:r>
                      <w:r w:rsidRPr="005D7794">
                        <w:rPr>
                          <w:rStyle w:val="WartowskanikaZnak"/>
                          <w:sz w:val="72"/>
                          <w:szCs w:val="72"/>
                          <w:lang w:val="en-AU"/>
                        </w:rPr>
                        <w:t>%</w:t>
                      </w:r>
                    </w:p>
                    <w:p w14:paraId="128B7334" w14:textId="69C284CA" w:rsidR="00055B99" w:rsidRPr="005D7794" w:rsidRDefault="005D7794" w:rsidP="00055B99">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w:t>
                      </w:r>
                      <w:r w:rsidR="0013550B">
                        <w:rPr>
                          <w:rStyle w:val="tlid-translation"/>
                          <w:lang w:val="en-US"/>
                        </w:rPr>
                        <w:t>1st</w:t>
                      </w:r>
                      <w:r w:rsidR="0082162F">
                        <w:rPr>
                          <w:rStyle w:val="tlid-translation"/>
                          <w:lang w:val="en-US"/>
                        </w:rPr>
                        <w:t xml:space="preserve"> half of 2022 </w:t>
                      </w:r>
                      <w:r w:rsidR="0082162F" w:rsidRPr="00061B43">
                        <w:rPr>
                          <w:rStyle w:val="tlid-translation"/>
                          <w:lang w:val="en-US"/>
                        </w:rPr>
                        <w:t>in relation</w:t>
                      </w:r>
                      <w:r w:rsidR="0082162F">
                        <w:rPr>
                          <w:rStyle w:val="tlid-translation"/>
                          <w:lang w:val="en-US"/>
                        </w:rPr>
                        <w:t xml:space="preserve"> to </w:t>
                      </w:r>
                      <w:r w:rsidR="0082162F" w:rsidRPr="00281510">
                        <w:rPr>
                          <w:rStyle w:val="tlid-translation"/>
                          <w:lang w:val="en-US"/>
                        </w:rPr>
                        <w:t>the same period of the previous year</w:t>
                      </w:r>
                    </w:p>
                  </w:txbxContent>
                </v:textbox>
                <w10:wrap type="square" anchorx="margin"/>
              </v:roundrect>
            </w:pict>
          </mc:Fallback>
        </mc:AlternateContent>
      </w:r>
      <w:r w:rsidR="00B621D4" w:rsidRPr="00FF40BF">
        <w:rPr>
          <w:b/>
          <w:color w:val="auto"/>
          <w:sz w:val="19"/>
          <w:szCs w:val="19"/>
          <w:lang w:val="en-AU"/>
        </w:rPr>
        <w:t xml:space="preserve">In </w:t>
      </w:r>
      <w:r w:rsidR="005A4C9B" w:rsidRPr="008F07A8">
        <w:rPr>
          <w:b/>
          <w:color w:val="auto"/>
          <w:sz w:val="19"/>
          <w:szCs w:val="19"/>
          <w:lang w:val="en-AU"/>
        </w:rPr>
        <w:t>the 1</w:t>
      </w:r>
      <w:r w:rsidR="00CB0228">
        <w:rPr>
          <w:b/>
          <w:color w:val="auto"/>
          <w:sz w:val="19"/>
          <w:szCs w:val="19"/>
          <w:lang w:val="en-AU"/>
        </w:rPr>
        <w:t>st</w:t>
      </w:r>
      <w:r w:rsidR="005A4C9B" w:rsidRPr="008F07A8">
        <w:rPr>
          <w:b/>
          <w:color w:val="auto"/>
          <w:sz w:val="19"/>
          <w:szCs w:val="19"/>
          <w:lang w:val="en-AU"/>
        </w:rPr>
        <w:t xml:space="preserve"> half of 202</w:t>
      </w:r>
      <w:r w:rsidR="005A4C9B">
        <w:rPr>
          <w:b/>
          <w:color w:val="auto"/>
          <w:sz w:val="19"/>
          <w:szCs w:val="19"/>
          <w:lang w:val="en-AU"/>
        </w:rPr>
        <w:t>2</w:t>
      </w:r>
      <w:r w:rsidR="005A4C9B" w:rsidRPr="008F07A8">
        <w:rPr>
          <w:b/>
          <w:color w:val="auto"/>
          <w:sz w:val="19"/>
          <w:szCs w:val="19"/>
          <w:lang w:val="en-AU"/>
        </w:rPr>
        <w:t xml:space="preserve">, the number of crossings of the Polish border </w:t>
      </w:r>
      <w:r w:rsidR="005A4C9B">
        <w:rPr>
          <w:b/>
          <w:color w:val="auto"/>
          <w:sz w:val="19"/>
          <w:szCs w:val="19"/>
          <w:lang w:val="en-AU"/>
        </w:rPr>
        <w:t>amounted to 125</w:t>
      </w:r>
      <w:r w:rsidR="005A4C9B" w:rsidRPr="008F07A8">
        <w:rPr>
          <w:b/>
          <w:color w:val="auto"/>
          <w:sz w:val="19"/>
          <w:szCs w:val="19"/>
          <w:lang w:val="en-AU"/>
        </w:rPr>
        <w:t>.</w:t>
      </w:r>
      <w:r w:rsidR="005A4C9B">
        <w:rPr>
          <w:b/>
          <w:color w:val="auto"/>
          <w:sz w:val="19"/>
          <w:szCs w:val="19"/>
          <w:lang w:val="en-AU"/>
        </w:rPr>
        <w:t>6</w:t>
      </w:r>
      <w:r w:rsidR="005A4C9B" w:rsidRPr="008F07A8">
        <w:rPr>
          <w:b/>
          <w:color w:val="auto"/>
          <w:sz w:val="19"/>
          <w:szCs w:val="19"/>
          <w:lang w:val="en-AU"/>
        </w:rPr>
        <w:t xml:space="preserve"> million. </w:t>
      </w:r>
      <w:r w:rsidR="005A4C9B">
        <w:rPr>
          <w:b/>
          <w:color w:val="auto"/>
          <w:sz w:val="19"/>
          <w:szCs w:val="19"/>
          <w:lang w:val="en-AU"/>
        </w:rPr>
        <w:t>Border traffic of foreigners increased by 62.2% and of Poles by 53</w:t>
      </w:r>
      <w:r w:rsidR="00282185">
        <w:rPr>
          <w:b/>
          <w:color w:val="auto"/>
          <w:sz w:val="19"/>
          <w:szCs w:val="19"/>
          <w:lang w:val="en-AU"/>
        </w:rPr>
        <w:t>.</w:t>
      </w:r>
      <w:r w:rsidR="005A4C9B">
        <w:rPr>
          <w:b/>
          <w:color w:val="auto"/>
          <w:sz w:val="19"/>
          <w:szCs w:val="19"/>
          <w:lang w:val="en-AU"/>
        </w:rPr>
        <w:t>0% compared to the same period of the previous year.</w:t>
      </w:r>
    </w:p>
    <w:p w14:paraId="2DFD13A3" w14:textId="0D7B1951" w:rsidR="005A4C9B" w:rsidRPr="008F07A8" w:rsidRDefault="005A4C9B" w:rsidP="005A4C9B">
      <w:pPr>
        <w:spacing w:before="0"/>
        <w:rPr>
          <w:rFonts w:eastAsia="Times New Roman" w:cs="Times New Roman"/>
          <w:b/>
          <w:bCs/>
          <w:spacing w:val="-4"/>
          <w:szCs w:val="19"/>
          <w:lang w:val="en-AU" w:eastAsia="pl-PL"/>
        </w:rPr>
      </w:pPr>
      <w:r w:rsidRPr="008F07A8">
        <w:rPr>
          <w:rFonts w:eastAsia="Times New Roman" w:cs="Times New Roman"/>
          <w:b/>
          <w:bCs/>
          <w:szCs w:val="19"/>
          <w:lang w:val="en-AU" w:eastAsia="pl-PL"/>
        </w:rPr>
        <w:t xml:space="preserve">The values of goods and services purchased in this period by foreigners in Poland (PLN </w:t>
      </w:r>
      <w:r>
        <w:rPr>
          <w:rFonts w:eastAsia="Times New Roman" w:cs="Times New Roman"/>
          <w:b/>
          <w:bCs/>
          <w:szCs w:val="19"/>
          <w:lang w:val="en-AU" w:eastAsia="pl-PL"/>
        </w:rPr>
        <w:t>16</w:t>
      </w:r>
      <w:r w:rsidRPr="008F07A8">
        <w:rPr>
          <w:rFonts w:eastAsia="Times New Roman" w:cs="Times New Roman"/>
          <w:b/>
          <w:bCs/>
          <w:szCs w:val="19"/>
          <w:lang w:val="en-AU" w:eastAsia="pl-PL"/>
        </w:rPr>
        <w:t>.</w:t>
      </w:r>
      <w:r>
        <w:rPr>
          <w:rFonts w:eastAsia="Times New Roman" w:cs="Times New Roman"/>
          <w:b/>
          <w:bCs/>
          <w:szCs w:val="19"/>
          <w:lang w:val="en-AU" w:eastAsia="pl-PL"/>
        </w:rPr>
        <w:t>5</w:t>
      </w:r>
      <w:r w:rsidRPr="008F07A8">
        <w:rPr>
          <w:rFonts w:eastAsia="Times New Roman" w:cs="Times New Roman"/>
          <w:b/>
          <w:bCs/>
          <w:szCs w:val="19"/>
          <w:lang w:val="en-AU" w:eastAsia="pl-PL"/>
        </w:rPr>
        <w:t xml:space="preserve"> billion) and goods and services purchased by Poles abroad (PLN </w:t>
      </w:r>
      <w:r>
        <w:rPr>
          <w:rFonts w:eastAsia="Times New Roman" w:cs="Times New Roman"/>
          <w:b/>
          <w:bCs/>
          <w:szCs w:val="19"/>
          <w:lang w:val="en-AU" w:eastAsia="pl-PL"/>
        </w:rPr>
        <w:t>9</w:t>
      </w:r>
      <w:r w:rsidRPr="008F07A8">
        <w:rPr>
          <w:rFonts w:eastAsia="Times New Roman" w:cs="Times New Roman"/>
          <w:b/>
          <w:bCs/>
          <w:szCs w:val="19"/>
          <w:lang w:val="en-AU" w:eastAsia="pl-PL"/>
        </w:rPr>
        <w:t>.</w:t>
      </w:r>
      <w:r>
        <w:rPr>
          <w:rFonts w:eastAsia="Times New Roman" w:cs="Times New Roman"/>
          <w:b/>
          <w:bCs/>
          <w:szCs w:val="19"/>
          <w:lang w:val="en-AU" w:eastAsia="pl-PL"/>
        </w:rPr>
        <w:t>5</w:t>
      </w:r>
      <w:r w:rsidRPr="008F07A8">
        <w:rPr>
          <w:rFonts w:eastAsia="Times New Roman" w:cs="Times New Roman"/>
          <w:b/>
          <w:bCs/>
          <w:szCs w:val="19"/>
          <w:lang w:val="en-AU" w:eastAsia="pl-PL"/>
        </w:rPr>
        <w:t xml:space="preserve"> billion) were</w:t>
      </w:r>
      <w:r>
        <w:rPr>
          <w:rFonts w:eastAsia="Times New Roman" w:cs="Times New Roman"/>
          <w:b/>
          <w:bCs/>
          <w:szCs w:val="19"/>
          <w:lang w:val="en-AU" w:eastAsia="pl-PL"/>
        </w:rPr>
        <w:t xml:space="preserve"> higher</w:t>
      </w:r>
      <w:r w:rsidR="00CB0228">
        <w:rPr>
          <w:rFonts w:eastAsia="Times New Roman" w:cs="Times New Roman"/>
          <w:b/>
          <w:bCs/>
          <w:szCs w:val="19"/>
          <w:lang w:val="en-AU" w:eastAsia="pl-PL"/>
        </w:rPr>
        <w:t xml:space="preserve"> than in the 1st</w:t>
      </w:r>
      <w:r w:rsidRPr="008F07A8">
        <w:rPr>
          <w:rFonts w:eastAsia="Times New Roman" w:cs="Times New Roman"/>
          <w:b/>
          <w:bCs/>
          <w:szCs w:val="19"/>
          <w:lang w:val="en-AU" w:eastAsia="pl-PL"/>
        </w:rPr>
        <w:t xml:space="preserve"> half of 20</w:t>
      </w:r>
      <w:r>
        <w:rPr>
          <w:rFonts w:eastAsia="Times New Roman" w:cs="Times New Roman"/>
          <w:b/>
          <w:bCs/>
          <w:szCs w:val="19"/>
          <w:lang w:val="en-AU" w:eastAsia="pl-PL"/>
        </w:rPr>
        <w:t>21</w:t>
      </w:r>
      <w:r w:rsidRPr="008F07A8">
        <w:rPr>
          <w:rFonts w:eastAsia="Times New Roman" w:cs="Times New Roman"/>
          <w:b/>
          <w:bCs/>
          <w:szCs w:val="19"/>
          <w:lang w:val="en-AU" w:eastAsia="pl-PL"/>
        </w:rPr>
        <w:t xml:space="preserve"> by </w:t>
      </w:r>
      <w:r>
        <w:rPr>
          <w:rFonts w:eastAsia="Times New Roman" w:cs="Times New Roman"/>
          <w:b/>
          <w:bCs/>
          <w:szCs w:val="19"/>
          <w:lang w:val="en-AU" w:eastAsia="pl-PL"/>
        </w:rPr>
        <w:t>77</w:t>
      </w:r>
      <w:r w:rsidRPr="008F07A8">
        <w:rPr>
          <w:rFonts w:eastAsia="Times New Roman" w:cs="Times New Roman"/>
          <w:b/>
          <w:bCs/>
          <w:szCs w:val="19"/>
          <w:lang w:val="en-AU" w:eastAsia="pl-PL"/>
        </w:rPr>
        <w:t>.</w:t>
      </w:r>
      <w:r>
        <w:rPr>
          <w:rFonts w:eastAsia="Times New Roman" w:cs="Times New Roman"/>
          <w:b/>
          <w:bCs/>
          <w:szCs w:val="19"/>
          <w:lang w:val="en-AU" w:eastAsia="pl-PL"/>
        </w:rPr>
        <w:t>0</w:t>
      </w:r>
      <w:r w:rsidRPr="008F07A8">
        <w:rPr>
          <w:rFonts w:eastAsia="Times New Roman" w:cs="Times New Roman"/>
          <w:b/>
          <w:bCs/>
          <w:szCs w:val="19"/>
          <w:lang w:val="en-AU" w:eastAsia="pl-PL"/>
        </w:rPr>
        <w:t>% and </w:t>
      </w:r>
      <w:r>
        <w:rPr>
          <w:rFonts w:eastAsia="Times New Roman" w:cs="Times New Roman"/>
          <w:b/>
          <w:bCs/>
          <w:szCs w:val="19"/>
          <w:lang w:val="en-AU" w:eastAsia="pl-PL"/>
        </w:rPr>
        <w:t>34</w:t>
      </w:r>
      <w:r w:rsidRPr="008F07A8">
        <w:rPr>
          <w:rFonts w:eastAsia="Times New Roman" w:cs="Times New Roman"/>
          <w:b/>
          <w:bCs/>
          <w:szCs w:val="19"/>
          <w:lang w:val="en-AU" w:eastAsia="pl-PL"/>
        </w:rPr>
        <w:t>.</w:t>
      </w:r>
      <w:r>
        <w:rPr>
          <w:rFonts w:eastAsia="Times New Roman" w:cs="Times New Roman"/>
          <w:b/>
          <w:bCs/>
          <w:szCs w:val="19"/>
          <w:lang w:val="en-AU" w:eastAsia="pl-PL"/>
        </w:rPr>
        <w:t>9</w:t>
      </w:r>
      <w:r w:rsidRPr="008F07A8">
        <w:rPr>
          <w:rFonts w:eastAsia="Times New Roman" w:cs="Times New Roman"/>
          <w:b/>
          <w:bCs/>
          <w:szCs w:val="19"/>
          <w:lang w:val="en-AU" w:eastAsia="pl-PL"/>
        </w:rPr>
        <w:t>% respectively.</w:t>
      </w:r>
    </w:p>
    <w:p w14:paraId="3B4F7A79" w14:textId="21F297FE" w:rsidR="00D02E61" w:rsidRPr="00F77D28" w:rsidRDefault="00121A45" w:rsidP="00027CA0">
      <w:pPr>
        <w:pStyle w:val="tekstnaniebieskimtle"/>
        <w:spacing w:before="360" w:after="120"/>
        <w:jc w:val="both"/>
        <w:rPr>
          <w:b/>
          <w:color w:val="001D77"/>
          <w:sz w:val="19"/>
          <w:szCs w:val="19"/>
          <w:lang w:val="en-AU"/>
        </w:rPr>
      </w:pPr>
      <w:r w:rsidRPr="00027CA0">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61790AC6">
                <wp:simplePos x="0" y="0"/>
                <wp:positionH relativeFrom="page">
                  <wp:posOffset>5683885</wp:posOffset>
                </wp:positionH>
                <wp:positionV relativeFrom="paragraph">
                  <wp:posOffset>238760</wp:posOffset>
                </wp:positionV>
                <wp:extent cx="1762125" cy="1572260"/>
                <wp:effectExtent l="0" t="0" r="0" b="0"/>
                <wp:wrapSquare wrapText="bothSides"/>
                <wp:docPr id="11" name="Pole tekstowe 2" descr="In the 2nd quarter of 2022, the number of crossings of the Polish border by foreigners and Poles was higher compared to the same period of the previous year, and also compared to 1st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572260"/>
                        </a:xfrm>
                        <a:prstGeom prst="rect">
                          <a:avLst/>
                        </a:prstGeom>
                        <a:noFill/>
                        <a:ln w="9525">
                          <a:noFill/>
                          <a:miter lim="800000"/>
                          <a:headEnd/>
                          <a:tailEnd/>
                        </a:ln>
                      </wps:spPr>
                      <wps:txbx>
                        <w:txbxContent>
                          <w:p w14:paraId="67F09CDE" w14:textId="71EE7F97" w:rsidR="00C43E9E" w:rsidRPr="003C0778" w:rsidRDefault="00C43E9E"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00CB0228" w:rsidRPr="00CB0228">
                              <w:rPr>
                                <w:rFonts w:eastAsia="Times New Roman" w:cs="Times New Roman"/>
                                <w:bCs/>
                                <w:color w:val="001D77"/>
                                <w:sz w:val="18"/>
                                <w:szCs w:val="18"/>
                                <w:lang w:val="en-US" w:eastAsia="pl-PL"/>
                              </w:rPr>
                              <w:t>2nd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sidR="003909E7">
                              <w:rPr>
                                <w:rFonts w:eastAsia="Times New Roman" w:cs="Times New Roman"/>
                                <w:bCs/>
                                <w:color w:val="001D77"/>
                                <w:sz w:val="18"/>
                                <w:szCs w:val="18"/>
                                <w:lang w:val="en-US" w:eastAsia="pl-PL"/>
                              </w:rPr>
                              <w:t>2</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w:t>
                            </w:r>
                            <w:r w:rsidR="003909E7">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compared</w:t>
                            </w:r>
                            <w:r w:rsidR="00E1240D">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sidR="00CB065C">
                              <w:rPr>
                                <w:rFonts w:eastAsia="Times New Roman" w:cs="Times New Roman"/>
                                <w:bCs/>
                                <w:color w:val="001D77"/>
                                <w:sz w:val="18"/>
                                <w:szCs w:val="18"/>
                                <w:lang w:val="en-US" w:eastAsia="pl-PL"/>
                              </w:rPr>
                              <w:t>, and also compared to 1st quarter of 2022</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2nd quarter of 2022, the number of crossings of the Polish border by foreigners and Poles was higher compared to the same period of the previous year, and also compared to 1st quarter of 2022" style="position:absolute;left:0;text-align:left;margin-left:447.55pt;margin-top:18.8pt;width:138.75pt;height:123.8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" filled="f" stroked="f">
                <v:textbox inset=",0">
                  <w:txbxContent>
                    <w:p w14:paraId="67F09CDE" w14:textId="71EE7F97" w:rsidR="00C43E9E" w:rsidRPr="003C0778" w:rsidRDefault="00C43E9E"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00CB0228" w:rsidRPr="00CB0228">
                        <w:rPr>
                          <w:rFonts w:eastAsia="Times New Roman" w:cs="Times New Roman"/>
                          <w:bCs/>
                          <w:color w:val="001D77"/>
                          <w:sz w:val="18"/>
                          <w:szCs w:val="18"/>
                          <w:lang w:val="en-US" w:eastAsia="pl-PL"/>
                        </w:rPr>
                        <w:t>2nd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sidR="003909E7">
                        <w:rPr>
                          <w:rFonts w:eastAsia="Times New Roman" w:cs="Times New Roman"/>
                          <w:bCs/>
                          <w:color w:val="001D77"/>
                          <w:sz w:val="18"/>
                          <w:szCs w:val="18"/>
                          <w:lang w:val="en-US" w:eastAsia="pl-PL"/>
                        </w:rPr>
                        <w:t>2</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w:t>
                      </w:r>
                      <w:r w:rsidR="003909E7">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compared</w:t>
                      </w:r>
                      <w:r w:rsidR="00E1240D">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sidR="00CB065C">
                        <w:rPr>
                          <w:rFonts w:eastAsia="Times New Roman" w:cs="Times New Roman"/>
                          <w:bCs/>
                          <w:color w:val="001D77"/>
                          <w:sz w:val="18"/>
                          <w:szCs w:val="18"/>
                          <w:lang w:val="en-US" w:eastAsia="pl-PL"/>
                        </w:rPr>
                        <w:t>, and also compared to 1st quarter of 2022</w:t>
                      </w:r>
                    </w:p>
                  </w:txbxContent>
                </v:textbox>
                <w10:wrap type="square" anchorx="page"/>
              </v:shape>
            </w:pict>
          </mc:Fallback>
        </mc:AlternateContent>
      </w:r>
      <w:r w:rsidR="008546C9" w:rsidRPr="00027CA0">
        <w:rPr>
          <w:rFonts w:eastAsia="Times New Roman" w:cs="Times New Roman"/>
          <w:b/>
          <w:bCs/>
          <w:color w:val="001D77"/>
          <w:sz w:val="19"/>
          <w:szCs w:val="19"/>
          <w:lang w:val="en-AU"/>
        </w:rPr>
        <w:t>Border</w:t>
      </w:r>
      <w:r w:rsidR="008546C9" w:rsidRPr="00F77D28">
        <w:rPr>
          <w:rFonts w:eastAsia="Times New Roman" w:cs="Times New Roman"/>
          <w:b/>
          <w:bCs/>
          <w:color w:val="001D77"/>
          <w:sz w:val="19"/>
          <w:szCs w:val="19"/>
          <w:lang w:val="en-AU"/>
        </w:rPr>
        <w:t xml:space="preserve"> traffic</w:t>
      </w:r>
    </w:p>
    <w:p w14:paraId="59C73FCB" w14:textId="77777777" w:rsidR="00CB065C" w:rsidRPr="00FF40BF" w:rsidRDefault="00CB065C" w:rsidP="00CB065C">
      <w:pPr>
        <w:spacing w:before="0" w:after="0" w:line="288" w:lineRule="auto"/>
        <w:rPr>
          <w:spacing w:val="-4"/>
          <w:szCs w:val="19"/>
          <w:lang w:val="en-AU"/>
        </w:rPr>
      </w:pPr>
      <w:r w:rsidRPr="00FF40BF">
        <w:rPr>
          <w:spacing w:val="-4"/>
          <w:szCs w:val="20"/>
          <w:lang w:val="en-AU"/>
        </w:rPr>
        <w:t xml:space="preserve">In the </w:t>
      </w:r>
      <w:r>
        <w:rPr>
          <w:spacing w:val="-4"/>
          <w:szCs w:val="20"/>
          <w:lang w:val="en-AU"/>
        </w:rPr>
        <w:t>2nd quarter of 2022</w:t>
      </w:r>
      <w:r w:rsidRPr="00FF40BF">
        <w:rPr>
          <w:spacing w:val="-4"/>
          <w:szCs w:val="20"/>
          <w:lang w:val="en-AU"/>
        </w:rPr>
        <w:t xml:space="preserve">, the number of crossings of the Polish border amounted to </w:t>
      </w:r>
      <w:r>
        <w:rPr>
          <w:spacing w:val="-4"/>
          <w:szCs w:val="19"/>
          <w:lang w:val="en-AU"/>
        </w:rPr>
        <w:t>71</w:t>
      </w:r>
      <w:r w:rsidRPr="00FF40BF">
        <w:rPr>
          <w:spacing w:val="-4"/>
          <w:szCs w:val="19"/>
          <w:lang w:val="en-AU"/>
        </w:rPr>
        <w:t>.8 million. In the total number of crossings of the border, foreigners (non-residents) constituted 5</w:t>
      </w:r>
      <w:r>
        <w:rPr>
          <w:spacing w:val="-4"/>
          <w:szCs w:val="19"/>
          <w:lang w:val="en-AU"/>
        </w:rPr>
        <w:t>9</w:t>
      </w:r>
      <w:r w:rsidRPr="00FF40BF">
        <w:rPr>
          <w:spacing w:val="-4"/>
          <w:szCs w:val="19"/>
          <w:lang w:val="en-AU"/>
        </w:rPr>
        <w:t>.</w:t>
      </w:r>
      <w:r>
        <w:rPr>
          <w:spacing w:val="-4"/>
          <w:szCs w:val="19"/>
          <w:lang w:val="en-AU"/>
        </w:rPr>
        <w:t>5</w:t>
      </w:r>
      <w:r w:rsidRPr="00FF40BF">
        <w:rPr>
          <w:spacing w:val="-4"/>
          <w:szCs w:val="19"/>
          <w:lang w:val="en-AU"/>
        </w:rPr>
        <w:t>% and Poles (residents) – 4</w:t>
      </w:r>
      <w:r>
        <w:rPr>
          <w:spacing w:val="-4"/>
          <w:szCs w:val="19"/>
          <w:lang w:val="en-AU"/>
        </w:rPr>
        <w:t>0</w:t>
      </w:r>
      <w:r w:rsidRPr="00FF40BF">
        <w:rPr>
          <w:spacing w:val="-4"/>
          <w:szCs w:val="19"/>
          <w:lang w:val="en-AU"/>
        </w:rPr>
        <w:t>.</w:t>
      </w:r>
      <w:r>
        <w:rPr>
          <w:spacing w:val="-4"/>
          <w:szCs w:val="19"/>
          <w:lang w:val="en-AU"/>
        </w:rPr>
        <w:t>5</w:t>
      </w:r>
      <w:r w:rsidRPr="00FF40BF">
        <w:rPr>
          <w:spacing w:val="-4"/>
          <w:szCs w:val="19"/>
          <w:lang w:val="en-AU"/>
        </w:rPr>
        <w:t>%. The border traffic (from and to Poland) was higher</w:t>
      </w:r>
      <w:r w:rsidRPr="00FF40BF">
        <w:rPr>
          <w:spacing w:val="-4"/>
          <w:lang w:val="en-AU"/>
        </w:rPr>
        <w:t xml:space="preserve"> </w:t>
      </w:r>
      <w:r w:rsidRPr="00FF40BF">
        <w:rPr>
          <w:spacing w:val="-4"/>
          <w:szCs w:val="19"/>
          <w:lang w:val="en-AU"/>
        </w:rPr>
        <w:t xml:space="preserve">by </w:t>
      </w:r>
      <w:r>
        <w:rPr>
          <w:spacing w:val="-4"/>
          <w:szCs w:val="19"/>
          <w:lang w:val="en-AU"/>
        </w:rPr>
        <w:t>27</w:t>
      </w:r>
      <w:r w:rsidRPr="00FF40BF">
        <w:rPr>
          <w:spacing w:val="-4"/>
          <w:szCs w:val="19"/>
          <w:lang w:val="en-AU"/>
        </w:rPr>
        <w:t>.</w:t>
      </w:r>
      <w:r>
        <w:rPr>
          <w:spacing w:val="-4"/>
          <w:szCs w:val="19"/>
          <w:lang w:val="en-AU"/>
        </w:rPr>
        <w:t>7</w:t>
      </w:r>
      <w:r w:rsidRPr="00FF40BF">
        <w:rPr>
          <w:spacing w:val="-4"/>
          <w:szCs w:val="19"/>
          <w:lang w:val="en-AU"/>
        </w:rPr>
        <w:t xml:space="preserve"> million crossings in relation to the same period of the previous year. Compared to the previous quarter, the </w:t>
      </w:r>
      <w:r>
        <w:rPr>
          <w:spacing w:val="-4"/>
          <w:szCs w:val="19"/>
          <w:lang w:val="en-AU"/>
        </w:rPr>
        <w:t xml:space="preserve">total </w:t>
      </w:r>
      <w:r w:rsidRPr="00FF40BF">
        <w:rPr>
          <w:spacing w:val="-4"/>
          <w:szCs w:val="19"/>
          <w:lang w:val="en-AU"/>
        </w:rPr>
        <w:t>number of crossings increased by </w:t>
      </w:r>
      <w:r>
        <w:rPr>
          <w:spacing w:val="-4"/>
          <w:szCs w:val="19"/>
          <w:lang w:val="en-AU"/>
        </w:rPr>
        <w:t>33</w:t>
      </w:r>
      <w:r w:rsidRPr="00FF40BF">
        <w:rPr>
          <w:spacing w:val="-4"/>
          <w:szCs w:val="19"/>
          <w:lang w:val="en-AU"/>
        </w:rPr>
        <w:t>.</w:t>
      </w:r>
      <w:r>
        <w:rPr>
          <w:spacing w:val="-4"/>
          <w:szCs w:val="19"/>
          <w:lang w:val="en-AU"/>
        </w:rPr>
        <w:t>4</w:t>
      </w:r>
      <w:r w:rsidRPr="00FF40BF">
        <w:rPr>
          <w:spacing w:val="-4"/>
          <w:szCs w:val="19"/>
          <w:lang w:val="en-AU"/>
        </w:rPr>
        <w:t>% (</w:t>
      </w:r>
      <w:r>
        <w:rPr>
          <w:spacing w:val="-4"/>
          <w:szCs w:val="19"/>
          <w:lang w:val="en-AU"/>
        </w:rPr>
        <w:t xml:space="preserve">those made by </w:t>
      </w:r>
      <w:r w:rsidRPr="00FF40BF">
        <w:rPr>
          <w:spacing w:val="-4"/>
          <w:szCs w:val="19"/>
          <w:lang w:val="en-AU"/>
        </w:rPr>
        <w:t xml:space="preserve">foreigners </w:t>
      </w:r>
      <w:r>
        <w:rPr>
          <w:spacing w:val="-4"/>
          <w:szCs w:val="19"/>
          <w:lang w:val="en-AU"/>
        </w:rPr>
        <w:t xml:space="preserve">increased </w:t>
      </w:r>
      <w:r w:rsidRPr="00FF40BF">
        <w:rPr>
          <w:spacing w:val="-4"/>
          <w:szCs w:val="19"/>
          <w:lang w:val="en-AU"/>
        </w:rPr>
        <w:t xml:space="preserve">by </w:t>
      </w:r>
      <w:r>
        <w:rPr>
          <w:spacing w:val="-4"/>
          <w:szCs w:val="19"/>
          <w:lang w:val="en-AU"/>
        </w:rPr>
        <w:t>37</w:t>
      </w:r>
      <w:r w:rsidRPr="00FF40BF">
        <w:rPr>
          <w:spacing w:val="-4"/>
          <w:szCs w:val="19"/>
          <w:lang w:val="en-AU"/>
        </w:rPr>
        <w:t>.</w:t>
      </w:r>
      <w:r>
        <w:rPr>
          <w:spacing w:val="-4"/>
          <w:szCs w:val="19"/>
          <w:lang w:val="en-AU"/>
        </w:rPr>
        <w:t>4</w:t>
      </w:r>
      <w:r w:rsidRPr="00FF40BF">
        <w:rPr>
          <w:spacing w:val="-4"/>
          <w:szCs w:val="19"/>
          <w:lang w:val="en-AU"/>
        </w:rPr>
        <w:t xml:space="preserve">% and </w:t>
      </w:r>
      <w:r>
        <w:rPr>
          <w:spacing w:val="-4"/>
          <w:szCs w:val="19"/>
          <w:lang w:val="en-AU"/>
        </w:rPr>
        <w:t xml:space="preserve">by </w:t>
      </w:r>
      <w:r w:rsidRPr="00FF40BF">
        <w:rPr>
          <w:spacing w:val="-4"/>
          <w:szCs w:val="19"/>
          <w:lang w:val="en-AU"/>
        </w:rPr>
        <w:t>Poles</w:t>
      </w:r>
      <w:r>
        <w:rPr>
          <w:spacing w:val="-4"/>
          <w:szCs w:val="19"/>
          <w:lang w:val="en-AU"/>
        </w:rPr>
        <w:t xml:space="preserve"> </w:t>
      </w:r>
      <w:r w:rsidRPr="00FF40BF">
        <w:rPr>
          <w:spacing w:val="-4"/>
          <w:szCs w:val="19"/>
          <w:lang w:val="en-AU"/>
        </w:rPr>
        <w:t>by 2</w:t>
      </w:r>
      <w:r>
        <w:rPr>
          <w:spacing w:val="-4"/>
          <w:szCs w:val="19"/>
          <w:lang w:val="en-AU"/>
        </w:rPr>
        <w:t>8</w:t>
      </w:r>
      <w:r w:rsidRPr="00FF40BF">
        <w:rPr>
          <w:spacing w:val="-4"/>
          <w:szCs w:val="19"/>
          <w:lang w:val="en-AU"/>
        </w:rPr>
        <w:t>.</w:t>
      </w:r>
      <w:r>
        <w:rPr>
          <w:spacing w:val="-4"/>
          <w:szCs w:val="19"/>
          <w:lang w:val="en-AU"/>
        </w:rPr>
        <w:t>0</w:t>
      </w:r>
      <w:r w:rsidRPr="00FF40BF">
        <w:rPr>
          <w:spacing w:val="-4"/>
          <w:szCs w:val="19"/>
          <w:lang w:val="en-AU"/>
        </w:rPr>
        <w:t>%).</w:t>
      </w:r>
    </w:p>
    <w:p w14:paraId="1211D4B9" w14:textId="01ADDE10" w:rsidR="00CF49DE" w:rsidRPr="000A7B5F" w:rsidRDefault="00CB065C" w:rsidP="00027CA0">
      <w:pPr>
        <w:spacing w:line="288" w:lineRule="auto"/>
        <w:rPr>
          <w:noProof/>
          <w:color w:val="00B050"/>
          <w:szCs w:val="19"/>
          <w:lang w:val="en-AU" w:eastAsia="pl-PL"/>
        </w:rPr>
      </w:pPr>
      <w:r w:rsidRPr="00FF40BF">
        <w:rPr>
          <w:noProof/>
          <w:szCs w:val="19"/>
          <w:lang w:val="en-AU" w:eastAsia="pl-PL"/>
        </w:rPr>
        <w:t xml:space="preserve">In the quarter in question, </w:t>
      </w:r>
      <w:r>
        <w:rPr>
          <w:noProof/>
          <w:szCs w:val="19"/>
          <w:lang w:val="en-AU" w:eastAsia="pl-PL"/>
        </w:rPr>
        <w:t>79</w:t>
      </w:r>
      <w:r w:rsidRPr="00FF40BF">
        <w:rPr>
          <w:noProof/>
          <w:szCs w:val="19"/>
          <w:lang w:val="en-AU" w:eastAsia="pl-PL"/>
        </w:rPr>
        <w:t>.</w:t>
      </w:r>
      <w:r>
        <w:rPr>
          <w:noProof/>
          <w:szCs w:val="19"/>
          <w:lang w:val="en-AU" w:eastAsia="pl-PL"/>
        </w:rPr>
        <w:t>1</w:t>
      </w:r>
      <w:r w:rsidRPr="00FF40BF">
        <w:rPr>
          <w:noProof/>
          <w:szCs w:val="19"/>
          <w:lang w:val="en-AU" w:eastAsia="pl-PL"/>
        </w:rPr>
        <w:t xml:space="preserve">% of all crossings concerned the land border of Poland with the European Union (EU) countries; </w:t>
      </w:r>
      <w:r>
        <w:rPr>
          <w:noProof/>
          <w:szCs w:val="19"/>
          <w:lang w:val="en-AU" w:eastAsia="pl-PL"/>
        </w:rPr>
        <w:t>13</w:t>
      </w:r>
      <w:r w:rsidRPr="00FF40BF">
        <w:rPr>
          <w:noProof/>
          <w:szCs w:val="19"/>
          <w:lang w:val="en-AU" w:eastAsia="pl-PL"/>
        </w:rPr>
        <w:t>.</w:t>
      </w:r>
      <w:r>
        <w:rPr>
          <w:noProof/>
          <w:szCs w:val="19"/>
          <w:lang w:val="en-AU" w:eastAsia="pl-PL"/>
        </w:rPr>
        <w:t>3</w:t>
      </w:r>
      <w:r w:rsidRPr="00FF40BF">
        <w:rPr>
          <w:noProof/>
          <w:szCs w:val="19"/>
          <w:lang w:val="en-AU" w:eastAsia="pl-PL"/>
        </w:rPr>
        <w:t xml:space="preserve">% the border at airports, </w:t>
      </w:r>
      <w:r>
        <w:rPr>
          <w:noProof/>
          <w:szCs w:val="19"/>
          <w:lang w:val="en-AU" w:eastAsia="pl-PL"/>
        </w:rPr>
        <w:t>7</w:t>
      </w:r>
      <w:r w:rsidRPr="00FF40BF">
        <w:rPr>
          <w:noProof/>
          <w:szCs w:val="19"/>
          <w:lang w:val="en-AU" w:eastAsia="pl-PL"/>
        </w:rPr>
        <w:t>.</w:t>
      </w:r>
      <w:r>
        <w:rPr>
          <w:noProof/>
          <w:szCs w:val="19"/>
          <w:lang w:val="en-AU" w:eastAsia="pl-PL"/>
        </w:rPr>
        <w:t>0</w:t>
      </w:r>
      <w:r w:rsidRPr="00FF40BF">
        <w:rPr>
          <w:noProof/>
          <w:szCs w:val="19"/>
          <w:lang w:val="en-AU" w:eastAsia="pl-PL"/>
        </w:rPr>
        <w:t>% external land border of the European Union and 0.</w:t>
      </w:r>
      <w:r>
        <w:rPr>
          <w:noProof/>
          <w:szCs w:val="19"/>
          <w:lang w:val="en-AU" w:eastAsia="pl-PL"/>
        </w:rPr>
        <w:t>6</w:t>
      </w:r>
      <w:r w:rsidRPr="00FF40BF">
        <w:rPr>
          <w:noProof/>
          <w:szCs w:val="19"/>
          <w:lang w:val="en-AU" w:eastAsia="pl-PL"/>
        </w:rPr>
        <w:t>% sea border.</w:t>
      </w:r>
    </w:p>
    <w:p w14:paraId="1B3E0533" w14:textId="66D3A319" w:rsidR="00637DD7" w:rsidRDefault="003C0778" w:rsidP="00E541EF">
      <w:pPr>
        <w:spacing w:before="360" w:line="240" w:lineRule="auto"/>
        <w:ind w:left="595" w:hanging="595"/>
        <w:rPr>
          <w:rFonts w:eastAsia="Times New Roman" w:cs="Arial"/>
          <w:b/>
          <w:szCs w:val="19"/>
          <w:lang w:val="en-AU" w:eastAsia="pl-PL"/>
        </w:rPr>
      </w:pPr>
      <w:r w:rsidRPr="0044131A">
        <w:rPr>
          <w:rFonts w:eastAsia="Times New Roman" w:cs="Arial"/>
          <w:b/>
          <w:szCs w:val="19"/>
          <w:lang w:val="en-AU" w:eastAsia="pl-PL"/>
        </w:rPr>
        <w:t xml:space="preserve">Map 1. Border traffic of people (from and to Poland) by sections of the border in the </w:t>
      </w:r>
      <w:r w:rsidR="00401A06">
        <w:rPr>
          <w:rFonts w:eastAsia="Times New Roman" w:cs="Arial"/>
          <w:b/>
          <w:szCs w:val="19"/>
          <w:lang w:val="en-AU" w:eastAsia="pl-PL"/>
        </w:rPr>
        <w:t>2nd</w:t>
      </w:r>
      <w:r w:rsidR="0099540B" w:rsidRPr="0044131A">
        <w:rPr>
          <w:rFonts w:eastAsia="Times New Roman" w:cs="Arial"/>
          <w:b/>
          <w:szCs w:val="19"/>
          <w:lang w:val="en-AU" w:eastAsia="pl-PL"/>
        </w:rPr>
        <w:t> </w:t>
      </w:r>
      <w:r w:rsidRPr="0044131A">
        <w:rPr>
          <w:rFonts w:eastAsia="Times New Roman" w:cs="Arial"/>
          <w:b/>
          <w:szCs w:val="19"/>
          <w:lang w:val="en-AU" w:eastAsia="pl-PL"/>
        </w:rPr>
        <w:t>quarter of</w:t>
      </w:r>
      <w:r w:rsidR="0099540B" w:rsidRPr="0044131A">
        <w:rPr>
          <w:rFonts w:eastAsia="Times New Roman" w:cs="Arial"/>
          <w:b/>
          <w:szCs w:val="19"/>
          <w:lang w:val="en-AU" w:eastAsia="pl-PL"/>
        </w:rPr>
        <w:t xml:space="preserve"> </w:t>
      </w:r>
      <w:r w:rsidRPr="0044131A">
        <w:rPr>
          <w:rFonts w:eastAsia="Times New Roman" w:cs="Arial"/>
          <w:b/>
          <w:szCs w:val="19"/>
          <w:lang w:val="en-AU" w:eastAsia="pl-PL"/>
        </w:rPr>
        <w:t>202</w:t>
      </w:r>
      <w:r w:rsidR="0035321E" w:rsidRPr="0044131A">
        <w:rPr>
          <w:rFonts w:eastAsia="Times New Roman" w:cs="Arial"/>
          <w:b/>
          <w:szCs w:val="19"/>
          <w:lang w:val="en-AU" w:eastAsia="pl-PL"/>
        </w:rPr>
        <w:t>2</w:t>
      </w:r>
    </w:p>
    <w:p w14:paraId="712AC255" w14:textId="05CA4D2E" w:rsidR="00027CA0" w:rsidRDefault="00027CA0" w:rsidP="00E541EF">
      <w:pPr>
        <w:spacing w:before="360" w:line="240" w:lineRule="auto"/>
        <w:ind w:left="595" w:hanging="595"/>
        <w:rPr>
          <w:rFonts w:eastAsia="Times New Roman" w:cs="Arial"/>
          <w:b/>
          <w:szCs w:val="19"/>
          <w:lang w:val="en-AU" w:eastAsia="pl-PL"/>
        </w:rPr>
      </w:pPr>
      <w:r w:rsidRPr="00027CA0">
        <w:rPr>
          <w:noProof/>
          <w:lang w:eastAsia="pl-PL"/>
        </w:rPr>
        <w:drawing>
          <wp:inline distT="0" distB="0" distL="0" distR="0" wp14:anchorId="700A4960" wp14:editId="337D5E05">
            <wp:extent cx="4703060" cy="2772000"/>
            <wp:effectExtent l="0" t="0" r="2540" b="9525"/>
            <wp:docPr id="15" name="Obraz 15" descr="Map 1. Structure of border traffic of people (from Poland and to Poland) by border sections in 2nd quarter of 2022 by Poles and foreig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3060" cy="2772000"/>
                    </a:xfrm>
                    <a:prstGeom prst="rect">
                      <a:avLst/>
                    </a:prstGeom>
                    <a:noFill/>
                    <a:ln>
                      <a:noFill/>
                    </a:ln>
                  </pic:spPr>
                </pic:pic>
              </a:graphicData>
            </a:graphic>
          </wp:inline>
        </w:drawing>
      </w:r>
      <w:r w:rsidR="006F4D72" w:rsidRPr="006F4D72">
        <w:rPr>
          <w:b/>
          <w:noProof/>
          <w:spacing w:val="-2"/>
          <w:lang w:val="en-AU" w:eastAsia="pl-PL"/>
        </w:rPr>
        <w:t xml:space="preserve"> </w:t>
      </w:r>
    </w:p>
    <w:p w14:paraId="7B81AB41" w14:textId="3CFF9B61" w:rsidR="00027CA0" w:rsidRPr="0099540B" w:rsidRDefault="006F4D72" w:rsidP="006F4D72">
      <w:pPr>
        <w:spacing w:before="360" w:line="288" w:lineRule="auto"/>
        <w:rPr>
          <w:rFonts w:eastAsia="Times New Roman" w:cs="Arial"/>
          <w:b/>
          <w:szCs w:val="19"/>
          <w:lang w:val="en-AU" w:eastAsia="pl-PL"/>
        </w:rPr>
      </w:pPr>
      <w:r w:rsidRPr="008F07A8">
        <w:rPr>
          <w:b/>
          <w:noProof/>
          <w:spacing w:val="-2"/>
          <w:lang w:eastAsia="pl-PL"/>
        </w:rPr>
        <mc:AlternateContent>
          <mc:Choice Requires="wps">
            <w:drawing>
              <wp:anchor distT="45720" distB="45720" distL="114300" distR="114300" simplePos="0" relativeHeight="251807744" behindDoc="1" locked="0" layoutInCell="1" allowOverlap="1" wp14:anchorId="1170A18D" wp14:editId="2D85A470">
                <wp:simplePos x="0" y="0"/>
                <wp:positionH relativeFrom="column">
                  <wp:posOffset>5229225</wp:posOffset>
                </wp:positionH>
                <wp:positionV relativeFrom="paragraph">
                  <wp:posOffset>55245</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5FA0CB15" w14:textId="7B0216AE" w:rsidR="006F4D72" w:rsidRPr="003C0778" w:rsidRDefault="006F4D72" w:rsidP="006F4D72">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0A18D" id="_x0000_s1028" type="#_x0000_t202" alt="Foreigners predominated in the structure of crossings of the Polish border " style="position:absolute;margin-left:411.75pt;margin-top:4.35pt;width:135.85pt;height:52.5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" filled="f" stroked="f">
                <v:textbox inset=",0,,0">
                  <w:txbxContent>
                    <w:p w14:paraId="5FA0CB15" w14:textId="7B0216AE" w:rsidR="006F4D72" w:rsidRPr="003C0778" w:rsidRDefault="006F4D72" w:rsidP="006F4D72">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w:t>
                      </w:r>
                    </w:p>
                  </w:txbxContent>
                </v:textbox>
                <w10:wrap type="tight"/>
              </v:shape>
            </w:pict>
          </mc:Fallback>
        </mc:AlternateContent>
      </w:r>
      <w:r w:rsidR="00027CA0" w:rsidRPr="00E96BD7">
        <w:rPr>
          <w:szCs w:val="19"/>
          <w:lang w:val="en-AU"/>
        </w:rPr>
        <w:t>In the structure of border traffic at the land border, the largest share was accounted for by crossings of the section of the border with Germany (52.2%), followed by Czechia (2</w:t>
      </w:r>
      <w:r w:rsidR="00027CA0">
        <w:rPr>
          <w:szCs w:val="19"/>
          <w:lang w:val="en-AU"/>
        </w:rPr>
        <w:t>3</w:t>
      </w:r>
      <w:r w:rsidR="00027CA0" w:rsidRPr="00E96BD7">
        <w:rPr>
          <w:szCs w:val="19"/>
          <w:lang w:val="en-AU"/>
        </w:rPr>
        <w:t>.</w:t>
      </w:r>
      <w:r w:rsidR="00027CA0">
        <w:rPr>
          <w:szCs w:val="19"/>
          <w:lang w:val="en-AU"/>
        </w:rPr>
        <w:t>5</w:t>
      </w:r>
      <w:r w:rsidR="00027CA0" w:rsidRPr="00E96BD7">
        <w:rPr>
          <w:szCs w:val="19"/>
          <w:lang w:val="en-AU"/>
        </w:rPr>
        <w:t>%), Slovakia (1</w:t>
      </w:r>
      <w:r w:rsidR="00027CA0">
        <w:rPr>
          <w:szCs w:val="19"/>
          <w:lang w:val="en-AU"/>
        </w:rPr>
        <w:t>2</w:t>
      </w:r>
      <w:r w:rsidR="00027CA0" w:rsidRPr="00E96BD7">
        <w:rPr>
          <w:szCs w:val="19"/>
          <w:lang w:val="en-AU"/>
        </w:rPr>
        <w:t>.</w:t>
      </w:r>
      <w:r w:rsidR="00027CA0">
        <w:rPr>
          <w:szCs w:val="19"/>
          <w:lang w:val="en-AU"/>
        </w:rPr>
        <w:t>7</w:t>
      </w:r>
      <w:r w:rsidR="00027CA0" w:rsidRPr="00E96BD7">
        <w:rPr>
          <w:szCs w:val="19"/>
          <w:lang w:val="en-AU"/>
        </w:rPr>
        <w:t>%), Ukraine (</w:t>
      </w:r>
      <w:r w:rsidR="00027CA0">
        <w:rPr>
          <w:szCs w:val="19"/>
          <w:lang w:val="en-AU"/>
        </w:rPr>
        <w:t>6</w:t>
      </w:r>
      <w:r w:rsidR="00027CA0" w:rsidRPr="00E96BD7">
        <w:rPr>
          <w:szCs w:val="19"/>
          <w:lang w:val="en-AU"/>
        </w:rPr>
        <w:t>.</w:t>
      </w:r>
      <w:r w:rsidR="00027CA0">
        <w:rPr>
          <w:szCs w:val="19"/>
          <w:lang w:val="en-AU"/>
        </w:rPr>
        <w:t>7</w:t>
      </w:r>
      <w:r w:rsidR="00027CA0" w:rsidRPr="00E96BD7">
        <w:rPr>
          <w:szCs w:val="19"/>
          <w:lang w:val="en-AU"/>
        </w:rPr>
        <w:t>%), Lithuania (3.</w:t>
      </w:r>
      <w:r w:rsidR="00027CA0">
        <w:rPr>
          <w:szCs w:val="19"/>
          <w:lang w:val="en-AU"/>
        </w:rPr>
        <w:t>5</w:t>
      </w:r>
      <w:r w:rsidR="00027CA0" w:rsidRPr="00E96BD7">
        <w:rPr>
          <w:szCs w:val="19"/>
          <w:lang w:val="en-AU"/>
        </w:rPr>
        <w:t>%), Belarus (1.</w:t>
      </w:r>
      <w:r w:rsidR="00027CA0">
        <w:rPr>
          <w:szCs w:val="19"/>
          <w:lang w:val="en-AU"/>
        </w:rPr>
        <w:t>3</w:t>
      </w:r>
      <w:r w:rsidR="00027CA0" w:rsidRPr="00E96BD7">
        <w:rPr>
          <w:szCs w:val="19"/>
          <w:lang w:val="en-AU"/>
        </w:rPr>
        <w:t>%) and Russia (0.1%).</w:t>
      </w:r>
    </w:p>
    <w:p w14:paraId="120C3C77" w14:textId="6407DE63" w:rsidR="00010594" w:rsidRPr="00E96BD7" w:rsidRDefault="00EB3D34" w:rsidP="00DB5A68">
      <w:pPr>
        <w:tabs>
          <w:tab w:val="left" w:pos="-840"/>
        </w:tabs>
        <w:spacing w:after="0" w:line="264" w:lineRule="auto"/>
        <w:rPr>
          <w:szCs w:val="19"/>
          <w:lang w:val="en-AU"/>
        </w:rPr>
      </w:pPr>
      <w:r w:rsidRPr="00E96BD7">
        <w:rPr>
          <w:szCs w:val="19"/>
          <w:lang w:val="en-AU"/>
        </w:rPr>
        <w:lastRenderedPageBreak/>
        <w:t>Citizens of a neighbouring country predominated a</w:t>
      </w:r>
      <w:r w:rsidR="00637DD7" w:rsidRPr="00E96BD7">
        <w:rPr>
          <w:szCs w:val="19"/>
          <w:lang w:val="en-AU"/>
        </w:rPr>
        <w:t xml:space="preserve">mong foreigners crossing individual sections of the Polish land border, for example: on the border with Ukraine </w:t>
      </w:r>
      <w:r w:rsidR="00E541EF" w:rsidRPr="00E96BD7">
        <w:rPr>
          <w:szCs w:val="19"/>
          <w:lang w:val="en-AU"/>
        </w:rPr>
        <w:t>–</w:t>
      </w:r>
      <w:r w:rsidR="00637DD7" w:rsidRPr="00E96BD7">
        <w:rPr>
          <w:szCs w:val="19"/>
          <w:lang w:val="en-AU"/>
        </w:rPr>
        <w:t xml:space="preserve"> citizens of Ukraine</w:t>
      </w:r>
      <w:r w:rsidR="00115A35" w:rsidRPr="00E96BD7">
        <w:rPr>
          <w:szCs w:val="19"/>
          <w:lang w:val="en-AU"/>
        </w:rPr>
        <w:t xml:space="preserve"> (</w:t>
      </w:r>
      <w:r w:rsidR="00995504" w:rsidRPr="00E96BD7">
        <w:rPr>
          <w:szCs w:val="19"/>
          <w:lang w:val="en-AU"/>
        </w:rPr>
        <w:t>9</w:t>
      </w:r>
      <w:r w:rsidR="00397377">
        <w:rPr>
          <w:szCs w:val="19"/>
          <w:lang w:val="en-AU"/>
        </w:rPr>
        <w:t>6</w:t>
      </w:r>
      <w:r w:rsidR="00F10BC1" w:rsidRPr="00E96BD7">
        <w:rPr>
          <w:szCs w:val="19"/>
          <w:lang w:val="en-AU"/>
        </w:rPr>
        <w:t>.</w:t>
      </w:r>
      <w:r w:rsidR="00AF6B44" w:rsidRPr="00E96BD7">
        <w:rPr>
          <w:szCs w:val="19"/>
          <w:lang w:val="en-AU"/>
        </w:rPr>
        <w:t>0</w:t>
      </w:r>
      <w:r w:rsidR="00115A35" w:rsidRPr="00E96BD7">
        <w:rPr>
          <w:szCs w:val="19"/>
          <w:lang w:val="en-AU"/>
        </w:rPr>
        <w:t xml:space="preserve">%), </w:t>
      </w:r>
      <w:r w:rsidR="00637DD7" w:rsidRPr="00E96BD7">
        <w:rPr>
          <w:szCs w:val="19"/>
          <w:lang w:val="en-AU"/>
        </w:rPr>
        <w:t>on the border with Belarus – citizens of Belarus</w:t>
      </w:r>
      <w:r w:rsidR="00C6659B" w:rsidRPr="00E96BD7">
        <w:rPr>
          <w:szCs w:val="19"/>
          <w:lang w:val="en-AU"/>
        </w:rPr>
        <w:t xml:space="preserve"> (</w:t>
      </w:r>
      <w:r w:rsidR="000C04C7" w:rsidRPr="00E96BD7">
        <w:rPr>
          <w:szCs w:val="19"/>
          <w:lang w:val="en-AU"/>
        </w:rPr>
        <w:t>8</w:t>
      </w:r>
      <w:r w:rsidR="00676D23" w:rsidRPr="00E96BD7">
        <w:rPr>
          <w:szCs w:val="19"/>
          <w:lang w:val="en-AU"/>
        </w:rPr>
        <w:t>8</w:t>
      </w:r>
      <w:r w:rsidR="00F10BC1" w:rsidRPr="00E96BD7">
        <w:rPr>
          <w:szCs w:val="19"/>
          <w:lang w:val="en-AU"/>
        </w:rPr>
        <w:t>.</w:t>
      </w:r>
      <w:r w:rsidR="00397377">
        <w:rPr>
          <w:szCs w:val="19"/>
          <w:lang w:val="en-AU"/>
        </w:rPr>
        <w:t>9</w:t>
      </w:r>
      <w:r w:rsidR="00C6659B" w:rsidRPr="00E96BD7">
        <w:rPr>
          <w:szCs w:val="19"/>
          <w:lang w:val="en-AU"/>
        </w:rPr>
        <w:t>%)</w:t>
      </w:r>
      <w:r w:rsidR="00637DD7" w:rsidRPr="00E96BD7">
        <w:rPr>
          <w:szCs w:val="19"/>
          <w:lang w:val="en-AU"/>
        </w:rPr>
        <w:t xml:space="preserve">, on the border with Russia – citizens of Russia </w:t>
      </w:r>
      <w:r w:rsidR="00C6659B" w:rsidRPr="00E96BD7">
        <w:rPr>
          <w:szCs w:val="19"/>
          <w:lang w:val="en-AU"/>
        </w:rPr>
        <w:t>(</w:t>
      </w:r>
      <w:r w:rsidR="00397377">
        <w:rPr>
          <w:szCs w:val="19"/>
          <w:lang w:val="en-AU"/>
        </w:rPr>
        <w:t>43</w:t>
      </w:r>
      <w:r w:rsidR="00F10BC1" w:rsidRPr="00E96BD7">
        <w:rPr>
          <w:szCs w:val="19"/>
          <w:lang w:val="en-AU"/>
        </w:rPr>
        <w:t>.</w:t>
      </w:r>
      <w:r w:rsidR="00397377">
        <w:rPr>
          <w:szCs w:val="19"/>
          <w:lang w:val="en-AU"/>
        </w:rPr>
        <w:t>0</w:t>
      </w:r>
      <w:r w:rsidR="00C6659B" w:rsidRPr="00E96BD7">
        <w:rPr>
          <w:szCs w:val="19"/>
          <w:lang w:val="en-AU"/>
        </w:rPr>
        <w:t>%)</w:t>
      </w:r>
      <w:r w:rsidR="00115A35" w:rsidRPr="00E96BD7">
        <w:rPr>
          <w:szCs w:val="19"/>
          <w:lang w:val="en-AU"/>
        </w:rPr>
        <w:t>.</w:t>
      </w:r>
    </w:p>
    <w:p w14:paraId="431A38D5" w14:textId="2C08FC9E" w:rsidR="009363FA" w:rsidRPr="008F07A8" w:rsidRDefault="00D776F8" w:rsidP="00E86F04">
      <w:pPr>
        <w:tabs>
          <w:tab w:val="left" w:pos="-840"/>
        </w:tabs>
        <w:spacing w:before="360" w:line="240" w:lineRule="auto"/>
        <w:rPr>
          <w:rFonts w:ascii="Fira Sans SemiBold" w:hAnsi="Fira Sans SemiBold"/>
          <w:color w:val="001D77"/>
          <w:lang w:val="en-AU"/>
        </w:rPr>
      </w:pPr>
      <w:r w:rsidRPr="008F07A8">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1D6FF0F4">
                <wp:simplePos x="0" y="0"/>
                <wp:positionH relativeFrom="rightMargin">
                  <wp:posOffset>96520</wp:posOffset>
                </wp:positionH>
                <wp:positionV relativeFrom="paragraph">
                  <wp:posOffset>390525</wp:posOffset>
                </wp:positionV>
                <wp:extent cx="1749425" cy="921385"/>
                <wp:effectExtent l="0" t="0" r="3175" b="12065"/>
                <wp:wrapTight wrapText="bothSides">
                  <wp:wrapPolygon edited="0">
                    <wp:start x="706" y="0"/>
                    <wp:lineTo x="706" y="21436"/>
                    <wp:lineTo x="21404" y="21436"/>
                    <wp:lineTo x="21404" y="0"/>
                    <wp:lineTo x="706" y="0"/>
                  </wp:wrapPolygon>
                </wp:wrapTight>
                <wp:docPr id="27" name="Pole tekstowe 27" descr="The value of goods and services purchased both by foreigners in Poland and by Poles abroad was higher than in the 2n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921385"/>
                        </a:xfrm>
                        <a:prstGeom prst="rect">
                          <a:avLst/>
                        </a:prstGeom>
                        <a:noFill/>
                        <a:ln w="9525">
                          <a:noFill/>
                          <a:miter lim="800000"/>
                          <a:headEnd/>
                          <a:tailEnd/>
                        </a:ln>
                      </wps:spPr>
                      <wps:txbx>
                        <w:txbxContent>
                          <w:p w14:paraId="7F50BFEB" w14:textId="3345EEE3" w:rsidR="00C43E9E" w:rsidRPr="00D776F8" w:rsidRDefault="00C43E9E" w:rsidP="00242C61">
                            <w:pPr>
                              <w:spacing w:before="0" w:after="100" w:afterAutospacing="1"/>
                              <w:rPr>
                                <w:rFonts w:eastAsia="Times New Roman" w:cs="Times New Roman"/>
                                <w:bCs/>
                                <w:color w:val="001D77"/>
                                <w:sz w:val="18"/>
                                <w:szCs w:val="18"/>
                                <w:lang w:val="en-AU" w:eastAsia="pl-PL"/>
                              </w:rPr>
                            </w:pPr>
                            <w:r w:rsidRPr="00D776F8">
                              <w:rPr>
                                <w:rFonts w:eastAsia="Times New Roman" w:cs="Times New Roman"/>
                                <w:bCs/>
                                <w:color w:val="001D77"/>
                                <w:sz w:val="18"/>
                                <w:szCs w:val="18"/>
                                <w:lang w:val="en-GB" w:eastAsia="pl-PL"/>
                              </w:rPr>
                              <w:t xml:space="preserve">The value of goods and services purchased both by foreigners in Poland and by Poles abroad was higher than in the </w:t>
                            </w:r>
                            <w:r w:rsidR="00397377">
                              <w:rPr>
                                <w:rFonts w:eastAsia="Times New Roman" w:cs="Times New Roman"/>
                                <w:bCs/>
                                <w:color w:val="001D77"/>
                                <w:sz w:val="18"/>
                                <w:szCs w:val="18"/>
                                <w:lang w:val="en-GB" w:eastAsia="pl-PL"/>
                              </w:rPr>
                              <w:t>2nd</w:t>
                            </w:r>
                            <w:r w:rsidRPr="00D776F8">
                              <w:rPr>
                                <w:rFonts w:eastAsia="Times New Roman" w:cs="Times New Roman"/>
                                <w:bCs/>
                                <w:color w:val="001D77"/>
                                <w:sz w:val="18"/>
                                <w:szCs w:val="18"/>
                                <w:lang w:val="en-GB" w:eastAsia="pl-PL"/>
                              </w:rPr>
                              <w:t xml:space="preserve"> quarter of 202</w:t>
                            </w:r>
                            <w:r w:rsidR="00FF6BBF">
                              <w:rPr>
                                <w:rFonts w:eastAsia="Times New Roman" w:cs="Times New Roman"/>
                                <w:bCs/>
                                <w:color w:val="001D77"/>
                                <w:sz w:val="18"/>
                                <w:szCs w:val="18"/>
                                <w:lang w:val="en-GB" w:eastAsia="pl-PL"/>
                              </w:rPr>
                              <w:t>1</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 of goods and services purchased both by foreigners in Poland and by Poles abroad was higher than in the 2nd quarter of 2021" style="position:absolute;margin-left:7.6pt;margin-top:30.75pt;width:137.75pt;height:72.55pt;z-index:-251537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" filled="f" stroked="f">
                <v:textbox inset=",0,1mm,0">
                  <w:txbxContent>
                    <w:p w14:paraId="7F50BFEB" w14:textId="3345EEE3" w:rsidR="00C43E9E" w:rsidRPr="00D776F8" w:rsidRDefault="00C43E9E" w:rsidP="00242C61">
                      <w:pPr>
                        <w:spacing w:before="0" w:after="100" w:afterAutospacing="1"/>
                        <w:rPr>
                          <w:rFonts w:eastAsia="Times New Roman" w:cs="Times New Roman"/>
                          <w:bCs/>
                          <w:color w:val="001D77"/>
                          <w:sz w:val="18"/>
                          <w:szCs w:val="18"/>
                          <w:lang w:val="en-AU" w:eastAsia="pl-PL"/>
                        </w:rPr>
                      </w:pPr>
                      <w:r w:rsidRPr="00D776F8">
                        <w:rPr>
                          <w:rFonts w:eastAsia="Times New Roman" w:cs="Times New Roman"/>
                          <w:bCs/>
                          <w:color w:val="001D77"/>
                          <w:sz w:val="18"/>
                          <w:szCs w:val="18"/>
                          <w:lang w:val="en-GB" w:eastAsia="pl-PL"/>
                        </w:rPr>
                        <w:t xml:space="preserve">The value of goods and services purchased both by foreigners in Poland and by Poles abroad was higher than in the </w:t>
                      </w:r>
                      <w:r w:rsidR="00397377">
                        <w:rPr>
                          <w:rFonts w:eastAsia="Times New Roman" w:cs="Times New Roman"/>
                          <w:bCs/>
                          <w:color w:val="001D77"/>
                          <w:sz w:val="18"/>
                          <w:szCs w:val="18"/>
                          <w:lang w:val="en-GB" w:eastAsia="pl-PL"/>
                        </w:rPr>
                        <w:t>2nd</w:t>
                      </w:r>
                      <w:r w:rsidRPr="00D776F8">
                        <w:rPr>
                          <w:rFonts w:eastAsia="Times New Roman" w:cs="Times New Roman"/>
                          <w:bCs/>
                          <w:color w:val="001D77"/>
                          <w:sz w:val="18"/>
                          <w:szCs w:val="18"/>
                          <w:lang w:val="en-GB" w:eastAsia="pl-PL"/>
                        </w:rPr>
                        <w:t xml:space="preserve"> quarter of 202</w:t>
                      </w:r>
                      <w:r w:rsidR="00FF6BBF">
                        <w:rPr>
                          <w:rFonts w:eastAsia="Times New Roman" w:cs="Times New Roman"/>
                          <w:bCs/>
                          <w:color w:val="001D77"/>
                          <w:sz w:val="18"/>
                          <w:szCs w:val="18"/>
                          <w:lang w:val="en-GB" w:eastAsia="pl-PL"/>
                        </w:rPr>
                        <w:t>1</w:t>
                      </w:r>
                    </w:p>
                  </w:txbxContent>
                </v:textbox>
                <w10:wrap type="tight" anchorx="margin"/>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6627333A" w:rsidR="001442A2" w:rsidRPr="008F07A8" w:rsidRDefault="003D2202" w:rsidP="00DB5A68">
      <w:pPr>
        <w:overflowPunct w:val="0"/>
        <w:autoSpaceDE w:val="0"/>
        <w:autoSpaceDN w:val="0"/>
        <w:adjustRightInd w:val="0"/>
        <w:spacing w:before="0" w:after="240" w:line="264" w:lineRule="auto"/>
        <w:textAlignment w:val="baseline"/>
        <w:rPr>
          <w:bCs/>
          <w:spacing w:val="-2"/>
          <w:szCs w:val="19"/>
          <w:lang w:val="en-AU"/>
        </w:rPr>
      </w:pPr>
      <w:r w:rsidRPr="00110BF7">
        <w:rPr>
          <w:bCs/>
          <w:spacing w:val="-2"/>
          <w:szCs w:val="19"/>
          <w:lang w:val="en-AU"/>
        </w:rPr>
        <w:t>T</w:t>
      </w:r>
      <w:r w:rsidR="00B95EA7" w:rsidRPr="00110BF7">
        <w:rPr>
          <w:bCs/>
          <w:spacing w:val="-2"/>
          <w:szCs w:val="19"/>
          <w:lang w:val="en-AU"/>
        </w:rPr>
        <w:t>he value of goods and services purchased in Poland by foreigners</w:t>
      </w:r>
      <w:r w:rsidRPr="00110BF7">
        <w:rPr>
          <w:bCs/>
          <w:spacing w:val="-2"/>
          <w:szCs w:val="19"/>
          <w:lang w:val="en-AU"/>
        </w:rPr>
        <w:t xml:space="preserve"> in the </w:t>
      </w:r>
      <w:r w:rsidR="0001207E">
        <w:rPr>
          <w:bCs/>
          <w:spacing w:val="-2"/>
          <w:szCs w:val="19"/>
          <w:lang w:val="en-AU"/>
        </w:rPr>
        <w:t>2nd</w:t>
      </w:r>
      <w:r w:rsidRPr="00110BF7">
        <w:rPr>
          <w:bCs/>
          <w:spacing w:val="-2"/>
          <w:szCs w:val="19"/>
          <w:lang w:val="en-AU"/>
        </w:rPr>
        <w:t xml:space="preserve"> quarter of 202</w:t>
      </w:r>
      <w:r w:rsidR="00110BF7" w:rsidRPr="00110BF7">
        <w:rPr>
          <w:bCs/>
          <w:spacing w:val="-2"/>
          <w:szCs w:val="19"/>
          <w:lang w:val="en-AU"/>
        </w:rPr>
        <w:t>2</w:t>
      </w:r>
      <w:r w:rsidR="00B95EA7" w:rsidRPr="00110BF7">
        <w:rPr>
          <w:bCs/>
          <w:spacing w:val="-2"/>
          <w:szCs w:val="19"/>
          <w:lang w:val="en-AU"/>
        </w:rPr>
        <w:t xml:space="preserve"> amounted to PLN </w:t>
      </w:r>
      <w:r w:rsidR="0001207E">
        <w:rPr>
          <w:bCs/>
          <w:spacing w:val="-2"/>
          <w:szCs w:val="19"/>
          <w:lang w:val="en-AU"/>
        </w:rPr>
        <w:t>10</w:t>
      </w:r>
      <w:r w:rsidR="00F10BC1" w:rsidRPr="00110BF7">
        <w:rPr>
          <w:spacing w:val="-2"/>
          <w:szCs w:val="19"/>
          <w:lang w:val="en-AU"/>
        </w:rPr>
        <w:t>.</w:t>
      </w:r>
      <w:r w:rsidR="0001207E">
        <w:rPr>
          <w:spacing w:val="-2"/>
          <w:szCs w:val="19"/>
          <w:lang w:val="en-AU"/>
        </w:rPr>
        <w:t>0</w:t>
      </w:r>
      <w:r w:rsidR="00B95EA7" w:rsidRPr="00110BF7">
        <w:rPr>
          <w:spacing w:val="-2"/>
          <w:szCs w:val="19"/>
          <w:lang w:val="en-AU"/>
        </w:rPr>
        <w:t xml:space="preserve"> billion</w:t>
      </w:r>
      <w:r w:rsidR="001442A2" w:rsidRPr="00110BF7">
        <w:rPr>
          <w:spacing w:val="-2"/>
          <w:szCs w:val="19"/>
          <w:lang w:val="en-AU"/>
        </w:rPr>
        <w:t xml:space="preserve">, </w:t>
      </w:r>
      <w:r w:rsidR="00B95EA7" w:rsidRPr="00110BF7">
        <w:rPr>
          <w:bCs/>
          <w:spacing w:val="-2"/>
          <w:szCs w:val="19"/>
          <w:lang w:val="en-AU"/>
        </w:rPr>
        <w:t>while the expenses incurred abroad by Polish residents in this</w:t>
      </w:r>
      <w:r w:rsidR="00F60A3D" w:rsidRPr="00110BF7">
        <w:rPr>
          <w:bCs/>
          <w:spacing w:val="-2"/>
          <w:szCs w:val="19"/>
          <w:lang w:val="en-AU"/>
        </w:rPr>
        <w:br/>
      </w:r>
      <w:r w:rsidR="00B95EA7" w:rsidRPr="00110BF7">
        <w:rPr>
          <w:bCs/>
          <w:spacing w:val="-2"/>
          <w:szCs w:val="19"/>
          <w:lang w:val="en-AU"/>
        </w:rPr>
        <w:t>period am</w:t>
      </w:r>
      <w:r w:rsidR="00B95EA7" w:rsidRPr="0044131A">
        <w:rPr>
          <w:bCs/>
          <w:spacing w:val="-2"/>
          <w:szCs w:val="19"/>
          <w:lang w:val="en-AU"/>
        </w:rPr>
        <w:t xml:space="preserve">ounted to PLN </w:t>
      </w:r>
      <w:r w:rsidR="0001207E">
        <w:rPr>
          <w:bCs/>
          <w:spacing w:val="-2"/>
          <w:szCs w:val="19"/>
          <w:lang w:val="en-AU"/>
        </w:rPr>
        <w:t>5</w:t>
      </w:r>
      <w:r w:rsidR="00F10BC1" w:rsidRPr="0044131A">
        <w:rPr>
          <w:spacing w:val="-2"/>
          <w:szCs w:val="19"/>
          <w:lang w:val="en-AU"/>
        </w:rPr>
        <w:t>.</w:t>
      </w:r>
      <w:r w:rsidR="0001207E">
        <w:rPr>
          <w:spacing w:val="-2"/>
          <w:szCs w:val="19"/>
          <w:lang w:val="en-AU"/>
        </w:rPr>
        <w:t>5</w:t>
      </w:r>
      <w:r w:rsidR="00B95EA7" w:rsidRPr="0044131A">
        <w:rPr>
          <w:spacing w:val="-2"/>
          <w:szCs w:val="19"/>
          <w:lang w:val="en-AU"/>
        </w:rPr>
        <w:t xml:space="preserve"> billion</w:t>
      </w:r>
      <w:r w:rsidR="001442A2" w:rsidRPr="0044131A">
        <w:rPr>
          <w:spacing w:val="-2"/>
          <w:szCs w:val="19"/>
          <w:lang w:val="en-AU"/>
        </w:rPr>
        <w:t xml:space="preserve">. </w:t>
      </w:r>
      <w:r w:rsidR="00B95EA7" w:rsidRPr="0044131A">
        <w:rPr>
          <w:bCs/>
          <w:spacing w:val="-2"/>
          <w:szCs w:val="19"/>
          <w:lang w:val="en-AU"/>
        </w:rPr>
        <w:t xml:space="preserve">It was respectively </w:t>
      </w:r>
      <w:r w:rsidR="0001207E">
        <w:rPr>
          <w:spacing w:val="-2"/>
          <w:szCs w:val="19"/>
          <w:lang w:val="en-AU"/>
        </w:rPr>
        <w:t>89</w:t>
      </w:r>
      <w:r w:rsidR="0044131A" w:rsidRPr="0044131A">
        <w:rPr>
          <w:spacing w:val="-2"/>
          <w:szCs w:val="19"/>
          <w:lang w:val="en-AU"/>
        </w:rPr>
        <w:t>.</w:t>
      </w:r>
      <w:r w:rsidR="0001207E">
        <w:rPr>
          <w:spacing w:val="-2"/>
          <w:szCs w:val="19"/>
          <w:lang w:val="en-AU"/>
        </w:rPr>
        <w:t>2</w:t>
      </w:r>
      <w:r w:rsidR="00B95EA7" w:rsidRPr="0044131A">
        <w:rPr>
          <w:spacing w:val="-2"/>
          <w:szCs w:val="19"/>
          <w:lang w:val="en-AU"/>
        </w:rPr>
        <w:t>% and</w:t>
      </w:r>
      <w:r w:rsidR="00332A74" w:rsidRPr="0044131A">
        <w:rPr>
          <w:spacing w:val="-2"/>
          <w:szCs w:val="19"/>
          <w:lang w:val="en-AU"/>
        </w:rPr>
        <w:t xml:space="preserve"> </w:t>
      </w:r>
      <w:r w:rsidR="0001207E">
        <w:rPr>
          <w:spacing w:val="-2"/>
          <w:szCs w:val="19"/>
          <w:lang w:val="en-AU"/>
        </w:rPr>
        <w:t>82</w:t>
      </w:r>
      <w:r w:rsidR="00F10BC1" w:rsidRPr="0044131A">
        <w:rPr>
          <w:spacing w:val="-2"/>
          <w:szCs w:val="19"/>
          <w:lang w:val="en-AU"/>
        </w:rPr>
        <w:t>.</w:t>
      </w:r>
      <w:r w:rsidR="0001207E">
        <w:rPr>
          <w:spacing w:val="-2"/>
          <w:szCs w:val="19"/>
          <w:lang w:val="en-AU"/>
        </w:rPr>
        <w:t>7</w:t>
      </w:r>
      <w:r w:rsidR="001442A2" w:rsidRPr="0044131A">
        <w:rPr>
          <w:spacing w:val="-2"/>
          <w:szCs w:val="19"/>
          <w:lang w:val="en-AU"/>
        </w:rPr>
        <w:t>%</w:t>
      </w:r>
      <w:r w:rsidR="00B95EA7" w:rsidRPr="0044131A">
        <w:rPr>
          <w:bCs/>
          <w:spacing w:val="-2"/>
          <w:szCs w:val="19"/>
          <w:lang w:val="en-AU"/>
        </w:rPr>
        <w:t xml:space="preserve"> </w:t>
      </w:r>
      <w:r w:rsidR="00CB7B6B" w:rsidRPr="0044131A">
        <w:rPr>
          <w:bCs/>
          <w:spacing w:val="-2"/>
          <w:szCs w:val="19"/>
          <w:lang w:val="en-AU"/>
        </w:rPr>
        <w:t>more</w:t>
      </w:r>
      <w:r w:rsidR="00B95EA7" w:rsidRPr="0044131A">
        <w:rPr>
          <w:bCs/>
          <w:spacing w:val="-2"/>
          <w:szCs w:val="19"/>
          <w:lang w:val="en-AU"/>
        </w:rPr>
        <w:t xml:space="preserve"> than in the </w:t>
      </w:r>
      <w:r w:rsidR="00B95EA7" w:rsidRPr="00FF6BBF">
        <w:rPr>
          <w:bCs/>
          <w:spacing w:val="-2"/>
          <w:szCs w:val="19"/>
          <w:lang w:val="en-AU"/>
        </w:rPr>
        <w:t>previous year</w:t>
      </w:r>
      <w:r w:rsidR="001442A2" w:rsidRPr="00FF6BBF">
        <w:rPr>
          <w:spacing w:val="-2"/>
          <w:szCs w:val="19"/>
          <w:lang w:val="en-AU"/>
        </w:rPr>
        <w:t>.</w:t>
      </w:r>
      <w:r w:rsidR="00495B77" w:rsidRPr="00FF6BBF">
        <w:rPr>
          <w:spacing w:val="-2"/>
          <w:szCs w:val="19"/>
          <w:lang w:val="en-AU"/>
        </w:rPr>
        <w:t xml:space="preserve"> In comparison with the previous quarter, the expen</w:t>
      </w:r>
      <w:r w:rsidR="004E5F9D" w:rsidRPr="00FF6BBF">
        <w:rPr>
          <w:spacing w:val="-2"/>
          <w:szCs w:val="19"/>
          <w:lang w:val="en-AU"/>
        </w:rPr>
        <w:t>ses</w:t>
      </w:r>
      <w:r w:rsidR="00495B77" w:rsidRPr="00FF6BBF">
        <w:rPr>
          <w:spacing w:val="-2"/>
          <w:szCs w:val="19"/>
          <w:lang w:val="en-AU"/>
        </w:rPr>
        <w:t xml:space="preserve"> of foreigners</w:t>
      </w:r>
      <w:r w:rsidR="0044131A" w:rsidRPr="00FF6BBF">
        <w:rPr>
          <w:spacing w:val="-2"/>
          <w:szCs w:val="19"/>
          <w:lang w:val="en-AU"/>
        </w:rPr>
        <w:t xml:space="preserve"> were </w:t>
      </w:r>
      <w:r w:rsidR="0001207E">
        <w:rPr>
          <w:spacing w:val="-2"/>
          <w:szCs w:val="19"/>
          <w:lang w:val="en-AU"/>
        </w:rPr>
        <w:t>higher</w:t>
      </w:r>
      <w:r w:rsidR="0044131A" w:rsidRPr="00FF6BBF">
        <w:rPr>
          <w:spacing w:val="-2"/>
          <w:szCs w:val="19"/>
          <w:lang w:val="en-AU"/>
        </w:rPr>
        <w:t xml:space="preserve"> by </w:t>
      </w:r>
      <w:r w:rsidR="0001207E">
        <w:rPr>
          <w:spacing w:val="-2"/>
          <w:szCs w:val="19"/>
          <w:lang w:val="en-AU"/>
        </w:rPr>
        <w:t>55</w:t>
      </w:r>
      <w:r w:rsidR="0044131A" w:rsidRPr="00FF6BBF">
        <w:rPr>
          <w:spacing w:val="-2"/>
          <w:szCs w:val="19"/>
          <w:lang w:val="en-AU"/>
        </w:rPr>
        <w:t>.</w:t>
      </w:r>
      <w:r w:rsidR="0001207E">
        <w:rPr>
          <w:spacing w:val="-2"/>
          <w:szCs w:val="19"/>
          <w:lang w:val="en-AU"/>
        </w:rPr>
        <w:t>0</w:t>
      </w:r>
      <w:r w:rsidR="0044131A" w:rsidRPr="00FF6BBF">
        <w:rPr>
          <w:spacing w:val="-2"/>
          <w:szCs w:val="19"/>
          <w:lang w:val="en-AU"/>
        </w:rPr>
        <w:t xml:space="preserve">% </w:t>
      </w:r>
      <w:r w:rsidR="0001207E">
        <w:rPr>
          <w:spacing w:val="-2"/>
          <w:szCs w:val="19"/>
          <w:lang w:val="en-AU"/>
        </w:rPr>
        <w:t>and</w:t>
      </w:r>
      <w:r w:rsidR="0044131A" w:rsidRPr="00FF6BBF">
        <w:rPr>
          <w:spacing w:val="-2"/>
          <w:szCs w:val="19"/>
          <w:lang w:val="en-AU"/>
        </w:rPr>
        <w:t xml:space="preserve"> expenses of</w:t>
      </w:r>
      <w:r w:rsidR="00495B77" w:rsidRPr="00FF6BBF">
        <w:rPr>
          <w:spacing w:val="-2"/>
          <w:szCs w:val="19"/>
          <w:lang w:val="en-AU"/>
        </w:rPr>
        <w:t xml:space="preserve"> Poles by </w:t>
      </w:r>
      <w:r w:rsidR="0001207E">
        <w:rPr>
          <w:spacing w:val="-2"/>
          <w:szCs w:val="19"/>
          <w:lang w:val="en-AU"/>
        </w:rPr>
        <w:t>38</w:t>
      </w:r>
      <w:r w:rsidR="0044131A" w:rsidRPr="00FF6BBF">
        <w:rPr>
          <w:spacing w:val="-2"/>
          <w:szCs w:val="19"/>
          <w:lang w:val="en-AU"/>
        </w:rPr>
        <w:t>.</w:t>
      </w:r>
      <w:r w:rsidR="0001207E">
        <w:rPr>
          <w:spacing w:val="-2"/>
          <w:szCs w:val="19"/>
          <w:lang w:val="en-AU"/>
        </w:rPr>
        <w:t>3</w:t>
      </w:r>
      <w:r w:rsidR="00495B77" w:rsidRPr="00FF6BBF">
        <w:rPr>
          <w:spacing w:val="-2"/>
          <w:szCs w:val="19"/>
          <w:lang w:val="en-AU"/>
        </w:rPr>
        <w:t>%</w:t>
      </w:r>
      <w:r w:rsidR="0044131A" w:rsidRPr="00FF6BBF">
        <w:rPr>
          <w:spacing w:val="-2"/>
          <w:szCs w:val="19"/>
          <w:lang w:val="en-AU"/>
        </w:rPr>
        <w:t>.</w:t>
      </w:r>
    </w:p>
    <w:p w14:paraId="6D1ED03A" w14:textId="72740FD5" w:rsidR="002002C9" w:rsidRPr="0099540B" w:rsidRDefault="002002C9" w:rsidP="00E86F04">
      <w:pPr>
        <w:spacing w:before="360" w:line="240" w:lineRule="auto"/>
        <w:ind w:left="680" w:hanging="680"/>
        <w:rPr>
          <w:rFonts w:cs="Arial"/>
          <w:b/>
          <w:bCs/>
          <w:spacing w:val="-2"/>
          <w:szCs w:val="19"/>
          <w:lang w:val="en-AU"/>
        </w:rPr>
      </w:pPr>
      <w:r w:rsidRPr="0099540B">
        <w:rPr>
          <w:rFonts w:cs="Arial"/>
          <w:b/>
          <w:bCs/>
          <w:spacing w:val="-2"/>
          <w:szCs w:val="19"/>
          <w:lang w:val="en-AU"/>
        </w:rPr>
        <w:t xml:space="preserve">Chart 1. </w:t>
      </w:r>
      <w:r w:rsidRPr="0099540B">
        <w:rPr>
          <w:rFonts w:cs="Arial"/>
          <w:b/>
          <w:bCs/>
          <w:szCs w:val="19"/>
          <w:lang w:val="en-AU"/>
        </w:rPr>
        <w:t xml:space="preserve">Structure of </w:t>
      </w:r>
      <w:r w:rsidR="00EB3305">
        <w:rPr>
          <w:rFonts w:cs="Arial"/>
          <w:b/>
          <w:bCs/>
          <w:szCs w:val="19"/>
          <w:lang w:val="en-AU"/>
        </w:rPr>
        <w:t xml:space="preserve">total </w:t>
      </w:r>
      <w:r w:rsidRPr="0099540B">
        <w:rPr>
          <w:rFonts w:cs="Arial"/>
          <w:b/>
          <w:bCs/>
          <w:szCs w:val="19"/>
          <w:lang w:val="en-AU"/>
        </w:rPr>
        <w:t>expenses made by foreigners in Poland and by Poles abroad in the</w:t>
      </w:r>
      <w:r w:rsidRPr="0099540B">
        <w:rPr>
          <w:rFonts w:cs="Arial"/>
          <w:b/>
          <w:bCs/>
          <w:szCs w:val="19"/>
          <w:lang w:val="en-AU"/>
        </w:rPr>
        <w:br/>
      </w:r>
      <w:r w:rsidR="0001207E">
        <w:rPr>
          <w:rFonts w:cs="Arial"/>
          <w:b/>
          <w:bCs/>
          <w:szCs w:val="19"/>
          <w:lang w:val="en-AU"/>
        </w:rPr>
        <w:t>2nd</w:t>
      </w:r>
      <w:r w:rsidRPr="0099540B">
        <w:rPr>
          <w:rFonts w:cs="Arial"/>
          <w:b/>
          <w:bCs/>
          <w:szCs w:val="19"/>
          <w:lang w:val="en-AU"/>
        </w:rPr>
        <w:t xml:space="preserve"> quarter of 20</w:t>
      </w:r>
      <w:r w:rsidRPr="0099540B">
        <w:rPr>
          <w:rFonts w:cs="Arial"/>
          <w:b/>
          <w:bCs/>
          <w:spacing w:val="-2"/>
          <w:szCs w:val="19"/>
          <w:lang w:val="en-AU"/>
        </w:rPr>
        <w:t>2</w:t>
      </w:r>
      <w:r w:rsidR="00D54CB8">
        <w:rPr>
          <w:rFonts w:cs="Arial"/>
          <w:b/>
          <w:bCs/>
          <w:spacing w:val="-2"/>
          <w:szCs w:val="19"/>
          <w:lang w:val="en-AU"/>
        </w:rPr>
        <w:t>2</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4A958164" w:rsidR="008F56E0" w:rsidRPr="008F07A8" w:rsidRDefault="00027CA0" w:rsidP="008F56E0">
      <w:pPr>
        <w:spacing w:before="240" w:after="240" w:line="240" w:lineRule="auto"/>
        <w:jc w:val="center"/>
        <w:rPr>
          <w:szCs w:val="19"/>
          <w:lang w:val="en-AU"/>
        </w:rPr>
      </w:pPr>
      <w:r w:rsidRPr="00027CA0">
        <w:rPr>
          <w:noProof/>
          <w:lang w:eastAsia="pl-PL"/>
        </w:rPr>
        <w:drawing>
          <wp:inline distT="0" distB="0" distL="0" distR="0" wp14:anchorId="1F0B3610" wp14:editId="651C92FC">
            <wp:extent cx="4582501" cy="1692000"/>
            <wp:effectExtent l="0" t="0" r="8890" b="3810"/>
            <wp:docPr id="16" name="Obraz 16" descr="Chart 1: Structure of expenses made by foreigners in Poland and Poles abroad in the 2nd quarter of 2022 by border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2501" cy="1692000"/>
                    </a:xfrm>
                    <a:prstGeom prst="rect">
                      <a:avLst/>
                    </a:prstGeom>
                    <a:noFill/>
                    <a:ln>
                      <a:noFill/>
                    </a:ln>
                  </pic:spPr>
                </pic:pic>
              </a:graphicData>
            </a:graphic>
          </wp:inline>
        </w:drawing>
      </w:r>
    </w:p>
    <w:p w14:paraId="5B0CE7B7" w14:textId="7233F8CE" w:rsidR="00566710" w:rsidRPr="009169C2" w:rsidRDefault="00ED3D4E" w:rsidP="00DB5A68">
      <w:pPr>
        <w:overflowPunct w:val="0"/>
        <w:autoSpaceDE w:val="0"/>
        <w:autoSpaceDN w:val="0"/>
        <w:adjustRightInd w:val="0"/>
        <w:spacing w:after="0" w:line="264" w:lineRule="auto"/>
        <w:textAlignment w:val="baseline"/>
        <w:rPr>
          <w:spacing w:val="-2"/>
          <w:szCs w:val="19"/>
          <w:lang w:val="en-AU"/>
        </w:rPr>
      </w:pPr>
      <w:r w:rsidRPr="009169C2">
        <w:rPr>
          <w:spacing w:val="-2"/>
          <w:szCs w:val="19"/>
          <w:lang w:val="en-AU"/>
        </w:rPr>
        <w:t>In the structure of expenses incurred in Poland by foreigners crossing the land border</w:t>
      </w:r>
      <w:r w:rsidR="005D1D2A" w:rsidRPr="009169C2">
        <w:rPr>
          <w:spacing w:val="-2"/>
          <w:szCs w:val="19"/>
          <w:lang w:val="en-AU"/>
        </w:rPr>
        <w:t xml:space="preserve"> in the </w:t>
      </w:r>
      <w:r w:rsidR="005D694F">
        <w:rPr>
          <w:spacing w:val="-2"/>
          <w:szCs w:val="19"/>
          <w:lang w:val="en-AU"/>
        </w:rPr>
        <w:t>2nd</w:t>
      </w:r>
      <w:r w:rsidR="005D1D2A" w:rsidRPr="009169C2">
        <w:rPr>
          <w:spacing w:val="-2"/>
          <w:szCs w:val="19"/>
          <w:lang w:val="en-AU"/>
        </w:rPr>
        <w:t xml:space="preserve"> quarter of 202</w:t>
      </w:r>
      <w:r w:rsidR="00082F3B" w:rsidRPr="009169C2">
        <w:rPr>
          <w:spacing w:val="-2"/>
          <w:szCs w:val="19"/>
          <w:lang w:val="en-AU"/>
        </w:rPr>
        <w:t>2</w:t>
      </w:r>
      <w:r w:rsidRPr="009169C2">
        <w:rPr>
          <w:spacing w:val="-2"/>
          <w:szCs w:val="19"/>
          <w:lang w:val="en-AU"/>
        </w:rPr>
        <w:t xml:space="preserve">, the largest share </w:t>
      </w:r>
      <w:r w:rsidR="005C439D" w:rsidRPr="009169C2">
        <w:rPr>
          <w:spacing w:val="-2"/>
          <w:szCs w:val="19"/>
          <w:lang w:val="en-AU"/>
        </w:rPr>
        <w:t xml:space="preserve">was </w:t>
      </w:r>
      <w:r w:rsidRPr="009169C2">
        <w:rPr>
          <w:spacing w:val="-2"/>
          <w:szCs w:val="19"/>
          <w:lang w:val="en-AU"/>
        </w:rPr>
        <w:t xml:space="preserve">constituted </w:t>
      </w:r>
      <w:r w:rsidR="005C439D" w:rsidRPr="009169C2">
        <w:rPr>
          <w:spacing w:val="-2"/>
          <w:szCs w:val="19"/>
          <w:lang w:val="en-AU"/>
        </w:rPr>
        <w:t xml:space="preserve">by </w:t>
      </w:r>
      <w:r w:rsidRPr="009169C2">
        <w:rPr>
          <w:spacing w:val="-2"/>
          <w:szCs w:val="19"/>
          <w:lang w:val="en-AU"/>
        </w:rPr>
        <w:t>expenses of persons crossing the border with</w:t>
      </w:r>
      <w:r w:rsidR="009C17EF">
        <w:rPr>
          <w:spacing w:val="-2"/>
          <w:szCs w:val="19"/>
          <w:lang w:val="en-AU"/>
        </w:rPr>
        <w:t>:</w:t>
      </w:r>
      <w:r w:rsidRPr="009169C2">
        <w:rPr>
          <w:spacing w:val="-2"/>
          <w:szCs w:val="19"/>
          <w:lang w:val="en-AU"/>
        </w:rPr>
        <w:t xml:space="preserve"> Germany</w:t>
      </w:r>
      <w:r w:rsidR="00566710" w:rsidRPr="009169C2">
        <w:rPr>
          <w:spacing w:val="-2"/>
          <w:szCs w:val="19"/>
          <w:lang w:val="en-AU"/>
        </w:rPr>
        <w:t xml:space="preserve"> (</w:t>
      </w:r>
      <w:r w:rsidR="00E058A0" w:rsidRPr="009169C2">
        <w:rPr>
          <w:spacing w:val="-2"/>
          <w:szCs w:val="19"/>
          <w:lang w:val="en-AU"/>
        </w:rPr>
        <w:t>5</w:t>
      </w:r>
      <w:r w:rsidR="005D694F">
        <w:rPr>
          <w:spacing w:val="-2"/>
          <w:szCs w:val="19"/>
          <w:lang w:val="en-AU"/>
        </w:rPr>
        <w:t>3</w:t>
      </w:r>
      <w:r w:rsidR="00F10BC1" w:rsidRPr="009169C2">
        <w:rPr>
          <w:spacing w:val="-2"/>
          <w:szCs w:val="19"/>
          <w:lang w:val="en-AU"/>
        </w:rPr>
        <w:t>.</w:t>
      </w:r>
      <w:r w:rsidR="005D694F">
        <w:rPr>
          <w:spacing w:val="-2"/>
          <w:szCs w:val="19"/>
          <w:lang w:val="en-AU"/>
        </w:rPr>
        <w:t>1</w:t>
      </w:r>
      <w:r w:rsidRPr="009169C2">
        <w:rPr>
          <w:spacing w:val="-2"/>
          <w:szCs w:val="19"/>
          <w:lang w:val="en-AU"/>
        </w:rPr>
        <w:t>%), followed by</w:t>
      </w:r>
      <w:r w:rsidR="009169C2" w:rsidRPr="009169C2">
        <w:rPr>
          <w:spacing w:val="-2"/>
          <w:szCs w:val="19"/>
          <w:lang w:val="en-AU"/>
        </w:rPr>
        <w:t xml:space="preserve"> </w:t>
      </w:r>
      <w:r w:rsidR="005D694F">
        <w:rPr>
          <w:spacing w:val="-2"/>
          <w:szCs w:val="19"/>
          <w:lang w:val="en-AU"/>
        </w:rPr>
        <w:t>Ukraine (17.9</w:t>
      </w:r>
      <w:r w:rsidR="009169C2" w:rsidRPr="009169C2">
        <w:rPr>
          <w:spacing w:val="-2"/>
          <w:szCs w:val="19"/>
          <w:lang w:val="en-AU"/>
        </w:rPr>
        <w:t>%),</w:t>
      </w:r>
      <w:r w:rsidR="00F10BC1" w:rsidRPr="009169C2">
        <w:rPr>
          <w:spacing w:val="-2"/>
          <w:szCs w:val="19"/>
          <w:lang w:val="en-AU"/>
        </w:rPr>
        <w:t xml:space="preserve"> </w:t>
      </w:r>
      <w:r w:rsidR="005D694F">
        <w:rPr>
          <w:spacing w:val="-2"/>
          <w:szCs w:val="19"/>
          <w:lang w:val="en-AU"/>
        </w:rPr>
        <w:t xml:space="preserve">Czechia </w:t>
      </w:r>
      <w:r w:rsidR="00E058A0" w:rsidRPr="009169C2">
        <w:rPr>
          <w:spacing w:val="-2"/>
          <w:szCs w:val="19"/>
          <w:lang w:val="en-AU"/>
        </w:rPr>
        <w:t>(1</w:t>
      </w:r>
      <w:r w:rsidR="005D694F">
        <w:rPr>
          <w:spacing w:val="-2"/>
          <w:szCs w:val="19"/>
          <w:lang w:val="en-AU"/>
        </w:rPr>
        <w:t>3</w:t>
      </w:r>
      <w:r w:rsidR="00E058A0" w:rsidRPr="009169C2">
        <w:rPr>
          <w:spacing w:val="-2"/>
          <w:szCs w:val="19"/>
          <w:lang w:val="en-AU"/>
        </w:rPr>
        <w:t>.</w:t>
      </w:r>
      <w:r w:rsidR="005D694F">
        <w:rPr>
          <w:spacing w:val="-2"/>
          <w:szCs w:val="19"/>
          <w:lang w:val="en-AU"/>
        </w:rPr>
        <w:t>5</w:t>
      </w:r>
      <w:r w:rsidR="00E058A0" w:rsidRPr="009169C2">
        <w:rPr>
          <w:spacing w:val="-2"/>
          <w:szCs w:val="19"/>
          <w:lang w:val="en-AU"/>
        </w:rPr>
        <w:t>%)</w:t>
      </w:r>
      <w:r w:rsidRPr="009169C2">
        <w:rPr>
          <w:spacing w:val="-2"/>
          <w:szCs w:val="19"/>
          <w:lang w:val="en-AU"/>
        </w:rPr>
        <w:t>, Slovakia</w:t>
      </w:r>
      <w:r w:rsidR="00566710" w:rsidRPr="009169C2">
        <w:rPr>
          <w:spacing w:val="-2"/>
          <w:szCs w:val="19"/>
          <w:lang w:val="en-AU"/>
        </w:rPr>
        <w:t xml:space="preserve"> (</w:t>
      </w:r>
      <w:r w:rsidR="00E058A0" w:rsidRPr="009169C2">
        <w:rPr>
          <w:spacing w:val="-2"/>
          <w:szCs w:val="19"/>
          <w:lang w:val="en-AU"/>
        </w:rPr>
        <w:t>8</w:t>
      </w:r>
      <w:r w:rsidR="00F10BC1" w:rsidRPr="009169C2">
        <w:rPr>
          <w:spacing w:val="-2"/>
          <w:szCs w:val="19"/>
          <w:lang w:val="en-AU"/>
        </w:rPr>
        <w:t>.</w:t>
      </w:r>
      <w:r w:rsidR="005D694F">
        <w:rPr>
          <w:spacing w:val="-2"/>
          <w:szCs w:val="19"/>
          <w:lang w:val="en-AU"/>
        </w:rPr>
        <w:t>2</w:t>
      </w:r>
      <w:r w:rsidRPr="009169C2">
        <w:rPr>
          <w:spacing w:val="-2"/>
          <w:szCs w:val="19"/>
          <w:lang w:val="en-AU"/>
        </w:rPr>
        <w:t>%), Lithuania</w:t>
      </w:r>
      <w:r w:rsidR="00566710" w:rsidRPr="009169C2">
        <w:rPr>
          <w:spacing w:val="-2"/>
          <w:szCs w:val="19"/>
          <w:lang w:val="en-AU"/>
        </w:rPr>
        <w:t xml:space="preserve"> (</w:t>
      </w:r>
      <w:r w:rsidR="009169C2" w:rsidRPr="009169C2">
        <w:rPr>
          <w:spacing w:val="-2"/>
          <w:szCs w:val="19"/>
          <w:lang w:val="en-AU"/>
        </w:rPr>
        <w:t>4</w:t>
      </w:r>
      <w:r w:rsidR="00E058A0" w:rsidRPr="009169C2">
        <w:rPr>
          <w:spacing w:val="-2"/>
          <w:szCs w:val="19"/>
          <w:lang w:val="en-AU"/>
        </w:rPr>
        <w:t>.</w:t>
      </w:r>
      <w:r w:rsidR="005D694F">
        <w:rPr>
          <w:spacing w:val="-2"/>
          <w:szCs w:val="19"/>
          <w:lang w:val="en-AU"/>
        </w:rPr>
        <w:t>4</w:t>
      </w:r>
      <w:r w:rsidRPr="009169C2">
        <w:rPr>
          <w:spacing w:val="-2"/>
          <w:szCs w:val="19"/>
          <w:lang w:val="en-AU"/>
        </w:rPr>
        <w:t>%), Belarus</w:t>
      </w:r>
      <w:r w:rsidR="00566710" w:rsidRPr="009169C2">
        <w:rPr>
          <w:spacing w:val="-2"/>
          <w:szCs w:val="19"/>
          <w:lang w:val="en-AU"/>
        </w:rPr>
        <w:t xml:space="preserve"> (</w:t>
      </w:r>
      <w:r w:rsidR="009169C2" w:rsidRPr="009169C2">
        <w:rPr>
          <w:spacing w:val="-2"/>
          <w:szCs w:val="19"/>
          <w:lang w:val="en-AU"/>
        </w:rPr>
        <w:t>2</w:t>
      </w:r>
      <w:r w:rsidR="00E058A0" w:rsidRPr="009169C2">
        <w:rPr>
          <w:spacing w:val="-2"/>
          <w:szCs w:val="19"/>
          <w:lang w:val="en-AU"/>
        </w:rPr>
        <w:t>.</w:t>
      </w:r>
      <w:r w:rsidR="005D694F">
        <w:rPr>
          <w:spacing w:val="-2"/>
          <w:szCs w:val="19"/>
          <w:lang w:val="en-AU"/>
        </w:rPr>
        <w:t>7</w:t>
      </w:r>
      <w:r w:rsidR="00F42CE5" w:rsidRPr="009169C2">
        <w:rPr>
          <w:spacing w:val="-2"/>
          <w:szCs w:val="19"/>
          <w:lang w:val="en-AU"/>
        </w:rPr>
        <w:t>%)</w:t>
      </w:r>
      <w:r w:rsidRPr="009169C2">
        <w:rPr>
          <w:spacing w:val="-2"/>
          <w:szCs w:val="19"/>
          <w:lang w:val="en-AU"/>
        </w:rPr>
        <w:t xml:space="preserve"> and Russia</w:t>
      </w:r>
      <w:r w:rsidR="00566710" w:rsidRPr="009169C2">
        <w:rPr>
          <w:spacing w:val="-2"/>
          <w:szCs w:val="19"/>
          <w:lang w:val="en-AU"/>
        </w:rPr>
        <w:t xml:space="preserve"> (</w:t>
      </w:r>
      <w:r w:rsidR="00F10BC1" w:rsidRPr="009169C2">
        <w:rPr>
          <w:spacing w:val="-2"/>
          <w:szCs w:val="19"/>
          <w:lang w:val="en-AU"/>
        </w:rPr>
        <w:t>0.</w:t>
      </w:r>
      <w:r w:rsidR="009169C2" w:rsidRPr="009169C2">
        <w:rPr>
          <w:spacing w:val="-2"/>
          <w:szCs w:val="19"/>
          <w:lang w:val="en-AU"/>
        </w:rPr>
        <w:t>2</w:t>
      </w:r>
      <w:r w:rsidR="00566710" w:rsidRPr="009169C2">
        <w:rPr>
          <w:spacing w:val="-2"/>
          <w:szCs w:val="19"/>
          <w:lang w:val="en-AU"/>
        </w:rPr>
        <w:t>%).</w:t>
      </w:r>
    </w:p>
    <w:p w14:paraId="5707B417" w14:textId="042456BD" w:rsidR="00F10BC1" w:rsidRPr="00EC77A0" w:rsidRDefault="00ED3D4E" w:rsidP="00DB5A68">
      <w:pPr>
        <w:overflowPunct w:val="0"/>
        <w:autoSpaceDE w:val="0"/>
        <w:autoSpaceDN w:val="0"/>
        <w:adjustRightInd w:val="0"/>
        <w:spacing w:line="264" w:lineRule="auto"/>
        <w:textAlignment w:val="baseline"/>
        <w:rPr>
          <w:spacing w:val="-5"/>
          <w:szCs w:val="19"/>
          <w:lang w:val="en-AU"/>
        </w:rPr>
      </w:pPr>
      <w:r w:rsidRPr="00EC77A0">
        <w:rPr>
          <w:spacing w:val="-5"/>
          <w:szCs w:val="19"/>
          <w:lang w:val="en-AU"/>
        </w:rPr>
        <w:t>In the case of the residents of Poland crossing the land border of the country, the highest</w:t>
      </w:r>
      <w:r w:rsidR="00AF11EA" w:rsidRPr="00EC77A0">
        <w:rPr>
          <w:spacing w:val="-5"/>
          <w:szCs w:val="19"/>
          <w:lang w:val="en-AU"/>
        </w:rPr>
        <w:t xml:space="preserve"> </w:t>
      </w:r>
      <w:r w:rsidRPr="00EC77A0">
        <w:rPr>
          <w:spacing w:val="-5"/>
          <w:szCs w:val="19"/>
          <w:lang w:val="en-AU"/>
        </w:rPr>
        <w:t>expenses abroad were incurred by persons crossing the border with Germany</w:t>
      </w:r>
      <w:r w:rsidR="00566710" w:rsidRPr="00EC77A0">
        <w:rPr>
          <w:spacing w:val="-5"/>
          <w:szCs w:val="19"/>
          <w:lang w:val="en-AU"/>
        </w:rPr>
        <w:t xml:space="preserve"> (</w:t>
      </w:r>
      <w:r w:rsidR="005D694F">
        <w:rPr>
          <w:spacing w:val="-5"/>
          <w:szCs w:val="19"/>
          <w:lang w:val="en-AU"/>
        </w:rPr>
        <w:t>59</w:t>
      </w:r>
      <w:r w:rsidR="00F10BC1" w:rsidRPr="00EC77A0">
        <w:rPr>
          <w:spacing w:val="-5"/>
          <w:szCs w:val="19"/>
          <w:lang w:val="en-AU"/>
        </w:rPr>
        <w:t>.</w:t>
      </w:r>
      <w:r w:rsidR="005D694F">
        <w:rPr>
          <w:spacing w:val="-5"/>
          <w:szCs w:val="19"/>
          <w:lang w:val="en-AU"/>
        </w:rPr>
        <w:t>3</w:t>
      </w:r>
      <w:r w:rsidR="00566710" w:rsidRPr="00EC77A0">
        <w:rPr>
          <w:spacing w:val="-5"/>
          <w:szCs w:val="19"/>
          <w:lang w:val="en-AU"/>
        </w:rPr>
        <w:t>%</w:t>
      </w:r>
      <w:r w:rsidR="00F10BC1" w:rsidRPr="00EC77A0">
        <w:rPr>
          <w:spacing w:val="-5"/>
          <w:szCs w:val="19"/>
          <w:lang w:val="en-AU"/>
        </w:rPr>
        <w:t>), followed by Czechia</w:t>
      </w:r>
      <w:r w:rsidR="00566710" w:rsidRPr="00EC77A0">
        <w:rPr>
          <w:spacing w:val="-5"/>
          <w:szCs w:val="19"/>
          <w:lang w:val="en-AU"/>
        </w:rPr>
        <w:t xml:space="preserve"> (</w:t>
      </w:r>
      <w:r w:rsidR="005D694F">
        <w:rPr>
          <w:spacing w:val="-5"/>
          <w:szCs w:val="19"/>
          <w:lang w:val="en-AU"/>
        </w:rPr>
        <w:t>24</w:t>
      </w:r>
      <w:r w:rsidR="00F10BC1" w:rsidRPr="00EC77A0">
        <w:rPr>
          <w:spacing w:val="-5"/>
          <w:szCs w:val="19"/>
          <w:lang w:val="en-AU"/>
        </w:rPr>
        <w:t>.</w:t>
      </w:r>
      <w:r w:rsidR="005D694F">
        <w:rPr>
          <w:spacing w:val="-5"/>
          <w:szCs w:val="19"/>
          <w:lang w:val="en-AU"/>
        </w:rPr>
        <w:t>0</w:t>
      </w:r>
      <w:r w:rsidR="00F10BC1" w:rsidRPr="00EC77A0">
        <w:rPr>
          <w:spacing w:val="-5"/>
          <w:szCs w:val="19"/>
          <w:lang w:val="en-AU"/>
        </w:rPr>
        <w:t>%),</w:t>
      </w:r>
      <w:r w:rsidR="00901036">
        <w:rPr>
          <w:spacing w:val="-5"/>
          <w:szCs w:val="19"/>
          <w:lang w:val="en-AU"/>
        </w:rPr>
        <w:t xml:space="preserve"> </w:t>
      </w:r>
      <w:r w:rsidR="00F10BC1" w:rsidRPr="00EC77A0">
        <w:rPr>
          <w:spacing w:val="-5"/>
          <w:szCs w:val="19"/>
          <w:lang w:val="en-AU"/>
        </w:rPr>
        <w:t xml:space="preserve"> Slovakia</w:t>
      </w:r>
      <w:r w:rsidR="00566710" w:rsidRPr="00EC77A0">
        <w:rPr>
          <w:spacing w:val="-5"/>
          <w:szCs w:val="19"/>
          <w:lang w:val="en-AU"/>
        </w:rPr>
        <w:t xml:space="preserve"> (</w:t>
      </w:r>
      <w:r w:rsidR="00F10BC1" w:rsidRPr="00EC77A0">
        <w:rPr>
          <w:spacing w:val="-5"/>
          <w:szCs w:val="19"/>
          <w:lang w:val="en-AU"/>
        </w:rPr>
        <w:t>1</w:t>
      </w:r>
      <w:r w:rsidR="005D694F">
        <w:rPr>
          <w:spacing w:val="-5"/>
          <w:szCs w:val="19"/>
          <w:lang w:val="en-AU"/>
        </w:rPr>
        <w:t>3</w:t>
      </w:r>
      <w:r w:rsidR="00F10BC1" w:rsidRPr="00EC77A0">
        <w:rPr>
          <w:spacing w:val="-5"/>
          <w:szCs w:val="19"/>
          <w:lang w:val="en-AU"/>
        </w:rPr>
        <w:t>.</w:t>
      </w:r>
      <w:r w:rsidR="005D694F">
        <w:rPr>
          <w:spacing w:val="-5"/>
          <w:szCs w:val="19"/>
          <w:lang w:val="en-AU"/>
        </w:rPr>
        <w:t>1</w:t>
      </w:r>
      <w:r w:rsidR="00F10BC1" w:rsidRPr="00EC77A0">
        <w:rPr>
          <w:spacing w:val="-5"/>
          <w:szCs w:val="19"/>
          <w:lang w:val="en-AU"/>
        </w:rPr>
        <w:t>%), Lithuania</w:t>
      </w:r>
      <w:r w:rsidR="00566710" w:rsidRPr="00EC77A0">
        <w:rPr>
          <w:spacing w:val="-5"/>
          <w:szCs w:val="19"/>
          <w:lang w:val="en-AU"/>
        </w:rPr>
        <w:t xml:space="preserve"> (</w:t>
      </w:r>
      <w:r w:rsidR="00F10BC1" w:rsidRPr="00EC77A0">
        <w:rPr>
          <w:spacing w:val="-5"/>
          <w:szCs w:val="19"/>
          <w:lang w:val="en-AU"/>
        </w:rPr>
        <w:t>2.</w:t>
      </w:r>
      <w:r w:rsidR="005D694F">
        <w:rPr>
          <w:spacing w:val="-5"/>
          <w:szCs w:val="19"/>
          <w:lang w:val="en-AU"/>
        </w:rPr>
        <w:t>9</w:t>
      </w:r>
      <w:r w:rsidR="00F10BC1" w:rsidRPr="00EC77A0">
        <w:rPr>
          <w:spacing w:val="-5"/>
          <w:szCs w:val="19"/>
          <w:lang w:val="en-AU"/>
        </w:rPr>
        <w:t>%), Ukraine (0.</w:t>
      </w:r>
      <w:r w:rsidR="005D694F">
        <w:rPr>
          <w:spacing w:val="-5"/>
          <w:szCs w:val="19"/>
          <w:lang w:val="en-AU"/>
        </w:rPr>
        <w:t>4</w:t>
      </w:r>
      <w:r w:rsidR="00F10BC1" w:rsidRPr="00EC77A0">
        <w:rPr>
          <w:spacing w:val="-5"/>
          <w:szCs w:val="19"/>
          <w:lang w:val="en-AU"/>
        </w:rPr>
        <w:t>%), Belarus</w:t>
      </w:r>
      <w:r w:rsidR="00566710" w:rsidRPr="00EC77A0">
        <w:rPr>
          <w:spacing w:val="-5"/>
          <w:szCs w:val="19"/>
          <w:lang w:val="en-AU"/>
        </w:rPr>
        <w:t xml:space="preserve"> (</w:t>
      </w:r>
      <w:r w:rsidR="00F10BC1" w:rsidRPr="00EC77A0">
        <w:rPr>
          <w:spacing w:val="-5"/>
          <w:szCs w:val="19"/>
          <w:lang w:val="en-AU"/>
        </w:rPr>
        <w:t>0.</w:t>
      </w:r>
      <w:r w:rsidR="005D694F">
        <w:rPr>
          <w:spacing w:val="-5"/>
          <w:szCs w:val="19"/>
          <w:lang w:val="en-AU"/>
        </w:rPr>
        <w:t>2</w:t>
      </w:r>
      <w:r w:rsidR="00F10BC1" w:rsidRPr="00EC77A0">
        <w:rPr>
          <w:spacing w:val="-5"/>
          <w:szCs w:val="19"/>
          <w:lang w:val="en-AU"/>
        </w:rPr>
        <w:t>%)</w:t>
      </w:r>
      <w:r w:rsidR="00CB253C" w:rsidRPr="00EC77A0">
        <w:rPr>
          <w:spacing w:val="-5"/>
          <w:szCs w:val="19"/>
          <w:lang w:val="en-AU"/>
        </w:rPr>
        <w:t xml:space="preserve"> and Russia</w:t>
      </w:r>
      <w:r w:rsidR="00446DBE" w:rsidRPr="00EC77A0">
        <w:rPr>
          <w:spacing w:val="-5"/>
          <w:szCs w:val="19"/>
          <w:lang w:val="en-AU"/>
        </w:rPr>
        <w:t xml:space="preserve"> (0</w:t>
      </w:r>
      <w:r w:rsidR="00BF134E" w:rsidRPr="00EC77A0">
        <w:rPr>
          <w:spacing w:val="-5"/>
          <w:szCs w:val="19"/>
          <w:lang w:val="en-AU"/>
        </w:rPr>
        <w:t>.</w:t>
      </w:r>
      <w:r w:rsidR="00446DBE" w:rsidRPr="00EC77A0">
        <w:rPr>
          <w:spacing w:val="-5"/>
          <w:szCs w:val="19"/>
          <w:lang w:val="en-AU"/>
        </w:rPr>
        <w:t>1%).</w:t>
      </w:r>
    </w:p>
    <w:p w14:paraId="12DDA033" w14:textId="52655FF2" w:rsidR="00FD4CD2" w:rsidRPr="0099540B" w:rsidRDefault="00FD4CD2" w:rsidP="00E86F04">
      <w:pPr>
        <w:pStyle w:val="Tekstpodstawowy"/>
        <w:spacing w:before="360" w:after="120" w:line="240" w:lineRule="auto"/>
        <w:ind w:left="709" w:hanging="709"/>
        <w:jc w:val="left"/>
        <w:rPr>
          <w:rFonts w:ascii="Fira Sans" w:hAnsi="Fira Sans" w:cs="Arial"/>
          <w:b/>
          <w:bCs/>
          <w:sz w:val="19"/>
          <w:szCs w:val="19"/>
          <w:lang w:val="en-AU"/>
        </w:rPr>
      </w:pPr>
      <w:r w:rsidRPr="0099540B">
        <w:rPr>
          <w:rFonts w:ascii="Fira Sans" w:hAnsi="Fira Sans" w:cs="Arial"/>
          <w:b/>
          <w:bCs/>
          <w:sz w:val="19"/>
          <w:szCs w:val="19"/>
          <w:lang w:val="en-AU"/>
        </w:rPr>
        <w:t xml:space="preserve">Chart 2. Structure of </w:t>
      </w:r>
      <w:r w:rsidR="00EB3305">
        <w:rPr>
          <w:rFonts w:ascii="Fira Sans" w:hAnsi="Fira Sans" w:cs="Arial"/>
          <w:b/>
          <w:bCs/>
          <w:sz w:val="19"/>
          <w:szCs w:val="19"/>
          <w:lang w:val="en-AU"/>
        </w:rPr>
        <w:t xml:space="preserve">total </w:t>
      </w:r>
      <w:r w:rsidRPr="0099540B">
        <w:rPr>
          <w:rFonts w:ascii="Fira Sans" w:hAnsi="Fira Sans" w:cs="Arial"/>
          <w:b/>
          <w:bCs/>
          <w:sz w:val="19"/>
          <w:szCs w:val="19"/>
          <w:lang w:val="en-AU"/>
        </w:rPr>
        <w:t xml:space="preserve">expenses made by foreigners in Poland and by Poles abroad by assortment groups in the </w:t>
      </w:r>
      <w:r w:rsidR="005D694F">
        <w:rPr>
          <w:rFonts w:ascii="Fira Sans" w:hAnsi="Fira Sans" w:cs="Arial"/>
          <w:b/>
          <w:bCs/>
          <w:sz w:val="19"/>
          <w:szCs w:val="19"/>
          <w:lang w:val="en-AU"/>
        </w:rPr>
        <w:t>2nd</w:t>
      </w:r>
      <w:r w:rsidRPr="0099540B">
        <w:rPr>
          <w:rFonts w:ascii="Fira Sans" w:hAnsi="Fira Sans" w:cs="Arial"/>
          <w:b/>
          <w:bCs/>
          <w:sz w:val="19"/>
          <w:szCs w:val="19"/>
          <w:lang w:val="en-AU"/>
        </w:rPr>
        <w:t xml:space="preserve"> quarter of 202</w:t>
      </w:r>
      <w:r w:rsidR="00D54CB8">
        <w:rPr>
          <w:rFonts w:ascii="Fira Sans" w:hAnsi="Fira Sans" w:cs="Arial"/>
          <w:b/>
          <w:bCs/>
          <w:sz w:val="19"/>
          <w:szCs w:val="19"/>
          <w:lang w:val="en-AU"/>
        </w:rPr>
        <w:t>2</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59A71C79" w:rsidR="008F56E0" w:rsidRPr="008F07A8" w:rsidRDefault="00027CA0" w:rsidP="00DB5A68">
      <w:pPr>
        <w:pStyle w:val="Tekstpodstawowy"/>
        <w:spacing w:before="60" w:line="240" w:lineRule="auto"/>
        <w:ind w:left="1049" w:hanging="1049"/>
        <w:jc w:val="center"/>
        <w:rPr>
          <w:noProof/>
          <w:lang w:val="en-AU"/>
        </w:rPr>
      </w:pPr>
      <w:r w:rsidRPr="00027CA0">
        <w:rPr>
          <w:noProof/>
        </w:rPr>
        <w:drawing>
          <wp:inline distT="0" distB="0" distL="0" distR="0" wp14:anchorId="0AC83F3D" wp14:editId="3BED4081">
            <wp:extent cx="4874114" cy="1692000"/>
            <wp:effectExtent l="0" t="0" r="3175" b="3810"/>
            <wp:docPr id="18" name="Obraz 18" descr="Chart 2. Structure of expenses made by foreigners in Poland and by Poles abroad by assortment groups in the 2nd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4114" cy="1692000"/>
                    </a:xfrm>
                    <a:prstGeom prst="rect">
                      <a:avLst/>
                    </a:prstGeom>
                    <a:noFill/>
                    <a:ln>
                      <a:noFill/>
                    </a:ln>
                  </pic:spPr>
                </pic:pic>
              </a:graphicData>
            </a:graphic>
          </wp:inline>
        </w:drawing>
      </w:r>
    </w:p>
    <w:p w14:paraId="2563D5AD" w14:textId="64D5E72B" w:rsidR="00DB5A68" w:rsidRDefault="00F10BC1" w:rsidP="008708A7">
      <w:pPr>
        <w:spacing w:line="264" w:lineRule="auto"/>
        <w:rPr>
          <w:szCs w:val="19"/>
          <w:lang w:val="en-AU"/>
        </w:rPr>
      </w:pPr>
      <w:r w:rsidRPr="002957A0">
        <w:rPr>
          <w:szCs w:val="19"/>
          <w:lang w:val="en-AU"/>
        </w:rPr>
        <w:t xml:space="preserve">Foreigners crossing the external land border of the EU </w:t>
      </w:r>
      <w:r w:rsidR="00FF226E" w:rsidRPr="002957A0">
        <w:rPr>
          <w:szCs w:val="19"/>
          <w:lang w:val="en-AU"/>
        </w:rPr>
        <w:t xml:space="preserve">in </w:t>
      </w:r>
      <w:r w:rsidRPr="002957A0">
        <w:rPr>
          <w:szCs w:val="19"/>
          <w:lang w:val="en-AU"/>
        </w:rPr>
        <w:t xml:space="preserve">Poland incurred </w:t>
      </w:r>
      <w:r w:rsidR="000937EC" w:rsidRPr="002957A0">
        <w:rPr>
          <w:szCs w:val="19"/>
          <w:lang w:val="en-AU"/>
        </w:rPr>
        <w:t>8</w:t>
      </w:r>
      <w:r w:rsidR="003F2A5A">
        <w:rPr>
          <w:szCs w:val="19"/>
          <w:lang w:val="en-AU"/>
        </w:rPr>
        <w:t>0</w:t>
      </w:r>
      <w:r w:rsidR="003F3F64" w:rsidRPr="002957A0">
        <w:rPr>
          <w:szCs w:val="19"/>
          <w:lang w:val="en-AU"/>
        </w:rPr>
        <w:t>.</w:t>
      </w:r>
      <w:r w:rsidR="002957A0" w:rsidRPr="002957A0">
        <w:rPr>
          <w:szCs w:val="19"/>
          <w:lang w:val="en-AU"/>
        </w:rPr>
        <w:t>3</w:t>
      </w:r>
      <w:r w:rsidR="008A697D" w:rsidRPr="002957A0">
        <w:rPr>
          <w:szCs w:val="19"/>
          <w:lang w:val="en-AU"/>
        </w:rPr>
        <w:t>%</w:t>
      </w:r>
      <w:r w:rsidRPr="002957A0">
        <w:rPr>
          <w:spacing w:val="-4"/>
          <w:lang w:val="en-AU"/>
        </w:rPr>
        <w:t xml:space="preserve"> </w:t>
      </w:r>
      <w:r w:rsidRPr="002957A0">
        <w:rPr>
          <w:szCs w:val="19"/>
          <w:lang w:val="en-AU"/>
        </w:rPr>
        <w:t>of their expenses for the purchase of non-food products</w:t>
      </w:r>
      <w:r w:rsidR="008A697D" w:rsidRPr="002957A0">
        <w:rPr>
          <w:szCs w:val="19"/>
          <w:lang w:val="en-AU"/>
        </w:rPr>
        <w:t>,</w:t>
      </w:r>
      <w:r w:rsidRPr="002957A0">
        <w:rPr>
          <w:spacing w:val="-4"/>
          <w:lang w:val="en-AU"/>
        </w:rPr>
        <w:t xml:space="preserve"> </w:t>
      </w:r>
      <w:r w:rsidRPr="002957A0">
        <w:rPr>
          <w:szCs w:val="19"/>
          <w:lang w:val="en-AU"/>
        </w:rPr>
        <w:t xml:space="preserve">on food and non-alcoholic drinks </w:t>
      </w:r>
      <w:r w:rsidR="00FF226E" w:rsidRPr="002957A0">
        <w:rPr>
          <w:szCs w:val="19"/>
          <w:lang w:val="en-AU"/>
        </w:rPr>
        <w:t>– 1</w:t>
      </w:r>
      <w:r w:rsidR="002957A0" w:rsidRPr="002957A0">
        <w:rPr>
          <w:szCs w:val="19"/>
          <w:lang w:val="en-AU"/>
        </w:rPr>
        <w:t>3</w:t>
      </w:r>
      <w:r w:rsidR="00FF226E" w:rsidRPr="002957A0">
        <w:rPr>
          <w:szCs w:val="19"/>
          <w:lang w:val="en-AU"/>
        </w:rPr>
        <w:t>.</w:t>
      </w:r>
      <w:r w:rsidR="003F2A5A">
        <w:rPr>
          <w:szCs w:val="19"/>
          <w:lang w:val="en-AU"/>
        </w:rPr>
        <w:t>2</w:t>
      </w:r>
      <w:r w:rsidR="00FF226E" w:rsidRPr="002957A0">
        <w:rPr>
          <w:szCs w:val="19"/>
          <w:lang w:val="en-AU"/>
        </w:rPr>
        <w:t xml:space="preserve">% </w:t>
      </w:r>
      <w:r w:rsidRPr="002957A0">
        <w:rPr>
          <w:szCs w:val="19"/>
          <w:lang w:val="en-AU"/>
        </w:rPr>
        <w:t xml:space="preserve">and </w:t>
      </w:r>
      <w:r w:rsidR="003F2A5A">
        <w:rPr>
          <w:szCs w:val="19"/>
          <w:lang w:val="en-AU"/>
        </w:rPr>
        <w:t>6</w:t>
      </w:r>
      <w:r w:rsidR="003F3F64" w:rsidRPr="002957A0">
        <w:rPr>
          <w:szCs w:val="19"/>
          <w:lang w:val="en-AU"/>
        </w:rPr>
        <w:t>.</w:t>
      </w:r>
      <w:r w:rsidR="003F2A5A">
        <w:rPr>
          <w:szCs w:val="19"/>
          <w:lang w:val="en-AU"/>
        </w:rPr>
        <w:t>4</w:t>
      </w:r>
      <w:r w:rsidR="00BF7B08" w:rsidRPr="002957A0">
        <w:rPr>
          <w:szCs w:val="19"/>
          <w:lang w:val="en-AU"/>
        </w:rPr>
        <w:t>%</w:t>
      </w:r>
      <w:r w:rsidRPr="002957A0">
        <w:rPr>
          <w:spacing w:val="-4"/>
          <w:lang w:val="en-AU"/>
        </w:rPr>
        <w:t xml:space="preserve"> </w:t>
      </w:r>
      <w:r w:rsidRPr="002957A0">
        <w:rPr>
          <w:szCs w:val="19"/>
          <w:lang w:val="en-AU"/>
        </w:rPr>
        <w:t>on other expenses (services)</w:t>
      </w:r>
      <w:r w:rsidR="00BF7B08" w:rsidRPr="002957A0">
        <w:rPr>
          <w:szCs w:val="19"/>
          <w:lang w:val="en-AU"/>
        </w:rPr>
        <w:t>.</w:t>
      </w:r>
    </w:p>
    <w:p w14:paraId="4F6A51A7" w14:textId="159186CA" w:rsidR="00566710" w:rsidRPr="00F771C6" w:rsidRDefault="00F10BC1" w:rsidP="008708A7">
      <w:pPr>
        <w:spacing w:before="0" w:after="100" w:line="264" w:lineRule="auto"/>
        <w:rPr>
          <w:szCs w:val="19"/>
          <w:lang w:val="en-AU"/>
        </w:rPr>
      </w:pPr>
      <w:r w:rsidRPr="00F771C6">
        <w:rPr>
          <w:szCs w:val="19"/>
          <w:lang w:val="en-AU"/>
        </w:rPr>
        <w:t xml:space="preserve">Polish residents who crossed the external land border of the EU in Poland spent majority of their expenses </w:t>
      </w:r>
      <w:r w:rsidR="00EE54BC" w:rsidRPr="00F771C6">
        <w:rPr>
          <w:szCs w:val="19"/>
          <w:lang w:val="en-AU"/>
        </w:rPr>
        <w:t>–</w:t>
      </w:r>
      <w:r w:rsidR="00566710" w:rsidRPr="00F771C6">
        <w:rPr>
          <w:szCs w:val="19"/>
          <w:lang w:val="en-AU"/>
        </w:rPr>
        <w:t xml:space="preserve"> </w:t>
      </w:r>
      <w:r w:rsidR="00F771C6" w:rsidRPr="00F771C6">
        <w:rPr>
          <w:szCs w:val="19"/>
          <w:lang w:val="en-AU"/>
        </w:rPr>
        <w:t>60</w:t>
      </w:r>
      <w:r w:rsidR="003F3F64" w:rsidRPr="00F771C6">
        <w:rPr>
          <w:szCs w:val="19"/>
          <w:lang w:val="en-AU"/>
        </w:rPr>
        <w:t>.</w:t>
      </w:r>
      <w:r w:rsidR="003F2A5A">
        <w:rPr>
          <w:szCs w:val="19"/>
          <w:lang w:val="en-AU"/>
        </w:rPr>
        <w:t>7</w:t>
      </w:r>
      <w:r w:rsidR="00566710" w:rsidRPr="00F771C6">
        <w:rPr>
          <w:szCs w:val="19"/>
          <w:lang w:val="en-AU"/>
        </w:rPr>
        <w:t>%</w:t>
      </w:r>
      <w:r w:rsidRPr="003D1407">
        <w:rPr>
          <w:szCs w:val="19"/>
          <w:lang w:val="en-AU"/>
        </w:rPr>
        <w:t xml:space="preserve"> </w:t>
      </w:r>
      <w:r w:rsidRPr="00F771C6">
        <w:rPr>
          <w:szCs w:val="19"/>
          <w:lang w:val="en-AU"/>
        </w:rPr>
        <w:t>on the purchase of non-food products, other expenses (services) amounted to</w:t>
      </w:r>
      <w:r w:rsidR="00566710" w:rsidRPr="00F771C6">
        <w:rPr>
          <w:szCs w:val="19"/>
          <w:lang w:val="en-AU"/>
        </w:rPr>
        <w:t xml:space="preserve"> </w:t>
      </w:r>
      <w:r w:rsidR="003F2A5A">
        <w:rPr>
          <w:szCs w:val="19"/>
          <w:lang w:val="en-AU"/>
        </w:rPr>
        <w:t>15</w:t>
      </w:r>
      <w:r w:rsidR="003F3F64" w:rsidRPr="00F771C6">
        <w:rPr>
          <w:szCs w:val="19"/>
          <w:lang w:val="en-AU"/>
        </w:rPr>
        <w:t>.</w:t>
      </w:r>
      <w:r w:rsidR="003F2A5A">
        <w:rPr>
          <w:szCs w:val="19"/>
          <w:lang w:val="en-AU"/>
        </w:rPr>
        <w:t>7</w:t>
      </w:r>
      <w:r w:rsidR="00566710" w:rsidRPr="00F771C6">
        <w:rPr>
          <w:szCs w:val="19"/>
          <w:lang w:val="en-AU"/>
        </w:rPr>
        <w:t>%,</w:t>
      </w:r>
      <w:r w:rsidRPr="00F771C6">
        <w:rPr>
          <w:szCs w:val="19"/>
          <w:lang w:val="en-AU"/>
        </w:rPr>
        <w:t xml:space="preserve"> and food and non-alcoholic drinks to </w:t>
      </w:r>
      <w:r w:rsidR="001F2AA3" w:rsidRPr="00F771C6">
        <w:rPr>
          <w:szCs w:val="19"/>
          <w:lang w:val="en-AU"/>
        </w:rPr>
        <w:t>9</w:t>
      </w:r>
      <w:r w:rsidR="003F3F64" w:rsidRPr="00F771C6">
        <w:rPr>
          <w:szCs w:val="19"/>
          <w:lang w:val="en-AU"/>
        </w:rPr>
        <w:t>.</w:t>
      </w:r>
      <w:r w:rsidR="003F2A5A">
        <w:rPr>
          <w:szCs w:val="19"/>
          <w:lang w:val="en-AU"/>
        </w:rPr>
        <w:t>2</w:t>
      </w:r>
      <w:r w:rsidR="00566710" w:rsidRPr="00F771C6">
        <w:rPr>
          <w:szCs w:val="19"/>
          <w:lang w:val="en-AU"/>
        </w:rPr>
        <w:t>%.</w:t>
      </w:r>
    </w:p>
    <w:p w14:paraId="3CCB4BC9" w14:textId="4D187C63" w:rsidR="00566710" w:rsidRPr="003B5165" w:rsidRDefault="00BD65B7" w:rsidP="008708A7">
      <w:pPr>
        <w:spacing w:before="0" w:after="0" w:line="264" w:lineRule="auto"/>
        <w:rPr>
          <w:spacing w:val="-4"/>
          <w:lang w:val="en-AU"/>
        </w:rPr>
      </w:pPr>
      <w:r w:rsidRPr="003B5165">
        <w:rPr>
          <w:szCs w:val="19"/>
          <w:lang w:val="en-AU"/>
        </w:rPr>
        <w:lastRenderedPageBreak/>
        <w:t>Foreigners crossing the internal EU border</w:t>
      </w:r>
      <w:r w:rsidR="00CF3D06" w:rsidRPr="003B5165">
        <w:rPr>
          <w:szCs w:val="19"/>
          <w:lang w:val="en-AU"/>
        </w:rPr>
        <w:t xml:space="preserve"> in </w:t>
      </w:r>
      <w:r w:rsidR="003F2A5A">
        <w:rPr>
          <w:szCs w:val="19"/>
          <w:lang w:val="en-AU"/>
        </w:rPr>
        <w:t>2nd</w:t>
      </w:r>
      <w:r w:rsidR="00CF3D06" w:rsidRPr="003B5165">
        <w:rPr>
          <w:szCs w:val="19"/>
          <w:lang w:val="en-AU"/>
        </w:rPr>
        <w:t xml:space="preserve"> quarter of 202</w:t>
      </w:r>
      <w:r w:rsidR="003B5165" w:rsidRPr="003B5165">
        <w:rPr>
          <w:szCs w:val="19"/>
          <w:lang w:val="en-AU"/>
        </w:rPr>
        <w:t>2</w:t>
      </w:r>
      <w:r w:rsidRPr="003B5165">
        <w:rPr>
          <w:szCs w:val="19"/>
          <w:lang w:val="en-AU"/>
        </w:rPr>
        <w:t xml:space="preserve"> spent the largest percentage of their expenses in Poland on non-food products </w:t>
      </w:r>
      <w:r w:rsidR="00566710" w:rsidRPr="003B5165">
        <w:rPr>
          <w:szCs w:val="19"/>
          <w:lang w:val="en-AU"/>
        </w:rPr>
        <w:t xml:space="preserve">– </w:t>
      </w:r>
      <w:r w:rsidR="00DA7C3A" w:rsidRPr="003B5165">
        <w:rPr>
          <w:szCs w:val="19"/>
          <w:lang w:val="en-AU"/>
        </w:rPr>
        <w:t>5</w:t>
      </w:r>
      <w:r w:rsidR="003F2A5A">
        <w:rPr>
          <w:szCs w:val="19"/>
          <w:lang w:val="en-AU"/>
        </w:rPr>
        <w:t>4</w:t>
      </w:r>
      <w:r w:rsidR="006B7AD7" w:rsidRPr="003B5165">
        <w:rPr>
          <w:szCs w:val="19"/>
          <w:lang w:val="en-AU"/>
        </w:rPr>
        <w:t>.</w:t>
      </w:r>
      <w:r w:rsidR="003B5165" w:rsidRPr="003B5165">
        <w:rPr>
          <w:szCs w:val="19"/>
          <w:lang w:val="en-AU"/>
        </w:rPr>
        <w:t>9</w:t>
      </w:r>
      <w:r w:rsidR="00566710" w:rsidRPr="003B5165">
        <w:rPr>
          <w:szCs w:val="19"/>
          <w:lang w:val="en-AU"/>
        </w:rPr>
        <w:t>%.</w:t>
      </w:r>
      <w:r w:rsidRPr="003B5165">
        <w:rPr>
          <w:spacing w:val="-4"/>
          <w:lang w:val="en-AU"/>
        </w:rPr>
        <w:t xml:space="preserve"> </w:t>
      </w:r>
      <w:r w:rsidR="00521233" w:rsidRPr="003B5165">
        <w:rPr>
          <w:szCs w:val="19"/>
          <w:lang w:val="en-AU"/>
        </w:rPr>
        <w:t xml:space="preserve">Other expenses (services) had a significant share in the structure of non-residents expenses – </w:t>
      </w:r>
      <w:r w:rsidR="00DA7C3A" w:rsidRPr="003B5165">
        <w:rPr>
          <w:szCs w:val="19"/>
          <w:lang w:val="en-AU"/>
        </w:rPr>
        <w:t>16</w:t>
      </w:r>
      <w:r w:rsidR="00521233" w:rsidRPr="003B5165">
        <w:rPr>
          <w:szCs w:val="19"/>
          <w:lang w:val="en-AU"/>
        </w:rPr>
        <w:t>.</w:t>
      </w:r>
      <w:r w:rsidR="003F2A5A">
        <w:rPr>
          <w:szCs w:val="19"/>
          <w:lang w:val="en-AU"/>
        </w:rPr>
        <w:t>3</w:t>
      </w:r>
      <w:r w:rsidR="00521233" w:rsidRPr="003B5165">
        <w:rPr>
          <w:szCs w:val="19"/>
          <w:lang w:val="en-AU"/>
        </w:rPr>
        <w:t>% and f</w:t>
      </w:r>
      <w:r w:rsidRPr="003B5165">
        <w:rPr>
          <w:szCs w:val="19"/>
          <w:lang w:val="en-AU"/>
        </w:rPr>
        <w:t>ood and non-alcoholic drinks</w:t>
      </w:r>
      <w:r w:rsidR="00521233" w:rsidRPr="003B5165">
        <w:rPr>
          <w:szCs w:val="19"/>
          <w:lang w:val="en-AU"/>
        </w:rPr>
        <w:t xml:space="preserve"> – 13.</w:t>
      </w:r>
      <w:r w:rsidR="003F2A5A">
        <w:rPr>
          <w:szCs w:val="19"/>
          <w:lang w:val="en-AU"/>
        </w:rPr>
        <w:t>4</w:t>
      </w:r>
      <w:r w:rsidR="00521233" w:rsidRPr="003B5165">
        <w:rPr>
          <w:szCs w:val="19"/>
          <w:lang w:val="en-AU"/>
        </w:rPr>
        <w:t>%.</w:t>
      </w:r>
      <w:r w:rsidR="00521233" w:rsidRPr="003B5165">
        <w:rPr>
          <w:lang w:val="en-AU"/>
        </w:rPr>
        <w:t xml:space="preserve"> </w:t>
      </w:r>
      <w:r w:rsidRPr="003B5165">
        <w:rPr>
          <w:szCs w:val="19"/>
          <w:lang w:val="en-AU"/>
        </w:rPr>
        <w:t>On the other hand, in the structure of expenditure incurred abroad by Polish citizens, other expenditure (services)</w:t>
      </w:r>
      <w:r w:rsidR="00BA3D54" w:rsidRPr="003B5165">
        <w:rPr>
          <w:szCs w:val="19"/>
          <w:lang w:val="en-AU"/>
        </w:rPr>
        <w:t xml:space="preserve"> </w:t>
      </w:r>
      <w:r w:rsidR="000F1089" w:rsidRPr="003B5165">
        <w:rPr>
          <w:szCs w:val="19"/>
          <w:lang w:val="en-AU"/>
        </w:rPr>
        <w:t>–</w:t>
      </w:r>
      <w:r w:rsidRPr="003B5165">
        <w:rPr>
          <w:szCs w:val="19"/>
          <w:lang w:val="en-AU"/>
        </w:rPr>
        <w:t xml:space="preserve"> </w:t>
      </w:r>
      <w:r w:rsidR="00A03F9E" w:rsidRPr="003B5165">
        <w:rPr>
          <w:szCs w:val="19"/>
          <w:lang w:val="en-AU"/>
        </w:rPr>
        <w:t>4</w:t>
      </w:r>
      <w:r w:rsidR="003F2A5A">
        <w:rPr>
          <w:szCs w:val="19"/>
          <w:lang w:val="en-AU"/>
        </w:rPr>
        <w:t>2</w:t>
      </w:r>
      <w:r w:rsidRPr="003B5165">
        <w:rPr>
          <w:szCs w:val="19"/>
          <w:lang w:val="en-AU"/>
        </w:rPr>
        <w:t>.</w:t>
      </w:r>
      <w:r w:rsidR="003F2A5A">
        <w:rPr>
          <w:szCs w:val="19"/>
          <w:lang w:val="en-AU"/>
        </w:rPr>
        <w:t>4</w:t>
      </w:r>
      <w:r w:rsidRPr="003B5165">
        <w:rPr>
          <w:szCs w:val="19"/>
          <w:lang w:val="en-AU"/>
        </w:rPr>
        <w:t xml:space="preserve">% and non-food products </w:t>
      </w:r>
      <w:r w:rsidR="000F1089" w:rsidRPr="003B5165">
        <w:rPr>
          <w:szCs w:val="19"/>
          <w:lang w:val="en-AU"/>
        </w:rPr>
        <w:t>–</w:t>
      </w:r>
      <w:r w:rsidRPr="003B5165">
        <w:rPr>
          <w:szCs w:val="19"/>
          <w:lang w:val="en-AU"/>
        </w:rPr>
        <w:t xml:space="preserve"> </w:t>
      </w:r>
      <w:r w:rsidR="00521233" w:rsidRPr="003B5165">
        <w:rPr>
          <w:szCs w:val="19"/>
          <w:lang w:val="en-AU"/>
        </w:rPr>
        <w:t>3</w:t>
      </w:r>
      <w:r w:rsidR="00A03F9E" w:rsidRPr="003B5165">
        <w:rPr>
          <w:szCs w:val="19"/>
          <w:lang w:val="en-AU"/>
        </w:rPr>
        <w:t>9</w:t>
      </w:r>
      <w:r w:rsidRPr="003B5165">
        <w:rPr>
          <w:szCs w:val="19"/>
          <w:lang w:val="en-AU"/>
        </w:rPr>
        <w:t>.</w:t>
      </w:r>
      <w:r w:rsidR="003F2A5A">
        <w:rPr>
          <w:szCs w:val="19"/>
          <w:lang w:val="en-AU"/>
        </w:rPr>
        <w:t>9</w:t>
      </w:r>
      <w:r w:rsidRPr="003B5165">
        <w:rPr>
          <w:szCs w:val="19"/>
          <w:lang w:val="en-AU"/>
        </w:rPr>
        <w:t>%</w:t>
      </w:r>
      <w:r w:rsidR="00BA3D54" w:rsidRPr="003B5165">
        <w:rPr>
          <w:szCs w:val="19"/>
          <w:lang w:val="en-AU"/>
        </w:rPr>
        <w:t xml:space="preserve"> predominated</w:t>
      </w:r>
      <w:r w:rsidRPr="003B5165">
        <w:rPr>
          <w:szCs w:val="19"/>
          <w:lang w:val="en-AU"/>
        </w:rPr>
        <w:t xml:space="preserve">, while </w:t>
      </w:r>
      <w:r w:rsidR="00BA3D54" w:rsidRPr="003B5165">
        <w:rPr>
          <w:szCs w:val="19"/>
          <w:lang w:val="en-AU"/>
        </w:rPr>
        <w:t>1</w:t>
      </w:r>
      <w:r w:rsidR="004D202A" w:rsidRPr="003B5165">
        <w:rPr>
          <w:szCs w:val="19"/>
          <w:lang w:val="en-AU"/>
        </w:rPr>
        <w:t>3</w:t>
      </w:r>
      <w:r w:rsidR="00BA3D54" w:rsidRPr="003B5165">
        <w:rPr>
          <w:szCs w:val="19"/>
          <w:lang w:val="en-AU"/>
        </w:rPr>
        <w:t>.</w:t>
      </w:r>
      <w:r w:rsidR="003F2A5A">
        <w:rPr>
          <w:szCs w:val="19"/>
          <w:lang w:val="en-AU"/>
        </w:rPr>
        <w:t>7</w:t>
      </w:r>
      <w:r w:rsidR="00BA3D54" w:rsidRPr="003B5165">
        <w:rPr>
          <w:szCs w:val="19"/>
          <w:lang w:val="en-AU"/>
        </w:rPr>
        <w:t xml:space="preserve">% of </w:t>
      </w:r>
      <w:r w:rsidRPr="003B5165">
        <w:rPr>
          <w:szCs w:val="19"/>
          <w:lang w:val="en-AU"/>
        </w:rPr>
        <w:t>Poles</w:t>
      </w:r>
      <w:r w:rsidR="00BA3D54" w:rsidRPr="003B5165">
        <w:rPr>
          <w:szCs w:val="19"/>
          <w:lang w:val="en-AU"/>
        </w:rPr>
        <w:t>’</w:t>
      </w:r>
      <w:r w:rsidRPr="003B5165">
        <w:rPr>
          <w:szCs w:val="19"/>
          <w:lang w:val="en-AU"/>
        </w:rPr>
        <w:t xml:space="preserve"> expenses </w:t>
      </w:r>
      <w:r w:rsidR="00BA3D54" w:rsidRPr="003B5165">
        <w:rPr>
          <w:szCs w:val="19"/>
          <w:lang w:val="en-AU"/>
        </w:rPr>
        <w:t xml:space="preserve">were spent </w:t>
      </w:r>
      <w:r w:rsidRPr="003B5165">
        <w:rPr>
          <w:szCs w:val="19"/>
          <w:lang w:val="en-AU"/>
        </w:rPr>
        <w:t>on food and non-alcoholic beverages.</w:t>
      </w:r>
    </w:p>
    <w:p w14:paraId="1572090C" w14:textId="7D83E6F1" w:rsidR="00BD65B7" w:rsidRDefault="00BD65B7" w:rsidP="00524A95">
      <w:pPr>
        <w:spacing w:before="360" w:line="240" w:lineRule="auto"/>
        <w:ind w:left="709" w:hanging="709"/>
        <w:rPr>
          <w:b/>
          <w:szCs w:val="19"/>
          <w:lang w:val="en-AU"/>
        </w:rPr>
      </w:pPr>
      <w:r w:rsidRPr="0099540B">
        <w:rPr>
          <w:b/>
          <w:szCs w:val="19"/>
          <w:lang w:val="en-AU"/>
        </w:rPr>
        <w:t xml:space="preserve">Table 1. Border traffic and expenses of foreigners in Poland and Poles abroad in the </w:t>
      </w:r>
      <w:r w:rsidR="00596CBE">
        <w:rPr>
          <w:b/>
          <w:szCs w:val="19"/>
          <w:lang w:val="en-AU"/>
        </w:rPr>
        <w:t>2nd</w:t>
      </w:r>
      <w:r w:rsidR="0099540B">
        <w:rPr>
          <w:b/>
          <w:szCs w:val="19"/>
          <w:lang w:val="en-AU"/>
        </w:rPr>
        <w:t> </w:t>
      </w:r>
      <w:r w:rsidRPr="0099540B">
        <w:rPr>
          <w:b/>
          <w:szCs w:val="19"/>
          <w:lang w:val="en-AU"/>
        </w:rPr>
        <w:t>quarter of 202</w:t>
      </w:r>
      <w:r w:rsidR="003C7A4E">
        <w:rPr>
          <w:b/>
          <w:szCs w:val="19"/>
          <w:lang w:val="en-AU"/>
        </w:rPr>
        <w:t>2</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Description w:val="Tablica 1. Ruch graniczny oraz wydatki cudzoziemców w Polsce i Polaków za granicą w 2 kwartale 2022 roku"/>
      </w:tblPr>
      <w:tblGrid>
        <w:gridCol w:w="1598"/>
        <w:gridCol w:w="808"/>
        <w:gridCol w:w="810"/>
        <w:gridCol w:w="808"/>
        <w:gridCol w:w="810"/>
        <w:gridCol w:w="808"/>
        <w:gridCol w:w="810"/>
        <w:gridCol w:w="808"/>
        <w:gridCol w:w="807"/>
      </w:tblGrid>
      <w:tr w:rsidR="001869F8" w:rsidRPr="009E35D2" w14:paraId="0CC32D4E" w14:textId="77777777" w:rsidTr="007403CC">
        <w:trPr>
          <w:trHeight w:hRule="exact" w:val="312"/>
        </w:trPr>
        <w:tc>
          <w:tcPr>
            <w:tcW w:w="990" w:type="pct"/>
            <w:vMerge w:val="restart"/>
            <w:vAlign w:val="center"/>
          </w:tcPr>
          <w:p w14:paraId="6B537F19" w14:textId="6554C50D" w:rsidR="001869F8" w:rsidRPr="00922225" w:rsidRDefault="001869F8" w:rsidP="007403CC">
            <w:pPr>
              <w:spacing w:before="60" w:after="60"/>
              <w:jc w:val="center"/>
              <w:rPr>
                <w:color w:val="000000" w:themeColor="text1"/>
                <w:szCs w:val="19"/>
                <w:lang w:val="en-AU"/>
              </w:rPr>
            </w:pPr>
            <w:r w:rsidRPr="00922225">
              <w:rPr>
                <w:color w:val="000000" w:themeColor="text1"/>
                <w:szCs w:val="19"/>
                <w:lang w:val="en-AU"/>
              </w:rPr>
              <w:t>Border</w:t>
            </w:r>
          </w:p>
        </w:tc>
        <w:tc>
          <w:tcPr>
            <w:tcW w:w="2006" w:type="pct"/>
            <w:gridSpan w:val="4"/>
            <w:vAlign w:val="center"/>
          </w:tcPr>
          <w:p w14:paraId="7D3FE0B5" w14:textId="3D0B87BD" w:rsidR="001869F8" w:rsidRPr="00922225" w:rsidRDefault="001869F8" w:rsidP="007403CC">
            <w:pPr>
              <w:spacing w:before="20" w:after="20"/>
              <w:jc w:val="center"/>
              <w:rPr>
                <w:color w:val="000000" w:themeColor="text1"/>
                <w:szCs w:val="19"/>
                <w:lang w:val="en-AU"/>
              </w:rPr>
            </w:pPr>
            <w:r w:rsidRPr="00922225">
              <w:rPr>
                <w:color w:val="000000" w:themeColor="text1"/>
                <w:szCs w:val="19"/>
                <w:lang w:val="en-AU"/>
              </w:rPr>
              <w:t>Border traffic</w:t>
            </w:r>
            <w:r w:rsidRPr="00922225">
              <w:rPr>
                <w:color w:val="000000" w:themeColor="text1"/>
                <w:szCs w:val="19"/>
                <w:vertAlign w:val="superscript"/>
                <w:lang w:val="en-AU"/>
              </w:rPr>
              <w:t> a</w:t>
            </w:r>
          </w:p>
        </w:tc>
        <w:tc>
          <w:tcPr>
            <w:tcW w:w="2004" w:type="pct"/>
            <w:gridSpan w:val="4"/>
            <w:vAlign w:val="center"/>
          </w:tcPr>
          <w:p w14:paraId="169C7F0F" w14:textId="20B3B21E" w:rsidR="001869F8" w:rsidRPr="00922225" w:rsidRDefault="001869F8" w:rsidP="007403CC">
            <w:pPr>
              <w:spacing w:before="20" w:after="20"/>
              <w:jc w:val="center"/>
              <w:rPr>
                <w:i/>
                <w:szCs w:val="19"/>
                <w:lang w:val="en-AU"/>
              </w:rPr>
            </w:pPr>
            <w:r w:rsidRPr="00922225">
              <w:rPr>
                <w:szCs w:val="19"/>
                <w:lang w:val="en-AU"/>
              </w:rPr>
              <w:t>Expenses</w:t>
            </w:r>
          </w:p>
        </w:tc>
      </w:tr>
      <w:tr w:rsidR="001869F8" w:rsidRPr="009E35D2" w14:paraId="2E1BEC95" w14:textId="77777777" w:rsidTr="007403CC">
        <w:trPr>
          <w:trHeight w:hRule="exact" w:val="312"/>
        </w:trPr>
        <w:tc>
          <w:tcPr>
            <w:tcW w:w="990" w:type="pct"/>
            <w:vMerge/>
          </w:tcPr>
          <w:p w14:paraId="36ADCE6C" w14:textId="77777777" w:rsidR="001869F8" w:rsidRPr="00922225" w:rsidRDefault="001869F8" w:rsidP="007403CC">
            <w:pPr>
              <w:spacing w:before="60" w:after="60"/>
              <w:jc w:val="both"/>
              <w:rPr>
                <w:color w:val="000000" w:themeColor="text1"/>
                <w:szCs w:val="19"/>
                <w:lang w:val="en-AU"/>
              </w:rPr>
            </w:pPr>
          </w:p>
        </w:tc>
        <w:tc>
          <w:tcPr>
            <w:tcW w:w="1003" w:type="pct"/>
            <w:gridSpan w:val="2"/>
            <w:vAlign w:val="center"/>
          </w:tcPr>
          <w:p w14:paraId="44D4CAD8" w14:textId="50FB1360" w:rsidR="001869F8" w:rsidRPr="00922225" w:rsidRDefault="00CF1C20" w:rsidP="007403CC">
            <w:pPr>
              <w:spacing w:before="20" w:after="20"/>
              <w:ind w:left="-113" w:right="-113"/>
              <w:jc w:val="center"/>
              <w:rPr>
                <w:color w:val="000000" w:themeColor="text1"/>
                <w:szCs w:val="19"/>
                <w:lang w:val="en-AU"/>
              </w:rPr>
            </w:pPr>
            <w:r w:rsidRPr="00922225">
              <w:rPr>
                <w:color w:val="000000" w:themeColor="text1"/>
                <w:szCs w:val="19"/>
                <w:lang w:val="en-AU"/>
              </w:rPr>
              <w:t>foreigners</w:t>
            </w:r>
          </w:p>
        </w:tc>
        <w:tc>
          <w:tcPr>
            <w:tcW w:w="1003" w:type="pct"/>
            <w:gridSpan w:val="2"/>
            <w:vAlign w:val="center"/>
          </w:tcPr>
          <w:p w14:paraId="3276907E" w14:textId="2C306F1F" w:rsidR="001869F8" w:rsidRPr="00922225" w:rsidRDefault="00CF1C20" w:rsidP="007403CC">
            <w:pPr>
              <w:spacing w:before="20" w:after="20"/>
              <w:ind w:left="-113" w:right="-113"/>
              <w:jc w:val="center"/>
              <w:rPr>
                <w:color w:val="000000" w:themeColor="text1"/>
                <w:szCs w:val="19"/>
                <w:lang w:val="en-AU"/>
              </w:rPr>
            </w:pPr>
            <w:r w:rsidRPr="00922225">
              <w:rPr>
                <w:color w:val="000000" w:themeColor="text1"/>
                <w:szCs w:val="19"/>
                <w:lang w:val="en-AU"/>
              </w:rPr>
              <w:t>Poles</w:t>
            </w:r>
          </w:p>
        </w:tc>
        <w:tc>
          <w:tcPr>
            <w:tcW w:w="1003" w:type="pct"/>
            <w:gridSpan w:val="2"/>
            <w:vAlign w:val="center"/>
          </w:tcPr>
          <w:p w14:paraId="09920B51" w14:textId="100C48AC" w:rsidR="001869F8" w:rsidRPr="00922225" w:rsidRDefault="00CF1C20" w:rsidP="007403CC">
            <w:pPr>
              <w:spacing w:before="20" w:after="20"/>
              <w:ind w:left="-113" w:right="-113"/>
              <w:jc w:val="center"/>
              <w:rPr>
                <w:szCs w:val="19"/>
                <w:lang w:val="en-AU"/>
              </w:rPr>
            </w:pPr>
            <w:r w:rsidRPr="00922225">
              <w:rPr>
                <w:color w:val="000000" w:themeColor="text1"/>
                <w:szCs w:val="19"/>
                <w:lang w:val="en-AU"/>
              </w:rPr>
              <w:t>foreigners</w:t>
            </w:r>
          </w:p>
        </w:tc>
        <w:tc>
          <w:tcPr>
            <w:tcW w:w="1001" w:type="pct"/>
            <w:gridSpan w:val="2"/>
            <w:vAlign w:val="center"/>
          </w:tcPr>
          <w:p w14:paraId="42C8D839" w14:textId="3D26CAD8" w:rsidR="001869F8" w:rsidRPr="00922225" w:rsidRDefault="00CF1C20" w:rsidP="007403CC">
            <w:pPr>
              <w:spacing w:before="20" w:after="20"/>
              <w:ind w:left="-113" w:right="-113"/>
              <w:jc w:val="center"/>
              <w:rPr>
                <w:szCs w:val="19"/>
                <w:lang w:val="en-AU"/>
              </w:rPr>
            </w:pPr>
            <w:r w:rsidRPr="00922225">
              <w:rPr>
                <w:szCs w:val="19"/>
                <w:lang w:val="en-AU"/>
              </w:rPr>
              <w:t>Poles</w:t>
            </w:r>
          </w:p>
        </w:tc>
      </w:tr>
      <w:tr w:rsidR="001869F8" w:rsidRPr="009E35D2" w14:paraId="687BE920" w14:textId="77777777" w:rsidTr="007403CC">
        <w:trPr>
          <w:trHeight w:val="794"/>
        </w:trPr>
        <w:tc>
          <w:tcPr>
            <w:tcW w:w="990" w:type="pct"/>
            <w:vMerge/>
          </w:tcPr>
          <w:p w14:paraId="004FDCDC" w14:textId="77777777" w:rsidR="001869F8" w:rsidRPr="00124A79" w:rsidRDefault="001869F8" w:rsidP="007403CC">
            <w:pPr>
              <w:spacing w:before="60" w:after="60"/>
              <w:jc w:val="both"/>
              <w:rPr>
                <w:color w:val="000000" w:themeColor="text1"/>
                <w:szCs w:val="19"/>
              </w:rPr>
            </w:pPr>
          </w:p>
        </w:tc>
        <w:tc>
          <w:tcPr>
            <w:tcW w:w="501" w:type="pct"/>
            <w:vAlign w:val="center"/>
          </w:tcPr>
          <w:p w14:paraId="12D89767" w14:textId="501F685A" w:rsidR="001869F8" w:rsidRPr="00124A79" w:rsidRDefault="00CF1C20" w:rsidP="007403CC">
            <w:pPr>
              <w:spacing w:before="20" w:after="20"/>
              <w:ind w:left="-57" w:right="-57"/>
              <w:jc w:val="center"/>
              <w:rPr>
                <w:color w:val="000000" w:themeColor="text1"/>
                <w:spacing w:val="-8"/>
                <w:szCs w:val="19"/>
              </w:rPr>
            </w:pPr>
            <w:r w:rsidRPr="003C7A4E">
              <w:rPr>
                <w:spacing w:val="-8"/>
                <w:szCs w:val="19"/>
                <w:lang w:val="en-AU"/>
              </w:rPr>
              <w:t>million persons</w:t>
            </w:r>
          </w:p>
        </w:tc>
        <w:tc>
          <w:tcPr>
            <w:tcW w:w="502" w:type="pct"/>
            <w:vAlign w:val="center"/>
          </w:tcPr>
          <w:p w14:paraId="1A34F5BB" w14:textId="1679C303" w:rsidR="001869F8" w:rsidRPr="00124A79" w:rsidRDefault="00CF1C20" w:rsidP="007403CC">
            <w:pPr>
              <w:spacing w:before="20" w:after="20"/>
              <w:ind w:left="-57" w:right="-57"/>
              <w:jc w:val="center"/>
              <w:rPr>
                <w:color w:val="000000" w:themeColor="text1"/>
                <w:spacing w:val="-4"/>
                <w:szCs w:val="19"/>
              </w:rPr>
            </w:pPr>
            <w:r>
              <w:rPr>
                <w:color w:val="000000" w:themeColor="text1"/>
                <w:spacing w:val="-4"/>
                <w:szCs w:val="19"/>
              </w:rPr>
              <w:t>Q2</w:t>
            </w:r>
            <w:r w:rsidR="001869F8" w:rsidRPr="00124A79">
              <w:rPr>
                <w:color w:val="000000" w:themeColor="text1"/>
                <w:spacing w:val="-4"/>
                <w:szCs w:val="19"/>
              </w:rPr>
              <w:t xml:space="preserve"> 2021 =100 </w:t>
            </w:r>
          </w:p>
        </w:tc>
        <w:tc>
          <w:tcPr>
            <w:tcW w:w="501" w:type="pct"/>
            <w:vAlign w:val="center"/>
          </w:tcPr>
          <w:p w14:paraId="7CC3C853" w14:textId="1F6DD974" w:rsidR="001869F8" w:rsidRPr="00124A79" w:rsidRDefault="00CF1C20" w:rsidP="007403CC">
            <w:pPr>
              <w:spacing w:before="20" w:after="20"/>
              <w:ind w:left="-57" w:right="-57"/>
              <w:jc w:val="center"/>
              <w:rPr>
                <w:color w:val="000000" w:themeColor="text1"/>
                <w:spacing w:val="-8"/>
                <w:szCs w:val="19"/>
              </w:rPr>
            </w:pPr>
            <w:r w:rsidRPr="003C7A4E">
              <w:rPr>
                <w:spacing w:val="-8"/>
                <w:szCs w:val="19"/>
                <w:lang w:val="en-AU"/>
              </w:rPr>
              <w:t>million persons</w:t>
            </w:r>
          </w:p>
        </w:tc>
        <w:tc>
          <w:tcPr>
            <w:tcW w:w="502" w:type="pct"/>
            <w:vAlign w:val="center"/>
          </w:tcPr>
          <w:p w14:paraId="7DE90FCA" w14:textId="347A596A" w:rsidR="001869F8" w:rsidRPr="00124A79" w:rsidRDefault="00CF1C20" w:rsidP="007403CC">
            <w:pPr>
              <w:spacing w:before="20" w:after="20"/>
              <w:ind w:left="-57" w:right="-57"/>
              <w:jc w:val="center"/>
              <w:rPr>
                <w:color w:val="000000" w:themeColor="text1"/>
                <w:spacing w:val="-4"/>
                <w:szCs w:val="19"/>
              </w:rPr>
            </w:pPr>
            <w:r>
              <w:rPr>
                <w:color w:val="000000" w:themeColor="text1"/>
                <w:spacing w:val="-4"/>
                <w:szCs w:val="19"/>
              </w:rPr>
              <w:t>Q2</w:t>
            </w:r>
            <w:r w:rsidR="001869F8" w:rsidRPr="00124A79">
              <w:rPr>
                <w:color w:val="000000" w:themeColor="text1"/>
                <w:spacing w:val="-4"/>
                <w:szCs w:val="19"/>
              </w:rPr>
              <w:t xml:space="preserve"> 2021 =100</w:t>
            </w:r>
          </w:p>
        </w:tc>
        <w:tc>
          <w:tcPr>
            <w:tcW w:w="501" w:type="pct"/>
            <w:vAlign w:val="center"/>
          </w:tcPr>
          <w:p w14:paraId="710FC386" w14:textId="17D66EF9" w:rsidR="001869F8" w:rsidRPr="0096740B" w:rsidRDefault="00CF1C20" w:rsidP="007403CC">
            <w:pPr>
              <w:spacing w:before="20" w:after="20"/>
              <w:ind w:left="-57" w:right="-57"/>
              <w:jc w:val="center"/>
              <w:rPr>
                <w:spacing w:val="-8"/>
                <w:szCs w:val="19"/>
              </w:rPr>
            </w:pPr>
            <w:r w:rsidRPr="003C7A4E">
              <w:rPr>
                <w:spacing w:val="-8"/>
                <w:szCs w:val="19"/>
                <w:lang w:val="en-AU"/>
              </w:rPr>
              <w:t>million persons</w:t>
            </w:r>
          </w:p>
        </w:tc>
        <w:tc>
          <w:tcPr>
            <w:tcW w:w="502" w:type="pct"/>
            <w:vAlign w:val="center"/>
          </w:tcPr>
          <w:p w14:paraId="04CCD15C" w14:textId="70108AA3" w:rsidR="001869F8" w:rsidRPr="00AE3CBD" w:rsidRDefault="00CF1C20" w:rsidP="007403CC">
            <w:pPr>
              <w:spacing w:before="20" w:after="20"/>
              <w:ind w:left="-57" w:right="-57"/>
              <w:jc w:val="center"/>
              <w:rPr>
                <w:spacing w:val="-4"/>
                <w:szCs w:val="19"/>
              </w:rPr>
            </w:pPr>
            <w:r>
              <w:rPr>
                <w:spacing w:val="-4"/>
                <w:szCs w:val="19"/>
              </w:rPr>
              <w:t>Q2</w:t>
            </w:r>
            <w:r w:rsidR="001869F8" w:rsidRPr="00AE3CBD">
              <w:rPr>
                <w:spacing w:val="-4"/>
                <w:szCs w:val="19"/>
              </w:rPr>
              <w:t xml:space="preserve"> 2021 =100 </w:t>
            </w:r>
          </w:p>
        </w:tc>
        <w:tc>
          <w:tcPr>
            <w:tcW w:w="501" w:type="pct"/>
            <w:vAlign w:val="center"/>
          </w:tcPr>
          <w:p w14:paraId="40887CA1" w14:textId="3B40F697" w:rsidR="001869F8" w:rsidRPr="00AE3CBD" w:rsidRDefault="00CF1C20" w:rsidP="007403CC">
            <w:pPr>
              <w:spacing w:before="20" w:after="20"/>
              <w:ind w:left="-57" w:right="-57"/>
              <w:jc w:val="center"/>
              <w:rPr>
                <w:spacing w:val="-8"/>
                <w:szCs w:val="19"/>
              </w:rPr>
            </w:pPr>
            <w:r w:rsidRPr="003C7A4E">
              <w:rPr>
                <w:spacing w:val="-8"/>
                <w:szCs w:val="19"/>
                <w:lang w:val="en-AU"/>
              </w:rPr>
              <w:t>million persons</w:t>
            </w:r>
          </w:p>
        </w:tc>
        <w:tc>
          <w:tcPr>
            <w:tcW w:w="500" w:type="pct"/>
            <w:vAlign w:val="center"/>
          </w:tcPr>
          <w:p w14:paraId="4F220DE5" w14:textId="7FB0167C" w:rsidR="001869F8" w:rsidRPr="00AE3CBD" w:rsidRDefault="00CF1C20" w:rsidP="007403CC">
            <w:pPr>
              <w:spacing w:before="20" w:after="20"/>
              <w:ind w:left="-57" w:right="-57"/>
              <w:jc w:val="center"/>
              <w:rPr>
                <w:spacing w:val="-4"/>
                <w:szCs w:val="19"/>
              </w:rPr>
            </w:pPr>
            <w:r>
              <w:rPr>
                <w:spacing w:val="-4"/>
                <w:szCs w:val="19"/>
              </w:rPr>
              <w:t>Q2</w:t>
            </w:r>
            <w:r w:rsidR="001869F8" w:rsidRPr="00AE3CBD">
              <w:rPr>
                <w:spacing w:val="-4"/>
                <w:szCs w:val="19"/>
              </w:rPr>
              <w:t xml:space="preserve"> 2021 =100 </w:t>
            </w:r>
          </w:p>
        </w:tc>
      </w:tr>
      <w:tr w:rsidR="006F4D72" w:rsidRPr="00687DC1" w14:paraId="1D725B7C" w14:textId="77777777" w:rsidTr="00922225">
        <w:trPr>
          <w:trHeight w:hRule="exact" w:val="300"/>
        </w:trPr>
        <w:tc>
          <w:tcPr>
            <w:tcW w:w="990" w:type="pct"/>
            <w:vAlign w:val="center"/>
          </w:tcPr>
          <w:p w14:paraId="74AB4FC8" w14:textId="4CA75C1D" w:rsidR="006F4D72" w:rsidRPr="00124A79" w:rsidRDefault="006F4D72" w:rsidP="006F4D72">
            <w:pPr>
              <w:tabs>
                <w:tab w:val="left" w:leader="dot" w:pos="990"/>
              </w:tabs>
              <w:spacing w:before="20" w:after="20"/>
              <w:ind w:left="-113" w:right="-57"/>
              <w:rPr>
                <w:color w:val="000000" w:themeColor="text1"/>
                <w:szCs w:val="19"/>
              </w:rPr>
            </w:pPr>
            <w:r w:rsidRPr="003C7A4E">
              <w:rPr>
                <w:szCs w:val="19"/>
                <w:lang w:val="en-AU"/>
              </w:rPr>
              <w:t>Total</w:t>
            </w:r>
          </w:p>
        </w:tc>
        <w:tc>
          <w:tcPr>
            <w:tcW w:w="501" w:type="pct"/>
            <w:vAlign w:val="center"/>
          </w:tcPr>
          <w:p w14:paraId="6B209FB8" w14:textId="20C1A572"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42</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72</w:t>
            </w:r>
          </w:p>
        </w:tc>
        <w:tc>
          <w:tcPr>
            <w:tcW w:w="502" w:type="pct"/>
            <w:vAlign w:val="center"/>
          </w:tcPr>
          <w:p w14:paraId="5D9C3D9E" w14:textId="3272C251"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167</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4</w:t>
            </w:r>
          </w:p>
        </w:tc>
        <w:tc>
          <w:tcPr>
            <w:tcW w:w="501" w:type="pct"/>
            <w:vAlign w:val="center"/>
          </w:tcPr>
          <w:p w14:paraId="4DF4C644" w14:textId="3EC995CC"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29</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09</w:t>
            </w:r>
          </w:p>
        </w:tc>
        <w:tc>
          <w:tcPr>
            <w:tcW w:w="502" w:type="pct"/>
            <w:vAlign w:val="center"/>
          </w:tcPr>
          <w:p w14:paraId="4266FFCF" w14:textId="1A3285C2"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156</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7</w:t>
            </w:r>
          </w:p>
        </w:tc>
        <w:tc>
          <w:tcPr>
            <w:tcW w:w="501" w:type="pct"/>
            <w:vAlign w:val="center"/>
          </w:tcPr>
          <w:p w14:paraId="047091A1" w14:textId="7062E6FC"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10</w:t>
            </w:r>
            <w:r w:rsidR="00C76D89">
              <w:rPr>
                <w:rFonts w:eastAsia="Times New Roman" w:cs="Arial"/>
                <w:szCs w:val="19"/>
                <w:lang w:eastAsia="pl-PL"/>
              </w:rPr>
              <w:t> </w:t>
            </w:r>
            <w:r w:rsidRPr="00687DC1">
              <w:rPr>
                <w:rFonts w:eastAsia="Times New Roman" w:cs="Arial"/>
                <w:szCs w:val="19"/>
                <w:lang w:eastAsia="pl-PL"/>
              </w:rPr>
              <w:t>025</w:t>
            </w:r>
            <w:r w:rsidR="00C76D89">
              <w:rPr>
                <w:rFonts w:eastAsia="Times New Roman" w:cs="Arial"/>
                <w:szCs w:val="19"/>
                <w:lang w:eastAsia="pl-PL"/>
              </w:rPr>
              <w:t>.</w:t>
            </w:r>
            <w:r w:rsidRPr="00687DC1">
              <w:rPr>
                <w:rFonts w:eastAsia="Times New Roman" w:cs="Arial"/>
                <w:szCs w:val="19"/>
                <w:lang w:eastAsia="pl-PL"/>
              </w:rPr>
              <w:t>2</w:t>
            </w:r>
          </w:p>
        </w:tc>
        <w:tc>
          <w:tcPr>
            <w:tcW w:w="502" w:type="pct"/>
            <w:vAlign w:val="center"/>
          </w:tcPr>
          <w:p w14:paraId="6D8F7067" w14:textId="4945D318"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189</w:t>
            </w:r>
            <w:r w:rsidR="00C76D89">
              <w:rPr>
                <w:rFonts w:eastAsia="Times New Roman" w:cs="Arial"/>
                <w:szCs w:val="19"/>
                <w:lang w:eastAsia="pl-PL"/>
              </w:rPr>
              <w:t>.</w:t>
            </w:r>
            <w:r w:rsidRPr="00687DC1">
              <w:rPr>
                <w:rFonts w:eastAsia="Times New Roman" w:cs="Arial"/>
                <w:szCs w:val="19"/>
                <w:lang w:eastAsia="pl-PL"/>
              </w:rPr>
              <w:t>2</w:t>
            </w:r>
          </w:p>
        </w:tc>
        <w:tc>
          <w:tcPr>
            <w:tcW w:w="501" w:type="pct"/>
            <w:vAlign w:val="center"/>
          </w:tcPr>
          <w:p w14:paraId="32D811FC" w14:textId="5A32BCBC" w:rsidR="006F4D72" w:rsidRPr="00687DC1" w:rsidRDefault="006F4D72" w:rsidP="006F4D72">
            <w:pPr>
              <w:spacing w:before="20" w:after="20"/>
              <w:ind w:right="-57"/>
              <w:jc w:val="right"/>
              <w:rPr>
                <w:rFonts w:cs="Times New Roman"/>
                <w:spacing w:val="-2"/>
                <w:szCs w:val="19"/>
              </w:rPr>
            </w:pPr>
            <w:r w:rsidRPr="00687DC1">
              <w:rPr>
                <w:rFonts w:eastAsia="Times New Roman" w:cs="Arial"/>
                <w:bCs/>
                <w:szCs w:val="19"/>
                <w:lang w:eastAsia="pl-PL"/>
              </w:rPr>
              <w:t>5</w:t>
            </w:r>
            <w:r w:rsidR="00C76D89">
              <w:rPr>
                <w:rFonts w:eastAsia="Times New Roman" w:cs="Arial"/>
                <w:bCs/>
                <w:szCs w:val="19"/>
                <w:lang w:eastAsia="pl-PL"/>
              </w:rPr>
              <w:t> </w:t>
            </w:r>
            <w:r w:rsidRPr="00687DC1">
              <w:rPr>
                <w:rFonts w:eastAsia="Times New Roman" w:cs="Arial"/>
                <w:bCs/>
                <w:szCs w:val="19"/>
                <w:lang w:eastAsia="pl-PL"/>
              </w:rPr>
              <w:t>510</w:t>
            </w:r>
            <w:r w:rsidR="00C76D89">
              <w:rPr>
                <w:rFonts w:eastAsia="Times New Roman" w:cs="Arial"/>
                <w:bCs/>
                <w:szCs w:val="19"/>
                <w:lang w:eastAsia="pl-PL"/>
              </w:rPr>
              <w:t>.</w:t>
            </w:r>
            <w:r w:rsidRPr="00687DC1">
              <w:rPr>
                <w:rFonts w:eastAsia="Times New Roman" w:cs="Arial"/>
                <w:bCs/>
                <w:szCs w:val="19"/>
                <w:lang w:eastAsia="pl-PL"/>
              </w:rPr>
              <w:t>5</w:t>
            </w:r>
          </w:p>
        </w:tc>
        <w:tc>
          <w:tcPr>
            <w:tcW w:w="500" w:type="pct"/>
            <w:vAlign w:val="center"/>
          </w:tcPr>
          <w:p w14:paraId="2636C00C" w14:textId="534126BE"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182</w:t>
            </w:r>
            <w:r w:rsidR="00C76D89">
              <w:rPr>
                <w:rFonts w:eastAsia="Times New Roman" w:cs="Arial"/>
                <w:bCs/>
                <w:szCs w:val="19"/>
                <w:lang w:eastAsia="pl-PL"/>
              </w:rPr>
              <w:t>.</w:t>
            </w:r>
            <w:r w:rsidRPr="00687DC1">
              <w:rPr>
                <w:rFonts w:eastAsia="Times New Roman" w:cs="Arial"/>
                <w:bCs/>
                <w:szCs w:val="19"/>
                <w:lang w:eastAsia="pl-PL"/>
              </w:rPr>
              <w:t>7</w:t>
            </w:r>
          </w:p>
        </w:tc>
      </w:tr>
      <w:tr w:rsidR="006F4D72" w:rsidRPr="00687DC1" w14:paraId="337150C5" w14:textId="77777777" w:rsidTr="00922225">
        <w:trPr>
          <w:trHeight w:hRule="exact" w:val="300"/>
        </w:trPr>
        <w:tc>
          <w:tcPr>
            <w:tcW w:w="990" w:type="pct"/>
            <w:vAlign w:val="center"/>
          </w:tcPr>
          <w:p w14:paraId="472C76B1" w14:textId="6338B698" w:rsidR="006F4D72" w:rsidRPr="00124A79" w:rsidRDefault="006F4D72" w:rsidP="006F4D72">
            <w:pPr>
              <w:tabs>
                <w:tab w:val="left" w:leader="dot" w:pos="990"/>
              </w:tabs>
              <w:spacing w:before="20" w:after="20"/>
              <w:ind w:right="-57"/>
              <w:rPr>
                <w:color w:val="000000" w:themeColor="text1"/>
                <w:szCs w:val="19"/>
              </w:rPr>
            </w:pPr>
            <w:r w:rsidRPr="003C7A4E">
              <w:rPr>
                <w:szCs w:val="19"/>
                <w:lang w:val="en-AU"/>
              </w:rPr>
              <w:t>land</w:t>
            </w:r>
          </w:p>
        </w:tc>
        <w:tc>
          <w:tcPr>
            <w:tcW w:w="501" w:type="pct"/>
            <w:vAlign w:val="center"/>
          </w:tcPr>
          <w:p w14:paraId="0FD24B8E" w14:textId="2D2CD33D"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38</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71</w:t>
            </w:r>
          </w:p>
        </w:tc>
        <w:tc>
          <w:tcPr>
            <w:tcW w:w="502" w:type="pct"/>
            <w:vAlign w:val="center"/>
          </w:tcPr>
          <w:p w14:paraId="11A9459B" w14:textId="3855C82F"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158</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4</w:t>
            </w:r>
          </w:p>
        </w:tc>
        <w:tc>
          <w:tcPr>
            <w:tcW w:w="501" w:type="pct"/>
            <w:vAlign w:val="center"/>
          </w:tcPr>
          <w:p w14:paraId="25DFF592" w14:textId="3517A3D9"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23</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07</w:t>
            </w:r>
          </w:p>
        </w:tc>
        <w:tc>
          <w:tcPr>
            <w:tcW w:w="502" w:type="pct"/>
            <w:vAlign w:val="center"/>
          </w:tcPr>
          <w:p w14:paraId="1BDCA69A" w14:textId="46465700"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136</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3</w:t>
            </w:r>
          </w:p>
        </w:tc>
        <w:tc>
          <w:tcPr>
            <w:tcW w:w="501" w:type="pct"/>
            <w:vAlign w:val="center"/>
          </w:tcPr>
          <w:p w14:paraId="7AF01D23" w14:textId="6C6B5E6A"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8</w:t>
            </w:r>
            <w:r w:rsidR="00C76D89">
              <w:rPr>
                <w:rFonts w:eastAsia="Times New Roman" w:cs="Arial"/>
                <w:szCs w:val="19"/>
                <w:lang w:eastAsia="pl-PL"/>
              </w:rPr>
              <w:t> </w:t>
            </w:r>
            <w:r w:rsidRPr="00687DC1">
              <w:rPr>
                <w:rFonts w:eastAsia="Times New Roman" w:cs="Arial"/>
                <w:szCs w:val="19"/>
                <w:lang w:eastAsia="pl-PL"/>
              </w:rPr>
              <w:t>255</w:t>
            </w:r>
            <w:r w:rsidR="00C76D89">
              <w:rPr>
                <w:rFonts w:eastAsia="Times New Roman" w:cs="Arial"/>
                <w:szCs w:val="19"/>
                <w:lang w:eastAsia="pl-PL"/>
              </w:rPr>
              <w:t>.</w:t>
            </w:r>
            <w:r w:rsidRPr="00687DC1">
              <w:rPr>
                <w:rFonts w:eastAsia="Times New Roman" w:cs="Arial"/>
                <w:szCs w:val="19"/>
                <w:lang w:eastAsia="pl-PL"/>
              </w:rPr>
              <w:t>7</w:t>
            </w:r>
          </w:p>
        </w:tc>
        <w:tc>
          <w:tcPr>
            <w:tcW w:w="502" w:type="pct"/>
            <w:vAlign w:val="center"/>
          </w:tcPr>
          <w:p w14:paraId="689AB495" w14:textId="60D56950"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168</w:t>
            </w:r>
            <w:r w:rsidR="00C76D89">
              <w:rPr>
                <w:rFonts w:eastAsia="Times New Roman" w:cs="Arial"/>
                <w:szCs w:val="19"/>
                <w:lang w:eastAsia="pl-PL"/>
              </w:rPr>
              <w:t>.</w:t>
            </w:r>
            <w:r w:rsidRPr="00687DC1">
              <w:rPr>
                <w:rFonts w:eastAsia="Times New Roman" w:cs="Arial"/>
                <w:szCs w:val="19"/>
                <w:lang w:eastAsia="pl-PL"/>
              </w:rPr>
              <w:t>7</w:t>
            </w:r>
          </w:p>
        </w:tc>
        <w:tc>
          <w:tcPr>
            <w:tcW w:w="501" w:type="pct"/>
            <w:vAlign w:val="center"/>
          </w:tcPr>
          <w:p w14:paraId="120EB57D" w14:textId="1CB17CE7"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3</w:t>
            </w:r>
            <w:r w:rsidR="00C76D89">
              <w:rPr>
                <w:rFonts w:eastAsia="Times New Roman" w:cs="Arial"/>
                <w:bCs/>
                <w:szCs w:val="19"/>
                <w:lang w:eastAsia="pl-PL"/>
              </w:rPr>
              <w:t> </w:t>
            </w:r>
            <w:r w:rsidRPr="00687DC1">
              <w:rPr>
                <w:rFonts w:eastAsia="Times New Roman" w:cs="Arial"/>
                <w:bCs/>
                <w:szCs w:val="19"/>
                <w:lang w:eastAsia="pl-PL"/>
              </w:rPr>
              <w:t>125</w:t>
            </w:r>
            <w:r w:rsidR="00C76D89">
              <w:rPr>
                <w:rFonts w:eastAsia="Times New Roman" w:cs="Arial"/>
                <w:bCs/>
                <w:szCs w:val="19"/>
                <w:lang w:eastAsia="pl-PL"/>
              </w:rPr>
              <w:t>.</w:t>
            </w:r>
            <w:r w:rsidRPr="00687DC1">
              <w:rPr>
                <w:rFonts w:eastAsia="Times New Roman" w:cs="Arial"/>
                <w:bCs/>
                <w:szCs w:val="19"/>
                <w:lang w:eastAsia="pl-PL"/>
              </w:rPr>
              <w:t>7</w:t>
            </w:r>
          </w:p>
        </w:tc>
        <w:tc>
          <w:tcPr>
            <w:tcW w:w="500" w:type="pct"/>
            <w:vAlign w:val="center"/>
          </w:tcPr>
          <w:p w14:paraId="59552B77" w14:textId="6F23D257"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131</w:t>
            </w:r>
            <w:r w:rsidR="00C76D89">
              <w:rPr>
                <w:rFonts w:eastAsia="Times New Roman" w:cs="Arial"/>
                <w:bCs/>
                <w:szCs w:val="19"/>
                <w:lang w:eastAsia="pl-PL"/>
              </w:rPr>
              <w:t>.</w:t>
            </w:r>
            <w:r w:rsidRPr="00687DC1">
              <w:rPr>
                <w:rFonts w:eastAsia="Times New Roman" w:cs="Arial"/>
                <w:bCs/>
                <w:szCs w:val="19"/>
                <w:lang w:eastAsia="pl-PL"/>
              </w:rPr>
              <w:t>1</w:t>
            </w:r>
          </w:p>
        </w:tc>
      </w:tr>
      <w:tr w:rsidR="006F4D72" w:rsidRPr="00687DC1" w14:paraId="6BD767C4" w14:textId="77777777" w:rsidTr="00922225">
        <w:trPr>
          <w:trHeight w:hRule="exact" w:val="300"/>
        </w:trPr>
        <w:tc>
          <w:tcPr>
            <w:tcW w:w="990" w:type="pct"/>
            <w:vAlign w:val="center"/>
          </w:tcPr>
          <w:p w14:paraId="1D34558F" w14:textId="51836BD8" w:rsidR="006F4D72" w:rsidRPr="00124A79" w:rsidRDefault="006F4D72" w:rsidP="006F4D72">
            <w:pPr>
              <w:tabs>
                <w:tab w:val="left" w:leader="dot" w:pos="1202"/>
              </w:tabs>
              <w:spacing w:before="20" w:after="20"/>
              <w:ind w:left="68" w:right="-113"/>
              <w:rPr>
                <w:color w:val="000000" w:themeColor="text1"/>
                <w:szCs w:val="19"/>
              </w:rPr>
            </w:pPr>
            <w:r w:rsidRPr="003C7A4E">
              <w:rPr>
                <w:spacing w:val="-2"/>
                <w:szCs w:val="19"/>
                <w:lang w:val="en-AU"/>
              </w:rPr>
              <w:t>EU’s external</w:t>
            </w:r>
          </w:p>
        </w:tc>
        <w:tc>
          <w:tcPr>
            <w:tcW w:w="501" w:type="pct"/>
            <w:vAlign w:val="center"/>
          </w:tcPr>
          <w:p w14:paraId="7BC30711" w14:textId="31DC4C80"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4</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84</w:t>
            </w:r>
          </w:p>
        </w:tc>
        <w:tc>
          <w:tcPr>
            <w:tcW w:w="502" w:type="pct"/>
            <w:vAlign w:val="center"/>
          </w:tcPr>
          <w:p w14:paraId="03F31941" w14:textId="2AA8DCAF"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197</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9</w:t>
            </w:r>
          </w:p>
        </w:tc>
        <w:tc>
          <w:tcPr>
            <w:tcW w:w="501" w:type="pct"/>
            <w:vAlign w:val="center"/>
          </w:tcPr>
          <w:p w14:paraId="201C92AE" w14:textId="75BE01B0"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17</w:t>
            </w:r>
          </w:p>
        </w:tc>
        <w:tc>
          <w:tcPr>
            <w:tcW w:w="502" w:type="pct"/>
            <w:vAlign w:val="center"/>
          </w:tcPr>
          <w:p w14:paraId="0333DC4E" w14:textId="5CF8DCF7"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136</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3</w:t>
            </w:r>
          </w:p>
        </w:tc>
        <w:tc>
          <w:tcPr>
            <w:tcW w:w="501" w:type="pct"/>
            <w:vAlign w:val="center"/>
          </w:tcPr>
          <w:p w14:paraId="77974D90" w14:textId="02D772F5"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1</w:t>
            </w:r>
            <w:r w:rsidR="00C76D89">
              <w:rPr>
                <w:rFonts w:eastAsia="Times New Roman" w:cs="Arial"/>
                <w:szCs w:val="19"/>
                <w:lang w:eastAsia="pl-PL"/>
              </w:rPr>
              <w:t> </w:t>
            </w:r>
            <w:r w:rsidRPr="00687DC1">
              <w:rPr>
                <w:rFonts w:eastAsia="Times New Roman" w:cs="Arial"/>
                <w:szCs w:val="19"/>
                <w:lang w:eastAsia="pl-PL"/>
              </w:rPr>
              <w:t>710</w:t>
            </w:r>
            <w:r w:rsidR="00C76D89">
              <w:rPr>
                <w:rFonts w:eastAsia="Times New Roman" w:cs="Arial"/>
                <w:szCs w:val="19"/>
                <w:lang w:eastAsia="pl-PL"/>
              </w:rPr>
              <w:t>.</w:t>
            </w:r>
            <w:r w:rsidRPr="00687DC1">
              <w:rPr>
                <w:rFonts w:eastAsia="Times New Roman" w:cs="Arial"/>
                <w:szCs w:val="19"/>
                <w:lang w:eastAsia="pl-PL"/>
              </w:rPr>
              <w:t>1</w:t>
            </w:r>
          </w:p>
        </w:tc>
        <w:tc>
          <w:tcPr>
            <w:tcW w:w="502" w:type="pct"/>
            <w:vAlign w:val="center"/>
          </w:tcPr>
          <w:p w14:paraId="0287741F" w14:textId="111052F4"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226</w:t>
            </w:r>
            <w:r w:rsidR="00C76D89">
              <w:rPr>
                <w:rFonts w:eastAsia="Times New Roman" w:cs="Arial"/>
                <w:szCs w:val="19"/>
                <w:lang w:eastAsia="pl-PL"/>
              </w:rPr>
              <w:t>.</w:t>
            </w:r>
            <w:r w:rsidRPr="00687DC1">
              <w:rPr>
                <w:rFonts w:eastAsia="Times New Roman" w:cs="Arial"/>
                <w:szCs w:val="19"/>
                <w:lang w:eastAsia="pl-PL"/>
              </w:rPr>
              <w:t>8</w:t>
            </w:r>
          </w:p>
        </w:tc>
        <w:tc>
          <w:tcPr>
            <w:tcW w:w="501" w:type="pct"/>
            <w:vAlign w:val="center"/>
          </w:tcPr>
          <w:p w14:paraId="217E758C" w14:textId="19A82A48"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21</w:t>
            </w:r>
            <w:r w:rsidR="00C76D89">
              <w:rPr>
                <w:rFonts w:eastAsia="Times New Roman" w:cs="Arial"/>
                <w:bCs/>
                <w:szCs w:val="19"/>
                <w:lang w:eastAsia="pl-PL"/>
              </w:rPr>
              <w:t>.</w:t>
            </w:r>
            <w:r w:rsidRPr="00687DC1">
              <w:rPr>
                <w:rFonts w:eastAsia="Times New Roman" w:cs="Arial"/>
                <w:bCs/>
                <w:szCs w:val="19"/>
                <w:lang w:eastAsia="pl-PL"/>
              </w:rPr>
              <w:t>8</w:t>
            </w:r>
          </w:p>
        </w:tc>
        <w:tc>
          <w:tcPr>
            <w:tcW w:w="500" w:type="pct"/>
            <w:vAlign w:val="center"/>
          </w:tcPr>
          <w:p w14:paraId="0B703CC1" w14:textId="309D4680"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122</w:t>
            </w:r>
            <w:r w:rsidR="00C76D89">
              <w:rPr>
                <w:rFonts w:eastAsia="Times New Roman" w:cs="Arial"/>
                <w:bCs/>
                <w:szCs w:val="19"/>
                <w:lang w:eastAsia="pl-PL"/>
              </w:rPr>
              <w:t>.</w:t>
            </w:r>
            <w:r w:rsidRPr="00687DC1">
              <w:rPr>
                <w:rFonts w:eastAsia="Times New Roman" w:cs="Arial"/>
                <w:bCs/>
                <w:szCs w:val="19"/>
                <w:lang w:eastAsia="pl-PL"/>
              </w:rPr>
              <w:t>3</w:t>
            </w:r>
          </w:p>
        </w:tc>
      </w:tr>
      <w:tr w:rsidR="006F4D72" w:rsidRPr="00687DC1" w14:paraId="207E8539" w14:textId="77777777" w:rsidTr="00922225">
        <w:trPr>
          <w:trHeight w:hRule="exact" w:val="300"/>
        </w:trPr>
        <w:tc>
          <w:tcPr>
            <w:tcW w:w="990" w:type="pct"/>
            <w:vAlign w:val="center"/>
          </w:tcPr>
          <w:p w14:paraId="41B4B820" w14:textId="0CAABBE0" w:rsidR="006F4D72" w:rsidRPr="00124A79" w:rsidRDefault="006F4D72" w:rsidP="006F4D72">
            <w:pPr>
              <w:tabs>
                <w:tab w:val="left" w:leader="dot" w:pos="1202"/>
              </w:tabs>
              <w:spacing w:before="20" w:after="20"/>
              <w:ind w:left="164" w:right="-57"/>
              <w:rPr>
                <w:color w:val="000000" w:themeColor="text1"/>
                <w:szCs w:val="19"/>
              </w:rPr>
            </w:pPr>
            <w:r w:rsidRPr="003C7A4E">
              <w:rPr>
                <w:szCs w:val="19"/>
                <w:lang w:val="en-AU"/>
              </w:rPr>
              <w:t>with: Russia</w:t>
            </w:r>
          </w:p>
        </w:tc>
        <w:tc>
          <w:tcPr>
            <w:tcW w:w="501" w:type="pct"/>
            <w:vAlign w:val="center"/>
          </w:tcPr>
          <w:p w14:paraId="4D086915" w14:textId="35E0A531"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06</w:t>
            </w:r>
          </w:p>
        </w:tc>
        <w:tc>
          <w:tcPr>
            <w:tcW w:w="502" w:type="pct"/>
            <w:vAlign w:val="center"/>
          </w:tcPr>
          <w:p w14:paraId="56B43314" w14:textId="119D1D22"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133</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0</w:t>
            </w:r>
          </w:p>
        </w:tc>
        <w:tc>
          <w:tcPr>
            <w:tcW w:w="501" w:type="pct"/>
            <w:vAlign w:val="center"/>
          </w:tcPr>
          <w:p w14:paraId="5A18680C" w14:textId="48FEDAA7"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01</w:t>
            </w:r>
          </w:p>
        </w:tc>
        <w:tc>
          <w:tcPr>
            <w:tcW w:w="502" w:type="pct"/>
            <w:vAlign w:val="center"/>
          </w:tcPr>
          <w:p w14:paraId="755C6FC5" w14:textId="41013629"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111</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8</w:t>
            </w:r>
          </w:p>
        </w:tc>
        <w:tc>
          <w:tcPr>
            <w:tcW w:w="501" w:type="pct"/>
            <w:vAlign w:val="center"/>
          </w:tcPr>
          <w:p w14:paraId="7638C97B" w14:textId="27EDDDB5"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12</w:t>
            </w:r>
            <w:r w:rsidR="00C76D89">
              <w:rPr>
                <w:rFonts w:eastAsia="Times New Roman" w:cs="Arial"/>
                <w:szCs w:val="19"/>
                <w:lang w:eastAsia="pl-PL"/>
              </w:rPr>
              <w:t>.</w:t>
            </w:r>
            <w:r w:rsidRPr="00687DC1">
              <w:rPr>
                <w:rFonts w:eastAsia="Times New Roman" w:cs="Arial"/>
                <w:szCs w:val="19"/>
                <w:lang w:eastAsia="pl-PL"/>
              </w:rPr>
              <w:t>3</w:t>
            </w:r>
          </w:p>
        </w:tc>
        <w:tc>
          <w:tcPr>
            <w:tcW w:w="502" w:type="pct"/>
            <w:vAlign w:val="center"/>
          </w:tcPr>
          <w:p w14:paraId="7B9669B1" w14:textId="6E40D15C"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116</w:t>
            </w:r>
            <w:r w:rsidR="00C76D89">
              <w:rPr>
                <w:rFonts w:eastAsia="Times New Roman" w:cs="Arial"/>
                <w:szCs w:val="19"/>
                <w:lang w:eastAsia="pl-PL"/>
              </w:rPr>
              <w:t>.</w:t>
            </w:r>
            <w:r w:rsidRPr="00687DC1">
              <w:rPr>
                <w:rFonts w:eastAsia="Times New Roman" w:cs="Arial"/>
                <w:szCs w:val="19"/>
                <w:lang w:eastAsia="pl-PL"/>
              </w:rPr>
              <w:t>8</w:t>
            </w:r>
          </w:p>
        </w:tc>
        <w:tc>
          <w:tcPr>
            <w:tcW w:w="501" w:type="pct"/>
            <w:vAlign w:val="center"/>
          </w:tcPr>
          <w:p w14:paraId="5461AECD" w14:textId="1479B6AB"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2</w:t>
            </w:r>
            <w:r w:rsidR="00C76D89">
              <w:rPr>
                <w:rFonts w:eastAsia="Times New Roman" w:cs="Arial"/>
                <w:bCs/>
                <w:szCs w:val="19"/>
                <w:lang w:eastAsia="pl-PL"/>
              </w:rPr>
              <w:t>.</w:t>
            </w:r>
            <w:r w:rsidRPr="00687DC1">
              <w:rPr>
                <w:rFonts w:eastAsia="Times New Roman" w:cs="Arial"/>
                <w:bCs/>
                <w:szCs w:val="19"/>
                <w:lang w:eastAsia="pl-PL"/>
              </w:rPr>
              <w:t>8</w:t>
            </w:r>
          </w:p>
        </w:tc>
        <w:tc>
          <w:tcPr>
            <w:tcW w:w="500" w:type="pct"/>
            <w:vAlign w:val="center"/>
          </w:tcPr>
          <w:p w14:paraId="427BBFEB" w14:textId="38F15AF6"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100</w:t>
            </w:r>
            <w:r w:rsidR="00C76D89">
              <w:rPr>
                <w:rFonts w:eastAsia="Times New Roman" w:cs="Arial"/>
                <w:bCs/>
                <w:szCs w:val="19"/>
                <w:lang w:eastAsia="pl-PL"/>
              </w:rPr>
              <w:t>.</w:t>
            </w:r>
            <w:r w:rsidRPr="00687DC1">
              <w:rPr>
                <w:rFonts w:eastAsia="Times New Roman" w:cs="Arial"/>
                <w:bCs/>
                <w:szCs w:val="19"/>
                <w:lang w:eastAsia="pl-PL"/>
              </w:rPr>
              <w:t>8</w:t>
            </w:r>
          </w:p>
        </w:tc>
      </w:tr>
      <w:tr w:rsidR="006F4D72" w:rsidRPr="00687DC1" w14:paraId="0ED7D697" w14:textId="77777777" w:rsidTr="00922225">
        <w:trPr>
          <w:trHeight w:hRule="exact" w:val="300"/>
        </w:trPr>
        <w:tc>
          <w:tcPr>
            <w:tcW w:w="990" w:type="pct"/>
            <w:vAlign w:val="center"/>
          </w:tcPr>
          <w:p w14:paraId="30C98FEF" w14:textId="5ACB93E7" w:rsidR="006F4D72" w:rsidRPr="00124A79" w:rsidRDefault="006F4D72" w:rsidP="006F4D72">
            <w:pPr>
              <w:tabs>
                <w:tab w:val="left" w:leader="dot" w:pos="1202"/>
              </w:tabs>
              <w:spacing w:before="20" w:after="20"/>
              <w:ind w:left="386" w:right="-57" w:hanging="74"/>
              <w:rPr>
                <w:color w:val="000000" w:themeColor="text1"/>
                <w:szCs w:val="19"/>
              </w:rPr>
            </w:pPr>
            <w:r w:rsidRPr="003C7A4E">
              <w:rPr>
                <w:szCs w:val="19"/>
                <w:lang w:val="en-AU"/>
              </w:rPr>
              <w:t>Belarus</w:t>
            </w:r>
          </w:p>
        </w:tc>
        <w:tc>
          <w:tcPr>
            <w:tcW w:w="501" w:type="pct"/>
            <w:vAlign w:val="center"/>
          </w:tcPr>
          <w:p w14:paraId="3FA38E74" w14:textId="30B4D91E"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75</w:t>
            </w:r>
          </w:p>
        </w:tc>
        <w:tc>
          <w:tcPr>
            <w:tcW w:w="502" w:type="pct"/>
            <w:vAlign w:val="center"/>
          </w:tcPr>
          <w:p w14:paraId="009CCEB0" w14:textId="0A229F59"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156</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5</w:t>
            </w:r>
          </w:p>
        </w:tc>
        <w:tc>
          <w:tcPr>
            <w:tcW w:w="501" w:type="pct"/>
            <w:vAlign w:val="center"/>
          </w:tcPr>
          <w:p w14:paraId="1AB1E18C" w14:textId="3372FF4E"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05</w:t>
            </w:r>
          </w:p>
        </w:tc>
        <w:tc>
          <w:tcPr>
            <w:tcW w:w="502" w:type="pct"/>
            <w:vAlign w:val="center"/>
          </w:tcPr>
          <w:p w14:paraId="352686C3" w14:textId="79D9FDE2"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124</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0</w:t>
            </w:r>
          </w:p>
        </w:tc>
        <w:tc>
          <w:tcPr>
            <w:tcW w:w="501" w:type="pct"/>
            <w:vAlign w:val="center"/>
          </w:tcPr>
          <w:p w14:paraId="220CB016" w14:textId="3E7C8A8F"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224</w:t>
            </w:r>
            <w:r w:rsidR="00C76D89">
              <w:rPr>
                <w:rFonts w:eastAsia="Times New Roman" w:cs="Arial"/>
                <w:szCs w:val="19"/>
                <w:lang w:eastAsia="pl-PL"/>
              </w:rPr>
              <w:t>.</w:t>
            </w:r>
            <w:r w:rsidRPr="00687DC1">
              <w:rPr>
                <w:rFonts w:eastAsia="Times New Roman" w:cs="Arial"/>
                <w:szCs w:val="19"/>
                <w:lang w:eastAsia="pl-PL"/>
              </w:rPr>
              <w:t>4</w:t>
            </w:r>
          </w:p>
        </w:tc>
        <w:tc>
          <w:tcPr>
            <w:tcW w:w="502" w:type="pct"/>
            <w:vAlign w:val="center"/>
          </w:tcPr>
          <w:p w14:paraId="5BCBF187" w14:textId="44495384"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159</w:t>
            </w:r>
            <w:r w:rsidR="00C76D89">
              <w:rPr>
                <w:rFonts w:eastAsia="Times New Roman" w:cs="Arial"/>
                <w:szCs w:val="19"/>
                <w:lang w:eastAsia="pl-PL"/>
              </w:rPr>
              <w:t>.</w:t>
            </w:r>
            <w:r w:rsidRPr="00687DC1">
              <w:rPr>
                <w:rFonts w:eastAsia="Times New Roman" w:cs="Arial"/>
                <w:szCs w:val="19"/>
                <w:lang w:eastAsia="pl-PL"/>
              </w:rPr>
              <w:t>6</w:t>
            </w:r>
          </w:p>
        </w:tc>
        <w:tc>
          <w:tcPr>
            <w:tcW w:w="501" w:type="pct"/>
            <w:vAlign w:val="center"/>
          </w:tcPr>
          <w:p w14:paraId="39FDACB6" w14:textId="6374D38D"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5</w:t>
            </w:r>
            <w:r w:rsidR="00C76D89">
              <w:rPr>
                <w:rFonts w:eastAsia="Times New Roman" w:cs="Arial"/>
                <w:bCs/>
                <w:szCs w:val="19"/>
                <w:lang w:eastAsia="pl-PL"/>
              </w:rPr>
              <w:t>.</w:t>
            </w:r>
            <w:r w:rsidRPr="00687DC1">
              <w:rPr>
                <w:rFonts w:eastAsia="Times New Roman" w:cs="Arial"/>
                <w:bCs/>
                <w:szCs w:val="19"/>
                <w:lang w:eastAsia="pl-PL"/>
              </w:rPr>
              <w:t>7</w:t>
            </w:r>
          </w:p>
        </w:tc>
        <w:tc>
          <w:tcPr>
            <w:tcW w:w="500" w:type="pct"/>
            <w:vAlign w:val="center"/>
          </w:tcPr>
          <w:p w14:paraId="53D78A0C" w14:textId="64B670A9"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114</w:t>
            </w:r>
            <w:r w:rsidR="00C76D89">
              <w:rPr>
                <w:rFonts w:eastAsia="Times New Roman" w:cs="Arial"/>
                <w:bCs/>
                <w:szCs w:val="19"/>
                <w:lang w:eastAsia="pl-PL"/>
              </w:rPr>
              <w:t>.</w:t>
            </w:r>
            <w:r w:rsidRPr="00687DC1">
              <w:rPr>
                <w:rFonts w:eastAsia="Times New Roman" w:cs="Arial"/>
                <w:bCs/>
                <w:szCs w:val="19"/>
                <w:lang w:eastAsia="pl-PL"/>
              </w:rPr>
              <w:t>7</w:t>
            </w:r>
          </w:p>
        </w:tc>
      </w:tr>
      <w:tr w:rsidR="006F4D72" w:rsidRPr="00687DC1" w14:paraId="0D3940AD" w14:textId="77777777" w:rsidTr="00922225">
        <w:trPr>
          <w:trHeight w:hRule="exact" w:val="300"/>
        </w:trPr>
        <w:tc>
          <w:tcPr>
            <w:tcW w:w="990" w:type="pct"/>
            <w:vAlign w:val="center"/>
          </w:tcPr>
          <w:p w14:paraId="0950055F" w14:textId="4B35B5B7" w:rsidR="006F4D72" w:rsidRPr="00124A79" w:rsidRDefault="006F4D72" w:rsidP="006F4D72">
            <w:pPr>
              <w:tabs>
                <w:tab w:val="left" w:leader="dot" w:pos="1202"/>
              </w:tabs>
              <w:spacing w:before="20" w:after="20"/>
              <w:ind w:left="386" w:right="-57" w:hanging="74"/>
              <w:rPr>
                <w:color w:val="000000" w:themeColor="text1"/>
                <w:szCs w:val="19"/>
              </w:rPr>
            </w:pPr>
            <w:r w:rsidRPr="003C7A4E">
              <w:rPr>
                <w:szCs w:val="19"/>
                <w:lang w:val="en-AU"/>
              </w:rPr>
              <w:t>Ukraine</w:t>
            </w:r>
          </w:p>
        </w:tc>
        <w:tc>
          <w:tcPr>
            <w:tcW w:w="501" w:type="pct"/>
            <w:vAlign w:val="center"/>
          </w:tcPr>
          <w:p w14:paraId="5DEACEEC" w14:textId="29B16040"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4</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02</w:t>
            </w:r>
          </w:p>
        </w:tc>
        <w:tc>
          <w:tcPr>
            <w:tcW w:w="502" w:type="pct"/>
            <w:vAlign w:val="center"/>
          </w:tcPr>
          <w:p w14:paraId="14112388" w14:textId="75B43C70"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209</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9</w:t>
            </w:r>
          </w:p>
        </w:tc>
        <w:tc>
          <w:tcPr>
            <w:tcW w:w="501" w:type="pct"/>
            <w:vAlign w:val="center"/>
          </w:tcPr>
          <w:p w14:paraId="708CCC2E" w14:textId="4AF62AFA"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11</w:t>
            </w:r>
          </w:p>
        </w:tc>
        <w:tc>
          <w:tcPr>
            <w:tcW w:w="502" w:type="pct"/>
            <w:vAlign w:val="center"/>
          </w:tcPr>
          <w:p w14:paraId="6481EE41" w14:textId="36C27F30"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145</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1</w:t>
            </w:r>
          </w:p>
        </w:tc>
        <w:tc>
          <w:tcPr>
            <w:tcW w:w="501" w:type="pct"/>
            <w:vAlign w:val="center"/>
          </w:tcPr>
          <w:p w14:paraId="679E2308" w14:textId="56F6B80C"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1</w:t>
            </w:r>
            <w:r w:rsidR="00C76D89">
              <w:rPr>
                <w:rFonts w:eastAsia="Times New Roman" w:cs="Arial"/>
                <w:szCs w:val="19"/>
                <w:lang w:eastAsia="pl-PL"/>
              </w:rPr>
              <w:t> </w:t>
            </w:r>
            <w:r w:rsidRPr="00687DC1">
              <w:rPr>
                <w:rFonts w:eastAsia="Times New Roman" w:cs="Arial"/>
                <w:szCs w:val="19"/>
                <w:lang w:eastAsia="pl-PL"/>
              </w:rPr>
              <w:t>473</w:t>
            </w:r>
            <w:r w:rsidR="00C76D89">
              <w:rPr>
                <w:rFonts w:eastAsia="Times New Roman" w:cs="Arial"/>
                <w:szCs w:val="19"/>
                <w:lang w:eastAsia="pl-PL"/>
              </w:rPr>
              <w:t>.</w:t>
            </w:r>
            <w:r w:rsidRPr="00687DC1">
              <w:rPr>
                <w:rFonts w:eastAsia="Times New Roman" w:cs="Arial"/>
                <w:szCs w:val="19"/>
                <w:lang w:eastAsia="pl-PL"/>
              </w:rPr>
              <w:t>4</w:t>
            </w:r>
          </w:p>
        </w:tc>
        <w:tc>
          <w:tcPr>
            <w:tcW w:w="502" w:type="pct"/>
            <w:vAlign w:val="center"/>
          </w:tcPr>
          <w:p w14:paraId="38B2C791" w14:textId="79635552"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244</w:t>
            </w:r>
            <w:r w:rsidR="00C76D89">
              <w:rPr>
                <w:rFonts w:eastAsia="Times New Roman" w:cs="Arial"/>
                <w:szCs w:val="19"/>
                <w:lang w:eastAsia="pl-PL"/>
              </w:rPr>
              <w:t>.</w:t>
            </w:r>
            <w:r w:rsidRPr="00687DC1">
              <w:rPr>
                <w:rFonts w:eastAsia="Times New Roman" w:cs="Arial"/>
                <w:szCs w:val="19"/>
                <w:lang w:eastAsia="pl-PL"/>
              </w:rPr>
              <w:t>4</w:t>
            </w:r>
          </w:p>
        </w:tc>
        <w:tc>
          <w:tcPr>
            <w:tcW w:w="501" w:type="pct"/>
            <w:vAlign w:val="center"/>
          </w:tcPr>
          <w:p w14:paraId="3D9EE177" w14:textId="47DED251"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13</w:t>
            </w:r>
            <w:r w:rsidR="00C76D89">
              <w:rPr>
                <w:rFonts w:eastAsia="Times New Roman" w:cs="Arial"/>
                <w:bCs/>
                <w:szCs w:val="19"/>
                <w:lang w:eastAsia="pl-PL"/>
              </w:rPr>
              <w:t>.</w:t>
            </w:r>
            <w:r w:rsidRPr="00687DC1">
              <w:rPr>
                <w:rFonts w:eastAsia="Times New Roman" w:cs="Arial"/>
                <w:bCs/>
                <w:szCs w:val="19"/>
                <w:lang w:eastAsia="pl-PL"/>
              </w:rPr>
              <w:t>3</w:t>
            </w:r>
          </w:p>
        </w:tc>
        <w:tc>
          <w:tcPr>
            <w:tcW w:w="500" w:type="pct"/>
            <w:vAlign w:val="center"/>
          </w:tcPr>
          <w:p w14:paraId="133C5944" w14:textId="7B5001C3"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132</w:t>
            </w:r>
            <w:r w:rsidR="00C76D89">
              <w:rPr>
                <w:rFonts w:eastAsia="Times New Roman" w:cs="Arial"/>
                <w:bCs/>
                <w:szCs w:val="19"/>
                <w:lang w:eastAsia="pl-PL"/>
              </w:rPr>
              <w:t>.</w:t>
            </w:r>
            <w:r w:rsidRPr="00687DC1">
              <w:rPr>
                <w:rFonts w:eastAsia="Times New Roman" w:cs="Arial"/>
                <w:bCs/>
                <w:szCs w:val="19"/>
                <w:lang w:eastAsia="pl-PL"/>
              </w:rPr>
              <w:t>1</w:t>
            </w:r>
          </w:p>
        </w:tc>
      </w:tr>
      <w:tr w:rsidR="006F4D72" w:rsidRPr="00687DC1" w14:paraId="430D7D99" w14:textId="77777777" w:rsidTr="00922225">
        <w:trPr>
          <w:trHeight w:hRule="exact" w:val="300"/>
        </w:trPr>
        <w:tc>
          <w:tcPr>
            <w:tcW w:w="990" w:type="pct"/>
            <w:vAlign w:val="center"/>
          </w:tcPr>
          <w:p w14:paraId="6872DE73" w14:textId="3201A56D" w:rsidR="006F4D72" w:rsidRPr="00124A79" w:rsidRDefault="006F4D72" w:rsidP="006F4D72">
            <w:pPr>
              <w:tabs>
                <w:tab w:val="left" w:leader="dot" w:pos="1202"/>
              </w:tabs>
              <w:spacing w:before="20" w:after="20"/>
              <w:ind w:left="68" w:right="-113"/>
              <w:rPr>
                <w:color w:val="000000" w:themeColor="text1"/>
                <w:spacing w:val="-4"/>
                <w:szCs w:val="19"/>
              </w:rPr>
            </w:pPr>
            <w:r w:rsidRPr="003C7A4E">
              <w:rPr>
                <w:spacing w:val="-4"/>
                <w:szCs w:val="19"/>
                <w:lang w:val="en-AU"/>
              </w:rPr>
              <w:t>EU’s internal</w:t>
            </w:r>
          </w:p>
        </w:tc>
        <w:tc>
          <w:tcPr>
            <w:tcW w:w="501" w:type="pct"/>
            <w:vAlign w:val="center"/>
          </w:tcPr>
          <w:p w14:paraId="19CCC50F" w14:textId="1716318C"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33</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88</w:t>
            </w:r>
          </w:p>
        </w:tc>
        <w:tc>
          <w:tcPr>
            <w:tcW w:w="502" w:type="pct"/>
            <w:vAlign w:val="center"/>
          </w:tcPr>
          <w:p w14:paraId="5FB09DC6" w14:textId="1F23C4B7"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154</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0</w:t>
            </w:r>
          </w:p>
        </w:tc>
        <w:tc>
          <w:tcPr>
            <w:tcW w:w="501" w:type="pct"/>
            <w:vAlign w:val="center"/>
          </w:tcPr>
          <w:p w14:paraId="15A1A028" w14:textId="61C73860"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22</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89</w:t>
            </w:r>
          </w:p>
        </w:tc>
        <w:tc>
          <w:tcPr>
            <w:tcW w:w="502" w:type="pct"/>
            <w:vAlign w:val="center"/>
          </w:tcPr>
          <w:p w14:paraId="7489CF3B" w14:textId="4240AE0D"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136</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3</w:t>
            </w:r>
          </w:p>
        </w:tc>
        <w:tc>
          <w:tcPr>
            <w:tcW w:w="501" w:type="pct"/>
            <w:vAlign w:val="center"/>
          </w:tcPr>
          <w:p w14:paraId="65E00D2E" w14:textId="6F28C910"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6</w:t>
            </w:r>
            <w:r w:rsidR="00C76D89">
              <w:rPr>
                <w:rFonts w:eastAsia="Times New Roman" w:cs="Arial"/>
                <w:szCs w:val="19"/>
                <w:lang w:eastAsia="pl-PL"/>
              </w:rPr>
              <w:t> </w:t>
            </w:r>
            <w:r w:rsidRPr="00687DC1">
              <w:rPr>
                <w:rFonts w:eastAsia="Times New Roman" w:cs="Arial"/>
                <w:szCs w:val="19"/>
                <w:lang w:eastAsia="pl-PL"/>
              </w:rPr>
              <w:t>545</w:t>
            </w:r>
            <w:r w:rsidR="00C76D89">
              <w:rPr>
                <w:rFonts w:eastAsia="Times New Roman" w:cs="Arial"/>
                <w:szCs w:val="19"/>
                <w:lang w:eastAsia="pl-PL"/>
              </w:rPr>
              <w:t>.</w:t>
            </w:r>
            <w:r w:rsidRPr="00687DC1">
              <w:rPr>
                <w:rFonts w:eastAsia="Times New Roman" w:cs="Arial"/>
                <w:szCs w:val="19"/>
                <w:lang w:eastAsia="pl-PL"/>
              </w:rPr>
              <w:t>6</w:t>
            </w:r>
          </w:p>
        </w:tc>
        <w:tc>
          <w:tcPr>
            <w:tcW w:w="502" w:type="pct"/>
            <w:vAlign w:val="center"/>
          </w:tcPr>
          <w:p w14:paraId="5F669C90" w14:textId="451F36C6"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158</w:t>
            </w:r>
            <w:r w:rsidR="00C76D89">
              <w:rPr>
                <w:rFonts w:eastAsia="Times New Roman" w:cs="Arial"/>
                <w:szCs w:val="19"/>
                <w:lang w:eastAsia="pl-PL"/>
              </w:rPr>
              <w:t>.</w:t>
            </w:r>
            <w:r w:rsidRPr="00687DC1">
              <w:rPr>
                <w:rFonts w:eastAsia="Times New Roman" w:cs="Arial"/>
                <w:szCs w:val="19"/>
                <w:lang w:eastAsia="pl-PL"/>
              </w:rPr>
              <w:t>2</w:t>
            </w:r>
          </w:p>
        </w:tc>
        <w:tc>
          <w:tcPr>
            <w:tcW w:w="501" w:type="pct"/>
            <w:vAlign w:val="center"/>
          </w:tcPr>
          <w:p w14:paraId="7E912E01" w14:textId="0E2EBA46"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3</w:t>
            </w:r>
            <w:r w:rsidR="00C76D89">
              <w:rPr>
                <w:rFonts w:eastAsia="Times New Roman" w:cs="Arial"/>
                <w:bCs/>
                <w:szCs w:val="19"/>
                <w:lang w:eastAsia="pl-PL"/>
              </w:rPr>
              <w:t> </w:t>
            </w:r>
            <w:r w:rsidRPr="00687DC1">
              <w:rPr>
                <w:rFonts w:eastAsia="Times New Roman" w:cs="Arial"/>
                <w:bCs/>
                <w:szCs w:val="19"/>
                <w:lang w:eastAsia="pl-PL"/>
              </w:rPr>
              <w:t>103</w:t>
            </w:r>
            <w:r w:rsidR="00C76D89">
              <w:rPr>
                <w:rFonts w:eastAsia="Times New Roman" w:cs="Arial"/>
                <w:bCs/>
                <w:szCs w:val="19"/>
                <w:lang w:eastAsia="pl-PL"/>
              </w:rPr>
              <w:t>.</w:t>
            </w:r>
            <w:r w:rsidRPr="00687DC1">
              <w:rPr>
                <w:rFonts w:eastAsia="Times New Roman" w:cs="Arial"/>
                <w:bCs/>
                <w:szCs w:val="19"/>
                <w:lang w:eastAsia="pl-PL"/>
              </w:rPr>
              <w:t>9</w:t>
            </w:r>
          </w:p>
        </w:tc>
        <w:tc>
          <w:tcPr>
            <w:tcW w:w="500" w:type="pct"/>
            <w:vAlign w:val="center"/>
          </w:tcPr>
          <w:p w14:paraId="229ED992" w14:textId="5CD0F38A"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131</w:t>
            </w:r>
            <w:r w:rsidR="00C76D89">
              <w:rPr>
                <w:rFonts w:eastAsia="Times New Roman" w:cs="Arial"/>
                <w:bCs/>
                <w:szCs w:val="19"/>
                <w:lang w:eastAsia="pl-PL"/>
              </w:rPr>
              <w:t>.</w:t>
            </w:r>
            <w:r w:rsidRPr="00687DC1">
              <w:rPr>
                <w:rFonts w:eastAsia="Times New Roman" w:cs="Arial"/>
                <w:bCs/>
                <w:szCs w:val="19"/>
                <w:lang w:eastAsia="pl-PL"/>
              </w:rPr>
              <w:t>2</w:t>
            </w:r>
          </w:p>
        </w:tc>
      </w:tr>
      <w:tr w:rsidR="006F4D72" w:rsidRPr="00687DC1" w14:paraId="5DC6024E" w14:textId="77777777" w:rsidTr="00922225">
        <w:trPr>
          <w:trHeight w:hRule="exact" w:val="300"/>
        </w:trPr>
        <w:tc>
          <w:tcPr>
            <w:tcW w:w="990" w:type="pct"/>
            <w:vAlign w:val="center"/>
          </w:tcPr>
          <w:p w14:paraId="77981BF6" w14:textId="5F8AF1D2" w:rsidR="006F4D72" w:rsidRPr="00124A79" w:rsidRDefault="006F4D72" w:rsidP="006F4D72">
            <w:pPr>
              <w:tabs>
                <w:tab w:val="left" w:leader="dot" w:pos="1202"/>
              </w:tabs>
              <w:spacing w:before="20" w:after="20"/>
              <w:ind w:right="-57"/>
              <w:rPr>
                <w:color w:val="000000" w:themeColor="text1"/>
                <w:szCs w:val="19"/>
              </w:rPr>
            </w:pPr>
            <w:r w:rsidRPr="003C7A4E">
              <w:rPr>
                <w:szCs w:val="19"/>
                <w:lang w:val="en-AU"/>
              </w:rPr>
              <w:t>with: Lithuania</w:t>
            </w:r>
          </w:p>
        </w:tc>
        <w:tc>
          <w:tcPr>
            <w:tcW w:w="501" w:type="pct"/>
            <w:vAlign w:val="center"/>
          </w:tcPr>
          <w:p w14:paraId="2175B437" w14:textId="0A2A883E"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1</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48</w:t>
            </w:r>
          </w:p>
        </w:tc>
        <w:tc>
          <w:tcPr>
            <w:tcW w:w="502" w:type="pct"/>
            <w:vAlign w:val="center"/>
          </w:tcPr>
          <w:p w14:paraId="3B8F6198" w14:textId="07A5A776"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137</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9</w:t>
            </w:r>
          </w:p>
        </w:tc>
        <w:tc>
          <w:tcPr>
            <w:tcW w:w="501" w:type="pct"/>
            <w:vAlign w:val="center"/>
          </w:tcPr>
          <w:p w14:paraId="069FE63B" w14:textId="24DF924E"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70</w:t>
            </w:r>
          </w:p>
        </w:tc>
        <w:tc>
          <w:tcPr>
            <w:tcW w:w="502" w:type="pct"/>
            <w:vAlign w:val="center"/>
          </w:tcPr>
          <w:p w14:paraId="3F500906" w14:textId="39D256EF"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140</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3</w:t>
            </w:r>
          </w:p>
        </w:tc>
        <w:tc>
          <w:tcPr>
            <w:tcW w:w="501" w:type="pct"/>
            <w:vAlign w:val="center"/>
          </w:tcPr>
          <w:p w14:paraId="7C770FBB" w14:textId="13D2632A"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366</w:t>
            </w:r>
            <w:r w:rsidR="00C76D89">
              <w:rPr>
                <w:rFonts w:eastAsia="Times New Roman" w:cs="Arial"/>
                <w:szCs w:val="19"/>
                <w:lang w:eastAsia="pl-PL"/>
              </w:rPr>
              <w:t>.</w:t>
            </w:r>
            <w:r w:rsidRPr="00687DC1">
              <w:rPr>
                <w:rFonts w:eastAsia="Times New Roman" w:cs="Arial"/>
                <w:szCs w:val="19"/>
                <w:lang w:eastAsia="pl-PL"/>
              </w:rPr>
              <w:t>9</w:t>
            </w:r>
          </w:p>
        </w:tc>
        <w:tc>
          <w:tcPr>
            <w:tcW w:w="502" w:type="pct"/>
            <w:vAlign w:val="center"/>
          </w:tcPr>
          <w:p w14:paraId="7EA36FFE" w14:textId="65637B19"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148</w:t>
            </w:r>
            <w:r w:rsidR="00C76D89">
              <w:rPr>
                <w:rFonts w:eastAsia="Times New Roman" w:cs="Arial"/>
                <w:szCs w:val="19"/>
                <w:lang w:eastAsia="pl-PL"/>
              </w:rPr>
              <w:t>.</w:t>
            </w:r>
            <w:r w:rsidRPr="00687DC1">
              <w:rPr>
                <w:rFonts w:eastAsia="Times New Roman" w:cs="Arial"/>
                <w:szCs w:val="19"/>
                <w:lang w:eastAsia="pl-PL"/>
              </w:rPr>
              <w:t>9</w:t>
            </w:r>
          </w:p>
        </w:tc>
        <w:tc>
          <w:tcPr>
            <w:tcW w:w="501" w:type="pct"/>
            <w:vAlign w:val="center"/>
          </w:tcPr>
          <w:p w14:paraId="5F0C553D" w14:textId="4B763330"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91</w:t>
            </w:r>
            <w:r w:rsidR="00C76D89">
              <w:rPr>
                <w:rFonts w:eastAsia="Times New Roman" w:cs="Arial"/>
                <w:bCs/>
                <w:szCs w:val="19"/>
                <w:lang w:eastAsia="pl-PL"/>
              </w:rPr>
              <w:t>.</w:t>
            </w:r>
            <w:r w:rsidRPr="00687DC1">
              <w:rPr>
                <w:rFonts w:eastAsia="Times New Roman" w:cs="Arial"/>
                <w:bCs/>
                <w:szCs w:val="19"/>
                <w:lang w:eastAsia="pl-PL"/>
              </w:rPr>
              <w:t>6</w:t>
            </w:r>
          </w:p>
        </w:tc>
        <w:tc>
          <w:tcPr>
            <w:tcW w:w="500" w:type="pct"/>
            <w:vAlign w:val="center"/>
          </w:tcPr>
          <w:p w14:paraId="772EE9A3" w14:textId="657D62F9"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141</w:t>
            </w:r>
            <w:r w:rsidR="00C76D89">
              <w:rPr>
                <w:rFonts w:eastAsia="Times New Roman" w:cs="Arial"/>
                <w:bCs/>
                <w:szCs w:val="19"/>
                <w:lang w:eastAsia="pl-PL"/>
              </w:rPr>
              <w:t>.</w:t>
            </w:r>
            <w:r w:rsidRPr="00687DC1">
              <w:rPr>
                <w:rFonts w:eastAsia="Times New Roman" w:cs="Arial"/>
                <w:bCs/>
                <w:szCs w:val="19"/>
                <w:lang w:eastAsia="pl-PL"/>
              </w:rPr>
              <w:t>0</w:t>
            </w:r>
          </w:p>
        </w:tc>
      </w:tr>
      <w:tr w:rsidR="006F4D72" w:rsidRPr="00687DC1" w14:paraId="56C4A97A" w14:textId="77777777" w:rsidTr="00922225">
        <w:trPr>
          <w:trHeight w:hRule="exact" w:val="300"/>
        </w:trPr>
        <w:tc>
          <w:tcPr>
            <w:tcW w:w="990" w:type="pct"/>
            <w:vAlign w:val="center"/>
          </w:tcPr>
          <w:p w14:paraId="1053605A" w14:textId="7A860B2B" w:rsidR="006F4D72" w:rsidRPr="00124A79" w:rsidRDefault="006F4D72" w:rsidP="006F4D72">
            <w:pPr>
              <w:tabs>
                <w:tab w:val="left" w:leader="dot" w:pos="1202"/>
              </w:tabs>
              <w:spacing w:before="20" w:after="20"/>
              <w:ind w:left="312" w:right="-57"/>
              <w:rPr>
                <w:color w:val="000000" w:themeColor="text1"/>
                <w:szCs w:val="19"/>
              </w:rPr>
            </w:pPr>
            <w:r w:rsidRPr="003C7A4E">
              <w:rPr>
                <w:szCs w:val="19"/>
                <w:lang w:val="en-AU"/>
              </w:rPr>
              <w:t>Slovakia</w:t>
            </w:r>
          </w:p>
        </w:tc>
        <w:tc>
          <w:tcPr>
            <w:tcW w:w="501" w:type="pct"/>
            <w:vAlign w:val="center"/>
          </w:tcPr>
          <w:p w14:paraId="69A41364" w14:textId="0F8ADFAD"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3</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91</w:t>
            </w:r>
          </w:p>
        </w:tc>
        <w:tc>
          <w:tcPr>
            <w:tcW w:w="502" w:type="pct"/>
            <w:vAlign w:val="center"/>
          </w:tcPr>
          <w:p w14:paraId="5688D418" w14:textId="5BA0B672"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154</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8</w:t>
            </w:r>
          </w:p>
        </w:tc>
        <w:tc>
          <w:tcPr>
            <w:tcW w:w="501" w:type="pct"/>
            <w:vAlign w:val="center"/>
          </w:tcPr>
          <w:p w14:paraId="5A3D84B8" w14:textId="03720634"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3</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94</w:t>
            </w:r>
          </w:p>
        </w:tc>
        <w:tc>
          <w:tcPr>
            <w:tcW w:w="502" w:type="pct"/>
            <w:vAlign w:val="center"/>
          </w:tcPr>
          <w:p w14:paraId="0519652F" w14:textId="0BA5B69C"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138</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1</w:t>
            </w:r>
          </w:p>
        </w:tc>
        <w:tc>
          <w:tcPr>
            <w:tcW w:w="501" w:type="pct"/>
            <w:vAlign w:val="center"/>
          </w:tcPr>
          <w:p w14:paraId="3A4B637D" w14:textId="0596819E"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675</w:t>
            </w:r>
            <w:r w:rsidR="00C76D89">
              <w:rPr>
                <w:rFonts w:eastAsia="Times New Roman" w:cs="Arial"/>
                <w:szCs w:val="19"/>
                <w:lang w:eastAsia="pl-PL"/>
              </w:rPr>
              <w:t>.</w:t>
            </w:r>
            <w:r w:rsidRPr="00687DC1">
              <w:rPr>
                <w:rFonts w:eastAsia="Times New Roman" w:cs="Arial"/>
                <w:szCs w:val="19"/>
                <w:lang w:eastAsia="pl-PL"/>
              </w:rPr>
              <w:t>0</w:t>
            </w:r>
          </w:p>
        </w:tc>
        <w:tc>
          <w:tcPr>
            <w:tcW w:w="502" w:type="pct"/>
            <w:vAlign w:val="center"/>
          </w:tcPr>
          <w:p w14:paraId="79347AB6" w14:textId="39363475"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158</w:t>
            </w:r>
            <w:r w:rsidR="00C76D89">
              <w:rPr>
                <w:rFonts w:eastAsia="Times New Roman" w:cs="Arial"/>
                <w:szCs w:val="19"/>
                <w:lang w:eastAsia="pl-PL"/>
              </w:rPr>
              <w:t>.</w:t>
            </w:r>
            <w:r w:rsidRPr="00687DC1">
              <w:rPr>
                <w:rFonts w:eastAsia="Times New Roman" w:cs="Arial"/>
                <w:szCs w:val="19"/>
                <w:lang w:eastAsia="pl-PL"/>
              </w:rPr>
              <w:t>8</w:t>
            </w:r>
          </w:p>
        </w:tc>
        <w:tc>
          <w:tcPr>
            <w:tcW w:w="501" w:type="pct"/>
            <w:vAlign w:val="center"/>
          </w:tcPr>
          <w:p w14:paraId="6D54A32F" w14:textId="7996750F"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409</w:t>
            </w:r>
            <w:r w:rsidR="00C76D89">
              <w:rPr>
                <w:rFonts w:eastAsia="Times New Roman" w:cs="Arial"/>
                <w:bCs/>
                <w:szCs w:val="19"/>
                <w:lang w:eastAsia="pl-PL"/>
              </w:rPr>
              <w:t>.</w:t>
            </w:r>
            <w:r w:rsidRPr="00687DC1">
              <w:rPr>
                <w:rFonts w:eastAsia="Times New Roman" w:cs="Arial"/>
                <w:bCs/>
                <w:szCs w:val="19"/>
                <w:lang w:eastAsia="pl-PL"/>
              </w:rPr>
              <w:t>4</w:t>
            </w:r>
          </w:p>
        </w:tc>
        <w:tc>
          <w:tcPr>
            <w:tcW w:w="500" w:type="pct"/>
            <w:vAlign w:val="center"/>
          </w:tcPr>
          <w:p w14:paraId="630520B5" w14:textId="522A91CD"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144</w:t>
            </w:r>
            <w:r w:rsidR="00C76D89">
              <w:rPr>
                <w:rFonts w:eastAsia="Times New Roman" w:cs="Arial"/>
                <w:bCs/>
                <w:szCs w:val="19"/>
                <w:lang w:eastAsia="pl-PL"/>
              </w:rPr>
              <w:t>.</w:t>
            </w:r>
            <w:r w:rsidRPr="00687DC1">
              <w:rPr>
                <w:rFonts w:eastAsia="Times New Roman" w:cs="Arial"/>
                <w:bCs/>
                <w:szCs w:val="19"/>
                <w:lang w:eastAsia="pl-PL"/>
              </w:rPr>
              <w:t>5</w:t>
            </w:r>
          </w:p>
        </w:tc>
      </w:tr>
      <w:tr w:rsidR="006F4D72" w:rsidRPr="00687DC1" w14:paraId="61DA275A" w14:textId="77777777" w:rsidTr="00922225">
        <w:trPr>
          <w:trHeight w:hRule="exact" w:val="300"/>
        </w:trPr>
        <w:tc>
          <w:tcPr>
            <w:tcW w:w="990" w:type="pct"/>
            <w:vAlign w:val="center"/>
          </w:tcPr>
          <w:p w14:paraId="51A69279" w14:textId="2FF33C56" w:rsidR="006F4D72" w:rsidRPr="00124A79" w:rsidRDefault="006F4D72" w:rsidP="006F4D72">
            <w:pPr>
              <w:tabs>
                <w:tab w:val="left" w:leader="dot" w:pos="1202"/>
              </w:tabs>
              <w:spacing w:before="20" w:after="20"/>
              <w:ind w:left="312" w:right="-57"/>
              <w:rPr>
                <w:color w:val="000000" w:themeColor="text1"/>
                <w:szCs w:val="19"/>
              </w:rPr>
            </w:pPr>
            <w:r w:rsidRPr="003C7A4E">
              <w:rPr>
                <w:szCs w:val="19"/>
                <w:lang w:val="en-AU"/>
              </w:rPr>
              <w:t>Czechia</w:t>
            </w:r>
          </w:p>
        </w:tc>
        <w:tc>
          <w:tcPr>
            <w:tcW w:w="501" w:type="pct"/>
            <w:vAlign w:val="center"/>
          </w:tcPr>
          <w:p w14:paraId="7E4E0E09" w14:textId="4F7C3999"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7</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61</w:t>
            </w:r>
          </w:p>
        </w:tc>
        <w:tc>
          <w:tcPr>
            <w:tcW w:w="502" w:type="pct"/>
            <w:vAlign w:val="center"/>
          </w:tcPr>
          <w:p w14:paraId="137D668F" w14:textId="487BC298"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172</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5</w:t>
            </w:r>
          </w:p>
        </w:tc>
        <w:tc>
          <w:tcPr>
            <w:tcW w:w="501" w:type="pct"/>
            <w:vAlign w:val="center"/>
          </w:tcPr>
          <w:p w14:paraId="4CD43605" w14:textId="574CB9CE"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6</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91</w:t>
            </w:r>
          </w:p>
        </w:tc>
        <w:tc>
          <w:tcPr>
            <w:tcW w:w="502" w:type="pct"/>
            <w:vAlign w:val="center"/>
          </w:tcPr>
          <w:p w14:paraId="04292EE5" w14:textId="19D05FC5"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150</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5</w:t>
            </w:r>
          </w:p>
        </w:tc>
        <w:tc>
          <w:tcPr>
            <w:tcW w:w="501" w:type="pct"/>
            <w:vAlign w:val="center"/>
          </w:tcPr>
          <w:p w14:paraId="3AF8A8D6" w14:textId="4277B7AF"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1</w:t>
            </w:r>
            <w:r w:rsidR="00C76D89">
              <w:rPr>
                <w:rFonts w:eastAsia="Times New Roman" w:cs="Arial"/>
                <w:szCs w:val="19"/>
                <w:lang w:eastAsia="pl-PL"/>
              </w:rPr>
              <w:t> </w:t>
            </w:r>
            <w:r w:rsidRPr="00687DC1">
              <w:rPr>
                <w:rFonts w:eastAsia="Times New Roman" w:cs="Arial"/>
                <w:szCs w:val="19"/>
                <w:lang w:eastAsia="pl-PL"/>
              </w:rPr>
              <w:t>118</w:t>
            </w:r>
            <w:r w:rsidR="00C76D89">
              <w:rPr>
                <w:rFonts w:eastAsia="Times New Roman" w:cs="Arial"/>
                <w:szCs w:val="19"/>
                <w:lang w:eastAsia="pl-PL"/>
              </w:rPr>
              <w:t>.</w:t>
            </w:r>
            <w:r w:rsidRPr="00687DC1">
              <w:rPr>
                <w:rFonts w:eastAsia="Times New Roman" w:cs="Arial"/>
                <w:szCs w:val="19"/>
                <w:lang w:eastAsia="pl-PL"/>
              </w:rPr>
              <w:t>2</w:t>
            </w:r>
          </w:p>
        </w:tc>
        <w:tc>
          <w:tcPr>
            <w:tcW w:w="502" w:type="pct"/>
            <w:vAlign w:val="center"/>
          </w:tcPr>
          <w:p w14:paraId="7071E292" w14:textId="33E76C8A"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175</w:t>
            </w:r>
            <w:r w:rsidR="00C76D89">
              <w:rPr>
                <w:rFonts w:eastAsia="Times New Roman" w:cs="Arial"/>
                <w:szCs w:val="19"/>
                <w:lang w:eastAsia="pl-PL"/>
              </w:rPr>
              <w:t>.</w:t>
            </w:r>
            <w:r w:rsidRPr="00687DC1">
              <w:rPr>
                <w:rFonts w:eastAsia="Times New Roman" w:cs="Arial"/>
                <w:szCs w:val="19"/>
                <w:lang w:eastAsia="pl-PL"/>
              </w:rPr>
              <w:t>5</w:t>
            </w:r>
          </w:p>
        </w:tc>
        <w:tc>
          <w:tcPr>
            <w:tcW w:w="501" w:type="pct"/>
            <w:vAlign w:val="center"/>
          </w:tcPr>
          <w:p w14:paraId="5C0DEA28" w14:textId="09223D47"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749</w:t>
            </w:r>
            <w:r w:rsidR="00C76D89">
              <w:rPr>
                <w:rFonts w:eastAsia="Times New Roman" w:cs="Arial"/>
                <w:bCs/>
                <w:szCs w:val="19"/>
                <w:lang w:eastAsia="pl-PL"/>
              </w:rPr>
              <w:t>.</w:t>
            </w:r>
            <w:r w:rsidRPr="00687DC1">
              <w:rPr>
                <w:rFonts w:eastAsia="Times New Roman" w:cs="Arial"/>
                <w:bCs/>
                <w:szCs w:val="19"/>
                <w:lang w:eastAsia="pl-PL"/>
              </w:rPr>
              <w:t>0</w:t>
            </w:r>
          </w:p>
        </w:tc>
        <w:tc>
          <w:tcPr>
            <w:tcW w:w="500" w:type="pct"/>
            <w:vAlign w:val="center"/>
          </w:tcPr>
          <w:p w14:paraId="1CDCE8C2" w14:textId="1084D813"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147</w:t>
            </w:r>
            <w:r w:rsidR="00C76D89">
              <w:rPr>
                <w:rFonts w:eastAsia="Times New Roman" w:cs="Arial"/>
                <w:bCs/>
                <w:szCs w:val="19"/>
                <w:lang w:eastAsia="pl-PL"/>
              </w:rPr>
              <w:t>.</w:t>
            </w:r>
            <w:r w:rsidRPr="00687DC1">
              <w:rPr>
                <w:rFonts w:eastAsia="Times New Roman" w:cs="Arial"/>
                <w:bCs/>
                <w:szCs w:val="19"/>
                <w:lang w:eastAsia="pl-PL"/>
              </w:rPr>
              <w:t>0</w:t>
            </w:r>
          </w:p>
        </w:tc>
      </w:tr>
      <w:tr w:rsidR="006F4D72" w:rsidRPr="00687DC1" w14:paraId="18307D00" w14:textId="77777777" w:rsidTr="00922225">
        <w:trPr>
          <w:trHeight w:hRule="exact" w:val="300"/>
        </w:trPr>
        <w:tc>
          <w:tcPr>
            <w:tcW w:w="990" w:type="pct"/>
            <w:vAlign w:val="center"/>
          </w:tcPr>
          <w:p w14:paraId="09248F7A" w14:textId="3F2305D1" w:rsidR="006F4D72" w:rsidRPr="00124A79" w:rsidRDefault="006F4D72" w:rsidP="006F4D72">
            <w:pPr>
              <w:tabs>
                <w:tab w:val="left" w:leader="dot" w:pos="1361"/>
              </w:tabs>
              <w:spacing w:before="20" w:after="20"/>
              <w:ind w:left="312" w:right="-57"/>
              <w:rPr>
                <w:color w:val="000000" w:themeColor="text1"/>
                <w:szCs w:val="19"/>
              </w:rPr>
            </w:pPr>
            <w:r w:rsidRPr="003C7A4E">
              <w:rPr>
                <w:szCs w:val="19"/>
                <w:lang w:val="en-AU"/>
              </w:rPr>
              <w:t>Germany</w:t>
            </w:r>
          </w:p>
        </w:tc>
        <w:tc>
          <w:tcPr>
            <w:tcW w:w="501" w:type="pct"/>
            <w:vAlign w:val="center"/>
          </w:tcPr>
          <w:p w14:paraId="5AA0DE63" w14:textId="6FE76301"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20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87</w:t>
            </w:r>
          </w:p>
        </w:tc>
        <w:tc>
          <w:tcPr>
            <w:tcW w:w="502" w:type="pct"/>
            <w:vAlign w:val="center"/>
          </w:tcPr>
          <w:p w14:paraId="6880561A" w14:textId="47CD0ECB"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149</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3</w:t>
            </w:r>
          </w:p>
        </w:tc>
        <w:tc>
          <w:tcPr>
            <w:tcW w:w="501" w:type="pct"/>
            <w:vAlign w:val="center"/>
          </w:tcPr>
          <w:p w14:paraId="1E7410FE" w14:textId="2F9AC6F8"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11</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35</w:t>
            </w:r>
          </w:p>
        </w:tc>
        <w:tc>
          <w:tcPr>
            <w:tcW w:w="502" w:type="pct"/>
            <w:vAlign w:val="center"/>
          </w:tcPr>
          <w:p w14:paraId="65BCA92D" w14:textId="3D0E1BD6"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128</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1</w:t>
            </w:r>
          </w:p>
        </w:tc>
        <w:tc>
          <w:tcPr>
            <w:tcW w:w="501" w:type="pct"/>
            <w:vAlign w:val="center"/>
          </w:tcPr>
          <w:p w14:paraId="11B31970" w14:textId="3A48844C"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4</w:t>
            </w:r>
            <w:r w:rsidR="00C76D89">
              <w:rPr>
                <w:rFonts w:eastAsia="Times New Roman" w:cs="Arial"/>
                <w:szCs w:val="19"/>
                <w:lang w:eastAsia="pl-PL"/>
              </w:rPr>
              <w:t> </w:t>
            </w:r>
            <w:r w:rsidRPr="00687DC1">
              <w:rPr>
                <w:rFonts w:eastAsia="Times New Roman" w:cs="Arial"/>
                <w:szCs w:val="19"/>
                <w:lang w:eastAsia="pl-PL"/>
              </w:rPr>
              <w:t>385</w:t>
            </w:r>
            <w:r w:rsidR="00C76D89">
              <w:rPr>
                <w:rFonts w:eastAsia="Times New Roman" w:cs="Arial"/>
                <w:szCs w:val="19"/>
                <w:lang w:eastAsia="pl-PL"/>
              </w:rPr>
              <w:t>.</w:t>
            </w:r>
            <w:r w:rsidRPr="00687DC1">
              <w:rPr>
                <w:rFonts w:eastAsia="Times New Roman" w:cs="Arial"/>
                <w:szCs w:val="19"/>
                <w:lang w:eastAsia="pl-PL"/>
              </w:rPr>
              <w:t>5</w:t>
            </w:r>
          </w:p>
        </w:tc>
        <w:tc>
          <w:tcPr>
            <w:tcW w:w="502" w:type="pct"/>
            <w:vAlign w:val="center"/>
          </w:tcPr>
          <w:p w14:paraId="1EE39B5B" w14:textId="1C7B9FEE"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155</w:t>
            </w:r>
            <w:r w:rsidR="00C76D89">
              <w:rPr>
                <w:rFonts w:eastAsia="Times New Roman" w:cs="Arial"/>
                <w:szCs w:val="19"/>
                <w:lang w:eastAsia="pl-PL"/>
              </w:rPr>
              <w:t>.</w:t>
            </w:r>
            <w:r w:rsidRPr="00687DC1">
              <w:rPr>
                <w:rFonts w:eastAsia="Times New Roman" w:cs="Arial"/>
                <w:szCs w:val="19"/>
                <w:lang w:eastAsia="pl-PL"/>
              </w:rPr>
              <w:t>0</w:t>
            </w:r>
          </w:p>
        </w:tc>
        <w:tc>
          <w:tcPr>
            <w:tcW w:w="501" w:type="pct"/>
            <w:vAlign w:val="center"/>
          </w:tcPr>
          <w:p w14:paraId="1CCBB858" w14:textId="45F60246"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w:t>
            </w:r>
            <w:r w:rsidR="00C76D89">
              <w:rPr>
                <w:rFonts w:eastAsia="Times New Roman" w:cs="Arial"/>
                <w:bCs/>
                <w:szCs w:val="19"/>
                <w:lang w:eastAsia="pl-PL"/>
              </w:rPr>
              <w:t> </w:t>
            </w:r>
            <w:r w:rsidRPr="00687DC1">
              <w:rPr>
                <w:rFonts w:eastAsia="Times New Roman" w:cs="Arial"/>
                <w:bCs/>
                <w:szCs w:val="19"/>
                <w:lang w:eastAsia="pl-PL"/>
              </w:rPr>
              <w:t>853</w:t>
            </w:r>
            <w:r w:rsidR="00C76D89">
              <w:rPr>
                <w:rFonts w:eastAsia="Times New Roman" w:cs="Arial"/>
                <w:bCs/>
                <w:szCs w:val="19"/>
                <w:lang w:eastAsia="pl-PL"/>
              </w:rPr>
              <w:t>.</w:t>
            </w:r>
            <w:r w:rsidRPr="00687DC1">
              <w:rPr>
                <w:rFonts w:eastAsia="Times New Roman" w:cs="Arial"/>
                <w:bCs/>
                <w:szCs w:val="19"/>
                <w:lang w:eastAsia="pl-PL"/>
              </w:rPr>
              <w:t>8</w:t>
            </w:r>
          </w:p>
        </w:tc>
        <w:tc>
          <w:tcPr>
            <w:tcW w:w="500" w:type="pct"/>
            <w:vAlign w:val="center"/>
          </w:tcPr>
          <w:p w14:paraId="4E6BC9FB" w14:textId="73C19E39"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122</w:t>
            </w:r>
            <w:r w:rsidR="00C76D89">
              <w:rPr>
                <w:rFonts w:eastAsia="Times New Roman" w:cs="Arial"/>
                <w:bCs/>
                <w:szCs w:val="19"/>
                <w:lang w:eastAsia="pl-PL"/>
              </w:rPr>
              <w:t>.</w:t>
            </w:r>
            <w:r w:rsidRPr="00687DC1">
              <w:rPr>
                <w:rFonts w:eastAsia="Times New Roman" w:cs="Arial"/>
                <w:bCs/>
                <w:szCs w:val="19"/>
                <w:lang w:eastAsia="pl-PL"/>
              </w:rPr>
              <w:t>9</w:t>
            </w:r>
          </w:p>
        </w:tc>
      </w:tr>
      <w:tr w:rsidR="006F4D72" w:rsidRPr="00687DC1" w14:paraId="396B6061" w14:textId="77777777" w:rsidTr="00922225">
        <w:trPr>
          <w:trHeight w:hRule="exact" w:val="300"/>
        </w:trPr>
        <w:tc>
          <w:tcPr>
            <w:tcW w:w="990" w:type="pct"/>
            <w:vAlign w:val="center"/>
          </w:tcPr>
          <w:p w14:paraId="1738222C" w14:textId="2DBCBFEC" w:rsidR="006F4D72" w:rsidRPr="00124A79" w:rsidRDefault="006F4D72" w:rsidP="006F4D72">
            <w:pPr>
              <w:tabs>
                <w:tab w:val="left" w:leader="dot" w:pos="990"/>
              </w:tabs>
              <w:spacing w:before="20" w:after="20"/>
              <w:ind w:left="-4" w:right="-57"/>
              <w:rPr>
                <w:color w:val="000000" w:themeColor="text1"/>
                <w:szCs w:val="19"/>
              </w:rPr>
            </w:pPr>
            <w:r w:rsidRPr="003C7A4E">
              <w:rPr>
                <w:szCs w:val="19"/>
                <w:lang w:val="en-AU"/>
              </w:rPr>
              <w:t>sea</w:t>
            </w:r>
          </w:p>
        </w:tc>
        <w:tc>
          <w:tcPr>
            <w:tcW w:w="501" w:type="pct"/>
            <w:vAlign w:val="center"/>
          </w:tcPr>
          <w:p w14:paraId="5F83BC29" w14:textId="6BA54B38"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22</w:t>
            </w:r>
          </w:p>
        </w:tc>
        <w:tc>
          <w:tcPr>
            <w:tcW w:w="502" w:type="pct"/>
            <w:vAlign w:val="center"/>
          </w:tcPr>
          <w:p w14:paraId="5BD66A5A" w14:textId="19197611"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117</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1</w:t>
            </w:r>
          </w:p>
        </w:tc>
        <w:tc>
          <w:tcPr>
            <w:tcW w:w="501" w:type="pct"/>
            <w:vAlign w:val="center"/>
          </w:tcPr>
          <w:p w14:paraId="4BBAE965" w14:textId="432021EF"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0</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24</w:t>
            </w:r>
          </w:p>
        </w:tc>
        <w:tc>
          <w:tcPr>
            <w:tcW w:w="502" w:type="pct"/>
            <w:vAlign w:val="center"/>
          </w:tcPr>
          <w:p w14:paraId="5C989457" w14:textId="23C8FE45"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122</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0</w:t>
            </w:r>
          </w:p>
        </w:tc>
        <w:tc>
          <w:tcPr>
            <w:tcW w:w="501" w:type="pct"/>
            <w:vAlign w:val="center"/>
          </w:tcPr>
          <w:p w14:paraId="647FC6D6" w14:textId="54F91377"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112</w:t>
            </w:r>
            <w:r w:rsidR="00C76D89">
              <w:rPr>
                <w:rFonts w:eastAsia="Times New Roman" w:cs="Arial"/>
                <w:szCs w:val="19"/>
                <w:lang w:eastAsia="pl-PL"/>
              </w:rPr>
              <w:t>.</w:t>
            </w:r>
            <w:r w:rsidRPr="00687DC1">
              <w:rPr>
                <w:rFonts w:eastAsia="Times New Roman" w:cs="Arial"/>
                <w:szCs w:val="19"/>
                <w:lang w:eastAsia="pl-PL"/>
              </w:rPr>
              <w:t>8</w:t>
            </w:r>
          </w:p>
        </w:tc>
        <w:tc>
          <w:tcPr>
            <w:tcW w:w="502" w:type="pct"/>
            <w:vAlign w:val="center"/>
          </w:tcPr>
          <w:p w14:paraId="14FBFBE7" w14:textId="35B8DCCB"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130</w:t>
            </w:r>
            <w:r w:rsidR="00C76D89">
              <w:rPr>
                <w:rFonts w:eastAsia="Times New Roman" w:cs="Arial"/>
                <w:szCs w:val="19"/>
                <w:lang w:eastAsia="pl-PL"/>
              </w:rPr>
              <w:t>.</w:t>
            </w:r>
            <w:r w:rsidRPr="00687DC1">
              <w:rPr>
                <w:rFonts w:eastAsia="Times New Roman" w:cs="Arial"/>
                <w:szCs w:val="19"/>
                <w:lang w:eastAsia="pl-PL"/>
              </w:rPr>
              <w:t>1</w:t>
            </w:r>
          </w:p>
        </w:tc>
        <w:tc>
          <w:tcPr>
            <w:tcW w:w="501" w:type="pct"/>
            <w:vAlign w:val="center"/>
          </w:tcPr>
          <w:p w14:paraId="21FB7F92" w14:textId="75A74F87"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100</w:t>
            </w:r>
            <w:r w:rsidR="00C76D89">
              <w:rPr>
                <w:rFonts w:eastAsia="Times New Roman" w:cs="Arial"/>
                <w:bCs/>
                <w:szCs w:val="19"/>
                <w:lang w:eastAsia="pl-PL"/>
              </w:rPr>
              <w:t>.</w:t>
            </w:r>
            <w:r w:rsidRPr="00687DC1">
              <w:rPr>
                <w:rFonts w:eastAsia="Times New Roman" w:cs="Arial"/>
                <w:bCs/>
                <w:szCs w:val="19"/>
                <w:lang w:eastAsia="pl-PL"/>
              </w:rPr>
              <w:t>3</w:t>
            </w:r>
          </w:p>
        </w:tc>
        <w:tc>
          <w:tcPr>
            <w:tcW w:w="500" w:type="pct"/>
            <w:vAlign w:val="center"/>
          </w:tcPr>
          <w:p w14:paraId="4859D5C9" w14:textId="5BEA83CD"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117</w:t>
            </w:r>
            <w:r w:rsidR="00C76D89">
              <w:rPr>
                <w:rFonts w:eastAsia="Times New Roman" w:cs="Arial"/>
                <w:bCs/>
                <w:szCs w:val="19"/>
                <w:lang w:eastAsia="pl-PL"/>
              </w:rPr>
              <w:t>.</w:t>
            </w:r>
            <w:r w:rsidRPr="00687DC1">
              <w:rPr>
                <w:rFonts w:eastAsia="Times New Roman" w:cs="Arial"/>
                <w:bCs/>
                <w:szCs w:val="19"/>
                <w:lang w:eastAsia="pl-PL"/>
              </w:rPr>
              <w:t>2</w:t>
            </w:r>
          </w:p>
        </w:tc>
      </w:tr>
      <w:tr w:rsidR="006F4D72" w:rsidRPr="00687DC1" w14:paraId="3C1EF9C3" w14:textId="77777777" w:rsidTr="00922225">
        <w:trPr>
          <w:trHeight w:hRule="exact" w:val="300"/>
        </w:trPr>
        <w:tc>
          <w:tcPr>
            <w:tcW w:w="990" w:type="pct"/>
            <w:vAlign w:val="center"/>
          </w:tcPr>
          <w:p w14:paraId="675D3357" w14:textId="6798647A" w:rsidR="006F4D72" w:rsidRPr="00124A79" w:rsidRDefault="006F4D72" w:rsidP="006F4D72">
            <w:pPr>
              <w:tabs>
                <w:tab w:val="left" w:leader="dot" w:pos="990"/>
              </w:tabs>
              <w:spacing w:before="20" w:after="20"/>
              <w:ind w:left="10" w:right="-113"/>
              <w:rPr>
                <w:color w:val="000000" w:themeColor="text1"/>
                <w:spacing w:val="-2"/>
                <w:szCs w:val="19"/>
              </w:rPr>
            </w:pPr>
            <w:r w:rsidRPr="003C7A4E">
              <w:rPr>
                <w:spacing w:val="-2"/>
                <w:szCs w:val="19"/>
                <w:lang w:val="en-AU"/>
              </w:rPr>
              <w:t>at airports</w:t>
            </w:r>
          </w:p>
        </w:tc>
        <w:tc>
          <w:tcPr>
            <w:tcW w:w="501" w:type="pct"/>
            <w:vAlign w:val="center"/>
          </w:tcPr>
          <w:p w14:paraId="7D878318" w14:textId="20142D20"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3</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78</w:t>
            </w:r>
          </w:p>
        </w:tc>
        <w:tc>
          <w:tcPr>
            <w:tcW w:w="502" w:type="pct"/>
            <w:vAlign w:val="center"/>
          </w:tcPr>
          <w:p w14:paraId="52BD1E89" w14:textId="400E0B5B"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Calibri"/>
                <w:color w:val="000000" w:themeColor="text1"/>
                <w:szCs w:val="19"/>
                <w:lang w:eastAsia="pl-PL"/>
              </w:rPr>
              <w:t>422</w:t>
            </w:r>
            <w:r w:rsidR="00C76D89">
              <w:rPr>
                <w:rFonts w:eastAsia="Times New Roman" w:cs="Calibri"/>
                <w:color w:val="000000" w:themeColor="text1"/>
                <w:szCs w:val="19"/>
                <w:lang w:eastAsia="pl-PL"/>
              </w:rPr>
              <w:t>.</w:t>
            </w:r>
            <w:r w:rsidRPr="00124A79">
              <w:rPr>
                <w:rFonts w:eastAsia="Times New Roman" w:cs="Calibri"/>
                <w:color w:val="000000" w:themeColor="text1"/>
                <w:szCs w:val="19"/>
                <w:lang w:eastAsia="pl-PL"/>
              </w:rPr>
              <w:t>1</w:t>
            </w:r>
          </w:p>
        </w:tc>
        <w:tc>
          <w:tcPr>
            <w:tcW w:w="501" w:type="pct"/>
            <w:vAlign w:val="center"/>
          </w:tcPr>
          <w:p w14:paraId="3C49607C" w14:textId="3FFA7E31" w:rsidR="006F4D72" w:rsidRPr="00B974D2" w:rsidRDefault="006F4D72" w:rsidP="006F4D72">
            <w:pPr>
              <w:spacing w:before="20" w:after="20"/>
              <w:ind w:right="-57"/>
              <w:jc w:val="right"/>
              <w:rPr>
                <w:rFonts w:cs="Times New Roman"/>
                <w:color w:val="000000" w:themeColor="text1"/>
                <w:spacing w:val="-4"/>
                <w:szCs w:val="19"/>
              </w:rPr>
            </w:pPr>
            <w:r w:rsidRPr="00B974D2">
              <w:rPr>
                <w:rFonts w:eastAsia="Times New Roman" w:cs="Arial"/>
                <w:color w:val="000000" w:themeColor="text1"/>
                <w:szCs w:val="19"/>
                <w:lang w:eastAsia="pl-PL"/>
              </w:rPr>
              <w:t>5</w:t>
            </w:r>
            <w:r w:rsidR="00C76D89">
              <w:rPr>
                <w:rFonts w:eastAsia="Times New Roman" w:cs="Arial"/>
                <w:color w:val="000000" w:themeColor="text1"/>
                <w:szCs w:val="19"/>
                <w:lang w:eastAsia="pl-PL"/>
              </w:rPr>
              <w:t>.</w:t>
            </w:r>
            <w:r w:rsidRPr="00B974D2">
              <w:rPr>
                <w:rFonts w:eastAsia="Times New Roman" w:cs="Arial"/>
                <w:color w:val="000000" w:themeColor="text1"/>
                <w:szCs w:val="19"/>
                <w:lang w:eastAsia="pl-PL"/>
              </w:rPr>
              <w:t>78</w:t>
            </w:r>
          </w:p>
        </w:tc>
        <w:tc>
          <w:tcPr>
            <w:tcW w:w="502" w:type="pct"/>
            <w:vAlign w:val="center"/>
          </w:tcPr>
          <w:p w14:paraId="66075268" w14:textId="5E629E5F" w:rsidR="006F4D72" w:rsidRPr="00124A79" w:rsidRDefault="006F4D72" w:rsidP="006F4D72">
            <w:pPr>
              <w:spacing w:before="20" w:after="20"/>
              <w:ind w:right="-57"/>
              <w:jc w:val="right"/>
              <w:rPr>
                <w:rFonts w:cs="Times New Roman"/>
                <w:color w:val="000000" w:themeColor="text1"/>
                <w:szCs w:val="19"/>
              </w:rPr>
            </w:pPr>
            <w:r w:rsidRPr="00124A79">
              <w:rPr>
                <w:rFonts w:eastAsia="Times New Roman" w:cs="Arial"/>
                <w:color w:val="000000" w:themeColor="text1"/>
                <w:szCs w:val="19"/>
                <w:lang w:eastAsia="pl-PL"/>
              </w:rPr>
              <w:t>402</w:t>
            </w:r>
            <w:r w:rsidR="00C76D89">
              <w:rPr>
                <w:rFonts w:eastAsia="Times New Roman" w:cs="Arial"/>
                <w:color w:val="000000" w:themeColor="text1"/>
                <w:szCs w:val="19"/>
                <w:lang w:eastAsia="pl-PL"/>
              </w:rPr>
              <w:t>.</w:t>
            </w:r>
            <w:r w:rsidRPr="00124A79">
              <w:rPr>
                <w:rFonts w:eastAsia="Times New Roman" w:cs="Arial"/>
                <w:color w:val="000000" w:themeColor="text1"/>
                <w:szCs w:val="19"/>
                <w:lang w:eastAsia="pl-PL"/>
              </w:rPr>
              <w:t>4</w:t>
            </w:r>
          </w:p>
        </w:tc>
        <w:tc>
          <w:tcPr>
            <w:tcW w:w="501" w:type="pct"/>
            <w:vAlign w:val="center"/>
          </w:tcPr>
          <w:p w14:paraId="41F1460F" w14:textId="2D040D29" w:rsidR="006F4D72" w:rsidRPr="00687DC1" w:rsidRDefault="006F4D72" w:rsidP="006F4D72">
            <w:pPr>
              <w:spacing w:before="20" w:after="20"/>
              <w:ind w:left="-57" w:right="-57"/>
              <w:jc w:val="right"/>
              <w:rPr>
                <w:rFonts w:cs="Times New Roman"/>
                <w:spacing w:val="-2"/>
                <w:szCs w:val="19"/>
              </w:rPr>
            </w:pPr>
            <w:r w:rsidRPr="00687DC1">
              <w:rPr>
                <w:rFonts w:eastAsia="Times New Roman" w:cs="Arial"/>
                <w:szCs w:val="19"/>
                <w:lang w:eastAsia="pl-PL"/>
              </w:rPr>
              <w:t>1</w:t>
            </w:r>
            <w:r w:rsidR="00C76D89">
              <w:rPr>
                <w:rFonts w:eastAsia="Times New Roman" w:cs="Arial"/>
                <w:szCs w:val="19"/>
                <w:lang w:eastAsia="pl-PL"/>
              </w:rPr>
              <w:t> </w:t>
            </w:r>
            <w:r w:rsidRPr="00687DC1">
              <w:rPr>
                <w:rFonts w:eastAsia="Times New Roman" w:cs="Arial"/>
                <w:szCs w:val="19"/>
                <w:lang w:eastAsia="pl-PL"/>
              </w:rPr>
              <w:t>656</w:t>
            </w:r>
            <w:r w:rsidR="00C76D89">
              <w:rPr>
                <w:rFonts w:eastAsia="Times New Roman" w:cs="Arial"/>
                <w:szCs w:val="19"/>
                <w:lang w:eastAsia="pl-PL"/>
              </w:rPr>
              <w:t>.</w:t>
            </w:r>
            <w:r w:rsidRPr="00687DC1">
              <w:rPr>
                <w:rFonts w:eastAsia="Times New Roman" w:cs="Arial"/>
                <w:szCs w:val="19"/>
                <w:lang w:eastAsia="pl-PL"/>
              </w:rPr>
              <w:t>8</w:t>
            </w:r>
          </w:p>
        </w:tc>
        <w:tc>
          <w:tcPr>
            <w:tcW w:w="502" w:type="pct"/>
            <w:vAlign w:val="center"/>
          </w:tcPr>
          <w:p w14:paraId="601984F7" w14:textId="30291601" w:rsidR="006F4D72" w:rsidRPr="00687DC1" w:rsidRDefault="006F4D72" w:rsidP="006F4D72">
            <w:pPr>
              <w:spacing w:before="20" w:after="20"/>
              <w:ind w:right="-57"/>
              <w:jc w:val="right"/>
              <w:rPr>
                <w:rFonts w:cs="Times New Roman"/>
                <w:szCs w:val="19"/>
              </w:rPr>
            </w:pPr>
            <w:r w:rsidRPr="00687DC1">
              <w:rPr>
                <w:rFonts w:eastAsia="Times New Roman" w:cs="Arial"/>
                <w:szCs w:val="19"/>
                <w:lang w:eastAsia="pl-PL"/>
              </w:rPr>
              <w:t>518</w:t>
            </w:r>
            <w:r w:rsidR="00C76D89">
              <w:rPr>
                <w:rFonts w:eastAsia="Times New Roman" w:cs="Arial"/>
                <w:szCs w:val="19"/>
                <w:lang w:eastAsia="pl-PL"/>
              </w:rPr>
              <w:t>.</w:t>
            </w:r>
            <w:r w:rsidRPr="00687DC1">
              <w:rPr>
                <w:rFonts w:eastAsia="Times New Roman" w:cs="Arial"/>
                <w:szCs w:val="19"/>
                <w:lang w:eastAsia="pl-PL"/>
              </w:rPr>
              <w:t>7</w:t>
            </w:r>
          </w:p>
        </w:tc>
        <w:tc>
          <w:tcPr>
            <w:tcW w:w="501" w:type="pct"/>
            <w:vAlign w:val="center"/>
          </w:tcPr>
          <w:p w14:paraId="4E0ED790" w14:textId="2E0D9349"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2</w:t>
            </w:r>
            <w:r w:rsidR="00C76D89">
              <w:rPr>
                <w:rFonts w:eastAsia="Times New Roman" w:cs="Arial"/>
                <w:bCs/>
                <w:szCs w:val="19"/>
                <w:lang w:eastAsia="pl-PL"/>
              </w:rPr>
              <w:t> </w:t>
            </w:r>
            <w:r w:rsidRPr="00687DC1">
              <w:rPr>
                <w:rFonts w:eastAsia="Times New Roman" w:cs="Arial"/>
                <w:bCs/>
                <w:szCs w:val="19"/>
                <w:lang w:eastAsia="pl-PL"/>
              </w:rPr>
              <w:t>284</w:t>
            </w:r>
            <w:r w:rsidR="00C76D89">
              <w:rPr>
                <w:rFonts w:eastAsia="Times New Roman" w:cs="Arial"/>
                <w:bCs/>
                <w:szCs w:val="19"/>
                <w:lang w:eastAsia="pl-PL"/>
              </w:rPr>
              <w:t>.</w:t>
            </w:r>
            <w:r w:rsidRPr="00687DC1">
              <w:rPr>
                <w:rFonts w:eastAsia="Times New Roman" w:cs="Arial"/>
                <w:bCs/>
                <w:szCs w:val="19"/>
                <w:lang w:eastAsia="pl-PL"/>
              </w:rPr>
              <w:t>5</w:t>
            </w:r>
          </w:p>
        </w:tc>
        <w:tc>
          <w:tcPr>
            <w:tcW w:w="500" w:type="pct"/>
            <w:vAlign w:val="center"/>
          </w:tcPr>
          <w:p w14:paraId="2A70955E" w14:textId="7D53C984" w:rsidR="006F4D72" w:rsidRPr="00687DC1" w:rsidRDefault="006F4D72" w:rsidP="006F4D72">
            <w:pPr>
              <w:spacing w:before="20" w:after="20"/>
              <w:ind w:right="-57"/>
              <w:jc w:val="right"/>
              <w:rPr>
                <w:rFonts w:cs="Times New Roman"/>
                <w:szCs w:val="19"/>
              </w:rPr>
            </w:pPr>
            <w:r w:rsidRPr="00687DC1">
              <w:rPr>
                <w:rFonts w:eastAsia="Times New Roman" w:cs="Arial"/>
                <w:bCs/>
                <w:szCs w:val="19"/>
                <w:lang w:eastAsia="pl-PL"/>
              </w:rPr>
              <w:t>417</w:t>
            </w:r>
            <w:r w:rsidR="00C76D89">
              <w:rPr>
                <w:rFonts w:eastAsia="Times New Roman" w:cs="Arial"/>
                <w:bCs/>
                <w:szCs w:val="19"/>
                <w:lang w:eastAsia="pl-PL"/>
              </w:rPr>
              <w:t>.</w:t>
            </w:r>
            <w:r w:rsidRPr="00687DC1">
              <w:rPr>
                <w:rFonts w:eastAsia="Times New Roman" w:cs="Arial"/>
                <w:bCs/>
                <w:szCs w:val="19"/>
                <w:lang w:eastAsia="pl-PL"/>
              </w:rPr>
              <w:t>6</w:t>
            </w:r>
          </w:p>
        </w:tc>
      </w:tr>
    </w:tbl>
    <w:p w14:paraId="0B6073AD" w14:textId="12D5702D" w:rsidR="001869F8" w:rsidRPr="00027CA0" w:rsidRDefault="001869F8" w:rsidP="001869F8">
      <w:pPr>
        <w:spacing w:after="0" w:line="240" w:lineRule="auto"/>
        <w:ind w:left="142" w:hanging="142"/>
        <w:jc w:val="both"/>
        <w:rPr>
          <w:bCs/>
          <w:strike/>
          <w:color w:val="000000" w:themeColor="text1"/>
          <w:sz w:val="16"/>
          <w:szCs w:val="16"/>
          <w:lang w:val="en-AU"/>
        </w:rPr>
      </w:pPr>
      <w:r w:rsidRPr="00027CA0">
        <w:rPr>
          <w:bCs/>
          <w:color w:val="000000" w:themeColor="text1"/>
          <w:sz w:val="16"/>
          <w:szCs w:val="16"/>
          <w:lang w:val="en-AU"/>
        </w:rPr>
        <w:t>a </w:t>
      </w:r>
      <w:r w:rsidR="00427DF2" w:rsidRPr="00027CA0">
        <w:rPr>
          <w:bCs/>
          <w:color w:val="000000" w:themeColor="text1"/>
          <w:sz w:val="16"/>
          <w:szCs w:val="16"/>
          <w:lang w:val="en-AU"/>
        </w:rPr>
        <w:t>From and to Poland</w:t>
      </w:r>
      <w:r w:rsidRPr="00027CA0">
        <w:rPr>
          <w:bCs/>
          <w:color w:val="000000" w:themeColor="text1"/>
          <w:sz w:val="16"/>
          <w:szCs w:val="16"/>
          <w:lang w:val="en-AU"/>
        </w:rPr>
        <w:t>.</w:t>
      </w:r>
    </w:p>
    <w:p w14:paraId="64AFB9A5" w14:textId="040F83FD" w:rsidR="009A0C8E" w:rsidRPr="0075420F" w:rsidRDefault="009A0C8E" w:rsidP="008708A7">
      <w:pPr>
        <w:spacing w:before="200" w:line="264" w:lineRule="auto"/>
        <w:rPr>
          <w:szCs w:val="19"/>
          <w:lang w:val="en-AU"/>
        </w:rPr>
      </w:pPr>
      <w:r w:rsidRPr="0075420F">
        <w:rPr>
          <w:szCs w:val="19"/>
          <w:lang w:val="en-AU"/>
        </w:rPr>
        <w:t>Differences in expenses, also in terms of the assortment structure of products, were observed on individual sections of the border both among foreigners as well as Poles. It is associated with the way of travelling,</w:t>
      </w:r>
      <w:r w:rsidR="00DF1588" w:rsidRPr="0075420F">
        <w:rPr>
          <w:szCs w:val="19"/>
          <w:lang w:val="en-AU"/>
        </w:rPr>
        <w:t xml:space="preserve"> purpose of the trip</w:t>
      </w:r>
      <w:r w:rsidR="0075420F" w:rsidRPr="0075420F">
        <w:rPr>
          <w:szCs w:val="19"/>
          <w:lang w:val="en-AU"/>
        </w:rPr>
        <w:t>,</w:t>
      </w:r>
      <w:r w:rsidRPr="0075420F">
        <w:rPr>
          <w:szCs w:val="19"/>
          <w:lang w:val="en-AU"/>
        </w:rPr>
        <w:t xml:space="preserve"> destination, length of stay and profitability of shopping abroad, among other</w:t>
      </w:r>
      <w:r w:rsidR="00927256" w:rsidRPr="0075420F">
        <w:rPr>
          <w:szCs w:val="19"/>
          <w:lang w:val="en-AU"/>
        </w:rPr>
        <w:t xml:space="preserve"> things</w:t>
      </w:r>
      <w:r w:rsidR="00C9497B" w:rsidRPr="0075420F">
        <w:rPr>
          <w:szCs w:val="19"/>
          <w:lang w:val="en-AU"/>
        </w:rPr>
        <w:t>.</w:t>
      </w:r>
    </w:p>
    <w:p w14:paraId="3141EDE9" w14:textId="396B3D83" w:rsidR="009A0C8E" w:rsidRPr="00334AD7" w:rsidRDefault="009A0C8E" w:rsidP="008708A7">
      <w:pPr>
        <w:spacing w:before="0" w:line="264" w:lineRule="auto"/>
        <w:rPr>
          <w:lang w:val="en-AU"/>
        </w:rPr>
      </w:pPr>
      <w:r w:rsidRPr="00334AD7">
        <w:rPr>
          <w:lang w:val="en-AU"/>
        </w:rPr>
        <w:t xml:space="preserve">In the </w:t>
      </w:r>
      <w:r w:rsidR="00AE260F">
        <w:rPr>
          <w:lang w:val="en-AU"/>
        </w:rPr>
        <w:t>2nd</w:t>
      </w:r>
      <w:r w:rsidR="00DF3E67" w:rsidRPr="00334AD7">
        <w:rPr>
          <w:lang w:val="en-AU"/>
        </w:rPr>
        <w:t xml:space="preserve"> </w:t>
      </w:r>
      <w:r w:rsidRPr="00334AD7">
        <w:rPr>
          <w:lang w:val="en-AU"/>
        </w:rPr>
        <w:t>quarter of 202</w:t>
      </w:r>
      <w:r w:rsidR="00334AD7" w:rsidRPr="00334AD7">
        <w:rPr>
          <w:lang w:val="en-AU"/>
        </w:rPr>
        <w:t>2</w:t>
      </w:r>
      <w:r w:rsidR="00A46475" w:rsidRPr="00334AD7">
        <w:rPr>
          <w:lang w:val="en-AU"/>
        </w:rPr>
        <w:t>,</w:t>
      </w:r>
      <w:r w:rsidR="00A259A7" w:rsidRPr="00334AD7">
        <w:rPr>
          <w:lang w:val="en-AU"/>
        </w:rPr>
        <w:t xml:space="preserve"> </w:t>
      </w:r>
      <w:r w:rsidR="00BF0B75" w:rsidRPr="00334AD7">
        <w:rPr>
          <w:lang w:val="en-AU"/>
        </w:rPr>
        <w:t>1</w:t>
      </w:r>
      <w:r w:rsidR="00AE260F">
        <w:rPr>
          <w:lang w:val="en-AU"/>
        </w:rPr>
        <w:t>11</w:t>
      </w:r>
      <w:r w:rsidR="00BF0B75" w:rsidRPr="00334AD7">
        <w:rPr>
          <w:lang w:val="en-AU"/>
        </w:rPr>
        <w:t>.</w:t>
      </w:r>
      <w:r w:rsidR="00AE260F">
        <w:rPr>
          <w:lang w:val="en-AU"/>
        </w:rPr>
        <w:t>9</w:t>
      </w:r>
      <w:r w:rsidR="00A259A7" w:rsidRPr="00334AD7">
        <w:rPr>
          <w:lang w:val="en-AU"/>
        </w:rPr>
        <w:t xml:space="preserve"> thousand crossings </w:t>
      </w:r>
      <w:r w:rsidR="00A46475" w:rsidRPr="00334AD7">
        <w:rPr>
          <w:lang w:val="en-AU"/>
        </w:rPr>
        <w:t xml:space="preserve">of the Polish border with Ukraine made </w:t>
      </w:r>
      <w:r w:rsidR="00A259A7" w:rsidRPr="00334AD7">
        <w:rPr>
          <w:lang w:val="en-AU"/>
        </w:rPr>
        <w:t xml:space="preserve">by foreigners </w:t>
      </w:r>
      <w:r w:rsidRPr="00334AD7">
        <w:rPr>
          <w:lang w:val="en-AU"/>
        </w:rPr>
        <w:t>as part of t</w:t>
      </w:r>
      <w:r w:rsidR="00C9497B" w:rsidRPr="00334AD7">
        <w:rPr>
          <w:lang w:val="en-AU"/>
        </w:rPr>
        <w:t>he local border traffic (MRG)</w:t>
      </w:r>
      <w:r w:rsidR="00A259A7" w:rsidRPr="00334AD7">
        <w:rPr>
          <w:lang w:val="en-AU"/>
        </w:rPr>
        <w:t xml:space="preserve"> </w:t>
      </w:r>
      <w:r w:rsidR="00A46475" w:rsidRPr="00334AD7">
        <w:rPr>
          <w:lang w:val="en-AU"/>
        </w:rPr>
        <w:t>were recorded</w:t>
      </w:r>
      <w:r w:rsidR="00334AD7" w:rsidRPr="00334AD7">
        <w:rPr>
          <w:lang w:val="en-AU"/>
        </w:rPr>
        <w:t>. In the correspondin</w:t>
      </w:r>
      <w:r w:rsidR="00727EFD">
        <w:rPr>
          <w:lang w:val="en-AU"/>
        </w:rPr>
        <w:t>g period of the previous year, 2</w:t>
      </w:r>
      <w:r w:rsidR="00334AD7" w:rsidRPr="00334AD7">
        <w:rPr>
          <w:lang w:val="en-AU"/>
        </w:rPr>
        <w:t xml:space="preserve"> crossing</w:t>
      </w:r>
      <w:r w:rsidR="00727EFD">
        <w:rPr>
          <w:lang w:val="en-AU"/>
        </w:rPr>
        <w:t>s were</w:t>
      </w:r>
      <w:r w:rsidR="00334AD7" w:rsidRPr="00334AD7">
        <w:rPr>
          <w:lang w:val="en-AU"/>
        </w:rPr>
        <w:t xml:space="preserve"> recorded, and in the </w:t>
      </w:r>
      <w:r w:rsidR="00727EFD">
        <w:rPr>
          <w:lang w:val="en-AU"/>
        </w:rPr>
        <w:t>1s</w:t>
      </w:r>
      <w:r w:rsidR="002B026A">
        <w:rPr>
          <w:lang w:val="en-AU"/>
        </w:rPr>
        <w:t>t</w:t>
      </w:r>
      <w:r w:rsidR="00334AD7" w:rsidRPr="00334AD7">
        <w:rPr>
          <w:lang w:val="en-AU"/>
        </w:rPr>
        <w:t xml:space="preserve"> quarter of 202</w:t>
      </w:r>
      <w:r w:rsidR="00727EFD">
        <w:rPr>
          <w:lang w:val="en-AU"/>
        </w:rPr>
        <w:t>2</w:t>
      </w:r>
      <w:r w:rsidR="00334AD7" w:rsidRPr="00334AD7">
        <w:rPr>
          <w:lang w:val="en-AU"/>
        </w:rPr>
        <w:t xml:space="preserve"> - 1</w:t>
      </w:r>
      <w:r w:rsidR="00727EFD">
        <w:rPr>
          <w:lang w:val="en-AU"/>
        </w:rPr>
        <w:t>07.2</w:t>
      </w:r>
      <w:r w:rsidR="006F4D72">
        <w:rPr>
          <w:lang w:val="en-AU"/>
        </w:rPr>
        <w:t> </w:t>
      </w:r>
      <w:r w:rsidR="00334AD7" w:rsidRPr="00334AD7">
        <w:rPr>
          <w:lang w:val="en-AU"/>
        </w:rPr>
        <w:t xml:space="preserve">thousand. </w:t>
      </w:r>
      <w:r w:rsidR="00200A48" w:rsidRPr="00334AD7">
        <w:rPr>
          <w:lang w:val="en-AU"/>
        </w:rPr>
        <w:t>The value of expenses incurred by foreigners</w:t>
      </w:r>
      <w:r w:rsidR="00043C5E" w:rsidRPr="00334AD7">
        <w:rPr>
          <w:lang w:val="en-AU"/>
        </w:rPr>
        <w:t xml:space="preserve"> </w:t>
      </w:r>
      <w:r w:rsidR="00200A48" w:rsidRPr="00334AD7">
        <w:rPr>
          <w:lang w:val="en-AU"/>
        </w:rPr>
        <w:t xml:space="preserve">crossing the border under the MRG regime </w:t>
      </w:r>
      <w:r w:rsidR="005C1122" w:rsidRPr="00334AD7">
        <w:rPr>
          <w:lang w:val="en-AU"/>
        </w:rPr>
        <w:t xml:space="preserve">in the </w:t>
      </w:r>
      <w:r w:rsidR="00727EFD">
        <w:rPr>
          <w:lang w:val="en-AU"/>
        </w:rPr>
        <w:t>2nd</w:t>
      </w:r>
      <w:r w:rsidR="005C1122" w:rsidRPr="00334AD7">
        <w:rPr>
          <w:lang w:val="en-AU"/>
        </w:rPr>
        <w:t xml:space="preserve"> quarter of 202</w:t>
      </w:r>
      <w:r w:rsidR="00334AD7" w:rsidRPr="00334AD7">
        <w:rPr>
          <w:lang w:val="en-AU"/>
        </w:rPr>
        <w:t>2</w:t>
      </w:r>
      <w:r w:rsidR="005C1122" w:rsidRPr="00334AD7">
        <w:rPr>
          <w:lang w:val="en-AU"/>
        </w:rPr>
        <w:t xml:space="preserve"> </w:t>
      </w:r>
      <w:r w:rsidR="00200A48" w:rsidRPr="00334AD7">
        <w:rPr>
          <w:lang w:val="en-AU"/>
        </w:rPr>
        <w:t xml:space="preserve">amounted to PLN </w:t>
      </w:r>
      <w:r w:rsidR="00727EFD">
        <w:rPr>
          <w:lang w:val="en-AU"/>
        </w:rPr>
        <w:t>42</w:t>
      </w:r>
      <w:r w:rsidR="00200A48" w:rsidRPr="00334AD7">
        <w:rPr>
          <w:lang w:val="en-AU"/>
        </w:rPr>
        <w:t>.</w:t>
      </w:r>
      <w:r w:rsidR="00334AD7" w:rsidRPr="00334AD7">
        <w:rPr>
          <w:lang w:val="en-AU"/>
        </w:rPr>
        <w:t>6</w:t>
      </w:r>
      <w:r w:rsidR="00200A48" w:rsidRPr="00334AD7">
        <w:rPr>
          <w:lang w:val="en-AU"/>
        </w:rPr>
        <w:t xml:space="preserve"> million.</w:t>
      </w:r>
    </w:p>
    <w:p w14:paraId="1496B0A3" w14:textId="6DBFE49D" w:rsidR="00524BA5" w:rsidRPr="008F07A8" w:rsidRDefault="00524BA5" w:rsidP="00F81D9F">
      <w:pPr>
        <w:spacing w:before="240" w:line="240" w:lineRule="auto"/>
        <w:rPr>
          <w:lang w:val="en-AU"/>
        </w:rPr>
      </w:pPr>
      <w:r w:rsidRPr="0099540B">
        <w:rPr>
          <w:rFonts w:cs="Arial"/>
          <w:b/>
          <w:szCs w:val="19"/>
          <w:lang w:val="en-AU"/>
        </w:rPr>
        <w:t>Chart 3. Local border traffic of foreigners on the Polish-Ukrainian border</w:t>
      </w:r>
      <w:r w:rsidR="001A019F">
        <w:rPr>
          <w:rFonts w:cs="Arial"/>
          <w:b/>
          <w:szCs w:val="19"/>
          <w:lang w:val="en-AU"/>
        </w:rPr>
        <w:t xml:space="preserve"> by quarters</w:t>
      </w:r>
    </w:p>
    <w:p w14:paraId="00ADF5E9" w14:textId="3172993C" w:rsidR="009A0C8E" w:rsidRDefault="00922225" w:rsidP="00524BA5">
      <w:pPr>
        <w:pStyle w:val="Nagwek1"/>
        <w:spacing w:before="0" w:after="0"/>
        <w:rPr>
          <w:rFonts w:ascii="Fira Sans" w:hAnsi="Fira Sans" w:cs="Arial"/>
          <w:b/>
          <w:color w:val="auto"/>
          <w:szCs w:val="19"/>
          <w:lang w:val="en-AU"/>
        </w:rPr>
      </w:pPr>
      <w:r w:rsidRPr="00514B66">
        <w:rPr>
          <w:noProof/>
        </w:rPr>
        <w:drawing>
          <wp:inline distT="0" distB="0" distL="0" distR="0" wp14:anchorId="67ED2177" wp14:editId="16CC6D5F">
            <wp:extent cx="5122545" cy="2102847"/>
            <wp:effectExtent l="0" t="0" r="1905" b="0"/>
            <wp:docPr id="23" name="Obraz 23" descr="Chart 3. Values of expenditure and volume of border traffic of foreigners under the local border traffic on the Polish-Ukrainian border in individual quarters of the years from 2010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2102847"/>
                    </a:xfrm>
                    <a:prstGeom prst="rect">
                      <a:avLst/>
                    </a:prstGeom>
                    <a:noFill/>
                    <a:ln>
                      <a:noFill/>
                    </a:ln>
                  </pic:spPr>
                </pic:pic>
              </a:graphicData>
            </a:graphic>
          </wp:inline>
        </w:drawing>
      </w:r>
    </w:p>
    <w:p w14:paraId="146D4F7E" w14:textId="77777777" w:rsidR="00922225" w:rsidRPr="00922225" w:rsidRDefault="00922225" w:rsidP="00922225">
      <w:pPr>
        <w:rPr>
          <w:lang w:val="en-AU" w:eastAsia="pl-PL"/>
        </w:rPr>
      </w:pPr>
    </w:p>
    <w:p w14:paraId="65131B68" w14:textId="40D68DA4" w:rsidR="009A0C8E" w:rsidRPr="008F07A8" w:rsidRDefault="009A0C8E" w:rsidP="000F2CA5">
      <w:pPr>
        <w:spacing w:before="360" w:line="240" w:lineRule="auto"/>
        <w:rPr>
          <w:b/>
          <w:color w:val="001D77"/>
          <w:lang w:val="en-AU"/>
        </w:rPr>
      </w:pPr>
      <w:r w:rsidRPr="008F07A8">
        <w:rPr>
          <w:b/>
          <w:color w:val="001D77"/>
          <w:lang w:val="en-AU"/>
        </w:rPr>
        <w:t>Delimitation of the land border impact area</w:t>
      </w:r>
    </w:p>
    <w:p w14:paraId="1D5BE8B9" w14:textId="1C60F12D" w:rsidR="008A697D" w:rsidRPr="006154D3" w:rsidRDefault="009A0C8E" w:rsidP="00F77D28">
      <w:pPr>
        <w:pStyle w:val="Tekstpodstawowy"/>
        <w:tabs>
          <w:tab w:val="left" w:pos="709"/>
        </w:tabs>
        <w:overflowPunct w:val="0"/>
        <w:autoSpaceDE w:val="0"/>
        <w:autoSpaceDN w:val="0"/>
        <w:adjustRightInd w:val="0"/>
        <w:spacing w:after="120" w:line="288" w:lineRule="auto"/>
        <w:jc w:val="left"/>
        <w:textAlignment w:val="baseline"/>
        <w:rPr>
          <w:rFonts w:ascii="Fira Sans" w:hAnsi="Fira Sans"/>
          <w:spacing w:val="-2"/>
          <w:sz w:val="19"/>
          <w:szCs w:val="19"/>
          <w:lang w:val="en-AU"/>
        </w:rPr>
      </w:pPr>
      <w:r w:rsidRPr="006154D3">
        <w:rPr>
          <w:rFonts w:ascii="Fira Sans" w:hAnsi="Fira Sans"/>
          <w:spacing w:val="-2"/>
          <w:sz w:val="19"/>
          <w:szCs w:val="19"/>
          <w:lang w:val="en-AU"/>
        </w:rPr>
        <w:t xml:space="preserve">The results of the surveys conducted in the </w:t>
      </w:r>
      <w:r w:rsidR="00524334">
        <w:rPr>
          <w:rFonts w:ascii="Fira Sans" w:hAnsi="Fira Sans"/>
          <w:spacing w:val="-2"/>
          <w:sz w:val="19"/>
          <w:szCs w:val="19"/>
          <w:lang w:val="en-AU"/>
        </w:rPr>
        <w:t>2nd</w:t>
      </w:r>
      <w:r w:rsidRPr="006154D3">
        <w:rPr>
          <w:rFonts w:ascii="Fira Sans" w:hAnsi="Fira Sans"/>
          <w:spacing w:val="-2"/>
          <w:sz w:val="19"/>
          <w:szCs w:val="19"/>
          <w:lang w:val="en-AU"/>
        </w:rPr>
        <w:t xml:space="preserve"> quarter of 202</w:t>
      </w:r>
      <w:r w:rsidR="00915F32" w:rsidRPr="006154D3">
        <w:rPr>
          <w:rFonts w:ascii="Fira Sans" w:hAnsi="Fira Sans"/>
          <w:spacing w:val="-2"/>
          <w:sz w:val="19"/>
          <w:szCs w:val="19"/>
          <w:lang w:val="en-AU"/>
        </w:rPr>
        <w:t>2</w:t>
      </w:r>
      <w:r w:rsidRPr="006154D3">
        <w:rPr>
          <w:rFonts w:ascii="Fira Sans" w:hAnsi="Fira Sans"/>
          <w:spacing w:val="-2"/>
          <w:sz w:val="19"/>
          <w:szCs w:val="19"/>
          <w:lang w:val="en-AU"/>
        </w:rPr>
        <w:t xml:space="preserve"> show that both foreigners and Poles crossing the Polish land border were mostly residents of the villages located at a distance </w:t>
      </w:r>
      <w:r w:rsidR="00FE705B" w:rsidRPr="006154D3">
        <w:rPr>
          <w:rFonts w:ascii="Fira Sans" w:hAnsi="Fira Sans"/>
          <w:spacing w:val="-2"/>
          <w:sz w:val="19"/>
          <w:szCs w:val="19"/>
          <w:lang w:val="en-AU"/>
        </w:rPr>
        <w:t xml:space="preserve">of </w:t>
      </w:r>
      <w:r w:rsidRPr="006154D3">
        <w:rPr>
          <w:rFonts w:ascii="Fira Sans" w:hAnsi="Fira Sans"/>
          <w:spacing w:val="-2"/>
          <w:sz w:val="19"/>
          <w:szCs w:val="19"/>
          <w:lang w:val="en-AU"/>
        </w:rPr>
        <w:t xml:space="preserve">up to 50 km from the border </w:t>
      </w:r>
      <w:r w:rsidR="008A697D" w:rsidRPr="006154D3">
        <w:rPr>
          <w:rFonts w:ascii="Fira Sans" w:hAnsi="Fira Sans"/>
          <w:spacing w:val="-2"/>
          <w:sz w:val="19"/>
          <w:szCs w:val="19"/>
          <w:lang w:val="en-AU"/>
        </w:rPr>
        <w:t>–</w:t>
      </w:r>
      <w:r w:rsidR="00CF70C1" w:rsidRPr="006154D3">
        <w:rPr>
          <w:rFonts w:ascii="Fira Sans" w:hAnsi="Fira Sans"/>
          <w:spacing w:val="-2"/>
          <w:sz w:val="19"/>
          <w:szCs w:val="19"/>
          <w:lang w:val="en-AU"/>
        </w:rPr>
        <w:t xml:space="preserve"> </w:t>
      </w:r>
      <w:r w:rsidR="00524334">
        <w:rPr>
          <w:rFonts w:ascii="Fira Sans" w:hAnsi="Fira Sans"/>
          <w:spacing w:val="-2"/>
          <w:sz w:val="19"/>
          <w:szCs w:val="19"/>
          <w:lang w:val="en-AU"/>
        </w:rPr>
        <w:t>71</w:t>
      </w:r>
      <w:r w:rsidR="006B7AD7" w:rsidRPr="006154D3">
        <w:rPr>
          <w:rFonts w:ascii="Fira Sans" w:hAnsi="Fira Sans"/>
          <w:spacing w:val="-2"/>
          <w:sz w:val="19"/>
          <w:szCs w:val="19"/>
          <w:lang w:val="en-AU"/>
        </w:rPr>
        <w:t>.</w:t>
      </w:r>
      <w:r w:rsidR="006154D3" w:rsidRPr="006154D3">
        <w:rPr>
          <w:rFonts w:ascii="Fira Sans" w:hAnsi="Fira Sans"/>
          <w:spacing w:val="-2"/>
          <w:sz w:val="19"/>
          <w:szCs w:val="19"/>
          <w:lang w:val="en-AU"/>
        </w:rPr>
        <w:t>2</w:t>
      </w:r>
      <w:r w:rsidRPr="006154D3">
        <w:rPr>
          <w:rFonts w:ascii="Fira Sans" w:hAnsi="Fira Sans"/>
          <w:spacing w:val="-2"/>
          <w:sz w:val="19"/>
          <w:szCs w:val="19"/>
          <w:lang w:val="en-AU"/>
        </w:rPr>
        <w:t>%</w:t>
      </w:r>
      <w:r w:rsidR="006B7AD7" w:rsidRPr="006154D3">
        <w:rPr>
          <w:rFonts w:ascii="Fira Sans" w:hAnsi="Fira Sans"/>
          <w:spacing w:val="-2"/>
          <w:sz w:val="19"/>
          <w:szCs w:val="19"/>
          <w:lang w:val="en-AU"/>
        </w:rPr>
        <w:t xml:space="preserve"> </w:t>
      </w:r>
      <w:r w:rsidRPr="006154D3">
        <w:rPr>
          <w:rFonts w:ascii="Fira Sans" w:hAnsi="Fira Sans"/>
          <w:spacing w:val="-2"/>
          <w:sz w:val="19"/>
          <w:szCs w:val="19"/>
          <w:lang w:val="en-AU"/>
        </w:rPr>
        <w:t xml:space="preserve">foreigners and </w:t>
      </w:r>
      <w:r w:rsidR="00892BBA" w:rsidRPr="006154D3">
        <w:rPr>
          <w:rFonts w:ascii="Fira Sans" w:hAnsi="Fira Sans"/>
          <w:spacing w:val="-2"/>
          <w:sz w:val="19"/>
          <w:szCs w:val="19"/>
          <w:lang w:val="en-AU"/>
        </w:rPr>
        <w:t>7</w:t>
      </w:r>
      <w:r w:rsidR="006154D3" w:rsidRPr="006154D3">
        <w:rPr>
          <w:rFonts w:ascii="Fira Sans" w:hAnsi="Fira Sans"/>
          <w:spacing w:val="-2"/>
          <w:sz w:val="19"/>
          <w:szCs w:val="19"/>
          <w:lang w:val="en-AU"/>
        </w:rPr>
        <w:t>3</w:t>
      </w:r>
      <w:r w:rsidR="008571EC" w:rsidRPr="006154D3">
        <w:rPr>
          <w:rFonts w:ascii="Fira Sans" w:hAnsi="Fira Sans"/>
          <w:spacing w:val="-2"/>
          <w:sz w:val="19"/>
          <w:szCs w:val="19"/>
          <w:lang w:val="en-AU"/>
        </w:rPr>
        <w:t>.</w:t>
      </w:r>
      <w:r w:rsidR="00524334">
        <w:rPr>
          <w:rFonts w:ascii="Fira Sans" w:hAnsi="Fira Sans"/>
          <w:spacing w:val="-2"/>
          <w:sz w:val="19"/>
          <w:szCs w:val="19"/>
          <w:lang w:val="en-AU"/>
        </w:rPr>
        <w:t>0</w:t>
      </w:r>
      <w:r w:rsidRPr="006154D3">
        <w:rPr>
          <w:rFonts w:ascii="Fira Sans" w:hAnsi="Fira Sans"/>
          <w:spacing w:val="-2"/>
          <w:sz w:val="19"/>
          <w:szCs w:val="19"/>
          <w:lang w:val="en-AU"/>
        </w:rPr>
        <w:t>% Poles, with</w:t>
      </w:r>
      <w:r w:rsidR="00CF70C1" w:rsidRPr="006154D3">
        <w:rPr>
          <w:rFonts w:ascii="Fira Sans" w:hAnsi="Fira Sans"/>
          <w:spacing w:val="-2"/>
          <w:sz w:val="19"/>
          <w:szCs w:val="19"/>
          <w:lang w:val="en-AU"/>
        </w:rPr>
        <w:t xml:space="preserve"> </w:t>
      </w:r>
      <w:r w:rsidR="00524334">
        <w:rPr>
          <w:rFonts w:ascii="Fira Sans" w:hAnsi="Fira Sans"/>
          <w:spacing w:val="-2"/>
          <w:sz w:val="19"/>
          <w:szCs w:val="19"/>
          <w:lang w:val="en-AU"/>
        </w:rPr>
        <w:t>53</w:t>
      </w:r>
      <w:r w:rsidR="006B7AD7" w:rsidRPr="006154D3">
        <w:rPr>
          <w:rFonts w:ascii="Fira Sans" w:hAnsi="Fira Sans"/>
          <w:spacing w:val="-2"/>
          <w:sz w:val="19"/>
          <w:szCs w:val="19"/>
          <w:lang w:val="en-AU"/>
        </w:rPr>
        <w:t>.</w:t>
      </w:r>
      <w:r w:rsidR="00524334">
        <w:rPr>
          <w:rFonts w:ascii="Fira Sans" w:hAnsi="Fira Sans"/>
          <w:spacing w:val="-2"/>
          <w:sz w:val="19"/>
          <w:szCs w:val="19"/>
          <w:lang w:val="en-AU"/>
        </w:rPr>
        <w:t>7</w:t>
      </w:r>
      <w:r w:rsidRPr="006154D3">
        <w:rPr>
          <w:rFonts w:ascii="Fira Sans" w:hAnsi="Fira Sans"/>
          <w:spacing w:val="-2"/>
          <w:sz w:val="19"/>
          <w:szCs w:val="19"/>
          <w:lang w:val="en-AU"/>
        </w:rPr>
        <w:t xml:space="preserve">% of foreigners and </w:t>
      </w:r>
      <w:r w:rsidR="00524334">
        <w:rPr>
          <w:rFonts w:ascii="Fira Sans" w:hAnsi="Fira Sans"/>
          <w:spacing w:val="-2"/>
          <w:sz w:val="19"/>
          <w:szCs w:val="19"/>
          <w:lang w:val="en-AU"/>
        </w:rPr>
        <w:t>59</w:t>
      </w:r>
      <w:r w:rsidR="006B7AD7" w:rsidRPr="006154D3">
        <w:rPr>
          <w:rFonts w:ascii="Fira Sans" w:hAnsi="Fira Sans"/>
          <w:spacing w:val="-2"/>
          <w:sz w:val="19"/>
          <w:szCs w:val="19"/>
          <w:lang w:val="en-AU"/>
        </w:rPr>
        <w:t>.</w:t>
      </w:r>
      <w:r w:rsidR="006154D3" w:rsidRPr="006154D3">
        <w:rPr>
          <w:rFonts w:ascii="Fira Sans" w:hAnsi="Fira Sans"/>
          <w:spacing w:val="-2"/>
          <w:sz w:val="19"/>
          <w:szCs w:val="19"/>
          <w:lang w:val="en-AU"/>
        </w:rPr>
        <w:t>5</w:t>
      </w:r>
      <w:r w:rsidRPr="006154D3">
        <w:rPr>
          <w:rFonts w:ascii="Fira Sans" w:hAnsi="Fira Sans"/>
          <w:spacing w:val="-2"/>
          <w:sz w:val="19"/>
          <w:szCs w:val="19"/>
          <w:lang w:val="en-AU"/>
        </w:rPr>
        <w:t>% Poles living in the area up to 30 km from the border</w:t>
      </w:r>
      <w:r w:rsidR="008A697D" w:rsidRPr="006154D3">
        <w:rPr>
          <w:rFonts w:ascii="Fira Sans" w:hAnsi="Fira Sans"/>
          <w:spacing w:val="-2"/>
          <w:sz w:val="19"/>
          <w:szCs w:val="19"/>
          <w:lang w:val="en-AU"/>
        </w:rPr>
        <w:t>.</w:t>
      </w:r>
    </w:p>
    <w:p w14:paraId="59697976" w14:textId="68D563A8" w:rsidR="009A0C8E" w:rsidRPr="0099540B" w:rsidRDefault="0065792B" w:rsidP="000F2CA5">
      <w:pPr>
        <w:tabs>
          <w:tab w:val="left" w:pos="840"/>
        </w:tabs>
        <w:spacing w:before="360" w:line="240" w:lineRule="auto"/>
        <w:ind w:left="595" w:hanging="595"/>
        <w:rPr>
          <w:rFonts w:eastAsia="Times New Roman" w:cs="Arial"/>
          <w:b/>
          <w:bCs/>
          <w:spacing w:val="-2"/>
          <w:szCs w:val="19"/>
          <w:lang w:val="en-AU" w:eastAsia="pl-PL"/>
        </w:rPr>
      </w:pPr>
      <w:r w:rsidRPr="0099540B">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292FEDB1">
                <wp:simplePos x="0" y="0"/>
                <wp:positionH relativeFrom="column">
                  <wp:posOffset>5236210</wp:posOffset>
                </wp:positionH>
                <wp:positionV relativeFrom="paragraph">
                  <wp:posOffset>59994</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C43E9E" w:rsidRPr="00631237" w:rsidRDefault="00C43E9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0" type="#_x0000_t202" alt="Both foreigners and Poles crossing the Polish land border were most often resi-dents of places located up to 50 km from the border" style="position:absolute;left:0;text-align:left;margin-left:412.3pt;margin-top:4.7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" filled="f" stroked="f">
                <v:textbox inset=",0,,0">
                  <w:txbxContent>
                    <w:p w14:paraId="37DB388F" w14:textId="646529E8" w:rsidR="00C43E9E" w:rsidRPr="00631237" w:rsidRDefault="00C43E9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99540B">
        <w:rPr>
          <w:rFonts w:eastAsia="Times New Roman" w:cs="Arial"/>
          <w:b/>
          <w:spacing w:val="-2"/>
          <w:szCs w:val="19"/>
          <w:lang w:val="en-AU" w:eastAsia="pl-PL"/>
        </w:rPr>
        <w:t>Map 2. Range of impact of the border on the basis of crossing the sections of the border</w:t>
      </w:r>
      <w:r w:rsidR="009A0C8E" w:rsidRPr="0099540B">
        <w:rPr>
          <w:rFonts w:eastAsia="Times New Roman" w:cs="Arial"/>
          <w:b/>
          <w:spacing w:val="-2"/>
          <w:szCs w:val="19"/>
          <w:lang w:val="en-AU" w:eastAsia="pl-PL"/>
        </w:rPr>
        <w:br/>
        <w:t xml:space="preserve">by foreigners in the </w:t>
      </w:r>
      <w:r w:rsidR="00524334">
        <w:rPr>
          <w:rFonts w:eastAsia="Times New Roman" w:cs="Arial"/>
          <w:b/>
          <w:spacing w:val="-2"/>
          <w:szCs w:val="19"/>
          <w:lang w:val="en-AU" w:eastAsia="pl-PL"/>
        </w:rPr>
        <w:t>2nd</w:t>
      </w:r>
      <w:r w:rsidR="009A0C8E" w:rsidRPr="0099540B">
        <w:rPr>
          <w:rFonts w:eastAsia="Times New Roman" w:cs="Arial"/>
          <w:b/>
          <w:spacing w:val="-2"/>
          <w:szCs w:val="19"/>
          <w:lang w:val="en-AU" w:eastAsia="pl-PL"/>
        </w:rPr>
        <w:t xml:space="preserve"> </w:t>
      </w:r>
      <w:r w:rsidR="009A0C8E" w:rsidRPr="0099540B">
        <w:rPr>
          <w:rFonts w:eastAsia="Times New Roman" w:cs="Arial"/>
          <w:b/>
          <w:bCs/>
          <w:spacing w:val="-2"/>
          <w:szCs w:val="19"/>
          <w:lang w:val="en-AU" w:eastAsia="pl-PL"/>
        </w:rPr>
        <w:t>quarter of 202</w:t>
      </w:r>
      <w:r w:rsidR="00D54CB8">
        <w:rPr>
          <w:rFonts w:eastAsia="Times New Roman" w:cs="Arial"/>
          <w:b/>
          <w:bCs/>
          <w:spacing w:val="-2"/>
          <w:szCs w:val="19"/>
          <w:lang w:val="en-AU" w:eastAsia="pl-PL"/>
        </w:rPr>
        <w:t>2</w:t>
      </w:r>
    </w:p>
    <w:p w14:paraId="69FBCF81" w14:textId="1D96A72A" w:rsidR="008A697D" w:rsidRPr="008F07A8" w:rsidRDefault="00514B66" w:rsidP="001B6ABA">
      <w:pPr>
        <w:tabs>
          <w:tab w:val="left" w:pos="840"/>
        </w:tabs>
        <w:spacing w:before="0" w:after="0" w:line="240" w:lineRule="auto"/>
        <w:ind w:left="652" w:hanging="652"/>
        <w:jc w:val="center"/>
        <w:rPr>
          <w:rFonts w:eastAsia="Times New Roman" w:cs="Arial"/>
          <w:b/>
          <w:sz w:val="18"/>
          <w:szCs w:val="18"/>
          <w:lang w:val="en-AU" w:eastAsia="pl-PL"/>
        </w:rPr>
      </w:pPr>
      <w:r w:rsidRPr="00514B66">
        <w:rPr>
          <w:noProof/>
          <w:lang w:eastAsia="pl-PL"/>
        </w:rPr>
        <w:drawing>
          <wp:inline distT="0" distB="0" distL="0" distR="0" wp14:anchorId="6B9F35AF" wp14:editId="355BA810">
            <wp:extent cx="4505325" cy="2819400"/>
            <wp:effectExtent l="0" t="0" r="9525" b="0"/>
            <wp:docPr id="25" name="Obraz 25" descr="Map 2. Structure of distance from the border of place of residence and place of purchase by foreigners in the 2nd quarter 2022 by border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5325" cy="2819400"/>
                    </a:xfrm>
                    <a:prstGeom prst="rect">
                      <a:avLst/>
                    </a:prstGeom>
                    <a:noFill/>
                    <a:ln>
                      <a:noFill/>
                    </a:ln>
                  </pic:spPr>
                </pic:pic>
              </a:graphicData>
            </a:graphic>
          </wp:inline>
        </w:drawing>
      </w:r>
    </w:p>
    <w:p w14:paraId="7C5480F2" w14:textId="61CB9C36" w:rsidR="008A697D" w:rsidRPr="00BD03C1" w:rsidRDefault="00DA69C4" w:rsidP="00F77D28">
      <w:pPr>
        <w:tabs>
          <w:tab w:val="left" w:pos="0"/>
        </w:tabs>
        <w:spacing w:before="240" w:line="288" w:lineRule="auto"/>
        <w:rPr>
          <w:rFonts w:eastAsia="Times New Roman" w:cs="Times New Roman"/>
          <w:szCs w:val="19"/>
          <w:lang w:val="en-AU" w:eastAsia="pl-PL"/>
        </w:rPr>
      </w:pPr>
      <w:r w:rsidRPr="00BD03C1">
        <w:rPr>
          <w:rFonts w:eastAsia="Times New Roman" w:cs="Times New Roman"/>
          <w:szCs w:val="19"/>
          <w:lang w:val="en-AU" w:eastAsia="pl-PL"/>
        </w:rPr>
        <w:t xml:space="preserve">As to the external border of the European Union in Poland, </w:t>
      </w:r>
      <w:r w:rsidR="00524334">
        <w:rPr>
          <w:rFonts w:eastAsia="Times New Roman" w:cs="Times New Roman"/>
          <w:szCs w:val="19"/>
          <w:lang w:val="en-AU" w:eastAsia="pl-PL"/>
        </w:rPr>
        <w:t>52</w:t>
      </w:r>
      <w:r w:rsidRPr="00BD03C1">
        <w:rPr>
          <w:rFonts w:eastAsia="Times New Roman" w:cs="Times New Roman"/>
          <w:szCs w:val="19"/>
          <w:lang w:val="en-AU" w:eastAsia="pl-PL"/>
        </w:rPr>
        <w:t>.</w:t>
      </w:r>
      <w:r w:rsidR="00524334">
        <w:rPr>
          <w:rFonts w:eastAsia="Times New Roman" w:cs="Times New Roman"/>
          <w:szCs w:val="19"/>
          <w:lang w:val="en-AU" w:eastAsia="pl-PL"/>
        </w:rPr>
        <w:t>4</w:t>
      </w:r>
      <w:r w:rsidRPr="00BD03C1">
        <w:rPr>
          <w:rFonts w:eastAsia="Times New Roman" w:cs="Times New Roman"/>
          <w:szCs w:val="19"/>
          <w:lang w:val="en-AU" w:eastAsia="pl-PL"/>
        </w:rPr>
        <w:t xml:space="preserve">% of foreigners and </w:t>
      </w:r>
      <w:r w:rsidR="00524334">
        <w:rPr>
          <w:rFonts w:eastAsia="Times New Roman" w:cs="Times New Roman"/>
          <w:szCs w:val="19"/>
          <w:lang w:val="en-AU" w:eastAsia="pl-PL"/>
        </w:rPr>
        <w:t>67</w:t>
      </w:r>
      <w:r w:rsidRPr="00BD03C1">
        <w:rPr>
          <w:rFonts w:eastAsia="Times New Roman" w:cs="Times New Roman"/>
          <w:szCs w:val="19"/>
          <w:lang w:val="en-AU" w:eastAsia="pl-PL"/>
        </w:rPr>
        <w:t>.</w:t>
      </w:r>
      <w:r w:rsidR="00524334">
        <w:rPr>
          <w:rFonts w:eastAsia="Times New Roman" w:cs="Times New Roman"/>
          <w:szCs w:val="19"/>
          <w:lang w:val="en-AU" w:eastAsia="pl-PL"/>
        </w:rPr>
        <w:t>7</w:t>
      </w:r>
      <w:r w:rsidRPr="00BD03C1">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CF77A9" w:rsidRPr="00BD03C1">
        <w:rPr>
          <w:rFonts w:eastAsia="Times New Roman" w:cs="Times New Roman"/>
          <w:szCs w:val="19"/>
          <w:lang w:val="en-AU" w:eastAsia="pl-PL"/>
        </w:rPr>
        <w:t>7</w:t>
      </w:r>
      <w:r w:rsidR="00524334">
        <w:rPr>
          <w:rFonts w:eastAsia="Times New Roman" w:cs="Times New Roman"/>
          <w:szCs w:val="19"/>
          <w:lang w:val="en-AU" w:eastAsia="pl-PL"/>
        </w:rPr>
        <w:t>4</w:t>
      </w:r>
      <w:r w:rsidRPr="00BD03C1">
        <w:rPr>
          <w:rFonts w:eastAsia="Times New Roman" w:cs="Times New Roman"/>
          <w:szCs w:val="19"/>
          <w:lang w:val="en-AU" w:eastAsia="pl-PL"/>
        </w:rPr>
        <w:t>.</w:t>
      </w:r>
      <w:r w:rsidR="00524334">
        <w:rPr>
          <w:rFonts w:eastAsia="Times New Roman" w:cs="Times New Roman"/>
          <w:szCs w:val="19"/>
          <w:lang w:val="en-AU" w:eastAsia="pl-PL"/>
        </w:rPr>
        <w:t>0</w:t>
      </w:r>
      <w:r w:rsidRPr="00BD03C1">
        <w:rPr>
          <w:rFonts w:eastAsia="Times New Roman" w:cs="Times New Roman"/>
          <w:szCs w:val="19"/>
          <w:lang w:val="en-AU" w:eastAsia="pl-PL"/>
        </w:rPr>
        <w:t xml:space="preserve">% and </w:t>
      </w:r>
      <w:r w:rsidR="00CF77A9" w:rsidRPr="00BD03C1">
        <w:rPr>
          <w:rFonts w:eastAsia="Times New Roman" w:cs="Times New Roman"/>
          <w:szCs w:val="19"/>
          <w:lang w:val="en-AU" w:eastAsia="pl-PL"/>
        </w:rPr>
        <w:t>7</w:t>
      </w:r>
      <w:r w:rsidR="00BD03C1" w:rsidRPr="00BD03C1">
        <w:rPr>
          <w:rFonts w:eastAsia="Times New Roman" w:cs="Times New Roman"/>
          <w:szCs w:val="19"/>
          <w:lang w:val="en-AU" w:eastAsia="pl-PL"/>
        </w:rPr>
        <w:t>3</w:t>
      </w:r>
      <w:r w:rsidRPr="00BD03C1">
        <w:rPr>
          <w:rFonts w:eastAsia="Times New Roman" w:cs="Times New Roman"/>
          <w:szCs w:val="19"/>
          <w:lang w:val="en-AU" w:eastAsia="pl-PL"/>
        </w:rPr>
        <w:t>.</w:t>
      </w:r>
      <w:r w:rsidR="00BD03C1" w:rsidRPr="00BD03C1">
        <w:rPr>
          <w:rFonts w:eastAsia="Times New Roman" w:cs="Times New Roman"/>
          <w:szCs w:val="19"/>
          <w:lang w:val="en-AU" w:eastAsia="pl-PL"/>
        </w:rPr>
        <w:t>1</w:t>
      </w:r>
      <w:r w:rsidRPr="00BD03C1">
        <w:rPr>
          <w:rFonts w:eastAsia="Times New Roman" w:cs="Times New Roman"/>
          <w:szCs w:val="19"/>
          <w:lang w:val="en-AU" w:eastAsia="pl-PL"/>
        </w:rPr>
        <w:t>% respectively.</w:t>
      </w:r>
    </w:p>
    <w:p w14:paraId="17ACF354" w14:textId="319F231E" w:rsidR="00DA69C4" w:rsidRPr="0099540B" w:rsidRDefault="0048604D" w:rsidP="000F2CA5">
      <w:pPr>
        <w:tabs>
          <w:tab w:val="left" w:pos="840"/>
        </w:tabs>
        <w:spacing w:before="360" w:line="240" w:lineRule="auto"/>
        <w:ind w:left="624" w:hanging="624"/>
        <w:rPr>
          <w:rFonts w:eastAsia="Times New Roman" w:cs="Arial"/>
          <w:b/>
          <w:bCs/>
          <w:szCs w:val="19"/>
          <w:lang w:val="en-AU" w:eastAsia="pl-PL"/>
        </w:rPr>
      </w:pPr>
      <w:r w:rsidRPr="0099540B">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4E3D17AA">
                <wp:simplePos x="0" y="0"/>
                <wp:positionH relativeFrom="page">
                  <wp:posOffset>5716905</wp:posOffset>
                </wp:positionH>
                <wp:positionV relativeFrom="paragraph">
                  <wp:posOffset>82550</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C43E9E" w:rsidRPr="00631237" w:rsidRDefault="00C43E9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1" type="#_x0000_t202" alt="The majority of both foreigners and Poles crossing the Polish land border made purchases within 50 km from the border" style="position:absolute;left:0;text-align:left;margin-left:450.15pt;margin-top:6.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" filled="f" stroked="f">
                <v:textbox inset=",0,2mm,0">
                  <w:txbxContent>
                    <w:p w14:paraId="5D16A280" w14:textId="2AF37ADA" w:rsidR="00C43E9E" w:rsidRPr="00631237" w:rsidRDefault="00C43E9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DA69C4" w:rsidRPr="0099540B">
        <w:rPr>
          <w:rFonts w:eastAsia="Times New Roman" w:cs="Arial"/>
          <w:b/>
          <w:bCs/>
          <w:szCs w:val="19"/>
          <w:lang w:val="en-AU" w:eastAsia="pl-PL"/>
        </w:rPr>
        <w:t xml:space="preserve">Map 3. </w:t>
      </w:r>
      <w:r w:rsidR="00DA69C4" w:rsidRPr="0099540B">
        <w:rPr>
          <w:rFonts w:eastAsia="Times New Roman" w:cs="Arial"/>
          <w:b/>
          <w:szCs w:val="19"/>
          <w:lang w:val="en-AU" w:eastAsia="pl-PL"/>
        </w:rPr>
        <w:t>Range of impact of the border on the basis of crossing the sections of the border</w:t>
      </w:r>
      <w:r w:rsidR="00DA69C4" w:rsidRPr="0099540B">
        <w:rPr>
          <w:rFonts w:eastAsia="Times New Roman" w:cs="Arial"/>
          <w:b/>
          <w:szCs w:val="19"/>
          <w:lang w:val="en-AU" w:eastAsia="pl-PL"/>
        </w:rPr>
        <w:br/>
        <w:t xml:space="preserve">by Poles in </w:t>
      </w:r>
      <w:r w:rsidR="00DA69C4" w:rsidRPr="0099540B">
        <w:rPr>
          <w:rFonts w:eastAsia="Times New Roman" w:cs="Arial"/>
          <w:b/>
          <w:bCs/>
          <w:szCs w:val="19"/>
          <w:lang w:val="en-AU" w:eastAsia="pl-PL"/>
        </w:rPr>
        <w:t>the</w:t>
      </w:r>
      <w:r w:rsidR="00BE329B">
        <w:rPr>
          <w:rFonts w:eastAsia="Times New Roman" w:cs="Arial"/>
          <w:b/>
          <w:bCs/>
          <w:szCs w:val="19"/>
          <w:lang w:val="en-AU" w:eastAsia="pl-PL"/>
        </w:rPr>
        <w:t xml:space="preserve"> 2nd</w:t>
      </w:r>
      <w:r w:rsidR="00DA69C4" w:rsidRPr="0099540B">
        <w:rPr>
          <w:rFonts w:eastAsia="Times New Roman" w:cs="Arial"/>
          <w:b/>
          <w:bCs/>
          <w:szCs w:val="19"/>
          <w:lang w:val="en-AU" w:eastAsia="pl-PL"/>
        </w:rPr>
        <w:t xml:space="preserve"> quarter of 202</w:t>
      </w:r>
      <w:r w:rsidR="00D54CB8">
        <w:rPr>
          <w:rFonts w:eastAsia="Times New Roman" w:cs="Arial"/>
          <w:b/>
          <w:bCs/>
          <w:szCs w:val="19"/>
          <w:lang w:val="en-AU" w:eastAsia="pl-PL"/>
        </w:rPr>
        <w:t>2</w:t>
      </w:r>
    </w:p>
    <w:p w14:paraId="50E3B222" w14:textId="7B876F65" w:rsidR="008A697D" w:rsidRPr="008F07A8" w:rsidRDefault="00514B66" w:rsidP="001B6ABA">
      <w:pPr>
        <w:tabs>
          <w:tab w:val="left" w:pos="840"/>
        </w:tabs>
        <w:spacing w:before="0" w:after="0" w:line="240" w:lineRule="auto"/>
        <w:ind w:left="680" w:hanging="680"/>
        <w:jc w:val="center"/>
        <w:rPr>
          <w:rFonts w:eastAsia="Times New Roman" w:cs="Arial"/>
          <w:b/>
          <w:sz w:val="18"/>
          <w:szCs w:val="18"/>
          <w:lang w:val="en-AU" w:eastAsia="pl-PL"/>
        </w:rPr>
      </w:pPr>
      <w:r w:rsidRPr="00514B66">
        <w:rPr>
          <w:noProof/>
          <w:lang w:eastAsia="pl-PL"/>
        </w:rPr>
        <w:drawing>
          <wp:inline distT="0" distB="0" distL="0" distR="0" wp14:anchorId="37E08E7A" wp14:editId="3D2FAA36">
            <wp:extent cx="4505325" cy="2828925"/>
            <wp:effectExtent l="0" t="0" r="9525" b="9525"/>
            <wp:docPr id="26" name="Obraz 26" descr="Map 3. Structure of distance from the border of place of residence and place of shopping by Poles in 2nd quarter of the 2022 by border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5325" cy="2828925"/>
                    </a:xfrm>
                    <a:prstGeom prst="rect">
                      <a:avLst/>
                    </a:prstGeom>
                    <a:noFill/>
                    <a:ln>
                      <a:noFill/>
                    </a:ln>
                  </pic:spPr>
                </pic:pic>
              </a:graphicData>
            </a:graphic>
          </wp:inline>
        </w:drawing>
      </w:r>
    </w:p>
    <w:p w14:paraId="1DD08022" w14:textId="1139657B" w:rsidR="00DA441D" w:rsidRPr="009B751F" w:rsidRDefault="00DA69C4" w:rsidP="00F77D28">
      <w:pPr>
        <w:spacing w:before="240" w:after="0" w:line="288" w:lineRule="auto"/>
        <w:rPr>
          <w:rFonts w:eastAsia="Times New Roman" w:cs="Arial"/>
          <w:b/>
          <w:szCs w:val="19"/>
          <w:lang w:val="en-AU" w:eastAsia="pl-PL"/>
        </w:rPr>
      </w:pPr>
      <w:r w:rsidRPr="009B751F">
        <w:rPr>
          <w:rFonts w:eastAsia="Times New Roman" w:cs="Times New Roman"/>
          <w:szCs w:val="19"/>
          <w:lang w:val="en-AU" w:eastAsia="pl-PL"/>
        </w:rPr>
        <w:t>The largest number of surveyed foreigners made purchase</w:t>
      </w:r>
      <w:r w:rsidR="00F4642B" w:rsidRPr="009B751F">
        <w:rPr>
          <w:rFonts w:eastAsia="Times New Roman" w:cs="Times New Roman"/>
          <w:szCs w:val="19"/>
          <w:lang w:val="en-AU" w:eastAsia="pl-PL"/>
        </w:rPr>
        <w:t>s</w:t>
      </w:r>
      <w:r w:rsidRPr="009B751F">
        <w:rPr>
          <w:rFonts w:eastAsia="Times New Roman" w:cs="Times New Roman"/>
          <w:szCs w:val="19"/>
          <w:lang w:val="en-AU" w:eastAsia="pl-PL"/>
        </w:rPr>
        <w:t xml:space="preserve"> at the distance of up to 50 km</w:t>
      </w:r>
      <w:r w:rsidR="00DE70DA" w:rsidRPr="009B751F">
        <w:rPr>
          <w:rFonts w:eastAsia="Times New Roman" w:cs="Times New Roman"/>
          <w:szCs w:val="19"/>
          <w:lang w:val="en-AU" w:eastAsia="pl-PL"/>
        </w:rPr>
        <w:t xml:space="preserve"> from the border</w:t>
      </w:r>
      <w:r w:rsidR="00804AE7">
        <w:rPr>
          <w:rFonts w:eastAsia="Times New Roman" w:cs="Times New Roman"/>
          <w:szCs w:val="19"/>
          <w:lang w:val="en-AU" w:eastAsia="pl-PL"/>
        </w:rPr>
        <w:t>.</w:t>
      </w:r>
      <w:r w:rsidRPr="009B751F">
        <w:rPr>
          <w:rFonts w:eastAsia="Times New Roman" w:cs="Times New Roman"/>
          <w:szCs w:val="19"/>
          <w:lang w:val="en-AU" w:eastAsia="pl-PL"/>
        </w:rPr>
        <w:t xml:space="preserve"> </w:t>
      </w:r>
      <w:r w:rsidR="00804AE7">
        <w:rPr>
          <w:rFonts w:eastAsia="Times New Roman" w:cs="Times New Roman"/>
          <w:szCs w:val="19"/>
          <w:lang w:val="en-AU" w:eastAsia="pl-PL"/>
        </w:rPr>
        <w:t>I</w:t>
      </w:r>
      <w:r w:rsidRPr="009B751F">
        <w:rPr>
          <w:rFonts w:eastAsia="Times New Roman" w:cs="Times New Roman"/>
          <w:szCs w:val="19"/>
          <w:lang w:val="en-AU" w:eastAsia="pl-PL"/>
        </w:rPr>
        <w:t xml:space="preserve">n the case of the external border of the European Union in Poland it was </w:t>
      </w:r>
      <w:r w:rsidR="00BE329B">
        <w:rPr>
          <w:rFonts w:eastAsia="Times New Roman" w:cs="Times New Roman"/>
          <w:szCs w:val="19"/>
          <w:lang w:val="en-AU" w:eastAsia="pl-PL"/>
        </w:rPr>
        <w:t>62</w:t>
      </w:r>
      <w:r w:rsidR="006B7AD7" w:rsidRPr="009B751F">
        <w:rPr>
          <w:rFonts w:eastAsia="Times New Roman" w:cs="Times New Roman"/>
          <w:szCs w:val="19"/>
          <w:lang w:val="en-AU" w:eastAsia="pl-PL"/>
        </w:rPr>
        <w:t>.</w:t>
      </w:r>
      <w:r w:rsidR="009B751F" w:rsidRPr="009B751F">
        <w:rPr>
          <w:rFonts w:eastAsia="Times New Roman" w:cs="Times New Roman"/>
          <w:szCs w:val="19"/>
          <w:lang w:val="en-AU" w:eastAsia="pl-PL"/>
        </w:rPr>
        <w:t>0</w:t>
      </w:r>
      <w:r w:rsidR="00F436E5" w:rsidRPr="009B751F">
        <w:rPr>
          <w:rFonts w:eastAsia="Times New Roman" w:cs="Times New Roman"/>
          <w:szCs w:val="19"/>
          <w:lang w:val="en-AU" w:eastAsia="pl-PL"/>
        </w:rPr>
        <w:t>%</w:t>
      </w:r>
      <w:r w:rsidRPr="009B751F">
        <w:rPr>
          <w:rFonts w:eastAsia="Times New Roman" w:cs="Times New Roman"/>
          <w:szCs w:val="19"/>
          <w:lang w:val="en-AU" w:eastAsia="pl-PL"/>
        </w:rPr>
        <w:t xml:space="preserve"> of those crossing the border, and in the case of the internal EU border </w:t>
      </w:r>
      <w:r w:rsidR="00F436E5" w:rsidRPr="009B751F">
        <w:rPr>
          <w:rFonts w:eastAsia="Times New Roman" w:cs="Times New Roman"/>
          <w:szCs w:val="19"/>
          <w:lang w:val="en-AU" w:eastAsia="pl-PL"/>
        </w:rPr>
        <w:t xml:space="preserve">– </w:t>
      </w:r>
      <w:r w:rsidR="00E415E4" w:rsidRPr="009B751F">
        <w:rPr>
          <w:rFonts w:eastAsia="Times New Roman" w:cs="Times New Roman"/>
          <w:szCs w:val="19"/>
          <w:lang w:val="en-AU" w:eastAsia="pl-PL"/>
        </w:rPr>
        <w:t>8</w:t>
      </w:r>
      <w:r w:rsidR="009B751F" w:rsidRPr="009B751F">
        <w:rPr>
          <w:rFonts w:eastAsia="Times New Roman" w:cs="Times New Roman"/>
          <w:szCs w:val="19"/>
          <w:lang w:val="en-AU" w:eastAsia="pl-PL"/>
        </w:rPr>
        <w:t>4</w:t>
      </w:r>
      <w:r w:rsidR="006B7AD7" w:rsidRPr="009B751F">
        <w:rPr>
          <w:rFonts w:eastAsia="Times New Roman" w:cs="Times New Roman"/>
          <w:szCs w:val="19"/>
          <w:lang w:val="en-AU" w:eastAsia="pl-PL"/>
        </w:rPr>
        <w:t>.</w:t>
      </w:r>
      <w:r w:rsidR="00BE329B">
        <w:rPr>
          <w:rFonts w:eastAsia="Times New Roman" w:cs="Times New Roman"/>
          <w:szCs w:val="19"/>
          <w:lang w:val="en-AU" w:eastAsia="pl-PL"/>
        </w:rPr>
        <w:t>2</w:t>
      </w:r>
      <w:r w:rsidR="00F436E5" w:rsidRPr="009B751F">
        <w:rPr>
          <w:rFonts w:eastAsia="Times New Roman" w:cs="Times New Roman"/>
          <w:szCs w:val="19"/>
          <w:lang w:val="en-AU" w:eastAsia="pl-PL"/>
        </w:rPr>
        <w:t xml:space="preserve">%. </w:t>
      </w:r>
      <w:r w:rsidRPr="009B751F">
        <w:rPr>
          <w:rFonts w:eastAsia="Times New Roman" w:cs="Times New Roman"/>
          <w:szCs w:val="19"/>
          <w:lang w:val="en-AU" w:eastAsia="pl-PL"/>
        </w:rPr>
        <w:t xml:space="preserve">On the other hand, </w:t>
      </w:r>
      <w:r w:rsidR="005921FB" w:rsidRPr="009B751F">
        <w:rPr>
          <w:rFonts w:eastAsia="Times New Roman" w:cs="Times New Roman"/>
          <w:szCs w:val="19"/>
          <w:lang w:val="en-AU" w:eastAsia="pl-PL"/>
        </w:rPr>
        <w:t xml:space="preserve">of those crossing the border, </w:t>
      </w:r>
      <w:r w:rsidRPr="009B751F">
        <w:rPr>
          <w:rFonts w:eastAsia="Times New Roman" w:cs="Times New Roman"/>
          <w:szCs w:val="19"/>
          <w:lang w:val="en-AU" w:eastAsia="pl-PL"/>
        </w:rPr>
        <w:t>Poles making purchase</w:t>
      </w:r>
      <w:r w:rsidR="005771A9" w:rsidRPr="009B751F">
        <w:rPr>
          <w:rFonts w:eastAsia="Times New Roman" w:cs="Times New Roman"/>
          <w:szCs w:val="19"/>
          <w:lang w:val="en-AU" w:eastAsia="pl-PL"/>
        </w:rPr>
        <w:t>s</w:t>
      </w:r>
      <w:r w:rsidRPr="009B751F">
        <w:rPr>
          <w:rFonts w:eastAsia="Times New Roman" w:cs="Times New Roman"/>
          <w:szCs w:val="19"/>
          <w:lang w:val="en-AU" w:eastAsia="pl-PL"/>
        </w:rPr>
        <w:t xml:space="preserve"> at the distance of up to</w:t>
      </w:r>
      <w:r w:rsidR="00E905B7" w:rsidRPr="009B751F">
        <w:rPr>
          <w:rFonts w:eastAsia="Times New Roman" w:cs="Times New Roman"/>
          <w:szCs w:val="19"/>
          <w:lang w:val="en-AU" w:eastAsia="pl-PL"/>
        </w:rPr>
        <w:t xml:space="preserve"> </w:t>
      </w:r>
      <w:r w:rsidRPr="009B751F">
        <w:rPr>
          <w:rFonts w:eastAsia="Times New Roman" w:cs="Times New Roman"/>
          <w:szCs w:val="19"/>
          <w:lang w:val="en-AU" w:eastAsia="pl-PL"/>
        </w:rPr>
        <w:t>50</w:t>
      </w:r>
      <w:r w:rsidR="00866F32" w:rsidRPr="009B751F">
        <w:rPr>
          <w:rFonts w:eastAsia="Times New Roman" w:cs="Times New Roman"/>
          <w:szCs w:val="19"/>
          <w:lang w:val="en-AU" w:eastAsia="pl-PL"/>
        </w:rPr>
        <w:t> </w:t>
      </w:r>
      <w:r w:rsidRPr="009B751F">
        <w:rPr>
          <w:rFonts w:eastAsia="Times New Roman" w:cs="Times New Roman"/>
          <w:szCs w:val="19"/>
          <w:lang w:val="en-AU" w:eastAsia="pl-PL"/>
        </w:rPr>
        <w:t>km</w:t>
      </w:r>
      <w:r w:rsidR="005921FB" w:rsidRPr="009B751F">
        <w:rPr>
          <w:rFonts w:eastAsia="Times New Roman" w:cs="Times New Roman"/>
          <w:szCs w:val="19"/>
          <w:lang w:val="en-AU" w:eastAsia="pl-PL"/>
        </w:rPr>
        <w:t xml:space="preserve"> from the border constituted </w:t>
      </w:r>
      <w:r w:rsidR="00BE329B">
        <w:rPr>
          <w:rFonts w:eastAsia="Times New Roman" w:cs="Times New Roman"/>
          <w:szCs w:val="19"/>
          <w:lang w:val="en-AU" w:eastAsia="pl-PL"/>
        </w:rPr>
        <w:t>79</w:t>
      </w:r>
      <w:r w:rsidR="005921FB" w:rsidRPr="009B751F">
        <w:rPr>
          <w:rFonts w:eastAsia="Times New Roman" w:cs="Times New Roman"/>
          <w:szCs w:val="19"/>
          <w:lang w:val="en-AU" w:eastAsia="pl-PL"/>
        </w:rPr>
        <w:t>.</w:t>
      </w:r>
      <w:r w:rsidR="00BE329B">
        <w:rPr>
          <w:rFonts w:eastAsia="Times New Roman" w:cs="Times New Roman"/>
          <w:szCs w:val="19"/>
          <w:lang w:val="en-AU" w:eastAsia="pl-PL"/>
        </w:rPr>
        <w:t>7</w:t>
      </w:r>
      <w:r w:rsidR="005921FB" w:rsidRPr="009B751F">
        <w:rPr>
          <w:rFonts w:eastAsia="Times New Roman" w:cs="Times New Roman"/>
          <w:szCs w:val="19"/>
          <w:lang w:val="en-AU" w:eastAsia="pl-PL"/>
        </w:rPr>
        <w:t xml:space="preserve">% in the case of </w:t>
      </w:r>
      <w:r w:rsidRPr="009B751F">
        <w:rPr>
          <w:rFonts w:eastAsia="Times New Roman" w:cs="Times New Roman"/>
          <w:szCs w:val="19"/>
          <w:lang w:val="en-AU" w:eastAsia="pl-PL"/>
        </w:rPr>
        <w:t xml:space="preserve">the external border and </w:t>
      </w:r>
      <w:r w:rsidR="007B46AE" w:rsidRPr="009B751F">
        <w:rPr>
          <w:rFonts w:eastAsia="Times New Roman" w:cs="Times New Roman"/>
          <w:szCs w:val="19"/>
          <w:lang w:val="en-AU" w:eastAsia="pl-PL"/>
        </w:rPr>
        <w:t>6</w:t>
      </w:r>
      <w:r w:rsidR="009B751F" w:rsidRPr="009B751F">
        <w:rPr>
          <w:rFonts w:eastAsia="Times New Roman" w:cs="Times New Roman"/>
          <w:szCs w:val="19"/>
          <w:lang w:val="en-AU" w:eastAsia="pl-PL"/>
        </w:rPr>
        <w:t>6</w:t>
      </w:r>
      <w:r w:rsidR="006B7AD7" w:rsidRPr="009B751F">
        <w:rPr>
          <w:rFonts w:eastAsia="Times New Roman" w:cs="Times New Roman"/>
          <w:szCs w:val="19"/>
          <w:lang w:val="en-AU" w:eastAsia="pl-PL"/>
        </w:rPr>
        <w:t>.</w:t>
      </w:r>
      <w:r w:rsidR="00BE329B">
        <w:rPr>
          <w:rFonts w:eastAsia="Times New Roman" w:cs="Times New Roman"/>
          <w:szCs w:val="19"/>
          <w:lang w:val="en-AU" w:eastAsia="pl-PL"/>
        </w:rPr>
        <w:t>2</w:t>
      </w:r>
      <w:r w:rsidR="00F436E5" w:rsidRPr="009B751F">
        <w:rPr>
          <w:rFonts w:eastAsia="Times New Roman" w:cs="Times New Roman"/>
          <w:szCs w:val="19"/>
          <w:lang w:val="en-AU" w:eastAsia="pl-PL"/>
        </w:rPr>
        <w:t>%</w:t>
      </w:r>
      <w:r w:rsidRPr="009B751F">
        <w:rPr>
          <w:rFonts w:eastAsia="Times New Roman" w:cs="Times New Roman"/>
          <w:szCs w:val="19"/>
          <w:lang w:val="en-AU" w:eastAsia="pl-PL"/>
        </w:rPr>
        <w:t xml:space="preserve"> </w:t>
      </w:r>
      <w:r w:rsidR="005921FB" w:rsidRPr="009B751F">
        <w:rPr>
          <w:rFonts w:eastAsia="Times New Roman" w:cs="Times New Roman"/>
          <w:szCs w:val="19"/>
          <w:lang w:val="en-AU" w:eastAsia="pl-PL"/>
        </w:rPr>
        <w:t xml:space="preserve">in the case </w:t>
      </w:r>
      <w:r w:rsidR="00FB5F70" w:rsidRPr="009B751F">
        <w:rPr>
          <w:rFonts w:eastAsia="Times New Roman" w:cs="Times New Roman"/>
          <w:szCs w:val="19"/>
          <w:lang w:val="en-AU" w:eastAsia="pl-PL"/>
        </w:rPr>
        <w:t>o</w:t>
      </w:r>
      <w:r w:rsidR="005921FB" w:rsidRPr="009B751F">
        <w:rPr>
          <w:rFonts w:eastAsia="Times New Roman" w:cs="Times New Roman"/>
          <w:szCs w:val="19"/>
          <w:lang w:val="en-AU" w:eastAsia="pl-PL"/>
        </w:rPr>
        <w:t xml:space="preserve">f </w:t>
      </w:r>
      <w:r w:rsidRPr="009B751F">
        <w:rPr>
          <w:rFonts w:eastAsia="Times New Roman" w:cs="Times New Roman"/>
          <w:szCs w:val="19"/>
          <w:lang w:val="en-AU" w:eastAsia="pl-PL"/>
        </w:rPr>
        <w:t>the internal border</w:t>
      </w:r>
      <w:r w:rsidR="00F436E5" w:rsidRPr="009B751F">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1B6ABA">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0F2CA5">
      <w:pPr>
        <w:spacing w:before="360" w:line="240" w:lineRule="auto"/>
        <w:rPr>
          <w:b/>
          <w:bCs/>
          <w:iCs/>
          <w:color w:val="001D77"/>
          <w:szCs w:val="19"/>
          <w:lang w:val="en-AU"/>
        </w:rPr>
      </w:pPr>
      <w:r w:rsidRPr="008F07A8">
        <w:rPr>
          <w:b/>
          <w:bCs/>
          <w:iCs/>
          <w:color w:val="001D77"/>
          <w:szCs w:val="19"/>
          <w:lang w:val="en-AU"/>
        </w:rPr>
        <w:t>Methodological notes</w:t>
      </w:r>
    </w:p>
    <w:p w14:paraId="78D7674D" w14:textId="35DEBA0D" w:rsidR="00DA69C4" w:rsidRPr="008F07A8" w:rsidRDefault="00DA69C4" w:rsidP="00F77D28">
      <w:pPr>
        <w:numPr>
          <w:ilvl w:val="0"/>
          <w:numId w:val="4"/>
        </w:numPr>
        <w:spacing w:line="288" w:lineRule="auto"/>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w:t>
      </w:r>
      <w:r w:rsidR="00FA7F30">
        <w:rPr>
          <w:szCs w:val="19"/>
          <w:lang w:val="en-AU"/>
        </w:rPr>
        <w:t>P</w:t>
      </w:r>
      <w:r w:rsidRPr="008F07A8">
        <w:rPr>
          <w:szCs w:val="19"/>
          <w:lang w:val="en-AU"/>
        </w:rPr>
        <w:t xml:space="preserve">rogram of statistical surveys of official statistics. The survey methodology has been prepared by the Statistics Poland, Statistical Office in Rzeszów in cooperation with the National Bank of Poland and the Ministry of </w:t>
      </w:r>
      <w:r w:rsidR="00DA04EA">
        <w:rPr>
          <w:szCs w:val="19"/>
          <w:lang w:val="en-AU"/>
        </w:rPr>
        <w:t>Sport and Tourism</w:t>
      </w:r>
      <w:r w:rsidRPr="008F07A8">
        <w:rPr>
          <w:szCs w:val="19"/>
          <w:lang w:val="en-AU"/>
        </w:rPr>
        <w:t>.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0C401C79" w:rsidR="00DA69C4" w:rsidRPr="008F07A8" w:rsidRDefault="00DA69C4" w:rsidP="00EB2758">
      <w:pPr>
        <w:numPr>
          <w:ilvl w:val="0"/>
          <w:numId w:val="4"/>
        </w:numPr>
        <w:spacing w:line="288" w:lineRule="auto"/>
        <w:rPr>
          <w:szCs w:val="19"/>
          <w:lang w:val="en-AU"/>
        </w:rPr>
      </w:pPr>
      <w:r w:rsidRPr="008F07A8">
        <w:rPr>
          <w:szCs w:val="19"/>
          <w:lang w:val="en-AU"/>
        </w:rPr>
        <w:t xml:space="preserve">The survey </w:t>
      </w:r>
      <w:r w:rsidR="00EB2758" w:rsidRPr="00EB2758">
        <w:rPr>
          <w:szCs w:val="19"/>
          <w:lang w:val="en-AU"/>
        </w:rPr>
        <w:t xml:space="preserve">of </w:t>
      </w:r>
      <w:r w:rsidR="00C56D64">
        <w:rPr>
          <w:szCs w:val="19"/>
          <w:lang w:val="en-AU"/>
        </w:rPr>
        <w:t xml:space="preserve">trips made by </w:t>
      </w:r>
      <w:r w:rsidR="00EB2758" w:rsidRPr="00EB2758">
        <w:rPr>
          <w:szCs w:val="19"/>
          <w:lang w:val="en-AU"/>
        </w:rPr>
        <w:t xml:space="preserve">foreigners (non-residents) to Poland and of the movement of vehicles and persons at the </w:t>
      </w:r>
      <w:r w:rsidR="00C56D64">
        <w:rPr>
          <w:szCs w:val="19"/>
          <w:lang w:val="en-AU"/>
        </w:rPr>
        <w:t xml:space="preserve">Polish </w:t>
      </w:r>
      <w:r w:rsidR="00EB2758" w:rsidRPr="00EB2758">
        <w:rPr>
          <w:szCs w:val="19"/>
          <w:lang w:val="en-AU"/>
        </w:rPr>
        <w:t xml:space="preserve">border with the countries of the European Union from the middle of </w:t>
      </w:r>
      <w:r w:rsidR="00C56D64">
        <w:rPr>
          <w:szCs w:val="19"/>
          <w:lang w:val="en-AU"/>
        </w:rPr>
        <w:t xml:space="preserve">the 2nd </w:t>
      </w:r>
      <w:r w:rsidR="00EB2758">
        <w:rPr>
          <w:szCs w:val="19"/>
          <w:lang w:val="en-AU"/>
        </w:rPr>
        <w:t>quarter</w:t>
      </w:r>
      <w:r w:rsidR="00EB2758" w:rsidRPr="00EB2758">
        <w:rPr>
          <w:szCs w:val="19"/>
          <w:lang w:val="en-AU"/>
        </w:rPr>
        <w:t xml:space="preserve"> 2022 was carried out in the field by statistical interviewers. The results of the survey were </w:t>
      </w:r>
      <w:r w:rsidR="007D0519" w:rsidRPr="00EB2758">
        <w:rPr>
          <w:szCs w:val="19"/>
          <w:lang w:val="en-AU"/>
        </w:rPr>
        <w:t xml:space="preserve">compiled </w:t>
      </w:r>
      <w:r w:rsidR="00EB2758" w:rsidRPr="00EB2758">
        <w:rPr>
          <w:szCs w:val="19"/>
          <w:lang w:val="en-AU"/>
        </w:rPr>
        <w:t>also using other data sources</w:t>
      </w:r>
      <w:r w:rsidRPr="008F07A8">
        <w:rPr>
          <w:szCs w:val="19"/>
          <w:lang w:val="en-AU"/>
        </w:rPr>
        <w:t>. The results of the survey were prepared using other data sources, including administrative and non-administrative ones.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w:t>
      </w:r>
      <w:r w:rsidR="00EB2758">
        <w:rPr>
          <w:szCs w:val="19"/>
          <w:lang w:val="en-AU"/>
        </w:rPr>
        <w:t xml:space="preserve"> road</w:t>
      </w:r>
      <w:r w:rsidRPr="008F07A8">
        <w:rPr>
          <w:szCs w:val="19"/>
          <w:lang w:val="en-AU"/>
        </w:rPr>
        <w:t xml:space="preserve"> border crossings.</w:t>
      </w:r>
    </w:p>
    <w:p w14:paraId="45EFDA17" w14:textId="1FBA437B" w:rsidR="00B71A62" w:rsidRPr="00B71A62" w:rsidRDefault="00DA69C4" w:rsidP="00B71A62">
      <w:pPr>
        <w:numPr>
          <w:ilvl w:val="0"/>
          <w:numId w:val="4"/>
        </w:numPr>
        <w:spacing w:line="288" w:lineRule="auto"/>
        <w:rPr>
          <w:szCs w:val="19"/>
          <w:lang w:val="en-AU"/>
        </w:rPr>
      </w:pPr>
      <w:r w:rsidRPr="008F07A8">
        <w:rPr>
          <w:szCs w:val="19"/>
          <w:lang w:val="en-AU"/>
        </w:rPr>
        <w:t>Survey on the participation of Poles (residents) in trips is conducted in households on a quarterly basis (in the month following the quarter)</w:t>
      </w:r>
      <w:r w:rsidR="00B71A62">
        <w:rPr>
          <w:szCs w:val="19"/>
          <w:lang w:val="en-AU"/>
        </w:rPr>
        <w:t xml:space="preserve"> </w:t>
      </w:r>
      <w:r w:rsidR="00B71A62" w:rsidRPr="00B71A62">
        <w:rPr>
          <w:szCs w:val="19"/>
          <w:lang w:val="en-AU"/>
        </w:rPr>
        <w:t xml:space="preserve">using the telephone method. </w:t>
      </w:r>
      <w:r w:rsidR="00B71A62" w:rsidRPr="008F07A8">
        <w:rPr>
          <w:szCs w:val="19"/>
          <w:lang w:val="en-AU"/>
        </w:rPr>
        <w:t>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26330A7C" w:rsidR="00DA69C4" w:rsidRPr="008F07A8" w:rsidRDefault="00DA69C4" w:rsidP="00F77D28">
      <w:pPr>
        <w:numPr>
          <w:ilvl w:val="0"/>
          <w:numId w:val="4"/>
        </w:numPr>
        <w:spacing w:line="288" w:lineRule="auto"/>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FA7F30">
        <w:rPr>
          <w:szCs w:val="19"/>
          <w:lang w:val="en-AU"/>
        </w:rPr>
        <w:t>.</w:t>
      </w:r>
      <w:r w:rsidRPr="008F07A8">
        <w:rPr>
          <w:szCs w:val="19"/>
          <w:lang w:val="en-AU"/>
        </w:rPr>
        <w:t xml:space="preserve"> </w:t>
      </w:r>
      <w:r w:rsidR="00FA7F30">
        <w:rPr>
          <w:szCs w:val="19"/>
          <w:lang w:val="en-AU"/>
        </w:rPr>
        <w:t>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F77D28">
      <w:pPr>
        <w:numPr>
          <w:ilvl w:val="0"/>
          <w:numId w:val="4"/>
        </w:numPr>
        <w:spacing w:line="288" w:lineRule="auto"/>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F77D28">
      <w:pPr>
        <w:numPr>
          <w:ilvl w:val="0"/>
          <w:numId w:val="4"/>
        </w:numPr>
        <w:spacing w:line="288" w:lineRule="auto"/>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482F1A33" w:rsidR="00DA69C4" w:rsidRDefault="00DA69C4" w:rsidP="00F77D28">
      <w:pPr>
        <w:numPr>
          <w:ilvl w:val="0"/>
          <w:numId w:val="4"/>
        </w:numPr>
        <w:spacing w:line="288" w:lineRule="auto"/>
        <w:rPr>
          <w:szCs w:val="19"/>
          <w:lang w:val="en-AU"/>
        </w:rPr>
      </w:pPr>
      <w:r w:rsidRPr="008F07A8">
        <w:rPr>
          <w:szCs w:val="19"/>
          <w:lang w:val="en-AU"/>
        </w:rPr>
        <w:t>In connection with the spread of the infectious disease caused by SARS-CoV-2 virus, on the basis of the Regulation of the Minist</w:t>
      </w:r>
      <w:r w:rsidR="00C56D64">
        <w:rPr>
          <w:szCs w:val="19"/>
          <w:lang w:val="en-AU"/>
        </w:rPr>
        <w:t>er</w:t>
      </w:r>
      <w:r w:rsidRPr="008F07A8">
        <w:rPr>
          <w:szCs w:val="19"/>
          <w:lang w:val="en-AU"/>
        </w:rPr>
        <w:t xml:space="preserve"> of the Interior and Administration of</w:t>
      </w:r>
      <w:r w:rsidR="00C56D64">
        <w:rPr>
          <w:szCs w:val="19"/>
          <w:lang w:val="en-AU"/>
        </w:rPr>
        <w:t xml:space="preserve"> </w:t>
      </w:r>
      <w:r w:rsidRPr="008F07A8">
        <w:rPr>
          <w:szCs w:val="19"/>
          <w:lang w:val="en-AU"/>
        </w:rPr>
        <w:t>13 March 2020 (Journal of Laws of 2020, item 435), border traffic at specific border crossings has been temporarily suspended or restricted since 15 March 2020.</w:t>
      </w:r>
    </w:p>
    <w:p w14:paraId="3C8EF6DE" w14:textId="66B82C28" w:rsidR="002B6AC7" w:rsidRDefault="00D34345" w:rsidP="00045215">
      <w:pPr>
        <w:numPr>
          <w:ilvl w:val="0"/>
          <w:numId w:val="4"/>
        </w:numPr>
        <w:spacing w:line="288" w:lineRule="auto"/>
        <w:rPr>
          <w:szCs w:val="19"/>
          <w:lang w:val="en-AU"/>
        </w:rPr>
      </w:pPr>
      <w:r w:rsidRPr="00D34345">
        <w:rPr>
          <w:szCs w:val="19"/>
          <w:lang w:val="en-AU"/>
        </w:rPr>
        <w:t xml:space="preserve">On 24 February 2022, the Russian Federation militarily attacked Ukraine, which resulted in a massive </w:t>
      </w:r>
      <w:r>
        <w:rPr>
          <w:szCs w:val="19"/>
          <w:lang w:val="en-AU"/>
        </w:rPr>
        <w:t>in</w:t>
      </w:r>
      <w:r w:rsidRPr="00D34345">
        <w:rPr>
          <w:szCs w:val="19"/>
          <w:lang w:val="en-AU"/>
        </w:rPr>
        <w:t>flow o</w:t>
      </w:r>
      <w:r w:rsidR="00045215">
        <w:rPr>
          <w:szCs w:val="19"/>
          <w:lang w:val="en-AU"/>
        </w:rPr>
        <w:t xml:space="preserve">f Ukrainian refugees to Poland </w:t>
      </w:r>
      <w:r w:rsidR="00045215" w:rsidRPr="00045215">
        <w:rPr>
          <w:szCs w:val="19"/>
          <w:lang w:val="en-AU"/>
        </w:rPr>
        <w:t>via border crossings (road and rail) in</w:t>
      </w:r>
      <w:r w:rsidR="00045215">
        <w:rPr>
          <w:szCs w:val="19"/>
          <w:lang w:val="en-AU"/>
        </w:rPr>
        <w:t xml:space="preserve"> 1st half of 2022.</w:t>
      </w:r>
    </w:p>
    <w:p w14:paraId="6045DC99" w14:textId="55A7953C" w:rsidR="00691DC8" w:rsidRPr="008F07A8" w:rsidRDefault="00D35C68" w:rsidP="00D35C68">
      <w:pPr>
        <w:numPr>
          <w:ilvl w:val="0"/>
          <w:numId w:val="4"/>
        </w:numPr>
        <w:spacing w:line="288" w:lineRule="auto"/>
        <w:rPr>
          <w:szCs w:val="19"/>
          <w:lang w:val="en-AU"/>
        </w:rPr>
      </w:pPr>
      <w:r w:rsidRPr="00D35C68">
        <w:rPr>
          <w:szCs w:val="19"/>
          <w:lang w:val="en-AU"/>
        </w:rPr>
        <w:t xml:space="preserve">On 2 March 2022, the </w:t>
      </w:r>
      <w:r w:rsidR="00C56D64" w:rsidRPr="008F07A8">
        <w:rPr>
          <w:szCs w:val="19"/>
          <w:lang w:val="en-AU"/>
        </w:rPr>
        <w:t xml:space="preserve">Regulation </w:t>
      </w:r>
      <w:r w:rsidRPr="00D35C68">
        <w:rPr>
          <w:szCs w:val="19"/>
          <w:lang w:val="en-AU"/>
        </w:rPr>
        <w:t xml:space="preserve">of the Minister of </w:t>
      </w:r>
      <w:r w:rsidR="00C56D64" w:rsidRPr="008F07A8">
        <w:rPr>
          <w:szCs w:val="19"/>
          <w:lang w:val="en-AU"/>
        </w:rPr>
        <w:t xml:space="preserve">the Interior </w:t>
      </w:r>
      <w:r w:rsidRPr="00D35C68">
        <w:rPr>
          <w:szCs w:val="19"/>
          <w:lang w:val="en-AU"/>
        </w:rPr>
        <w:t>and Administration of 28 February 2022 (Journal of Laws of 2022, item 488) on the introduction of a temporary ban on staying in a specified area in the border zone adjacent to the state border with the Republic of Belarus entered into force, which was effective</w:t>
      </w:r>
      <w:r>
        <w:rPr>
          <w:szCs w:val="19"/>
          <w:lang w:val="en-AU"/>
        </w:rPr>
        <w:t xml:space="preserve"> until 30 June 2022</w:t>
      </w:r>
      <w:r w:rsidR="00691DC8" w:rsidRPr="00691DC8">
        <w:rPr>
          <w:szCs w:val="19"/>
          <w:lang w:val="en-AU"/>
        </w:rPr>
        <w:t>.</w:t>
      </w:r>
    </w:p>
    <w:p w14:paraId="65A7ED3C" w14:textId="77777777" w:rsidR="00DA69C4" w:rsidRPr="008F07A8" w:rsidRDefault="00DA69C4" w:rsidP="00F77D28">
      <w:pPr>
        <w:numPr>
          <w:ilvl w:val="0"/>
          <w:numId w:val="4"/>
        </w:numPr>
        <w:spacing w:line="288" w:lineRule="auto"/>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Pr="008F07A8" w:rsidRDefault="00DA69C4" w:rsidP="00F77D28">
      <w:pPr>
        <w:numPr>
          <w:ilvl w:val="0"/>
          <w:numId w:val="4"/>
        </w:numPr>
        <w:spacing w:line="288" w:lineRule="auto"/>
        <w:rPr>
          <w:szCs w:val="19"/>
          <w:lang w:val="en-AU"/>
        </w:rPr>
      </w:pPr>
      <w:r w:rsidRPr="008F07A8">
        <w:rPr>
          <w:szCs w:val="19"/>
          <w:lang w:val="en-AU"/>
        </w:rPr>
        <w:t>The data presented are preliminary.</w:t>
      </w:r>
    </w:p>
    <w:p w14:paraId="3736E31C" w14:textId="69FCCE70" w:rsidR="00BC0B50" w:rsidRDefault="00DA69C4" w:rsidP="00ED27EC">
      <w:pPr>
        <w:spacing w:before="360" w:line="288" w:lineRule="auto"/>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A0A10" w14:paraId="5562BDB8" w14:textId="77777777" w:rsidTr="006F3F80">
        <w:trPr>
          <w:trHeight w:val="1626"/>
        </w:trPr>
        <w:tc>
          <w:tcPr>
            <w:tcW w:w="4926" w:type="dxa"/>
          </w:tcPr>
          <w:p w14:paraId="7015139B" w14:textId="77777777" w:rsidR="008A0A10" w:rsidRPr="008A0A10" w:rsidRDefault="008A0A10" w:rsidP="006F3F80">
            <w:pPr>
              <w:spacing w:before="0" w:after="0" w:line="276" w:lineRule="auto"/>
              <w:rPr>
                <w:rFonts w:cs="Arial"/>
                <w:sz w:val="20"/>
                <w:lang w:val="en-AU"/>
              </w:rPr>
            </w:pPr>
            <w:r w:rsidRPr="008A0A10">
              <w:rPr>
                <w:rFonts w:cs="Arial"/>
                <w:sz w:val="20"/>
                <w:lang w:val="en-AU"/>
              </w:rPr>
              <w:t>Prepared by:</w:t>
            </w:r>
          </w:p>
          <w:p w14:paraId="739E2794" w14:textId="24ABCC34" w:rsidR="008A0A10" w:rsidRPr="008A0A10" w:rsidRDefault="008A0A10" w:rsidP="006F3F80">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156145CA" w14:textId="2BC7B19E" w:rsidR="008A0A10" w:rsidRPr="00AE54DC" w:rsidRDefault="00EB4183" w:rsidP="006F3F80">
            <w:pPr>
              <w:spacing w:before="0" w:after="0" w:line="276" w:lineRule="auto"/>
              <w:rPr>
                <w:b/>
                <w:sz w:val="20"/>
                <w:szCs w:val="20"/>
                <w:lang w:val="fi-FI"/>
              </w:rPr>
            </w:pPr>
            <w:r w:rsidRPr="00EB4183">
              <w:rPr>
                <w:b/>
                <w:sz w:val="20"/>
                <w:szCs w:val="20"/>
                <w:lang w:val="fi-FI"/>
              </w:rPr>
              <w:t>Director Marek Cierpiał-Wolan</w:t>
            </w:r>
          </w:p>
          <w:p w14:paraId="4FBF14F3" w14:textId="29D84143" w:rsidR="008A0A10" w:rsidRPr="00AB24E4" w:rsidRDefault="008A0A10" w:rsidP="006F3F80">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00EB4183" w:rsidRPr="00EB4183">
              <w:rPr>
                <w:rFonts w:ascii="Fira Sans" w:hAnsi="Fira Sans" w:cs="Arial"/>
                <w:color w:val="000000" w:themeColor="text1"/>
                <w:sz w:val="20"/>
                <w:lang w:val="fi-FI"/>
              </w:rPr>
              <w:t>(+48 17) 853 52 10</w:t>
            </w:r>
          </w:p>
        </w:tc>
        <w:tc>
          <w:tcPr>
            <w:tcW w:w="4927" w:type="dxa"/>
          </w:tcPr>
          <w:p w14:paraId="70937B73" w14:textId="77777777" w:rsidR="008A0A10" w:rsidRPr="008A0A10" w:rsidRDefault="008A0A10" w:rsidP="006F3F80">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64F3EE6D" w14:textId="77777777" w:rsidR="008A0A10" w:rsidRPr="004A1D19" w:rsidRDefault="008A0A10" w:rsidP="006F3F80">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7D0EAAFA" w14:textId="77777777" w:rsidR="008A0A10" w:rsidRPr="00AE54DC" w:rsidRDefault="008A0A10" w:rsidP="006F3F80">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36C241CA" w14:textId="77777777" w:rsidR="008A0A10" w:rsidRDefault="008A0A10" w:rsidP="006F3F80">
            <w:pPr>
              <w:rPr>
                <w:sz w:val="18"/>
              </w:rPr>
            </w:pPr>
          </w:p>
        </w:tc>
      </w:tr>
      <w:tr w:rsidR="008A0A10" w14:paraId="7BB94BE6" w14:textId="77777777" w:rsidTr="006F3F80">
        <w:trPr>
          <w:trHeight w:val="418"/>
        </w:trPr>
        <w:tc>
          <w:tcPr>
            <w:tcW w:w="4926" w:type="dxa"/>
            <w:vMerge w:val="restart"/>
          </w:tcPr>
          <w:p w14:paraId="481525CB" w14:textId="77777777" w:rsidR="008A0A10" w:rsidRPr="008A0A10" w:rsidRDefault="008A0A10" w:rsidP="006F3F80">
            <w:pPr>
              <w:rPr>
                <w:b/>
                <w:sz w:val="20"/>
                <w:lang w:val="en-AU"/>
              </w:rPr>
            </w:pPr>
            <w:r w:rsidRPr="008A0A10">
              <w:rPr>
                <w:b/>
                <w:sz w:val="20"/>
                <w:lang w:val="en-AU"/>
              </w:rPr>
              <w:t xml:space="preserve">Press Office </w:t>
            </w:r>
          </w:p>
          <w:p w14:paraId="6E57B070" w14:textId="56E6FB7F" w:rsidR="008A0A10" w:rsidRPr="008A0A10" w:rsidRDefault="008A0A10" w:rsidP="006F3F80">
            <w:pPr>
              <w:rPr>
                <w:sz w:val="20"/>
                <w:lang w:val="en-AU"/>
              </w:rPr>
            </w:pPr>
            <w:r w:rsidRPr="008A0A10">
              <w:rPr>
                <w:sz w:val="20"/>
                <w:lang w:val="en-AU"/>
              </w:rPr>
              <w:t>Phone: (+48 22) 608 38 04</w:t>
            </w:r>
          </w:p>
          <w:p w14:paraId="3518B4C5" w14:textId="77777777" w:rsidR="008A0A10" w:rsidRPr="00F05FC7" w:rsidRDefault="008A0A10" w:rsidP="006F3F80">
            <w:pPr>
              <w:rPr>
                <w:sz w:val="18"/>
                <w:lang w:val="en-US"/>
              </w:rPr>
            </w:pPr>
            <w:r w:rsidRPr="00A82D31">
              <w:rPr>
                <w:b/>
                <w:sz w:val="20"/>
                <w:lang w:val="en-GB"/>
              </w:rPr>
              <w:t>e-mail:</w:t>
            </w:r>
            <w:r w:rsidRPr="00A82D31">
              <w:rPr>
                <w:sz w:val="20"/>
                <w:lang w:val="en-GB"/>
              </w:rPr>
              <w:t xml:space="preserve"> </w:t>
            </w:r>
            <w:r w:rsidR="00D2008A">
              <w:fldChar w:fldCharType="begin"/>
            </w:r>
            <w:r w:rsidR="00D2008A" w:rsidRPr="00D2008A">
              <w:rPr>
                <w:lang w:val="en-AU"/>
              </w:rPr>
              <w:instrText xml:space="preserve"> HYPERLINK "mailto:obslugaprasowa@stat.gov.pl" </w:instrText>
            </w:r>
            <w:r w:rsidR="00D2008A">
              <w:fldChar w:fldCharType="separate"/>
            </w:r>
            <w:r w:rsidRPr="00394E26">
              <w:rPr>
                <w:rStyle w:val="Hipercze"/>
                <w:rFonts w:eastAsiaTheme="majorEastAsia" w:cs="Arial"/>
                <w:b/>
                <w:color w:val="auto"/>
                <w:sz w:val="20"/>
                <w:szCs w:val="20"/>
                <w:lang w:val="en-US"/>
              </w:rPr>
              <w:t>obslugaprasowa@stat.gov.pl</w:t>
            </w:r>
            <w:r w:rsidR="00D2008A">
              <w:rPr>
                <w:rStyle w:val="Hipercze"/>
                <w:rFonts w:eastAsiaTheme="majorEastAsia" w:cs="Arial"/>
                <w:b/>
                <w:color w:val="auto"/>
                <w:sz w:val="20"/>
                <w:szCs w:val="20"/>
                <w:lang w:val="en-US"/>
              </w:rPr>
              <w:fldChar w:fldCharType="end"/>
            </w:r>
            <w:bookmarkStart w:id="0" w:name="_GoBack"/>
            <w:bookmarkEnd w:id="0"/>
          </w:p>
        </w:tc>
        <w:tc>
          <w:tcPr>
            <w:tcW w:w="4927" w:type="dxa"/>
            <w:vAlign w:val="center"/>
          </w:tcPr>
          <w:p w14:paraId="0FDBBB9E" w14:textId="7B99D0AA" w:rsidR="008A0A10" w:rsidRDefault="008A0A10" w:rsidP="006F3F80">
            <w:pPr>
              <w:ind w:firstLine="680"/>
              <w:rPr>
                <w:sz w:val="18"/>
              </w:rPr>
            </w:pPr>
            <w:r>
              <w:rPr>
                <w:noProof/>
                <w:sz w:val="20"/>
                <w:lang w:eastAsia="pl-PL"/>
              </w:rPr>
              <w:drawing>
                <wp:anchor distT="0" distB="0" distL="114300" distR="114300" simplePos="0" relativeHeight="251800576" behindDoc="0" locked="0" layoutInCell="1" allowOverlap="1" wp14:anchorId="01E77C45" wp14:editId="28970922">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8A0A10" w14:paraId="2E09101A" w14:textId="77777777" w:rsidTr="006F3F80">
        <w:trPr>
          <w:trHeight w:val="418"/>
        </w:trPr>
        <w:tc>
          <w:tcPr>
            <w:tcW w:w="4926" w:type="dxa"/>
            <w:vMerge/>
          </w:tcPr>
          <w:p w14:paraId="0EA1BCE8" w14:textId="77777777" w:rsidR="008A0A10" w:rsidRPr="00C91687" w:rsidRDefault="008A0A10" w:rsidP="006F3F80">
            <w:pPr>
              <w:rPr>
                <w:b/>
                <w:sz w:val="20"/>
              </w:rPr>
            </w:pPr>
          </w:p>
        </w:tc>
        <w:tc>
          <w:tcPr>
            <w:tcW w:w="4927" w:type="dxa"/>
            <w:vAlign w:val="center"/>
          </w:tcPr>
          <w:p w14:paraId="6DD8B79E" w14:textId="77777777" w:rsidR="008A0A10" w:rsidRDefault="008A0A10" w:rsidP="006F3F80">
            <w:pPr>
              <w:ind w:firstLine="680"/>
              <w:rPr>
                <w:sz w:val="18"/>
              </w:rPr>
            </w:pPr>
            <w:r>
              <w:rPr>
                <w:noProof/>
                <w:sz w:val="20"/>
                <w:lang w:eastAsia="pl-PL"/>
              </w:rPr>
              <w:drawing>
                <wp:anchor distT="0" distB="0" distL="114300" distR="114300" simplePos="0" relativeHeight="251801600" behindDoc="0" locked="0" layoutInCell="1" allowOverlap="1" wp14:anchorId="45461B52" wp14:editId="2D92EB96">
                  <wp:simplePos x="0" y="0"/>
                  <wp:positionH relativeFrom="column">
                    <wp:posOffset>78740</wp:posOffset>
                  </wp:positionH>
                  <wp:positionV relativeFrom="paragraph">
                    <wp:posOffset>21590</wp:posOffset>
                  </wp:positionV>
                  <wp:extent cx="251460" cy="251460"/>
                  <wp:effectExtent l="0" t="0" r="0" b="0"/>
                  <wp:wrapNone/>
                  <wp:docPr id="37" name="Obraz 37"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A0A10" w14:paraId="5C86E44D" w14:textId="77777777" w:rsidTr="006F3F80">
        <w:trPr>
          <w:trHeight w:val="480"/>
        </w:trPr>
        <w:tc>
          <w:tcPr>
            <w:tcW w:w="4926" w:type="dxa"/>
            <w:vMerge/>
          </w:tcPr>
          <w:p w14:paraId="2CBB77E9" w14:textId="77777777" w:rsidR="008A0A10" w:rsidRPr="00C91687" w:rsidRDefault="008A0A10" w:rsidP="006F3F80">
            <w:pPr>
              <w:rPr>
                <w:b/>
                <w:sz w:val="20"/>
              </w:rPr>
            </w:pPr>
          </w:p>
        </w:tc>
        <w:tc>
          <w:tcPr>
            <w:tcW w:w="4927" w:type="dxa"/>
          </w:tcPr>
          <w:p w14:paraId="2EF3DD8B" w14:textId="77777777" w:rsidR="008A0A10" w:rsidRDefault="008A0A10" w:rsidP="006F3F80">
            <w:pPr>
              <w:ind w:firstLine="680"/>
              <w:rPr>
                <w:sz w:val="18"/>
              </w:rPr>
            </w:pPr>
            <w:r>
              <w:rPr>
                <w:noProof/>
                <w:sz w:val="20"/>
                <w:lang w:eastAsia="pl-PL"/>
              </w:rPr>
              <w:drawing>
                <wp:anchor distT="0" distB="0" distL="114300" distR="114300" simplePos="0" relativeHeight="251802624" behindDoc="0" locked="0" layoutInCell="1" allowOverlap="1" wp14:anchorId="7864A850" wp14:editId="489A0890">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A0A10" w14:paraId="3435ACC7" w14:textId="77777777" w:rsidTr="006F3F80">
        <w:trPr>
          <w:trHeight w:val="480"/>
        </w:trPr>
        <w:tc>
          <w:tcPr>
            <w:tcW w:w="4926" w:type="dxa"/>
          </w:tcPr>
          <w:p w14:paraId="3DF150C3" w14:textId="77777777" w:rsidR="008A0A10" w:rsidRPr="00C91687" w:rsidRDefault="008A0A10" w:rsidP="006F3F80">
            <w:pPr>
              <w:rPr>
                <w:b/>
                <w:sz w:val="20"/>
              </w:rPr>
            </w:pPr>
          </w:p>
        </w:tc>
        <w:tc>
          <w:tcPr>
            <w:tcW w:w="4927" w:type="dxa"/>
          </w:tcPr>
          <w:p w14:paraId="6DB42D2B" w14:textId="77777777" w:rsidR="008A0A10" w:rsidRPr="003D5F42" w:rsidRDefault="008A0A10" w:rsidP="006F3F80">
            <w:pPr>
              <w:ind w:firstLine="680"/>
              <w:rPr>
                <w:sz w:val="20"/>
              </w:rPr>
            </w:pPr>
            <w:r>
              <w:rPr>
                <w:noProof/>
                <w:sz w:val="20"/>
                <w:lang w:eastAsia="pl-PL"/>
              </w:rPr>
              <w:drawing>
                <wp:anchor distT="0" distB="0" distL="114300" distR="114300" simplePos="0" relativeHeight="251803648" behindDoc="0" locked="0" layoutInCell="1" allowOverlap="1" wp14:anchorId="58474DC2" wp14:editId="427EF653">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A0A10" w14:paraId="239B3C32" w14:textId="77777777" w:rsidTr="006F3F80">
        <w:trPr>
          <w:trHeight w:val="480"/>
        </w:trPr>
        <w:tc>
          <w:tcPr>
            <w:tcW w:w="4926" w:type="dxa"/>
          </w:tcPr>
          <w:p w14:paraId="0A322656" w14:textId="77777777" w:rsidR="008A0A10" w:rsidRPr="00C91687" w:rsidRDefault="008A0A10" w:rsidP="006F3F80">
            <w:pPr>
              <w:rPr>
                <w:b/>
                <w:sz w:val="20"/>
              </w:rPr>
            </w:pPr>
          </w:p>
        </w:tc>
        <w:tc>
          <w:tcPr>
            <w:tcW w:w="4927" w:type="dxa"/>
          </w:tcPr>
          <w:p w14:paraId="40F57521" w14:textId="77777777" w:rsidR="008A0A10" w:rsidRPr="003D5F42" w:rsidRDefault="008A0A10" w:rsidP="006F3F80">
            <w:pPr>
              <w:ind w:firstLine="680"/>
              <w:rPr>
                <w:sz w:val="20"/>
              </w:rPr>
            </w:pPr>
            <w:r>
              <w:rPr>
                <w:noProof/>
                <w:sz w:val="20"/>
                <w:lang w:eastAsia="pl-PL"/>
              </w:rPr>
              <w:drawing>
                <wp:anchor distT="0" distB="0" distL="114300" distR="114300" simplePos="0" relativeHeight="251804672" behindDoc="0" locked="0" layoutInCell="1" allowOverlap="1" wp14:anchorId="1BBCA8BE" wp14:editId="2FA24BA7">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A0A10" w14:paraId="42C9CEBA" w14:textId="77777777" w:rsidTr="006F3F80">
        <w:trPr>
          <w:trHeight w:val="953"/>
        </w:trPr>
        <w:tc>
          <w:tcPr>
            <w:tcW w:w="4926" w:type="dxa"/>
          </w:tcPr>
          <w:p w14:paraId="15610F67" w14:textId="77777777" w:rsidR="008A0A10" w:rsidRPr="00C91687" w:rsidRDefault="008A0A10" w:rsidP="006F3F80">
            <w:pPr>
              <w:rPr>
                <w:b/>
                <w:sz w:val="20"/>
              </w:rPr>
            </w:pPr>
          </w:p>
        </w:tc>
        <w:tc>
          <w:tcPr>
            <w:tcW w:w="4927" w:type="dxa"/>
          </w:tcPr>
          <w:p w14:paraId="47988F99" w14:textId="77777777" w:rsidR="008A0A10" w:rsidRPr="003D5F42" w:rsidRDefault="008A0A10" w:rsidP="006F3F80">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003D1C37" wp14:editId="43701597">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A0A10" w:rsidRPr="00D2008A" w14:paraId="28CAA9F9" w14:textId="77777777" w:rsidTr="006F3F80">
        <w:trPr>
          <w:trHeight w:val="4114"/>
        </w:trPr>
        <w:tc>
          <w:tcPr>
            <w:tcW w:w="9853" w:type="dxa"/>
            <w:gridSpan w:val="2"/>
            <w:shd w:val="clear" w:color="auto" w:fill="D9D9D9" w:themeFill="background1" w:themeFillShade="D9"/>
          </w:tcPr>
          <w:p w14:paraId="530C8FDC" w14:textId="77777777" w:rsidR="008A0A10" w:rsidRPr="00735596" w:rsidRDefault="008A0A10" w:rsidP="006F3F80">
            <w:pPr>
              <w:shd w:val="clear" w:color="auto" w:fill="D9D9D9" w:themeFill="background1" w:themeFillShade="D9"/>
              <w:rPr>
                <w:b/>
                <w:lang w:val="en-AU"/>
              </w:rPr>
            </w:pPr>
            <w:r w:rsidRPr="00735596">
              <w:rPr>
                <w:b/>
                <w:lang w:val="en-AU"/>
              </w:rPr>
              <w:t>Related information</w:t>
            </w:r>
          </w:p>
          <w:p w14:paraId="23F7C00B" w14:textId="2B70761B" w:rsidR="008A0A10" w:rsidRPr="00C96C4D" w:rsidRDefault="008A0A10" w:rsidP="006F3F80">
            <w:pPr>
              <w:rPr>
                <w:rStyle w:val="Hipercze"/>
                <w:lang w:val="en-AU"/>
              </w:rPr>
            </w:pPr>
            <w:r w:rsidRPr="00C96C4D">
              <w:rPr>
                <w:rFonts w:cs="Times New Roman"/>
                <w:color w:val="0000FF"/>
              </w:rPr>
              <w:fldChar w:fldCharType="begin"/>
            </w:r>
            <w:r w:rsidR="00D756A2" w:rsidRPr="00C96C4D">
              <w:rPr>
                <w:rFonts w:cs="Times New Roman"/>
                <w:color w:val="0000FF"/>
                <w:lang w:val="en-AU"/>
              </w:rPr>
              <w:instrText>HYPERLINK "https://stat.gov.pl/en/topics/prices-trade/trade/border-traffic-and-expenses-made-by-foreigners-in-poland-and-poles-abroad-in-2020,10,7.html" \o "Link to the publication Border traffic and expenses made by foreigners in Poland and Poland abroad"</w:instrText>
            </w:r>
            <w:r w:rsidRPr="00C96C4D">
              <w:rPr>
                <w:rFonts w:cs="Times New Roman"/>
                <w:color w:val="0000FF"/>
              </w:rPr>
              <w:fldChar w:fldCharType="separate"/>
            </w:r>
            <w:r w:rsidR="00EB4183" w:rsidRPr="00C96C4D">
              <w:rPr>
                <w:rStyle w:val="Hipercze"/>
                <w:lang w:val="en-AU"/>
              </w:rPr>
              <w:t>Border traffic and expenses made by foreigners in Poland and Poles abroad</w:t>
            </w:r>
            <w:r w:rsidR="00CF07C5" w:rsidRPr="00C96C4D">
              <w:rPr>
                <w:rStyle w:val="Hipercze"/>
                <w:lang w:val="en-AU"/>
              </w:rPr>
              <w:t xml:space="preserve"> in 2020</w:t>
            </w:r>
          </w:p>
          <w:p w14:paraId="202BBB01" w14:textId="75AEDAF0" w:rsidR="00B71A62" w:rsidRPr="00C96C4D" w:rsidRDefault="008A0A10" w:rsidP="00B71A62">
            <w:pPr>
              <w:rPr>
                <w:rFonts w:cs="Times New Roman"/>
                <w:color w:val="0000FF"/>
                <w:lang w:val="en-AU"/>
              </w:rPr>
            </w:pPr>
            <w:r w:rsidRPr="00C96C4D">
              <w:rPr>
                <w:rFonts w:cs="Times New Roman"/>
                <w:color w:val="0000FF"/>
              </w:rPr>
              <w:fldChar w:fldCharType="end"/>
            </w:r>
            <w:hyperlink r:id="rId29" w:tooltip="Link to the publication Tourism in 2021" w:history="1">
              <w:r w:rsidR="00B71A62" w:rsidRPr="00C96C4D">
                <w:rPr>
                  <w:rStyle w:val="Hipercze"/>
                  <w:lang w:val="en-AU"/>
                </w:rPr>
                <w:t>Tourism in 2021</w:t>
              </w:r>
            </w:hyperlink>
          </w:p>
          <w:p w14:paraId="772DEF2F" w14:textId="3067FB98" w:rsidR="008A0A10" w:rsidRPr="00735596" w:rsidRDefault="008A0A10" w:rsidP="006F3F80">
            <w:pPr>
              <w:shd w:val="clear" w:color="auto" w:fill="D9D9D9" w:themeFill="background1" w:themeFillShade="D9"/>
              <w:spacing w:before="360"/>
              <w:rPr>
                <w:b/>
                <w:szCs w:val="24"/>
                <w:lang w:val="en-AU"/>
              </w:rPr>
            </w:pPr>
            <w:r w:rsidRPr="00735596">
              <w:rPr>
                <w:b/>
                <w:szCs w:val="24"/>
                <w:lang w:val="en-AU"/>
              </w:rPr>
              <w:t>Terms used inn official statistics</w:t>
            </w:r>
          </w:p>
          <w:p w14:paraId="383DDAFB" w14:textId="708A6681" w:rsidR="008A0A10" w:rsidRPr="00C96C4D" w:rsidRDefault="00D2008A" w:rsidP="006F3F80">
            <w:pPr>
              <w:rPr>
                <w:rStyle w:val="Hipercze"/>
                <w:rFonts w:cstheme="minorBidi"/>
                <w:u w:val="none"/>
                <w:lang w:val="en-AU"/>
              </w:rPr>
            </w:pPr>
            <w:hyperlink r:id="rId30" w:tooltip="Link to the term foreigners" w:history="1">
              <w:r w:rsidR="00EB4183" w:rsidRPr="00C96C4D">
                <w:rPr>
                  <w:rStyle w:val="Hipercze"/>
                  <w:lang w:val="en-AU"/>
                </w:rPr>
                <w:t>Foreigners</w:t>
              </w:r>
            </w:hyperlink>
          </w:p>
          <w:p w14:paraId="3806A13B" w14:textId="39F60E74" w:rsidR="008A0A10" w:rsidRPr="00C96C4D" w:rsidRDefault="008A0A10" w:rsidP="006F3F80">
            <w:pPr>
              <w:rPr>
                <w:rStyle w:val="Hipercze"/>
                <w:rFonts w:cstheme="minorBidi"/>
                <w:lang w:val="en-AU"/>
              </w:rPr>
            </w:pPr>
            <w:r w:rsidRPr="00C96C4D">
              <w:rPr>
                <w:rFonts w:cs="Times New Roman"/>
                <w:color w:val="0000FF"/>
              </w:rPr>
              <w:fldChar w:fldCharType="begin"/>
            </w:r>
            <w:r w:rsidR="00037AF8" w:rsidRPr="00C96C4D">
              <w:rPr>
                <w:rFonts w:cs="Times New Roman"/>
                <w:color w:val="0000FF"/>
                <w:lang w:val="en-AU"/>
              </w:rPr>
              <w:instrText>HYPERLINK "https://stat.gov.pl/en/metainformation/glossary/terms-used-in-official-statistics/3174,term.html" \o "Link to the term non-residents"</w:instrText>
            </w:r>
            <w:r w:rsidRPr="00C96C4D">
              <w:rPr>
                <w:rFonts w:cs="Times New Roman"/>
                <w:color w:val="0000FF"/>
              </w:rPr>
              <w:fldChar w:fldCharType="separate"/>
            </w:r>
            <w:r w:rsidR="00EB4183" w:rsidRPr="00C96C4D">
              <w:rPr>
                <w:rStyle w:val="Hipercze"/>
                <w:lang w:val="en-AU"/>
              </w:rPr>
              <w:t>Non-residents</w:t>
            </w:r>
          </w:p>
          <w:p w14:paraId="71642A4C" w14:textId="0FCFF607" w:rsidR="008A0A10" w:rsidRPr="00C96C4D" w:rsidRDefault="008A0A10" w:rsidP="006F3F80">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037AF8" w:rsidRPr="00C96C4D">
              <w:rPr>
                <w:rFonts w:cs="Times New Roman"/>
                <w:color w:val="0000FF"/>
                <w:lang w:val="en-AU"/>
              </w:rPr>
              <w:instrText>HYPERLINK "https://stat.gov.pl/en/metainformation/glossary/terms-used-in-official-statistics/3180,term.html" \o "Link to the term residents"</w:instrText>
            </w:r>
            <w:r w:rsidRPr="00C96C4D">
              <w:rPr>
                <w:rFonts w:cs="Times New Roman"/>
                <w:color w:val="0000FF"/>
              </w:rPr>
              <w:fldChar w:fldCharType="separate"/>
            </w:r>
            <w:r w:rsidR="00EB4183" w:rsidRPr="00C96C4D">
              <w:rPr>
                <w:rStyle w:val="Hipercze"/>
                <w:lang w:val="en-AU"/>
              </w:rPr>
              <w:t>Residents</w:t>
            </w:r>
          </w:p>
          <w:p w14:paraId="0C76132F" w14:textId="728B48FB" w:rsidR="008A0A10" w:rsidRPr="00735596" w:rsidRDefault="008A0A10" w:rsidP="006F3F80">
            <w:pPr>
              <w:rPr>
                <w:rFonts w:cs="Times New Roman"/>
                <w:u w:val="single"/>
                <w:lang w:val="en-AU"/>
              </w:rPr>
            </w:pPr>
            <w:r w:rsidRPr="00C96C4D">
              <w:rPr>
                <w:rFonts w:cs="Times New Roman"/>
                <w:color w:val="0000FF"/>
              </w:rPr>
              <w:fldChar w:fldCharType="end"/>
            </w:r>
            <w:hyperlink r:id="rId31" w:tooltip="Link to the term local border traffic" w:history="1">
              <w:r w:rsidR="00EB4183" w:rsidRPr="00C96C4D">
                <w:rPr>
                  <w:rStyle w:val="Hipercze"/>
                  <w:lang w:val="en-AU"/>
                </w:rPr>
                <w:t>Loc</w:t>
              </w:r>
              <w:r w:rsidR="00EB4183" w:rsidRPr="00C96C4D">
                <w:rPr>
                  <w:rStyle w:val="Hipercze"/>
                  <w:lang w:val="en-AU"/>
                </w:rPr>
                <w:t>a</w:t>
              </w:r>
              <w:r w:rsidR="00EB4183" w:rsidRPr="00C96C4D">
                <w:rPr>
                  <w:rStyle w:val="Hipercze"/>
                  <w:lang w:val="en-AU"/>
                </w:rPr>
                <w:t>l border traffic</w:t>
              </w:r>
            </w:hyperlink>
          </w:p>
        </w:tc>
      </w:tr>
    </w:tbl>
    <w:p w14:paraId="23C40F80" w14:textId="77777777" w:rsidR="008A0A10" w:rsidRPr="008A0A10" w:rsidRDefault="008A0A10" w:rsidP="00033730">
      <w:pPr>
        <w:rPr>
          <w:sz w:val="20"/>
          <w:lang w:val="en-AU"/>
        </w:rPr>
      </w:pPr>
    </w:p>
    <w:sectPr w:rsidR="008A0A10" w:rsidRPr="008A0A10"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280E9" w14:textId="77777777" w:rsidR="006355D0" w:rsidRDefault="006355D0" w:rsidP="000662E2">
      <w:pPr>
        <w:spacing w:after="0" w:line="240" w:lineRule="auto"/>
      </w:pPr>
      <w:r>
        <w:separator/>
      </w:r>
    </w:p>
  </w:endnote>
  <w:endnote w:type="continuationSeparator" w:id="0">
    <w:p w14:paraId="18BD9A26" w14:textId="77777777" w:rsidR="006355D0" w:rsidRDefault="006355D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C43E9E" w:rsidRDefault="00C43E9E" w:rsidP="003B18B6">
        <w:pPr>
          <w:pStyle w:val="Stopka"/>
          <w:jc w:val="center"/>
        </w:pPr>
        <w:r>
          <w:fldChar w:fldCharType="begin"/>
        </w:r>
        <w:r>
          <w:instrText>PAGE   \* MERGEFORMAT</w:instrText>
        </w:r>
        <w:r>
          <w:fldChar w:fldCharType="separate"/>
        </w:r>
        <w:r w:rsidR="00804AE7">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C43E9E" w:rsidRDefault="00C43E9E" w:rsidP="003B18B6">
        <w:pPr>
          <w:pStyle w:val="Stopka"/>
          <w:jc w:val="center"/>
        </w:pPr>
        <w:r>
          <w:fldChar w:fldCharType="begin"/>
        </w:r>
        <w:r>
          <w:instrText>PAGE   \* MERGEFORMAT</w:instrText>
        </w:r>
        <w:r>
          <w:fldChar w:fldCharType="separate"/>
        </w:r>
        <w:r w:rsidR="00804AE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C43E9E" w:rsidRDefault="00C43E9E" w:rsidP="003B18B6">
        <w:pPr>
          <w:pStyle w:val="Stopka"/>
          <w:jc w:val="center"/>
        </w:pPr>
        <w:r>
          <w:fldChar w:fldCharType="begin"/>
        </w:r>
        <w:r>
          <w:instrText>PAGE   \* MERGEFORMAT</w:instrText>
        </w:r>
        <w:r>
          <w:fldChar w:fldCharType="separate"/>
        </w:r>
        <w:r w:rsidR="00804AE7">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C43E9E" w:rsidRDefault="00C43E9E" w:rsidP="00B11874">
        <w:pPr>
          <w:pStyle w:val="Stopka"/>
          <w:tabs>
            <w:tab w:val="clear" w:pos="9072"/>
          </w:tabs>
          <w:ind w:right="-2423"/>
          <w:jc w:val="center"/>
        </w:pPr>
        <w:r>
          <w:fldChar w:fldCharType="begin"/>
        </w:r>
        <w:r>
          <w:instrText>PAGE   \* MERGEFORMAT</w:instrText>
        </w:r>
        <w:r>
          <w:fldChar w:fldCharType="separate"/>
        </w:r>
        <w:r w:rsidR="00804AE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F5223" w14:textId="77777777" w:rsidR="006355D0" w:rsidRDefault="006355D0" w:rsidP="000662E2">
      <w:pPr>
        <w:spacing w:after="0" w:line="240" w:lineRule="auto"/>
      </w:pPr>
      <w:r>
        <w:separator/>
      </w:r>
    </w:p>
  </w:footnote>
  <w:footnote w:type="continuationSeparator" w:id="0">
    <w:p w14:paraId="05D2039D" w14:textId="77777777" w:rsidR="006355D0" w:rsidRDefault="006355D0"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C43E9E" w:rsidRDefault="00C43E9E">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C43E9E" w:rsidRDefault="00C43E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C43E9E" w:rsidRDefault="00C43E9E"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25A5209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C43E9E" w:rsidRPr="003C6C8D" w:rsidRDefault="00C43E9E"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2"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C43E9E" w:rsidRPr="003C6C8D" w:rsidRDefault="00C43E9E"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C43E9E" w:rsidRDefault="00C43E9E"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3"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C43E9E" w:rsidRDefault="00C43E9E"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6DEA31AC">
          <wp:extent cx="2080867" cy="720000"/>
          <wp:effectExtent l="0" t="0" r="0" b="4445"/>
          <wp:docPr id="20" name="Obraz 20"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C43E9E" w:rsidRDefault="00C43E9E">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6868D062">
              <wp:simplePos x="0" y="0"/>
              <wp:positionH relativeFrom="column">
                <wp:posOffset>5242931</wp:posOffset>
              </wp:positionH>
              <wp:positionV relativeFrom="paragraph">
                <wp:posOffset>278765</wp:posOffset>
              </wp:positionV>
              <wp:extent cx="1432293" cy="336589"/>
              <wp:effectExtent l="0" t="0" r="0" b="6350"/>
              <wp:wrapNone/>
              <wp:docPr id="17" name="Pole tekstowe 2" descr="28.09.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6EF2880F" w:rsidR="00C43E9E" w:rsidRPr="008545F8" w:rsidRDefault="00D730EF" w:rsidP="00B14288">
                          <w:pPr>
                            <w:jc w:val="both"/>
                            <w:rPr>
                              <w:rFonts w:ascii="Fira Sans SemiBold" w:hAnsi="Fira Sans SemiBold"/>
                              <w:color w:val="001D77"/>
                              <w:sz w:val="20"/>
                              <w:szCs w:val="20"/>
                            </w:rPr>
                          </w:pPr>
                          <w:r>
                            <w:rPr>
                              <w:rFonts w:ascii="Fira Sans SemiBold" w:hAnsi="Fira Sans SemiBold"/>
                              <w:color w:val="001D77"/>
                              <w:sz w:val="20"/>
                              <w:szCs w:val="20"/>
                            </w:rPr>
                            <w:t>2</w:t>
                          </w:r>
                          <w:r w:rsidR="0082162F">
                            <w:rPr>
                              <w:rFonts w:ascii="Fira Sans SemiBold" w:hAnsi="Fira Sans SemiBold"/>
                              <w:color w:val="001D77"/>
                              <w:sz w:val="20"/>
                              <w:szCs w:val="20"/>
                            </w:rPr>
                            <w:t>8</w:t>
                          </w:r>
                          <w:r w:rsidR="00C43E9E" w:rsidRPr="008545F8">
                            <w:rPr>
                              <w:rFonts w:ascii="Fira Sans SemiBold" w:hAnsi="Fira Sans SemiBold"/>
                              <w:color w:val="001D77"/>
                              <w:sz w:val="20"/>
                              <w:szCs w:val="20"/>
                            </w:rPr>
                            <w:t>.0</w:t>
                          </w:r>
                          <w:r w:rsidR="0082162F">
                            <w:rPr>
                              <w:rFonts w:ascii="Fira Sans SemiBold" w:hAnsi="Fira Sans SemiBold"/>
                              <w:color w:val="001D77"/>
                              <w:sz w:val="20"/>
                              <w:szCs w:val="20"/>
                            </w:rPr>
                            <w:t>9</w:t>
                          </w:r>
                          <w:r w:rsidR="00C43E9E" w:rsidRPr="008545F8">
                            <w:rPr>
                              <w:rFonts w:ascii="Fira Sans SemiBold" w:hAnsi="Fira Sans SemiBold"/>
                              <w:color w:val="001D77"/>
                              <w:sz w:val="20"/>
                              <w:szCs w:val="2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4" type="#_x0000_t202" alt="28.09.2022"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" filled="f" stroked="f">
              <v:textbox>
                <w:txbxContent>
                  <w:p w14:paraId="285C67AA" w14:textId="6EF2880F" w:rsidR="00C43E9E" w:rsidRPr="008545F8" w:rsidRDefault="00D730EF" w:rsidP="00B14288">
                    <w:pPr>
                      <w:jc w:val="both"/>
                      <w:rPr>
                        <w:rFonts w:ascii="Fira Sans SemiBold" w:hAnsi="Fira Sans SemiBold"/>
                        <w:color w:val="001D77"/>
                        <w:sz w:val="20"/>
                        <w:szCs w:val="20"/>
                      </w:rPr>
                    </w:pPr>
                    <w:r>
                      <w:rPr>
                        <w:rFonts w:ascii="Fira Sans SemiBold" w:hAnsi="Fira Sans SemiBold"/>
                        <w:color w:val="001D77"/>
                        <w:sz w:val="20"/>
                        <w:szCs w:val="20"/>
                      </w:rPr>
                      <w:t>2</w:t>
                    </w:r>
                    <w:r w:rsidR="0082162F">
                      <w:rPr>
                        <w:rFonts w:ascii="Fira Sans SemiBold" w:hAnsi="Fira Sans SemiBold"/>
                        <w:color w:val="001D77"/>
                        <w:sz w:val="20"/>
                        <w:szCs w:val="20"/>
                      </w:rPr>
                      <w:t>8</w:t>
                    </w:r>
                    <w:r w:rsidR="00C43E9E" w:rsidRPr="008545F8">
                      <w:rPr>
                        <w:rFonts w:ascii="Fira Sans SemiBold" w:hAnsi="Fira Sans SemiBold"/>
                        <w:color w:val="001D77"/>
                        <w:sz w:val="20"/>
                        <w:szCs w:val="20"/>
                      </w:rPr>
                      <w:t>.0</w:t>
                    </w:r>
                    <w:r w:rsidR="0082162F">
                      <w:rPr>
                        <w:rFonts w:ascii="Fira Sans SemiBold" w:hAnsi="Fira Sans SemiBold"/>
                        <w:color w:val="001D77"/>
                        <w:sz w:val="20"/>
                        <w:szCs w:val="20"/>
                      </w:rPr>
                      <w:t>9</w:t>
                    </w:r>
                    <w:r w:rsidR="00C43E9E" w:rsidRPr="008545F8">
                      <w:rPr>
                        <w:rFonts w:ascii="Fira Sans SemiBold" w:hAnsi="Fira Sans SemiBold"/>
                        <w:color w:val="001D77"/>
                        <w:sz w:val="20"/>
                        <w:szCs w:val="20"/>
                      </w:rPr>
                      <w:t>.2022</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C43E9E" w:rsidRPr="00C97596" w:rsidRDefault="00C43E9E"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5"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C43E9E" w:rsidRPr="00C97596" w:rsidRDefault="00C43E9E"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C43E9E" w:rsidRDefault="00C43E9E">
    <w:pPr>
      <w:pStyle w:val="Nagwek"/>
      <w:rPr>
        <w:noProof/>
        <w:lang w:eastAsia="pl-PL"/>
      </w:rPr>
    </w:pPr>
  </w:p>
  <w:p w14:paraId="2E5C47AB" w14:textId="77777777" w:rsidR="00C43E9E" w:rsidRDefault="00C43E9E">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C43E9E" w:rsidRDefault="00C43E9E">
    <w:pPr>
      <w:pStyle w:val="Nagwek"/>
    </w:pPr>
  </w:p>
  <w:p w14:paraId="711FA068" w14:textId="77777777" w:rsidR="00C43E9E" w:rsidRDefault="00C43E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6pt;height:122.95pt;visibility:visible;mso-wrap-style:square" o:bullet="t">
        <v:imagedata r:id="rId1" o:title=""/>
      </v:shape>
    </w:pict>
  </w:numPicBullet>
  <w:numPicBullet w:numPicBulletId="1">
    <w:pict>
      <v:shape id="_x0000_i1027" type="#_x0000_t75" style="width:122.95pt;height:122.9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trackRevisions/>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FC2"/>
    <w:rsid w:val="00004DF3"/>
    <w:rsid w:val="00006AFE"/>
    <w:rsid w:val="0000709F"/>
    <w:rsid w:val="00010594"/>
    <w:rsid w:val="000108B8"/>
    <w:rsid w:val="0001115F"/>
    <w:rsid w:val="0001207E"/>
    <w:rsid w:val="000152F5"/>
    <w:rsid w:val="00015708"/>
    <w:rsid w:val="00015CB1"/>
    <w:rsid w:val="0001765B"/>
    <w:rsid w:val="00021584"/>
    <w:rsid w:val="00024706"/>
    <w:rsid w:val="00025A76"/>
    <w:rsid w:val="00026E30"/>
    <w:rsid w:val="00027CA0"/>
    <w:rsid w:val="00030513"/>
    <w:rsid w:val="0003105E"/>
    <w:rsid w:val="00032736"/>
    <w:rsid w:val="0003274A"/>
    <w:rsid w:val="00033730"/>
    <w:rsid w:val="000344C9"/>
    <w:rsid w:val="00035157"/>
    <w:rsid w:val="00035819"/>
    <w:rsid w:val="00035D14"/>
    <w:rsid w:val="00037AF8"/>
    <w:rsid w:val="0004023A"/>
    <w:rsid w:val="00043ADB"/>
    <w:rsid w:val="00043C5E"/>
    <w:rsid w:val="00045215"/>
    <w:rsid w:val="0004582E"/>
    <w:rsid w:val="00045925"/>
    <w:rsid w:val="000470AA"/>
    <w:rsid w:val="0005059D"/>
    <w:rsid w:val="00050C4F"/>
    <w:rsid w:val="00050CBE"/>
    <w:rsid w:val="0005533A"/>
    <w:rsid w:val="00055B99"/>
    <w:rsid w:val="00057CA1"/>
    <w:rsid w:val="00060E46"/>
    <w:rsid w:val="00062311"/>
    <w:rsid w:val="00064E3C"/>
    <w:rsid w:val="0006629F"/>
    <w:rsid w:val="000662E2"/>
    <w:rsid w:val="00066529"/>
    <w:rsid w:val="00066883"/>
    <w:rsid w:val="00066ADD"/>
    <w:rsid w:val="000678BC"/>
    <w:rsid w:val="000712AA"/>
    <w:rsid w:val="00071607"/>
    <w:rsid w:val="0007196F"/>
    <w:rsid w:val="00074459"/>
    <w:rsid w:val="00074DD8"/>
    <w:rsid w:val="000763DB"/>
    <w:rsid w:val="000766AB"/>
    <w:rsid w:val="00080356"/>
    <w:rsid w:val="000806F7"/>
    <w:rsid w:val="0008109A"/>
    <w:rsid w:val="00081E2B"/>
    <w:rsid w:val="00082A48"/>
    <w:rsid w:val="00082F3B"/>
    <w:rsid w:val="00082F96"/>
    <w:rsid w:val="00084CAF"/>
    <w:rsid w:val="00086F3F"/>
    <w:rsid w:val="000906AC"/>
    <w:rsid w:val="000937EC"/>
    <w:rsid w:val="000A48D4"/>
    <w:rsid w:val="000A5E9B"/>
    <w:rsid w:val="000A7B5F"/>
    <w:rsid w:val="000A7F5D"/>
    <w:rsid w:val="000B0727"/>
    <w:rsid w:val="000B2043"/>
    <w:rsid w:val="000B284B"/>
    <w:rsid w:val="000C0002"/>
    <w:rsid w:val="000C04C7"/>
    <w:rsid w:val="000C135D"/>
    <w:rsid w:val="000C31D2"/>
    <w:rsid w:val="000C39C0"/>
    <w:rsid w:val="000C4D5E"/>
    <w:rsid w:val="000D009A"/>
    <w:rsid w:val="000D1D43"/>
    <w:rsid w:val="000D225C"/>
    <w:rsid w:val="000D2A5C"/>
    <w:rsid w:val="000D7251"/>
    <w:rsid w:val="000E044A"/>
    <w:rsid w:val="000E0918"/>
    <w:rsid w:val="000E1164"/>
    <w:rsid w:val="000E3104"/>
    <w:rsid w:val="000E415D"/>
    <w:rsid w:val="000E49BF"/>
    <w:rsid w:val="000E7E02"/>
    <w:rsid w:val="000F1089"/>
    <w:rsid w:val="000F1438"/>
    <w:rsid w:val="000F2175"/>
    <w:rsid w:val="000F2962"/>
    <w:rsid w:val="000F2CA5"/>
    <w:rsid w:val="000F2E06"/>
    <w:rsid w:val="000F3807"/>
    <w:rsid w:val="000F46F9"/>
    <w:rsid w:val="001004C4"/>
    <w:rsid w:val="001011C3"/>
    <w:rsid w:val="00104912"/>
    <w:rsid w:val="00104A07"/>
    <w:rsid w:val="00110BF7"/>
    <w:rsid w:val="00110D87"/>
    <w:rsid w:val="00110DB9"/>
    <w:rsid w:val="00112070"/>
    <w:rsid w:val="0011220F"/>
    <w:rsid w:val="00114DB9"/>
    <w:rsid w:val="00115A35"/>
    <w:rsid w:val="00115F29"/>
    <w:rsid w:val="00116087"/>
    <w:rsid w:val="00116130"/>
    <w:rsid w:val="001164BA"/>
    <w:rsid w:val="00116B54"/>
    <w:rsid w:val="00117ADE"/>
    <w:rsid w:val="0012101A"/>
    <w:rsid w:val="001211CF"/>
    <w:rsid w:val="0012157D"/>
    <w:rsid w:val="00121A45"/>
    <w:rsid w:val="001271E2"/>
    <w:rsid w:val="00130296"/>
    <w:rsid w:val="00130A7B"/>
    <w:rsid w:val="00130ABA"/>
    <w:rsid w:val="00131921"/>
    <w:rsid w:val="0013370B"/>
    <w:rsid w:val="0013550B"/>
    <w:rsid w:val="00136635"/>
    <w:rsid w:val="00136F86"/>
    <w:rsid w:val="001405CA"/>
    <w:rsid w:val="00141613"/>
    <w:rsid w:val="001419D5"/>
    <w:rsid w:val="001423B6"/>
    <w:rsid w:val="001442A2"/>
    <w:rsid w:val="001448A7"/>
    <w:rsid w:val="00146621"/>
    <w:rsid w:val="00146E08"/>
    <w:rsid w:val="00151E32"/>
    <w:rsid w:val="00153A3D"/>
    <w:rsid w:val="001553AA"/>
    <w:rsid w:val="00155957"/>
    <w:rsid w:val="00157AFF"/>
    <w:rsid w:val="00162325"/>
    <w:rsid w:val="00163C58"/>
    <w:rsid w:val="001657BD"/>
    <w:rsid w:val="00166F61"/>
    <w:rsid w:val="0017438A"/>
    <w:rsid w:val="0018429F"/>
    <w:rsid w:val="00184C4D"/>
    <w:rsid w:val="001857D2"/>
    <w:rsid w:val="00186442"/>
    <w:rsid w:val="001869F8"/>
    <w:rsid w:val="00190E18"/>
    <w:rsid w:val="0019234A"/>
    <w:rsid w:val="00192E39"/>
    <w:rsid w:val="0019378E"/>
    <w:rsid w:val="00193880"/>
    <w:rsid w:val="00194C20"/>
    <w:rsid w:val="001951DA"/>
    <w:rsid w:val="00197815"/>
    <w:rsid w:val="00197DF7"/>
    <w:rsid w:val="001A019F"/>
    <w:rsid w:val="001A247F"/>
    <w:rsid w:val="001A2630"/>
    <w:rsid w:val="001A2AC4"/>
    <w:rsid w:val="001A543A"/>
    <w:rsid w:val="001A7774"/>
    <w:rsid w:val="001B26AF"/>
    <w:rsid w:val="001B34DD"/>
    <w:rsid w:val="001B3556"/>
    <w:rsid w:val="001B509B"/>
    <w:rsid w:val="001B6ABA"/>
    <w:rsid w:val="001B6EE6"/>
    <w:rsid w:val="001C138E"/>
    <w:rsid w:val="001C20D3"/>
    <w:rsid w:val="001C3269"/>
    <w:rsid w:val="001C3D87"/>
    <w:rsid w:val="001C5FB4"/>
    <w:rsid w:val="001C7C78"/>
    <w:rsid w:val="001D1A9A"/>
    <w:rsid w:val="001D1DB4"/>
    <w:rsid w:val="001D3EE3"/>
    <w:rsid w:val="001D54F2"/>
    <w:rsid w:val="001D6ECD"/>
    <w:rsid w:val="001D7556"/>
    <w:rsid w:val="001D7F5A"/>
    <w:rsid w:val="001E0023"/>
    <w:rsid w:val="001E176C"/>
    <w:rsid w:val="001E1E85"/>
    <w:rsid w:val="001E2A97"/>
    <w:rsid w:val="001E7F03"/>
    <w:rsid w:val="001F2408"/>
    <w:rsid w:val="001F2AA3"/>
    <w:rsid w:val="001F33A7"/>
    <w:rsid w:val="001F67C9"/>
    <w:rsid w:val="001F7366"/>
    <w:rsid w:val="001F74DF"/>
    <w:rsid w:val="002002C9"/>
    <w:rsid w:val="00200A48"/>
    <w:rsid w:val="002013C3"/>
    <w:rsid w:val="0020643D"/>
    <w:rsid w:val="00206760"/>
    <w:rsid w:val="00206BD4"/>
    <w:rsid w:val="002072E8"/>
    <w:rsid w:val="00207510"/>
    <w:rsid w:val="00210F9B"/>
    <w:rsid w:val="00211C2D"/>
    <w:rsid w:val="002124B5"/>
    <w:rsid w:val="002136EA"/>
    <w:rsid w:val="00214619"/>
    <w:rsid w:val="00214F0C"/>
    <w:rsid w:val="00215120"/>
    <w:rsid w:val="0021513F"/>
    <w:rsid w:val="00215CF3"/>
    <w:rsid w:val="00215D4D"/>
    <w:rsid w:val="0021745D"/>
    <w:rsid w:val="002211CE"/>
    <w:rsid w:val="002269E3"/>
    <w:rsid w:val="00226CA2"/>
    <w:rsid w:val="00227833"/>
    <w:rsid w:val="00230652"/>
    <w:rsid w:val="00230E88"/>
    <w:rsid w:val="002338AB"/>
    <w:rsid w:val="00233F81"/>
    <w:rsid w:val="002362BE"/>
    <w:rsid w:val="00236F5A"/>
    <w:rsid w:val="00237405"/>
    <w:rsid w:val="002402A1"/>
    <w:rsid w:val="00240D8B"/>
    <w:rsid w:val="00242C61"/>
    <w:rsid w:val="002441F9"/>
    <w:rsid w:val="00245BE0"/>
    <w:rsid w:val="0025016F"/>
    <w:rsid w:val="002511A9"/>
    <w:rsid w:val="00251C07"/>
    <w:rsid w:val="00252CF8"/>
    <w:rsid w:val="002540AD"/>
    <w:rsid w:val="00254AFA"/>
    <w:rsid w:val="00254B0D"/>
    <w:rsid w:val="002574F9"/>
    <w:rsid w:val="00260249"/>
    <w:rsid w:val="00260342"/>
    <w:rsid w:val="0026254C"/>
    <w:rsid w:val="0026274E"/>
    <w:rsid w:val="00262B61"/>
    <w:rsid w:val="0027162F"/>
    <w:rsid w:val="00271C58"/>
    <w:rsid w:val="00271C73"/>
    <w:rsid w:val="0027311B"/>
    <w:rsid w:val="00273754"/>
    <w:rsid w:val="00276811"/>
    <w:rsid w:val="00280B2C"/>
    <w:rsid w:val="00281510"/>
    <w:rsid w:val="00282185"/>
    <w:rsid w:val="00282699"/>
    <w:rsid w:val="00284A60"/>
    <w:rsid w:val="002853F7"/>
    <w:rsid w:val="002868D6"/>
    <w:rsid w:val="002926DF"/>
    <w:rsid w:val="00294B1F"/>
    <w:rsid w:val="00294C11"/>
    <w:rsid w:val="002957A0"/>
    <w:rsid w:val="002959FA"/>
    <w:rsid w:val="00296697"/>
    <w:rsid w:val="002A2195"/>
    <w:rsid w:val="002A3CB9"/>
    <w:rsid w:val="002A45A9"/>
    <w:rsid w:val="002A6B7E"/>
    <w:rsid w:val="002B026A"/>
    <w:rsid w:val="002B0472"/>
    <w:rsid w:val="002B1885"/>
    <w:rsid w:val="002B356B"/>
    <w:rsid w:val="002B6AC7"/>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E027F"/>
    <w:rsid w:val="002E1F5A"/>
    <w:rsid w:val="002E3632"/>
    <w:rsid w:val="002E429D"/>
    <w:rsid w:val="002E5BA7"/>
    <w:rsid w:val="002E6140"/>
    <w:rsid w:val="002E6985"/>
    <w:rsid w:val="002E7147"/>
    <w:rsid w:val="002E71B6"/>
    <w:rsid w:val="002E7A9B"/>
    <w:rsid w:val="002F126C"/>
    <w:rsid w:val="002F25C4"/>
    <w:rsid w:val="002F260E"/>
    <w:rsid w:val="002F28D4"/>
    <w:rsid w:val="002F3975"/>
    <w:rsid w:val="002F46C7"/>
    <w:rsid w:val="002F5A01"/>
    <w:rsid w:val="002F5DF5"/>
    <w:rsid w:val="002F5E13"/>
    <w:rsid w:val="002F5F5D"/>
    <w:rsid w:val="002F6C06"/>
    <w:rsid w:val="002F77C8"/>
    <w:rsid w:val="0030126B"/>
    <w:rsid w:val="00301B06"/>
    <w:rsid w:val="00301E09"/>
    <w:rsid w:val="00304F22"/>
    <w:rsid w:val="00306338"/>
    <w:rsid w:val="00306C7C"/>
    <w:rsid w:val="00310AF9"/>
    <w:rsid w:val="0031720D"/>
    <w:rsid w:val="003173AB"/>
    <w:rsid w:val="00320F99"/>
    <w:rsid w:val="00321D86"/>
    <w:rsid w:val="00322EDD"/>
    <w:rsid w:val="00323A92"/>
    <w:rsid w:val="00327CE4"/>
    <w:rsid w:val="00332320"/>
    <w:rsid w:val="00332A74"/>
    <w:rsid w:val="00332B12"/>
    <w:rsid w:val="00333D26"/>
    <w:rsid w:val="00333E5A"/>
    <w:rsid w:val="00334AD7"/>
    <w:rsid w:val="00334FBA"/>
    <w:rsid w:val="003350F6"/>
    <w:rsid w:val="0033556E"/>
    <w:rsid w:val="0033559F"/>
    <w:rsid w:val="00336344"/>
    <w:rsid w:val="00336D3D"/>
    <w:rsid w:val="00341642"/>
    <w:rsid w:val="00342C78"/>
    <w:rsid w:val="00344749"/>
    <w:rsid w:val="003469AD"/>
    <w:rsid w:val="00347D72"/>
    <w:rsid w:val="00350E8E"/>
    <w:rsid w:val="0035321E"/>
    <w:rsid w:val="00357611"/>
    <w:rsid w:val="00357D56"/>
    <w:rsid w:val="003614DF"/>
    <w:rsid w:val="00362E35"/>
    <w:rsid w:val="0036477D"/>
    <w:rsid w:val="00365661"/>
    <w:rsid w:val="00366126"/>
    <w:rsid w:val="00366144"/>
    <w:rsid w:val="00366173"/>
    <w:rsid w:val="00367237"/>
    <w:rsid w:val="00370628"/>
    <w:rsid w:val="0037077F"/>
    <w:rsid w:val="0037133E"/>
    <w:rsid w:val="0037200F"/>
    <w:rsid w:val="00372411"/>
    <w:rsid w:val="00372EA1"/>
    <w:rsid w:val="003732CE"/>
    <w:rsid w:val="00373882"/>
    <w:rsid w:val="003778D8"/>
    <w:rsid w:val="00380E3B"/>
    <w:rsid w:val="00382974"/>
    <w:rsid w:val="00383323"/>
    <w:rsid w:val="00384100"/>
    <w:rsid w:val="003843DB"/>
    <w:rsid w:val="00386091"/>
    <w:rsid w:val="00386BA2"/>
    <w:rsid w:val="003909E7"/>
    <w:rsid w:val="003917E8"/>
    <w:rsid w:val="00391DCC"/>
    <w:rsid w:val="00393761"/>
    <w:rsid w:val="00393D1C"/>
    <w:rsid w:val="003949C5"/>
    <w:rsid w:val="00395425"/>
    <w:rsid w:val="00395735"/>
    <w:rsid w:val="003962C5"/>
    <w:rsid w:val="00396A6F"/>
    <w:rsid w:val="003971F0"/>
    <w:rsid w:val="00397377"/>
    <w:rsid w:val="00397D18"/>
    <w:rsid w:val="003A1A3A"/>
    <w:rsid w:val="003A1B36"/>
    <w:rsid w:val="003B1454"/>
    <w:rsid w:val="003B18B6"/>
    <w:rsid w:val="003B197A"/>
    <w:rsid w:val="003B38FD"/>
    <w:rsid w:val="003B49A4"/>
    <w:rsid w:val="003B5165"/>
    <w:rsid w:val="003B5D92"/>
    <w:rsid w:val="003B7F85"/>
    <w:rsid w:val="003C0778"/>
    <w:rsid w:val="003C136B"/>
    <w:rsid w:val="003C1D9B"/>
    <w:rsid w:val="003C4795"/>
    <w:rsid w:val="003C59E0"/>
    <w:rsid w:val="003C6C8D"/>
    <w:rsid w:val="003C7109"/>
    <w:rsid w:val="003C7A4E"/>
    <w:rsid w:val="003D1407"/>
    <w:rsid w:val="003D16B0"/>
    <w:rsid w:val="003D2202"/>
    <w:rsid w:val="003D28C2"/>
    <w:rsid w:val="003D3807"/>
    <w:rsid w:val="003D498C"/>
    <w:rsid w:val="003D4F95"/>
    <w:rsid w:val="003D5ACB"/>
    <w:rsid w:val="003D5F42"/>
    <w:rsid w:val="003D60A9"/>
    <w:rsid w:val="003D7432"/>
    <w:rsid w:val="003D7DF0"/>
    <w:rsid w:val="003E0828"/>
    <w:rsid w:val="003E0C71"/>
    <w:rsid w:val="003E1EA3"/>
    <w:rsid w:val="003E2993"/>
    <w:rsid w:val="003F0400"/>
    <w:rsid w:val="003F1D7F"/>
    <w:rsid w:val="003F2A5A"/>
    <w:rsid w:val="003F3C8D"/>
    <w:rsid w:val="003F3CFC"/>
    <w:rsid w:val="003F3F64"/>
    <w:rsid w:val="003F4AC6"/>
    <w:rsid w:val="003F4C97"/>
    <w:rsid w:val="003F552F"/>
    <w:rsid w:val="003F5E44"/>
    <w:rsid w:val="003F7291"/>
    <w:rsid w:val="003F7EC6"/>
    <w:rsid w:val="003F7FE6"/>
    <w:rsid w:val="00400193"/>
    <w:rsid w:val="00401A06"/>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A1F"/>
    <w:rsid w:val="00427BF8"/>
    <w:rsid w:val="00427DF2"/>
    <w:rsid w:val="00431C02"/>
    <w:rsid w:val="00431DBE"/>
    <w:rsid w:val="00432AB8"/>
    <w:rsid w:val="00435FCC"/>
    <w:rsid w:val="00437395"/>
    <w:rsid w:val="0044131A"/>
    <w:rsid w:val="004419FF"/>
    <w:rsid w:val="00441DF0"/>
    <w:rsid w:val="00442578"/>
    <w:rsid w:val="00442E9E"/>
    <w:rsid w:val="00445047"/>
    <w:rsid w:val="00446CC4"/>
    <w:rsid w:val="00446DBE"/>
    <w:rsid w:val="0045140F"/>
    <w:rsid w:val="004515E3"/>
    <w:rsid w:val="00451A29"/>
    <w:rsid w:val="0045321E"/>
    <w:rsid w:val="00453D14"/>
    <w:rsid w:val="00455077"/>
    <w:rsid w:val="004552B4"/>
    <w:rsid w:val="004557A8"/>
    <w:rsid w:val="00457406"/>
    <w:rsid w:val="00460060"/>
    <w:rsid w:val="0046063E"/>
    <w:rsid w:val="00463E39"/>
    <w:rsid w:val="004655F3"/>
    <w:rsid w:val="004657FC"/>
    <w:rsid w:val="00465E58"/>
    <w:rsid w:val="004671B7"/>
    <w:rsid w:val="004675FD"/>
    <w:rsid w:val="00472CE6"/>
    <w:rsid w:val="004733F6"/>
    <w:rsid w:val="004746DF"/>
    <w:rsid w:val="00474E69"/>
    <w:rsid w:val="0047766B"/>
    <w:rsid w:val="004809B1"/>
    <w:rsid w:val="00481F82"/>
    <w:rsid w:val="00484C9F"/>
    <w:rsid w:val="004850CF"/>
    <w:rsid w:val="0048604D"/>
    <w:rsid w:val="0048617B"/>
    <w:rsid w:val="00486219"/>
    <w:rsid w:val="004863C7"/>
    <w:rsid w:val="00491128"/>
    <w:rsid w:val="004942C5"/>
    <w:rsid w:val="00495B77"/>
    <w:rsid w:val="0049621B"/>
    <w:rsid w:val="00496EDB"/>
    <w:rsid w:val="00497903"/>
    <w:rsid w:val="004A021C"/>
    <w:rsid w:val="004A0721"/>
    <w:rsid w:val="004A13DC"/>
    <w:rsid w:val="004A24CA"/>
    <w:rsid w:val="004A4ACE"/>
    <w:rsid w:val="004A576E"/>
    <w:rsid w:val="004A7494"/>
    <w:rsid w:val="004A7973"/>
    <w:rsid w:val="004B5001"/>
    <w:rsid w:val="004B5022"/>
    <w:rsid w:val="004B557C"/>
    <w:rsid w:val="004B5681"/>
    <w:rsid w:val="004B5D67"/>
    <w:rsid w:val="004C1895"/>
    <w:rsid w:val="004C2552"/>
    <w:rsid w:val="004C42AA"/>
    <w:rsid w:val="004C5AB9"/>
    <w:rsid w:val="004C6D40"/>
    <w:rsid w:val="004C7270"/>
    <w:rsid w:val="004C72B4"/>
    <w:rsid w:val="004D13EA"/>
    <w:rsid w:val="004D202A"/>
    <w:rsid w:val="004D2328"/>
    <w:rsid w:val="004D29CF"/>
    <w:rsid w:val="004D3147"/>
    <w:rsid w:val="004D7DA9"/>
    <w:rsid w:val="004E064F"/>
    <w:rsid w:val="004E128E"/>
    <w:rsid w:val="004E3E33"/>
    <w:rsid w:val="004E5F9D"/>
    <w:rsid w:val="004E631F"/>
    <w:rsid w:val="004F0C3C"/>
    <w:rsid w:val="004F2305"/>
    <w:rsid w:val="004F3C65"/>
    <w:rsid w:val="004F568A"/>
    <w:rsid w:val="004F58FD"/>
    <w:rsid w:val="004F63FC"/>
    <w:rsid w:val="004F74BC"/>
    <w:rsid w:val="00501187"/>
    <w:rsid w:val="005018D7"/>
    <w:rsid w:val="00502D51"/>
    <w:rsid w:val="00503A8C"/>
    <w:rsid w:val="00504059"/>
    <w:rsid w:val="00505A92"/>
    <w:rsid w:val="0051167B"/>
    <w:rsid w:val="00512D01"/>
    <w:rsid w:val="00514B66"/>
    <w:rsid w:val="00516026"/>
    <w:rsid w:val="005203F1"/>
    <w:rsid w:val="00520B65"/>
    <w:rsid w:val="00520CF4"/>
    <w:rsid w:val="00521233"/>
    <w:rsid w:val="00521BC3"/>
    <w:rsid w:val="0052244A"/>
    <w:rsid w:val="00522B85"/>
    <w:rsid w:val="00524334"/>
    <w:rsid w:val="00524A95"/>
    <w:rsid w:val="00524BA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44213"/>
    <w:rsid w:val="005520D8"/>
    <w:rsid w:val="00553835"/>
    <w:rsid w:val="00553E9A"/>
    <w:rsid w:val="00554952"/>
    <w:rsid w:val="00554C3E"/>
    <w:rsid w:val="00555D50"/>
    <w:rsid w:val="0055694D"/>
    <w:rsid w:val="00556CF1"/>
    <w:rsid w:val="00556D7D"/>
    <w:rsid w:val="005573B0"/>
    <w:rsid w:val="0056078F"/>
    <w:rsid w:val="00561473"/>
    <w:rsid w:val="00563248"/>
    <w:rsid w:val="00564ADF"/>
    <w:rsid w:val="00564CF4"/>
    <w:rsid w:val="00565208"/>
    <w:rsid w:val="00566710"/>
    <w:rsid w:val="00566846"/>
    <w:rsid w:val="00567426"/>
    <w:rsid w:val="00571DC1"/>
    <w:rsid w:val="005735BE"/>
    <w:rsid w:val="00575A23"/>
    <w:rsid w:val="00575D83"/>
    <w:rsid w:val="005762A7"/>
    <w:rsid w:val="00576D43"/>
    <w:rsid w:val="005771A9"/>
    <w:rsid w:val="00577D98"/>
    <w:rsid w:val="00581C5B"/>
    <w:rsid w:val="00585699"/>
    <w:rsid w:val="00586981"/>
    <w:rsid w:val="00586A3A"/>
    <w:rsid w:val="005908AA"/>
    <w:rsid w:val="00591491"/>
    <w:rsid w:val="005916D7"/>
    <w:rsid w:val="00592050"/>
    <w:rsid w:val="005921FB"/>
    <w:rsid w:val="00592E3C"/>
    <w:rsid w:val="0059357D"/>
    <w:rsid w:val="00596858"/>
    <w:rsid w:val="0059696A"/>
    <w:rsid w:val="00596CBE"/>
    <w:rsid w:val="005A252E"/>
    <w:rsid w:val="005A4C9B"/>
    <w:rsid w:val="005A4D7B"/>
    <w:rsid w:val="005A6147"/>
    <w:rsid w:val="005A698C"/>
    <w:rsid w:val="005B0433"/>
    <w:rsid w:val="005B1F2D"/>
    <w:rsid w:val="005B1FE8"/>
    <w:rsid w:val="005B32C9"/>
    <w:rsid w:val="005B4CEA"/>
    <w:rsid w:val="005B4E66"/>
    <w:rsid w:val="005B77BD"/>
    <w:rsid w:val="005B7C69"/>
    <w:rsid w:val="005C1122"/>
    <w:rsid w:val="005C279C"/>
    <w:rsid w:val="005C3083"/>
    <w:rsid w:val="005C439D"/>
    <w:rsid w:val="005C6224"/>
    <w:rsid w:val="005C6718"/>
    <w:rsid w:val="005C7166"/>
    <w:rsid w:val="005C7E77"/>
    <w:rsid w:val="005D0C89"/>
    <w:rsid w:val="005D1D2A"/>
    <w:rsid w:val="005D2CC4"/>
    <w:rsid w:val="005D3337"/>
    <w:rsid w:val="005D469B"/>
    <w:rsid w:val="005D694F"/>
    <w:rsid w:val="005D6F56"/>
    <w:rsid w:val="005D7794"/>
    <w:rsid w:val="005E0799"/>
    <w:rsid w:val="005E0A5A"/>
    <w:rsid w:val="005E67AB"/>
    <w:rsid w:val="005E6CBF"/>
    <w:rsid w:val="005E7266"/>
    <w:rsid w:val="005F16DB"/>
    <w:rsid w:val="005F3191"/>
    <w:rsid w:val="005F34F3"/>
    <w:rsid w:val="005F5463"/>
    <w:rsid w:val="005F55A5"/>
    <w:rsid w:val="005F5754"/>
    <w:rsid w:val="005F5A54"/>
    <w:rsid w:val="005F5A80"/>
    <w:rsid w:val="005F7CC6"/>
    <w:rsid w:val="006007B7"/>
    <w:rsid w:val="00600F25"/>
    <w:rsid w:val="006016AC"/>
    <w:rsid w:val="00601E4B"/>
    <w:rsid w:val="006044FF"/>
    <w:rsid w:val="00607CC5"/>
    <w:rsid w:val="00610EC5"/>
    <w:rsid w:val="006111D9"/>
    <w:rsid w:val="00613882"/>
    <w:rsid w:val="006154D3"/>
    <w:rsid w:val="0061574C"/>
    <w:rsid w:val="00617BED"/>
    <w:rsid w:val="00621461"/>
    <w:rsid w:val="00621E6B"/>
    <w:rsid w:val="006221AB"/>
    <w:rsid w:val="006259C4"/>
    <w:rsid w:val="00626EEB"/>
    <w:rsid w:val="00627B33"/>
    <w:rsid w:val="00627D2F"/>
    <w:rsid w:val="006311D4"/>
    <w:rsid w:val="00631237"/>
    <w:rsid w:val="00631AA4"/>
    <w:rsid w:val="00633014"/>
    <w:rsid w:val="0063437B"/>
    <w:rsid w:val="00635578"/>
    <w:rsid w:val="006355D0"/>
    <w:rsid w:val="006367DF"/>
    <w:rsid w:val="00636E09"/>
    <w:rsid w:val="00637C7E"/>
    <w:rsid w:val="00637DD7"/>
    <w:rsid w:val="0064115A"/>
    <w:rsid w:val="00643833"/>
    <w:rsid w:val="006449A3"/>
    <w:rsid w:val="00644F6B"/>
    <w:rsid w:val="00646B95"/>
    <w:rsid w:val="00650842"/>
    <w:rsid w:val="00650B9A"/>
    <w:rsid w:val="006514D5"/>
    <w:rsid w:val="00652F85"/>
    <w:rsid w:val="00654802"/>
    <w:rsid w:val="006549B2"/>
    <w:rsid w:val="0065792B"/>
    <w:rsid w:val="00657E4D"/>
    <w:rsid w:val="00664235"/>
    <w:rsid w:val="00665B22"/>
    <w:rsid w:val="006673CA"/>
    <w:rsid w:val="00670139"/>
    <w:rsid w:val="00670332"/>
    <w:rsid w:val="006705B9"/>
    <w:rsid w:val="00671EAE"/>
    <w:rsid w:val="00672511"/>
    <w:rsid w:val="00673C26"/>
    <w:rsid w:val="0067609B"/>
    <w:rsid w:val="00676308"/>
    <w:rsid w:val="00676D23"/>
    <w:rsid w:val="0067780F"/>
    <w:rsid w:val="0068073C"/>
    <w:rsid w:val="006812AF"/>
    <w:rsid w:val="006813AA"/>
    <w:rsid w:val="00682A31"/>
    <w:rsid w:val="0068327D"/>
    <w:rsid w:val="00683B4D"/>
    <w:rsid w:val="00685B4C"/>
    <w:rsid w:val="006868C2"/>
    <w:rsid w:val="0069055D"/>
    <w:rsid w:val="00691676"/>
    <w:rsid w:val="00691DC8"/>
    <w:rsid w:val="00692B1B"/>
    <w:rsid w:val="00693F30"/>
    <w:rsid w:val="00694AF0"/>
    <w:rsid w:val="00694B41"/>
    <w:rsid w:val="00695B71"/>
    <w:rsid w:val="00695C15"/>
    <w:rsid w:val="006963E3"/>
    <w:rsid w:val="00696CFC"/>
    <w:rsid w:val="006A1772"/>
    <w:rsid w:val="006A2410"/>
    <w:rsid w:val="006A2773"/>
    <w:rsid w:val="006A4048"/>
    <w:rsid w:val="006A413B"/>
    <w:rsid w:val="006A4686"/>
    <w:rsid w:val="006A6673"/>
    <w:rsid w:val="006B07C9"/>
    <w:rsid w:val="006B0CC5"/>
    <w:rsid w:val="006B0E9E"/>
    <w:rsid w:val="006B39E4"/>
    <w:rsid w:val="006B5AE4"/>
    <w:rsid w:val="006B628D"/>
    <w:rsid w:val="006B707C"/>
    <w:rsid w:val="006B79C1"/>
    <w:rsid w:val="006B7AD7"/>
    <w:rsid w:val="006C122F"/>
    <w:rsid w:val="006C139F"/>
    <w:rsid w:val="006C24EB"/>
    <w:rsid w:val="006C2A50"/>
    <w:rsid w:val="006C2B23"/>
    <w:rsid w:val="006C4B1F"/>
    <w:rsid w:val="006C69A5"/>
    <w:rsid w:val="006D1391"/>
    <w:rsid w:val="006D1507"/>
    <w:rsid w:val="006D2E91"/>
    <w:rsid w:val="006D345E"/>
    <w:rsid w:val="006D3A06"/>
    <w:rsid w:val="006D3C57"/>
    <w:rsid w:val="006D4054"/>
    <w:rsid w:val="006D414F"/>
    <w:rsid w:val="006D5370"/>
    <w:rsid w:val="006D559B"/>
    <w:rsid w:val="006D6263"/>
    <w:rsid w:val="006D65A8"/>
    <w:rsid w:val="006D6C47"/>
    <w:rsid w:val="006D76CA"/>
    <w:rsid w:val="006D7D0A"/>
    <w:rsid w:val="006E0255"/>
    <w:rsid w:val="006E02EC"/>
    <w:rsid w:val="006E13C1"/>
    <w:rsid w:val="006E49AD"/>
    <w:rsid w:val="006E7762"/>
    <w:rsid w:val="006F02AA"/>
    <w:rsid w:val="006F11DB"/>
    <w:rsid w:val="006F4D72"/>
    <w:rsid w:val="006F5FF8"/>
    <w:rsid w:val="006F7531"/>
    <w:rsid w:val="007056EA"/>
    <w:rsid w:val="00705B7E"/>
    <w:rsid w:val="00706683"/>
    <w:rsid w:val="00706ECC"/>
    <w:rsid w:val="00710C22"/>
    <w:rsid w:val="00713BE9"/>
    <w:rsid w:val="00714A31"/>
    <w:rsid w:val="00715799"/>
    <w:rsid w:val="007171E3"/>
    <w:rsid w:val="00721016"/>
    <w:rsid w:val="00721154"/>
    <w:rsid w:val="007211B1"/>
    <w:rsid w:val="007216B2"/>
    <w:rsid w:val="00721B5F"/>
    <w:rsid w:val="007220BF"/>
    <w:rsid w:val="00722E03"/>
    <w:rsid w:val="00723426"/>
    <w:rsid w:val="007265CB"/>
    <w:rsid w:val="0072786C"/>
    <w:rsid w:val="00727EFD"/>
    <w:rsid w:val="007325ED"/>
    <w:rsid w:val="00733A45"/>
    <w:rsid w:val="0073486C"/>
    <w:rsid w:val="00735596"/>
    <w:rsid w:val="00735841"/>
    <w:rsid w:val="00740DC0"/>
    <w:rsid w:val="0074222A"/>
    <w:rsid w:val="00742D4B"/>
    <w:rsid w:val="0074325E"/>
    <w:rsid w:val="00743DAC"/>
    <w:rsid w:val="00744A9C"/>
    <w:rsid w:val="00746187"/>
    <w:rsid w:val="00752332"/>
    <w:rsid w:val="0075420F"/>
    <w:rsid w:val="007543BB"/>
    <w:rsid w:val="00756145"/>
    <w:rsid w:val="00760BAC"/>
    <w:rsid w:val="0076254F"/>
    <w:rsid w:val="00762A86"/>
    <w:rsid w:val="00762D90"/>
    <w:rsid w:val="00764D1C"/>
    <w:rsid w:val="00765701"/>
    <w:rsid w:val="007662C4"/>
    <w:rsid w:val="00766D64"/>
    <w:rsid w:val="007671D4"/>
    <w:rsid w:val="0076757E"/>
    <w:rsid w:val="00767ADB"/>
    <w:rsid w:val="00771E42"/>
    <w:rsid w:val="00773B4F"/>
    <w:rsid w:val="00774FA1"/>
    <w:rsid w:val="00775776"/>
    <w:rsid w:val="007801F5"/>
    <w:rsid w:val="00782DDB"/>
    <w:rsid w:val="00783CA4"/>
    <w:rsid w:val="007842FB"/>
    <w:rsid w:val="00786124"/>
    <w:rsid w:val="00786803"/>
    <w:rsid w:val="007900D6"/>
    <w:rsid w:val="007913C7"/>
    <w:rsid w:val="00791ADB"/>
    <w:rsid w:val="00794952"/>
    <w:rsid w:val="0079514B"/>
    <w:rsid w:val="0079538C"/>
    <w:rsid w:val="00797185"/>
    <w:rsid w:val="00797DAA"/>
    <w:rsid w:val="007A2DC1"/>
    <w:rsid w:val="007A350A"/>
    <w:rsid w:val="007A40FA"/>
    <w:rsid w:val="007A4155"/>
    <w:rsid w:val="007A4854"/>
    <w:rsid w:val="007A4F18"/>
    <w:rsid w:val="007A5CF7"/>
    <w:rsid w:val="007A72CB"/>
    <w:rsid w:val="007A7526"/>
    <w:rsid w:val="007B0512"/>
    <w:rsid w:val="007B1B48"/>
    <w:rsid w:val="007B2A4E"/>
    <w:rsid w:val="007B46AE"/>
    <w:rsid w:val="007B698F"/>
    <w:rsid w:val="007B7880"/>
    <w:rsid w:val="007C0D9C"/>
    <w:rsid w:val="007C59BC"/>
    <w:rsid w:val="007C71B6"/>
    <w:rsid w:val="007D0519"/>
    <w:rsid w:val="007D1128"/>
    <w:rsid w:val="007D1FB7"/>
    <w:rsid w:val="007D3319"/>
    <w:rsid w:val="007D335D"/>
    <w:rsid w:val="007D3992"/>
    <w:rsid w:val="007D39F6"/>
    <w:rsid w:val="007D3B9A"/>
    <w:rsid w:val="007D3DBE"/>
    <w:rsid w:val="007E2497"/>
    <w:rsid w:val="007E3314"/>
    <w:rsid w:val="007E46D8"/>
    <w:rsid w:val="007E4B03"/>
    <w:rsid w:val="007E7B00"/>
    <w:rsid w:val="007F101B"/>
    <w:rsid w:val="007F2270"/>
    <w:rsid w:val="007F324B"/>
    <w:rsid w:val="007F36BE"/>
    <w:rsid w:val="007F40F9"/>
    <w:rsid w:val="00800772"/>
    <w:rsid w:val="0080098E"/>
    <w:rsid w:val="008011B8"/>
    <w:rsid w:val="0080162D"/>
    <w:rsid w:val="00801F8F"/>
    <w:rsid w:val="00802D10"/>
    <w:rsid w:val="00803058"/>
    <w:rsid w:val="008036FD"/>
    <w:rsid w:val="00803798"/>
    <w:rsid w:val="008048AA"/>
    <w:rsid w:val="008048BB"/>
    <w:rsid w:val="00804AE7"/>
    <w:rsid w:val="0080553C"/>
    <w:rsid w:val="00805B46"/>
    <w:rsid w:val="00805F6D"/>
    <w:rsid w:val="008066CF"/>
    <w:rsid w:val="0081331A"/>
    <w:rsid w:val="0081465A"/>
    <w:rsid w:val="00815C17"/>
    <w:rsid w:val="0082009E"/>
    <w:rsid w:val="00821322"/>
    <w:rsid w:val="0082162F"/>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5769"/>
    <w:rsid w:val="00847F0F"/>
    <w:rsid w:val="00852448"/>
    <w:rsid w:val="008545F8"/>
    <w:rsid w:val="008546C9"/>
    <w:rsid w:val="008567CA"/>
    <w:rsid w:val="008569E3"/>
    <w:rsid w:val="008571EC"/>
    <w:rsid w:val="00860A2D"/>
    <w:rsid w:val="00860EE0"/>
    <w:rsid w:val="00861897"/>
    <w:rsid w:val="00863D81"/>
    <w:rsid w:val="00865E7D"/>
    <w:rsid w:val="008666B7"/>
    <w:rsid w:val="00866759"/>
    <w:rsid w:val="00866F32"/>
    <w:rsid w:val="00866F66"/>
    <w:rsid w:val="00867B3C"/>
    <w:rsid w:val="008708A7"/>
    <w:rsid w:val="008725CA"/>
    <w:rsid w:val="0087328D"/>
    <w:rsid w:val="00873539"/>
    <w:rsid w:val="008749AC"/>
    <w:rsid w:val="00880311"/>
    <w:rsid w:val="00880D05"/>
    <w:rsid w:val="00881FC5"/>
    <w:rsid w:val="008823B6"/>
    <w:rsid w:val="0088258A"/>
    <w:rsid w:val="00883204"/>
    <w:rsid w:val="00883335"/>
    <w:rsid w:val="00883788"/>
    <w:rsid w:val="00885B16"/>
    <w:rsid w:val="00886332"/>
    <w:rsid w:val="00886E90"/>
    <w:rsid w:val="008909C2"/>
    <w:rsid w:val="00892191"/>
    <w:rsid w:val="00892BBA"/>
    <w:rsid w:val="00897B3E"/>
    <w:rsid w:val="008A0A10"/>
    <w:rsid w:val="008A26D9"/>
    <w:rsid w:val="008A40AC"/>
    <w:rsid w:val="008A52A0"/>
    <w:rsid w:val="008A5C66"/>
    <w:rsid w:val="008A60B7"/>
    <w:rsid w:val="008A697D"/>
    <w:rsid w:val="008A6A5B"/>
    <w:rsid w:val="008A700C"/>
    <w:rsid w:val="008A70EE"/>
    <w:rsid w:val="008A7DCD"/>
    <w:rsid w:val="008B007F"/>
    <w:rsid w:val="008B2E0C"/>
    <w:rsid w:val="008B303C"/>
    <w:rsid w:val="008C0B0B"/>
    <w:rsid w:val="008C0C29"/>
    <w:rsid w:val="008C19E5"/>
    <w:rsid w:val="008C38E1"/>
    <w:rsid w:val="008C444A"/>
    <w:rsid w:val="008C7307"/>
    <w:rsid w:val="008D1DFB"/>
    <w:rsid w:val="008D3886"/>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DC0"/>
    <w:rsid w:val="008F6F31"/>
    <w:rsid w:val="008F74DF"/>
    <w:rsid w:val="00901032"/>
    <w:rsid w:val="00901036"/>
    <w:rsid w:val="009016DC"/>
    <w:rsid w:val="00901A6B"/>
    <w:rsid w:val="00901D54"/>
    <w:rsid w:val="00902D82"/>
    <w:rsid w:val="00903345"/>
    <w:rsid w:val="009034BD"/>
    <w:rsid w:val="0090372C"/>
    <w:rsid w:val="00905677"/>
    <w:rsid w:val="00905A28"/>
    <w:rsid w:val="00907A81"/>
    <w:rsid w:val="00907D13"/>
    <w:rsid w:val="009115FD"/>
    <w:rsid w:val="009124EA"/>
    <w:rsid w:val="009127BA"/>
    <w:rsid w:val="00913ED9"/>
    <w:rsid w:val="0091593F"/>
    <w:rsid w:val="00915F32"/>
    <w:rsid w:val="009169C2"/>
    <w:rsid w:val="00916BAD"/>
    <w:rsid w:val="00917D6B"/>
    <w:rsid w:val="00917DDA"/>
    <w:rsid w:val="00922225"/>
    <w:rsid w:val="009227A6"/>
    <w:rsid w:val="00924433"/>
    <w:rsid w:val="00925756"/>
    <w:rsid w:val="00927256"/>
    <w:rsid w:val="00927A72"/>
    <w:rsid w:val="0093370D"/>
    <w:rsid w:val="0093399F"/>
    <w:rsid w:val="00933EC1"/>
    <w:rsid w:val="00934C5E"/>
    <w:rsid w:val="00934F4E"/>
    <w:rsid w:val="009363FA"/>
    <w:rsid w:val="0093710A"/>
    <w:rsid w:val="0093759C"/>
    <w:rsid w:val="0094434A"/>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50D8"/>
    <w:rsid w:val="00975CD0"/>
    <w:rsid w:val="00977927"/>
    <w:rsid w:val="00980F40"/>
    <w:rsid w:val="0098125D"/>
    <w:rsid w:val="0098135C"/>
    <w:rsid w:val="0098156A"/>
    <w:rsid w:val="0098245B"/>
    <w:rsid w:val="00983541"/>
    <w:rsid w:val="00986450"/>
    <w:rsid w:val="00990426"/>
    <w:rsid w:val="009904F1"/>
    <w:rsid w:val="00990C91"/>
    <w:rsid w:val="00990F2E"/>
    <w:rsid w:val="00991BAC"/>
    <w:rsid w:val="00991C9B"/>
    <w:rsid w:val="0099352A"/>
    <w:rsid w:val="00993536"/>
    <w:rsid w:val="00994189"/>
    <w:rsid w:val="00994C89"/>
    <w:rsid w:val="0099540B"/>
    <w:rsid w:val="00995504"/>
    <w:rsid w:val="009A0C8E"/>
    <w:rsid w:val="009A4421"/>
    <w:rsid w:val="009A44D7"/>
    <w:rsid w:val="009A6EA0"/>
    <w:rsid w:val="009B126C"/>
    <w:rsid w:val="009B1AFB"/>
    <w:rsid w:val="009B6A9A"/>
    <w:rsid w:val="009B6C55"/>
    <w:rsid w:val="009B751F"/>
    <w:rsid w:val="009B783E"/>
    <w:rsid w:val="009B79FF"/>
    <w:rsid w:val="009C1335"/>
    <w:rsid w:val="009C1343"/>
    <w:rsid w:val="009C17EF"/>
    <w:rsid w:val="009C1AB2"/>
    <w:rsid w:val="009C5E14"/>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B3F"/>
    <w:rsid w:val="00A00ED3"/>
    <w:rsid w:val="00A01D1D"/>
    <w:rsid w:val="00A02522"/>
    <w:rsid w:val="00A03F9E"/>
    <w:rsid w:val="00A042D3"/>
    <w:rsid w:val="00A04718"/>
    <w:rsid w:val="00A04EA2"/>
    <w:rsid w:val="00A05701"/>
    <w:rsid w:val="00A058A2"/>
    <w:rsid w:val="00A07764"/>
    <w:rsid w:val="00A135F5"/>
    <w:rsid w:val="00A139F5"/>
    <w:rsid w:val="00A14167"/>
    <w:rsid w:val="00A15106"/>
    <w:rsid w:val="00A15D43"/>
    <w:rsid w:val="00A20A5A"/>
    <w:rsid w:val="00A22FB2"/>
    <w:rsid w:val="00A235E4"/>
    <w:rsid w:val="00A25552"/>
    <w:rsid w:val="00A259A7"/>
    <w:rsid w:val="00A274E4"/>
    <w:rsid w:val="00A3251B"/>
    <w:rsid w:val="00A35178"/>
    <w:rsid w:val="00A353E3"/>
    <w:rsid w:val="00A36185"/>
    <w:rsid w:val="00A365F4"/>
    <w:rsid w:val="00A36DBB"/>
    <w:rsid w:val="00A40BD1"/>
    <w:rsid w:val="00A40F79"/>
    <w:rsid w:val="00A431A2"/>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1BEA"/>
    <w:rsid w:val="00A72F8E"/>
    <w:rsid w:val="00A73641"/>
    <w:rsid w:val="00A73C74"/>
    <w:rsid w:val="00A744C5"/>
    <w:rsid w:val="00A7636A"/>
    <w:rsid w:val="00A7666A"/>
    <w:rsid w:val="00A76B8D"/>
    <w:rsid w:val="00A80626"/>
    <w:rsid w:val="00A80F7A"/>
    <w:rsid w:val="00A810F9"/>
    <w:rsid w:val="00A816FE"/>
    <w:rsid w:val="00A8459B"/>
    <w:rsid w:val="00A86CDB"/>
    <w:rsid w:val="00A86ECC"/>
    <w:rsid w:val="00A86FCC"/>
    <w:rsid w:val="00A91CBC"/>
    <w:rsid w:val="00A93A99"/>
    <w:rsid w:val="00A95A13"/>
    <w:rsid w:val="00A95AA8"/>
    <w:rsid w:val="00A95C22"/>
    <w:rsid w:val="00A95EC6"/>
    <w:rsid w:val="00A96C39"/>
    <w:rsid w:val="00AA1CC6"/>
    <w:rsid w:val="00AA6F24"/>
    <w:rsid w:val="00AA710D"/>
    <w:rsid w:val="00AB0312"/>
    <w:rsid w:val="00AB0A2F"/>
    <w:rsid w:val="00AB24D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D5A87"/>
    <w:rsid w:val="00AE1EAC"/>
    <w:rsid w:val="00AE1EF2"/>
    <w:rsid w:val="00AE2197"/>
    <w:rsid w:val="00AE260F"/>
    <w:rsid w:val="00AE27D9"/>
    <w:rsid w:val="00AE2D4B"/>
    <w:rsid w:val="00AE4F99"/>
    <w:rsid w:val="00AE5174"/>
    <w:rsid w:val="00AE685B"/>
    <w:rsid w:val="00AF0711"/>
    <w:rsid w:val="00AF11EA"/>
    <w:rsid w:val="00AF2A44"/>
    <w:rsid w:val="00AF4433"/>
    <w:rsid w:val="00AF480D"/>
    <w:rsid w:val="00AF5045"/>
    <w:rsid w:val="00AF532B"/>
    <w:rsid w:val="00AF6B44"/>
    <w:rsid w:val="00B0168F"/>
    <w:rsid w:val="00B02F40"/>
    <w:rsid w:val="00B04F27"/>
    <w:rsid w:val="00B05124"/>
    <w:rsid w:val="00B0602E"/>
    <w:rsid w:val="00B074E0"/>
    <w:rsid w:val="00B11874"/>
    <w:rsid w:val="00B132FB"/>
    <w:rsid w:val="00B13A45"/>
    <w:rsid w:val="00B14288"/>
    <w:rsid w:val="00B14952"/>
    <w:rsid w:val="00B15C04"/>
    <w:rsid w:val="00B16B0D"/>
    <w:rsid w:val="00B16B49"/>
    <w:rsid w:val="00B20C5E"/>
    <w:rsid w:val="00B21067"/>
    <w:rsid w:val="00B21373"/>
    <w:rsid w:val="00B2345B"/>
    <w:rsid w:val="00B236D0"/>
    <w:rsid w:val="00B254BF"/>
    <w:rsid w:val="00B257E5"/>
    <w:rsid w:val="00B259DE"/>
    <w:rsid w:val="00B261F5"/>
    <w:rsid w:val="00B30161"/>
    <w:rsid w:val="00B31A8E"/>
    <w:rsid w:val="00B31E53"/>
    <w:rsid w:val="00B31E5A"/>
    <w:rsid w:val="00B34C27"/>
    <w:rsid w:val="00B35C6C"/>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A62"/>
    <w:rsid w:val="00B71B2B"/>
    <w:rsid w:val="00B77504"/>
    <w:rsid w:val="00B80D5D"/>
    <w:rsid w:val="00B81271"/>
    <w:rsid w:val="00B812A7"/>
    <w:rsid w:val="00B8166B"/>
    <w:rsid w:val="00B82E21"/>
    <w:rsid w:val="00B832AE"/>
    <w:rsid w:val="00B841EA"/>
    <w:rsid w:val="00B84542"/>
    <w:rsid w:val="00B84593"/>
    <w:rsid w:val="00B84B41"/>
    <w:rsid w:val="00B87646"/>
    <w:rsid w:val="00B914E9"/>
    <w:rsid w:val="00B91A19"/>
    <w:rsid w:val="00B94073"/>
    <w:rsid w:val="00B956EE"/>
    <w:rsid w:val="00B95EA7"/>
    <w:rsid w:val="00BA2BA1"/>
    <w:rsid w:val="00BA2D57"/>
    <w:rsid w:val="00BA2F4E"/>
    <w:rsid w:val="00BA3D54"/>
    <w:rsid w:val="00BA4B7A"/>
    <w:rsid w:val="00BA62E8"/>
    <w:rsid w:val="00BA69E4"/>
    <w:rsid w:val="00BB1374"/>
    <w:rsid w:val="00BB376A"/>
    <w:rsid w:val="00BB38AA"/>
    <w:rsid w:val="00BB39CF"/>
    <w:rsid w:val="00BB4F09"/>
    <w:rsid w:val="00BB5E81"/>
    <w:rsid w:val="00BC0B50"/>
    <w:rsid w:val="00BC0E08"/>
    <w:rsid w:val="00BC267D"/>
    <w:rsid w:val="00BC2F56"/>
    <w:rsid w:val="00BC4738"/>
    <w:rsid w:val="00BC5110"/>
    <w:rsid w:val="00BC5721"/>
    <w:rsid w:val="00BC7187"/>
    <w:rsid w:val="00BD0158"/>
    <w:rsid w:val="00BD03C1"/>
    <w:rsid w:val="00BD1C17"/>
    <w:rsid w:val="00BD41AB"/>
    <w:rsid w:val="00BD4E33"/>
    <w:rsid w:val="00BD585A"/>
    <w:rsid w:val="00BD5F5C"/>
    <w:rsid w:val="00BD65B7"/>
    <w:rsid w:val="00BE06E3"/>
    <w:rsid w:val="00BE1E9C"/>
    <w:rsid w:val="00BE30FC"/>
    <w:rsid w:val="00BE329B"/>
    <w:rsid w:val="00BE4BB6"/>
    <w:rsid w:val="00BE6151"/>
    <w:rsid w:val="00BE6878"/>
    <w:rsid w:val="00BE694A"/>
    <w:rsid w:val="00BF0900"/>
    <w:rsid w:val="00BF0B75"/>
    <w:rsid w:val="00BF134E"/>
    <w:rsid w:val="00BF34BB"/>
    <w:rsid w:val="00BF3EC1"/>
    <w:rsid w:val="00BF7B08"/>
    <w:rsid w:val="00C00D57"/>
    <w:rsid w:val="00C01D4E"/>
    <w:rsid w:val="00C030DE"/>
    <w:rsid w:val="00C032ED"/>
    <w:rsid w:val="00C06E53"/>
    <w:rsid w:val="00C06F1E"/>
    <w:rsid w:val="00C07316"/>
    <w:rsid w:val="00C10F95"/>
    <w:rsid w:val="00C11B7B"/>
    <w:rsid w:val="00C13363"/>
    <w:rsid w:val="00C13BF1"/>
    <w:rsid w:val="00C15094"/>
    <w:rsid w:val="00C152C9"/>
    <w:rsid w:val="00C16476"/>
    <w:rsid w:val="00C16833"/>
    <w:rsid w:val="00C16ACF"/>
    <w:rsid w:val="00C16AD4"/>
    <w:rsid w:val="00C20C24"/>
    <w:rsid w:val="00C22105"/>
    <w:rsid w:val="00C22FEA"/>
    <w:rsid w:val="00C23799"/>
    <w:rsid w:val="00C244B6"/>
    <w:rsid w:val="00C2529C"/>
    <w:rsid w:val="00C25304"/>
    <w:rsid w:val="00C26883"/>
    <w:rsid w:val="00C3147D"/>
    <w:rsid w:val="00C345D7"/>
    <w:rsid w:val="00C3535B"/>
    <w:rsid w:val="00C353AB"/>
    <w:rsid w:val="00C356CA"/>
    <w:rsid w:val="00C3702F"/>
    <w:rsid w:val="00C424E8"/>
    <w:rsid w:val="00C42E97"/>
    <w:rsid w:val="00C43E9E"/>
    <w:rsid w:val="00C44BD9"/>
    <w:rsid w:val="00C44CE0"/>
    <w:rsid w:val="00C44D89"/>
    <w:rsid w:val="00C4741F"/>
    <w:rsid w:val="00C5010F"/>
    <w:rsid w:val="00C52082"/>
    <w:rsid w:val="00C531D7"/>
    <w:rsid w:val="00C54779"/>
    <w:rsid w:val="00C54C3B"/>
    <w:rsid w:val="00C561C1"/>
    <w:rsid w:val="00C56D64"/>
    <w:rsid w:val="00C60E6A"/>
    <w:rsid w:val="00C63FC8"/>
    <w:rsid w:val="00C6403A"/>
    <w:rsid w:val="00C64A37"/>
    <w:rsid w:val="00C658A5"/>
    <w:rsid w:val="00C65C87"/>
    <w:rsid w:val="00C65ED3"/>
    <w:rsid w:val="00C6618E"/>
    <w:rsid w:val="00C6635C"/>
    <w:rsid w:val="00C6659B"/>
    <w:rsid w:val="00C70BBA"/>
    <w:rsid w:val="00C70EE3"/>
    <w:rsid w:val="00C7158E"/>
    <w:rsid w:val="00C7250B"/>
    <w:rsid w:val="00C7346B"/>
    <w:rsid w:val="00C74CED"/>
    <w:rsid w:val="00C76D89"/>
    <w:rsid w:val="00C77188"/>
    <w:rsid w:val="00C77C0E"/>
    <w:rsid w:val="00C80885"/>
    <w:rsid w:val="00C81C9B"/>
    <w:rsid w:val="00C82725"/>
    <w:rsid w:val="00C85B17"/>
    <w:rsid w:val="00C85E77"/>
    <w:rsid w:val="00C91687"/>
    <w:rsid w:val="00C9205F"/>
    <w:rsid w:val="00C924A8"/>
    <w:rsid w:val="00C9299D"/>
    <w:rsid w:val="00C93486"/>
    <w:rsid w:val="00C945FE"/>
    <w:rsid w:val="00C9497B"/>
    <w:rsid w:val="00C96C4D"/>
    <w:rsid w:val="00C96FAA"/>
    <w:rsid w:val="00C97A04"/>
    <w:rsid w:val="00CA0176"/>
    <w:rsid w:val="00CA0F68"/>
    <w:rsid w:val="00CA107B"/>
    <w:rsid w:val="00CA10E6"/>
    <w:rsid w:val="00CA2117"/>
    <w:rsid w:val="00CA269A"/>
    <w:rsid w:val="00CA484D"/>
    <w:rsid w:val="00CA4FB6"/>
    <w:rsid w:val="00CB0228"/>
    <w:rsid w:val="00CB065C"/>
    <w:rsid w:val="00CB0FAF"/>
    <w:rsid w:val="00CB1620"/>
    <w:rsid w:val="00CB253C"/>
    <w:rsid w:val="00CB7249"/>
    <w:rsid w:val="00CB7330"/>
    <w:rsid w:val="00CB784A"/>
    <w:rsid w:val="00CB7B6B"/>
    <w:rsid w:val="00CC0140"/>
    <w:rsid w:val="00CC06B3"/>
    <w:rsid w:val="00CC08FC"/>
    <w:rsid w:val="00CC131B"/>
    <w:rsid w:val="00CC13D5"/>
    <w:rsid w:val="00CC4FFD"/>
    <w:rsid w:val="00CC5836"/>
    <w:rsid w:val="00CC6C4A"/>
    <w:rsid w:val="00CC739E"/>
    <w:rsid w:val="00CC7D80"/>
    <w:rsid w:val="00CD1B72"/>
    <w:rsid w:val="00CD2934"/>
    <w:rsid w:val="00CD58B7"/>
    <w:rsid w:val="00CD754C"/>
    <w:rsid w:val="00CD7870"/>
    <w:rsid w:val="00CD78AA"/>
    <w:rsid w:val="00CE67A5"/>
    <w:rsid w:val="00CF0366"/>
    <w:rsid w:val="00CF07BC"/>
    <w:rsid w:val="00CF07C5"/>
    <w:rsid w:val="00CF0BDC"/>
    <w:rsid w:val="00CF1C20"/>
    <w:rsid w:val="00CF1CB7"/>
    <w:rsid w:val="00CF3D06"/>
    <w:rsid w:val="00CF4099"/>
    <w:rsid w:val="00CF49DE"/>
    <w:rsid w:val="00CF5754"/>
    <w:rsid w:val="00CF6D71"/>
    <w:rsid w:val="00CF6DCC"/>
    <w:rsid w:val="00CF70C1"/>
    <w:rsid w:val="00CF7424"/>
    <w:rsid w:val="00CF77A9"/>
    <w:rsid w:val="00CF7CEB"/>
    <w:rsid w:val="00D000F4"/>
    <w:rsid w:val="00D00796"/>
    <w:rsid w:val="00D01A26"/>
    <w:rsid w:val="00D02E61"/>
    <w:rsid w:val="00D03CF8"/>
    <w:rsid w:val="00D047A0"/>
    <w:rsid w:val="00D04BA6"/>
    <w:rsid w:val="00D05189"/>
    <w:rsid w:val="00D0600B"/>
    <w:rsid w:val="00D1106D"/>
    <w:rsid w:val="00D140B1"/>
    <w:rsid w:val="00D154B3"/>
    <w:rsid w:val="00D15D68"/>
    <w:rsid w:val="00D1670E"/>
    <w:rsid w:val="00D16D48"/>
    <w:rsid w:val="00D16D55"/>
    <w:rsid w:val="00D2008A"/>
    <w:rsid w:val="00D236A5"/>
    <w:rsid w:val="00D23E45"/>
    <w:rsid w:val="00D24815"/>
    <w:rsid w:val="00D261A2"/>
    <w:rsid w:val="00D2780C"/>
    <w:rsid w:val="00D324F7"/>
    <w:rsid w:val="00D34345"/>
    <w:rsid w:val="00D34DAE"/>
    <w:rsid w:val="00D357A3"/>
    <w:rsid w:val="00D35BAA"/>
    <w:rsid w:val="00D35C68"/>
    <w:rsid w:val="00D36515"/>
    <w:rsid w:val="00D40E77"/>
    <w:rsid w:val="00D40FF4"/>
    <w:rsid w:val="00D4236A"/>
    <w:rsid w:val="00D42FFA"/>
    <w:rsid w:val="00D447C2"/>
    <w:rsid w:val="00D47953"/>
    <w:rsid w:val="00D543BA"/>
    <w:rsid w:val="00D54C44"/>
    <w:rsid w:val="00D54CB8"/>
    <w:rsid w:val="00D55150"/>
    <w:rsid w:val="00D56906"/>
    <w:rsid w:val="00D57D90"/>
    <w:rsid w:val="00D604F5"/>
    <w:rsid w:val="00D616D2"/>
    <w:rsid w:val="00D63B5F"/>
    <w:rsid w:val="00D64FE0"/>
    <w:rsid w:val="00D651C3"/>
    <w:rsid w:val="00D65884"/>
    <w:rsid w:val="00D67494"/>
    <w:rsid w:val="00D675B1"/>
    <w:rsid w:val="00D70EF7"/>
    <w:rsid w:val="00D710D6"/>
    <w:rsid w:val="00D730EF"/>
    <w:rsid w:val="00D756A2"/>
    <w:rsid w:val="00D776F8"/>
    <w:rsid w:val="00D81980"/>
    <w:rsid w:val="00D81A8E"/>
    <w:rsid w:val="00D820AA"/>
    <w:rsid w:val="00D8397C"/>
    <w:rsid w:val="00D8553D"/>
    <w:rsid w:val="00D86BB3"/>
    <w:rsid w:val="00D87772"/>
    <w:rsid w:val="00D91AC7"/>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2D7"/>
    <w:rsid w:val="00DA441D"/>
    <w:rsid w:val="00DA550F"/>
    <w:rsid w:val="00DA6489"/>
    <w:rsid w:val="00DA69C4"/>
    <w:rsid w:val="00DA7340"/>
    <w:rsid w:val="00DA7650"/>
    <w:rsid w:val="00DA7C1C"/>
    <w:rsid w:val="00DA7C3A"/>
    <w:rsid w:val="00DA7C40"/>
    <w:rsid w:val="00DB0DB7"/>
    <w:rsid w:val="00DB147A"/>
    <w:rsid w:val="00DB1B7A"/>
    <w:rsid w:val="00DB5A15"/>
    <w:rsid w:val="00DB5A68"/>
    <w:rsid w:val="00DC0E1E"/>
    <w:rsid w:val="00DC128B"/>
    <w:rsid w:val="00DC396A"/>
    <w:rsid w:val="00DC4BA0"/>
    <w:rsid w:val="00DC5BEF"/>
    <w:rsid w:val="00DC6708"/>
    <w:rsid w:val="00DC69AD"/>
    <w:rsid w:val="00DD15AC"/>
    <w:rsid w:val="00DD1AC1"/>
    <w:rsid w:val="00DD5E5B"/>
    <w:rsid w:val="00DD5FBE"/>
    <w:rsid w:val="00DD6214"/>
    <w:rsid w:val="00DD6B6D"/>
    <w:rsid w:val="00DE1930"/>
    <w:rsid w:val="00DE2CEB"/>
    <w:rsid w:val="00DE3027"/>
    <w:rsid w:val="00DE35E8"/>
    <w:rsid w:val="00DE56E8"/>
    <w:rsid w:val="00DE67E3"/>
    <w:rsid w:val="00DE6928"/>
    <w:rsid w:val="00DE6EEE"/>
    <w:rsid w:val="00DE7089"/>
    <w:rsid w:val="00DE70DA"/>
    <w:rsid w:val="00DF10D6"/>
    <w:rsid w:val="00DF1588"/>
    <w:rsid w:val="00DF1763"/>
    <w:rsid w:val="00DF1ED1"/>
    <w:rsid w:val="00DF3E67"/>
    <w:rsid w:val="00DF6723"/>
    <w:rsid w:val="00E007DE"/>
    <w:rsid w:val="00E01436"/>
    <w:rsid w:val="00E0152B"/>
    <w:rsid w:val="00E015AA"/>
    <w:rsid w:val="00E02728"/>
    <w:rsid w:val="00E027D1"/>
    <w:rsid w:val="00E03C88"/>
    <w:rsid w:val="00E045BD"/>
    <w:rsid w:val="00E058A0"/>
    <w:rsid w:val="00E0684F"/>
    <w:rsid w:val="00E10DAC"/>
    <w:rsid w:val="00E11AE4"/>
    <w:rsid w:val="00E11FE3"/>
    <w:rsid w:val="00E1240D"/>
    <w:rsid w:val="00E148F0"/>
    <w:rsid w:val="00E15722"/>
    <w:rsid w:val="00E15B3F"/>
    <w:rsid w:val="00E15DD6"/>
    <w:rsid w:val="00E16F35"/>
    <w:rsid w:val="00E17B77"/>
    <w:rsid w:val="00E206DF"/>
    <w:rsid w:val="00E20833"/>
    <w:rsid w:val="00E219E9"/>
    <w:rsid w:val="00E23337"/>
    <w:rsid w:val="00E236E9"/>
    <w:rsid w:val="00E24AC0"/>
    <w:rsid w:val="00E259EA"/>
    <w:rsid w:val="00E25D01"/>
    <w:rsid w:val="00E27778"/>
    <w:rsid w:val="00E32061"/>
    <w:rsid w:val="00E32B5E"/>
    <w:rsid w:val="00E3429F"/>
    <w:rsid w:val="00E34F4D"/>
    <w:rsid w:val="00E35C75"/>
    <w:rsid w:val="00E35D1E"/>
    <w:rsid w:val="00E36CE5"/>
    <w:rsid w:val="00E40778"/>
    <w:rsid w:val="00E41381"/>
    <w:rsid w:val="00E415E4"/>
    <w:rsid w:val="00E42A08"/>
    <w:rsid w:val="00E42FF9"/>
    <w:rsid w:val="00E430CD"/>
    <w:rsid w:val="00E44116"/>
    <w:rsid w:val="00E459BC"/>
    <w:rsid w:val="00E4714C"/>
    <w:rsid w:val="00E479AB"/>
    <w:rsid w:val="00E50686"/>
    <w:rsid w:val="00E51AEB"/>
    <w:rsid w:val="00E522A7"/>
    <w:rsid w:val="00E541EF"/>
    <w:rsid w:val="00E54452"/>
    <w:rsid w:val="00E54BAB"/>
    <w:rsid w:val="00E56503"/>
    <w:rsid w:val="00E56E9C"/>
    <w:rsid w:val="00E57F6D"/>
    <w:rsid w:val="00E6393C"/>
    <w:rsid w:val="00E650FA"/>
    <w:rsid w:val="00E664C5"/>
    <w:rsid w:val="00E671A2"/>
    <w:rsid w:val="00E71658"/>
    <w:rsid w:val="00E729BA"/>
    <w:rsid w:val="00E737DB"/>
    <w:rsid w:val="00E7445D"/>
    <w:rsid w:val="00E7464D"/>
    <w:rsid w:val="00E746C7"/>
    <w:rsid w:val="00E76D26"/>
    <w:rsid w:val="00E77AE4"/>
    <w:rsid w:val="00E77C1B"/>
    <w:rsid w:val="00E77ED1"/>
    <w:rsid w:val="00E8140F"/>
    <w:rsid w:val="00E82084"/>
    <w:rsid w:val="00E83855"/>
    <w:rsid w:val="00E83AB0"/>
    <w:rsid w:val="00E842A1"/>
    <w:rsid w:val="00E84E12"/>
    <w:rsid w:val="00E86983"/>
    <w:rsid w:val="00E86F04"/>
    <w:rsid w:val="00E904A3"/>
    <w:rsid w:val="00E905B7"/>
    <w:rsid w:val="00E91BB5"/>
    <w:rsid w:val="00E94EC9"/>
    <w:rsid w:val="00E967C4"/>
    <w:rsid w:val="00E96BD7"/>
    <w:rsid w:val="00EA02EF"/>
    <w:rsid w:val="00EA300F"/>
    <w:rsid w:val="00EA34B6"/>
    <w:rsid w:val="00EB0E8D"/>
    <w:rsid w:val="00EB1390"/>
    <w:rsid w:val="00EB22F5"/>
    <w:rsid w:val="00EB2758"/>
    <w:rsid w:val="00EB2C71"/>
    <w:rsid w:val="00EB3305"/>
    <w:rsid w:val="00EB3D34"/>
    <w:rsid w:val="00EB4183"/>
    <w:rsid w:val="00EB4340"/>
    <w:rsid w:val="00EB556D"/>
    <w:rsid w:val="00EB5A7D"/>
    <w:rsid w:val="00EC0812"/>
    <w:rsid w:val="00EC53D2"/>
    <w:rsid w:val="00EC6C50"/>
    <w:rsid w:val="00EC77A0"/>
    <w:rsid w:val="00ED0240"/>
    <w:rsid w:val="00ED0316"/>
    <w:rsid w:val="00ED1964"/>
    <w:rsid w:val="00ED27EC"/>
    <w:rsid w:val="00ED3D4E"/>
    <w:rsid w:val="00ED471B"/>
    <w:rsid w:val="00ED55C0"/>
    <w:rsid w:val="00ED682B"/>
    <w:rsid w:val="00ED6AC7"/>
    <w:rsid w:val="00ED7B14"/>
    <w:rsid w:val="00EE3B7C"/>
    <w:rsid w:val="00EE41D5"/>
    <w:rsid w:val="00EE45F3"/>
    <w:rsid w:val="00EE51F0"/>
    <w:rsid w:val="00EE54BC"/>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10BC1"/>
    <w:rsid w:val="00F113F4"/>
    <w:rsid w:val="00F1461D"/>
    <w:rsid w:val="00F1566D"/>
    <w:rsid w:val="00F218A4"/>
    <w:rsid w:val="00F241E8"/>
    <w:rsid w:val="00F26227"/>
    <w:rsid w:val="00F27C8F"/>
    <w:rsid w:val="00F27FDA"/>
    <w:rsid w:val="00F326C3"/>
    <w:rsid w:val="00F32749"/>
    <w:rsid w:val="00F37172"/>
    <w:rsid w:val="00F40986"/>
    <w:rsid w:val="00F40E52"/>
    <w:rsid w:val="00F42CE5"/>
    <w:rsid w:val="00F436E5"/>
    <w:rsid w:val="00F43E82"/>
    <w:rsid w:val="00F4477E"/>
    <w:rsid w:val="00F450AA"/>
    <w:rsid w:val="00F45930"/>
    <w:rsid w:val="00F45A06"/>
    <w:rsid w:val="00F46301"/>
    <w:rsid w:val="00F4642B"/>
    <w:rsid w:val="00F479B0"/>
    <w:rsid w:val="00F5024A"/>
    <w:rsid w:val="00F514A3"/>
    <w:rsid w:val="00F52F48"/>
    <w:rsid w:val="00F5618B"/>
    <w:rsid w:val="00F57A52"/>
    <w:rsid w:val="00F6035B"/>
    <w:rsid w:val="00F60A3D"/>
    <w:rsid w:val="00F62D66"/>
    <w:rsid w:val="00F64C2B"/>
    <w:rsid w:val="00F6547A"/>
    <w:rsid w:val="00F667B9"/>
    <w:rsid w:val="00F67D3C"/>
    <w:rsid w:val="00F67D8F"/>
    <w:rsid w:val="00F70056"/>
    <w:rsid w:val="00F7257C"/>
    <w:rsid w:val="00F733BB"/>
    <w:rsid w:val="00F73407"/>
    <w:rsid w:val="00F75336"/>
    <w:rsid w:val="00F75BD7"/>
    <w:rsid w:val="00F75E5C"/>
    <w:rsid w:val="00F767DD"/>
    <w:rsid w:val="00F771C6"/>
    <w:rsid w:val="00F77D28"/>
    <w:rsid w:val="00F802BE"/>
    <w:rsid w:val="00F80A3A"/>
    <w:rsid w:val="00F818ED"/>
    <w:rsid w:val="00F81D9F"/>
    <w:rsid w:val="00F81DE8"/>
    <w:rsid w:val="00F81FF3"/>
    <w:rsid w:val="00F837EB"/>
    <w:rsid w:val="00F83924"/>
    <w:rsid w:val="00F8562E"/>
    <w:rsid w:val="00F86024"/>
    <w:rsid w:val="00F8611A"/>
    <w:rsid w:val="00F86902"/>
    <w:rsid w:val="00F86FD7"/>
    <w:rsid w:val="00F90704"/>
    <w:rsid w:val="00F918C7"/>
    <w:rsid w:val="00F96429"/>
    <w:rsid w:val="00F973A2"/>
    <w:rsid w:val="00FA2100"/>
    <w:rsid w:val="00FA290C"/>
    <w:rsid w:val="00FA38C7"/>
    <w:rsid w:val="00FA3BAA"/>
    <w:rsid w:val="00FA4F9E"/>
    <w:rsid w:val="00FA503D"/>
    <w:rsid w:val="00FA5128"/>
    <w:rsid w:val="00FA5533"/>
    <w:rsid w:val="00FA572A"/>
    <w:rsid w:val="00FA7F30"/>
    <w:rsid w:val="00FB0266"/>
    <w:rsid w:val="00FB19F1"/>
    <w:rsid w:val="00FB42D4"/>
    <w:rsid w:val="00FB4EEC"/>
    <w:rsid w:val="00FB5906"/>
    <w:rsid w:val="00FB5F70"/>
    <w:rsid w:val="00FB762F"/>
    <w:rsid w:val="00FC12EB"/>
    <w:rsid w:val="00FC2640"/>
    <w:rsid w:val="00FC2AED"/>
    <w:rsid w:val="00FC4746"/>
    <w:rsid w:val="00FC4AF5"/>
    <w:rsid w:val="00FC749D"/>
    <w:rsid w:val="00FC7A2A"/>
    <w:rsid w:val="00FC7BF0"/>
    <w:rsid w:val="00FC7F89"/>
    <w:rsid w:val="00FD30FE"/>
    <w:rsid w:val="00FD4CD2"/>
    <w:rsid w:val="00FD4D37"/>
    <w:rsid w:val="00FD560F"/>
    <w:rsid w:val="00FD5EA7"/>
    <w:rsid w:val="00FD6519"/>
    <w:rsid w:val="00FD6604"/>
    <w:rsid w:val="00FE3C45"/>
    <w:rsid w:val="00FE5E50"/>
    <w:rsid w:val="00FE705B"/>
    <w:rsid w:val="00FF1060"/>
    <w:rsid w:val="00FF12B5"/>
    <w:rsid w:val="00FF226E"/>
    <w:rsid w:val="00FF2496"/>
    <w:rsid w:val="00FF40BF"/>
    <w:rsid w:val="00FF6BBF"/>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customStyle="1" w:styleId="Ikonawskanika">
    <w:name w:val="Ikona wskaźnika"/>
    <w:basedOn w:val="Normalny"/>
    <w:link w:val="IkonawskanikaZnak"/>
    <w:qFormat/>
    <w:rsid w:val="007662C4"/>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7662C4"/>
    <w:rPr>
      <w:rFonts w:ascii="Fira Sans SemiBold" w:hAnsi="Fira Sans SemiBold"/>
      <w:color w:val="66AFDE"/>
      <w:sz w:val="60"/>
      <w:szCs w:val="60"/>
    </w:rPr>
  </w:style>
  <w:style w:type="paragraph" w:customStyle="1" w:styleId="Wartowskanika">
    <w:name w:val="Wartość wskaźnika"/>
    <w:basedOn w:val="Normalny"/>
    <w:link w:val="WartowskanikaZnak"/>
    <w:qFormat/>
    <w:rsid w:val="00055B99"/>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055B99"/>
    <w:rPr>
      <w:color w:val="FFFFFF" w:themeColor="background1"/>
    </w:rPr>
  </w:style>
  <w:style w:type="character" w:customStyle="1" w:styleId="WartowskanikaZnak">
    <w:name w:val="Wartość wskaźnika Znak"/>
    <w:basedOn w:val="Domylnaczcionkaakapitu"/>
    <w:link w:val="Wartowskanika"/>
    <w:rsid w:val="00055B99"/>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055B99"/>
    <w:rPr>
      <w:rFonts w:ascii="Fira Sans" w:hAnsi="Fira Sans"/>
      <w:color w:val="FFFFFF" w:themeColor="background1"/>
      <w:sz w:val="20"/>
    </w:rPr>
  </w:style>
  <w:style w:type="character" w:customStyle="1" w:styleId="Nierozpoznanawzmianka2">
    <w:name w:val="Nierozpoznana wzmianka2"/>
    <w:basedOn w:val="Domylnaczcionkaakapitu"/>
    <w:uiPriority w:val="99"/>
    <w:semiHidden/>
    <w:unhideWhenUsed/>
    <w:rsid w:val="00EB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hyperlink" Target="https://stat.gov.pl/en/topics/culture-tourism-sport/tourism/tourism-in-2021,1,19.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195,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4.png"/><Relationship Id="rId30" Type="http://schemas.openxmlformats.org/officeDocument/2006/relationships/hyperlink" Target="https://stat.gov.pl/en/metainformation/glossary/terms-used-in-official-statistics/723,term.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3.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6F7A7D-AAA3-48BE-A4AD-DA6E3126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1999</Words>
  <Characters>12000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2022-09-23T09:40:00Z</cp:lastPrinted>
  <dcterms:created xsi:type="dcterms:W3CDTF">2022-06-24T08:31:00Z</dcterms:created>
  <dcterms:modified xsi:type="dcterms:W3CDTF">2022-09-23T11:13:00Z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