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7D5C3A" w:rsidRDefault="007D5C3A" w:rsidP="00F049AB">
      <w:pPr>
        <w:pStyle w:val="Tytuinfomacjisygnalnej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Gross Domestic Product in the </w:t>
      </w:r>
      <w:r w:rsidR="00A8017D">
        <w:rPr>
          <w:lang w:val="en-US"/>
        </w:rPr>
        <w:t>3</w:t>
      </w:r>
      <w:r w:rsidR="00993ACA">
        <w:rPr>
          <w:lang w:val="en-US"/>
        </w:rPr>
        <w:t>r</w:t>
      </w:r>
      <w:r w:rsidR="002501DB">
        <w:rPr>
          <w:lang w:val="en-US"/>
        </w:rPr>
        <w:t>d</w:t>
      </w:r>
      <w:r>
        <w:rPr>
          <w:lang w:val="en-US"/>
        </w:rPr>
        <w:t xml:space="preserve"> quarter of 202</w:t>
      </w:r>
      <w:r w:rsidR="0008696B">
        <w:rPr>
          <w:lang w:val="en-US"/>
        </w:rPr>
        <w:t>2</w:t>
      </w:r>
      <w:r w:rsidR="0004459D">
        <w:rPr>
          <w:lang w:val="en-US"/>
        </w:rPr>
        <w:t>. Preliminary estimate</w:t>
      </w:r>
      <w:r w:rsidR="00364AF9" w:rsidRPr="007D5C3A">
        <w:rPr>
          <w:sz w:val="32"/>
          <w:lang w:val="en-US"/>
        </w:rPr>
        <w:tab/>
      </w:r>
    </w:p>
    <w:p w:rsidR="00DE58F1" w:rsidRPr="007D5C3A" w:rsidRDefault="00731D27" w:rsidP="00F049AB">
      <w:pPr>
        <w:pStyle w:val="Lead"/>
        <w:rPr>
          <w:rFonts w:eastAsia="Times New Roman" w:cs="Times New Roman"/>
          <w:bCs/>
          <w:noProof w:val="0"/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E19FA4E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2204085" cy="1078865"/>
                <wp:effectExtent l="0" t="0" r="5715" b="6985"/>
                <wp:wrapSquare wrapText="bothSides"/>
                <wp:docPr id="6" name="Pole tekstowe 2" descr="Description : 103.6&#10;GDP growth rate in the 3rd quarter of 2022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7886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CAC" w:rsidRPr="007D5C3A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5C3A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BB1E59">
                              <w:rPr>
                                <w:rStyle w:val="WartowskanikaZnak"/>
                                <w:lang w:val="en-US"/>
                              </w:rPr>
                              <w:t>103.6</w:t>
                            </w:r>
                          </w:p>
                          <w:p w:rsidR="005C0CAC" w:rsidRPr="007D5C3A" w:rsidRDefault="007D5C3A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GDP growth rate in the </w:t>
                            </w:r>
                            <w:r w:rsidR="00BB1E59">
                              <w:rPr>
                                <w:lang w:val="en-US"/>
                              </w:rPr>
                              <w:t>3r</w:t>
                            </w:r>
                            <w:r w:rsidR="002501DB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r w:rsidRPr="007D5C3A">
                              <w:rPr>
                                <w:lang w:val="en-US"/>
                              </w:rPr>
                              <w:t>quarter</w:t>
                            </w:r>
                            <w:r>
                              <w:rPr>
                                <w:lang w:val="en-US"/>
                              </w:rPr>
                              <w:t xml:space="preserve"> of 202</w:t>
                            </w:r>
                            <w:r w:rsidR="0008696B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escription : 103.6&#10;GDP growth rate in the 3rd quarter of 2022 &#10;" style="position:absolute;margin-left:0;margin-top:3.2pt;width:173.55pt;height:84.9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" fillcolor="#001d77" stroked="f">
                <v:stroke joinstyle="miter"/>
                <v:textbox>
                  <w:txbxContent>
                    <w:p w:rsidR="005C0CAC" w:rsidRPr="007D5C3A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7D5C3A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BB1E59">
                        <w:rPr>
                          <w:rStyle w:val="WartowskanikaZnak"/>
                          <w:lang w:val="en-US"/>
                        </w:rPr>
                        <w:t>103.6</w:t>
                      </w:r>
                    </w:p>
                    <w:p w:rsidR="005C0CAC" w:rsidRPr="007D5C3A" w:rsidRDefault="007D5C3A" w:rsidP="00F049AB">
                      <w:pPr>
                        <w:pStyle w:val="Opiswskanika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GDP growth rate in the </w:t>
                      </w:r>
                      <w:r w:rsidR="00BB1E59">
                        <w:rPr>
                          <w:lang w:val="en-US"/>
                        </w:rPr>
                        <w:t>3r</w:t>
                      </w:r>
                      <w:r w:rsidR="002501DB">
                        <w:rPr>
                          <w:lang w:val="en-US"/>
                        </w:rPr>
                        <w:t>d</w:t>
                      </w:r>
                      <w:r>
                        <w:rPr>
                          <w:vertAlign w:val="superscript"/>
                          <w:lang w:val="en-US"/>
                        </w:rPr>
                        <w:t xml:space="preserve"> </w:t>
                      </w:r>
                      <w:r w:rsidRPr="007D5C3A">
                        <w:rPr>
                          <w:lang w:val="en-US"/>
                        </w:rPr>
                        <w:t>quarter</w:t>
                      </w:r>
                      <w:r>
                        <w:rPr>
                          <w:lang w:val="en-US"/>
                        </w:rPr>
                        <w:t xml:space="preserve"> of 202</w:t>
                      </w:r>
                      <w:r w:rsidR="0008696B">
                        <w:rPr>
                          <w:lang w:val="en-US"/>
                        </w:rPr>
                        <w:t>2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5C3A">
        <w:rPr>
          <w:color w:val="001D77"/>
          <w:lang w:val="en-US"/>
        </w:rPr>
        <w:t xml:space="preserve"> </w:t>
      </w:r>
      <w:r w:rsidR="00A90A6D" w:rsidRPr="007D5C3A">
        <w:rPr>
          <w:lang w:val="en-US"/>
        </w:rPr>
        <w:br/>
      </w:r>
      <w:r w:rsidR="00846DF2">
        <w:rPr>
          <w:lang w:val="en-US"/>
        </w:rPr>
        <w:t>S</w:t>
      </w:r>
      <w:r w:rsidR="00726580">
        <w:rPr>
          <w:lang w:val="en-US"/>
        </w:rPr>
        <w:t xml:space="preserve">easonally unadjusted </w:t>
      </w:r>
      <w:r w:rsidR="00846DF2">
        <w:rPr>
          <w:lang w:val="en-US"/>
        </w:rPr>
        <w:t xml:space="preserve">gross domestic product (GDP) in the </w:t>
      </w:r>
      <w:r w:rsidR="00BB1E59">
        <w:rPr>
          <w:lang w:val="en-US"/>
        </w:rPr>
        <w:t>3r</w:t>
      </w:r>
      <w:r w:rsidR="002501DB">
        <w:rPr>
          <w:lang w:val="en-US"/>
        </w:rPr>
        <w:t>d</w:t>
      </w:r>
      <w:r w:rsidR="00325999">
        <w:rPr>
          <w:lang w:val="en-US"/>
        </w:rPr>
        <w:t xml:space="preserve"> quarter</w:t>
      </w:r>
      <w:r w:rsidR="00846DF2">
        <w:rPr>
          <w:lang w:val="en-US"/>
        </w:rPr>
        <w:t xml:space="preserve"> of 202</w:t>
      </w:r>
      <w:r w:rsidR="0008696B">
        <w:rPr>
          <w:lang w:val="en-US"/>
        </w:rPr>
        <w:t>2</w:t>
      </w:r>
      <w:r w:rsidR="00846DF2">
        <w:rPr>
          <w:lang w:val="en-US"/>
        </w:rPr>
        <w:t xml:space="preserve"> </w:t>
      </w:r>
      <w:r w:rsidR="00726580">
        <w:rPr>
          <w:lang w:val="en-US"/>
        </w:rPr>
        <w:t>was higher by</w:t>
      </w:r>
      <w:r w:rsidR="00D523A8">
        <w:rPr>
          <w:lang w:val="en-US"/>
        </w:rPr>
        <w:t xml:space="preserve"> </w:t>
      </w:r>
      <w:r w:rsidR="00BB1E59">
        <w:rPr>
          <w:lang w:val="en-US"/>
        </w:rPr>
        <w:t>3.6</w:t>
      </w:r>
      <w:r w:rsidR="00726580">
        <w:rPr>
          <w:lang w:val="en-US"/>
        </w:rPr>
        <w:t>% year-</w:t>
      </w:r>
      <w:r w:rsidR="00846DF2">
        <w:rPr>
          <w:lang w:val="en-US"/>
        </w:rPr>
        <w:t>on</w:t>
      </w:r>
      <w:r w:rsidR="00726580">
        <w:rPr>
          <w:lang w:val="en-US"/>
        </w:rPr>
        <w:t xml:space="preserve">-year </w:t>
      </w:r>
      <w:r w:rsidR="00846DF2">
        <w:rPr>
          <w:lang w:val="en-US"/>
        </w:rPr>
        <w:t xml:space="preserve">comparision </w:t>
      </w:r>
      <w:r w:rsidR="00726580">
        <w:rPr>
          <w:lang w:val="en-US"/>
        </w:rPr>
        <w:t xml:space="preserve">against </w:t>
      </w:r>
      <w:r w:rsidR="00846DF2">
        <w:rPr>
          <w:lang w:val="en-US"/>
        </w:rPr>
        <w:t xml:space="preserve">the </w:t>
      </w:r>
      <w:r w:rsidR="002501DB">
        <w:rPr>
          <w:lang w:val="en-US"/>
        </w:rPr>
        <w:t>in</w:t>
      </w:r>
      <w:r w:rsidR="00846DF2">
        <w:rPr>
          <w:lang w:val="en-US"/>
        </w:rPr>
        <w:t xml:space="preserve">crease of </w:t>
      </w:r>
      <w:r w:rsidR="00BB1E59">
        <w:rPr>
          <w:lang w:val="en-US"/>
        </w:rPr>
        <w:t>6.5</w:t>
      </w:r>
      <w:r w:rsidR="00726580">
        <w:rPr>
          <w:lang w:val="en-US"/>
        </w:rPr>
        <w:t xml:space="preserve">% </w:t>
      </w:r>
      <w:r w:rsidR="00FA3261">
        <w:rPr>
          <w:lang w:val="en-US"/>
        </w:rPr>
        <w:t xml:space="preserve">in the corresponding </w:t>
      </w:r>
      <w:r w:rsidR="00846DF2">
        <w:rPr>
          <w:lang w:val="en-US"/>
        </w:rPr>
        <w:t>quarter</w:t>
      </w:r>
      <w:r w:rsidR="00FA3261">
        <w:rPr>
          <w:lang w:val="en-US"/>
        </w:rPr>
        <w:t xml:space="preserve"> of 202</w:t>
      </w:r>
      <w:r w:rsidR="0008696B">
        <w:rPr>
          <w:lang w:val="en-US"/>
        </w:rPr>
        <w:t>1</w:t>
      </w:r>
      <w:r w:rsidR="00846DF2">
        <w:rPr>
          <w:lang w:val="en-US"/>
        </w:rPr>
        <w:t xml:space="preserve"> (constant average prices of the previous year).</w:t>
      </w:r>
    </w:p>
    <w:p w:rsidR="00DE6B58" w:rsidRDefault="006F02B6" w:rsidP="00FA3261">
      <w:pPr>
        <w:pStyle w:val="Nagwek1"/>
        <w:spacing w:before="480" w:line="288" w:lineRule="auto"/>
        <w:rPr>
          <w:rFonts w:ascii="Fira Sans" w:hAnsi="Fira Sans"/>
          <w:color w:val="auto"/>
          <w:szCs w:val="19"/>
          <w:lang w:val="en-US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E33EFE5">
                <wp:simplePos x="0" y="0"/>
                <wp:positionH relativeFrom="column">
                  <wp:posOffset>5273675</wp:posOffset>
                </wp:positionH>
                <wp:positionV relativeFrom="paragraph">
                  <wp:posOffset>772160</wp:posOffset>
                </wp:positionV>
                <wp:extent cx="1725295" cy="1590675"/>
                <wp:effectExtent l="0" t="0" r="0" b="0"/>
                <wp:wrapTight wrapText="bothSides">
                  <wp:wrapPolygon edited="0">
                    <wp:start x="715" y="0"/>
                    <wp:lineTo x="715" y="21212"/>
                    <wp:lineTo x="20749" y="21212"/>
                    <wp:lineTo x="20749" y="0"/>
                    <wp:lineTo x="715" y="0"/>
                  </wp:wrapPolygon>
                </wp:wrapTight>
                <wp:docPr id="2" name="Pole tekstowe 2" descr="Compared to the flash esti-mate published on 15 No-vember, 2022, gross domes-tic product at constant aver-age prices of the previous year, seasonally unadjusted, revised up by 0.1 percentage point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E20E10" w:rsidRDefault="00DE3F2F" w:rsidP="003363DA">
                            <w:pPr>
                              <w:pStyle w:val="tekstzboku"/>
                              <w:spacing w:before="240"/>
                              <w:rPr>
                                <w:bCs w:val="0"/>
                                <w:lang w:val="en-US"/>
                              </w:rPr>
                            </w:pPr>
                            <w:r w:rsidRPr="00E20E10">
                              <w:rPr>
                                <w:bCs w:val="0"/>
                                <w:lang w:val="en-US"/>
                              </w:rPr>
                              <w:t>Compared to the flash estimate p</w:t>
                            </w:r>
                            <w:r w:rsidR="00014ECD">
                              <w:rPr>
                                <w:bCs w:val="0"/>
                                <w:lang w:val="en-US"/>
                              </w:rPr>
                              <w:t xml:space="preserve">ublished on </w:t>
                            </w:r>
                            <w:r w:rsidR="00D918A0">
                              <w:rPr>
                                <w:bCs w:val="0"/>
                                <w:lang w:val="en-US"/>
                              </w:rPr>
                              <w:t>15 November</w:t>
                            </w:r>
                            <w:r w:rsidR="00647FD0">
                              <w:rPr>
                                <w:bCs w:val="0"/>
                                <w:lang w:val="en-US"/>
                              </w:rPr>
                              <w:t xml:space="preserve"> </w:t>
                            </w:r>
                            <w:r w:rsidR="00014ECD">
                              <w:rPr>
                                <w:bCs w:val="0"/>
                                <w:lang w:val="en-US"/>
                              </w:rPr>
                              <w:t>2022,</w:t>
                            </w:r>
                            <w:r w:rsidRPr="00E20E10">
                              <w:rPr>
                                <w:bCs w:val="0"/>
                                <w:lang w:val="en-US"/>
                              </w:rPr>
                              <w:t xml:space="preserve"> gross domestic product at constant average prices of the previous year, seasonally unadjusted</w:t>
                            </w:r>
                            <w:r w:rsidR="000E0AD0">
                              <w:rPr>
                                <w:bCs w:val="0"/>
                                <w:lang w:val="en-US"/>
                              </w:rPr>
                              <w:t>,</w:t>
                            </w:r>
                            <w:r w:rsidR="00964019" w:rsidRPr="00D918A0">
                              <w:rPr>
                                <w:bCs w:val="0"/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="00964019">
                              <w:rPr>
                                <w:bCs w:val="0"/>
                                <w:lang w:val="en-US"/>
                              </w:rPr>
                              <w:t>revised up by 0.</w:t>
                            </w:r>
                            <w:r w:rsidR="00D918A0">
                              <w:rPr>
                                <w:bCs w:val="0"/>
                                <w:lang w:val="en-US"/>
                              </w:rPr>
                              <w:t>1</w:t>
                            </w:r>
                            <w:r w:rsidR="00964019">
                              <w:rPr>
                                <w:bCs w:val="0"/>
                                <w:lang w:val="en-US"/>
                              </w:rPr>
                              <w:t xml:space="preserve"> percentage points.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Compared to the flash esti-mate published on 15 No-vember, 2022, gross domes-tic product at constant aver-age prices of the previous year, seasonally unadjusted, revised up by 0.1 percentage points." style="position:absolute;margin-left:415.25pt;margin-top:60.8pt;width:135.85pt;height:125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" filled="f" stroked="f">
                <v:textbox>
                  <w:txbxContent>
                    <w:p w:rsidR="00D616D2" w:rsidRPr="00E20E10" w:rsidRDefault="00DE3F2F" w:rsidP="003363DA">
                      <w:pPr>
                        <w:pStyle w:val="tekstzboku"/>
                        <w:spacing w:before="240"/>
                        <w:rPr>
                          <w:bCs w:val="0"/>
                          <w:lang w:val="en-US"/>
                        </w:rPr>
                      </w:pPr>
                      <w:r w:rsidRPr="00E20E10">
                        <w:rPr>
                          <w:bCs w:val="0"/>
                          <w:lang w:val="en-US"/>
                        </w:rPr>
                        <w:t>Compared to the flash estimate p</w:t>
                      </w:r>
                      <w:r w:rsidR="00014ECD">
                        <w:rPr>
                          <w:bCs w:val="0"/>
                          <w:lang w:val="en-US"/>
                        </w:rPr>
                        <w:t xml:space="preserve">ublished on </w:t>
                      </w:r>
                      <w:r w:rsidR="00D918A0">
                        <w:rPr>
                          <w:bCs w:val="0"/>
                          <w:lang w:val="en-US"/>
                        </w:rPr>
                        <w:t>15 November</w:t>
                      </w:r>
                      <w:r w:rsidR="00647FD0">
                        <w:rPr>
                          <w:bCs w:val="0"/>
                          <w:lang w:val="en-US"/>
                        </w:rPr>
                        <w:t xml:space="preserve"> </w:t>
                      </w:r>
                      <w:r w:rsidR="00014ECD">
                        <w:rPr>
                          <w:bCs w:val="0"/>
                          <w:lang w:val="en-US"/>
                        </w:rPr>
                        <w:t>2022,</w:t>
                      </w:r>
                      <w:r w:rsidRPr="00E20E10">
                        <w:rPr>
                          <w:bCs w:val="0"/>
                          <w:lang w:val="en-US"/>
                        </w:rPr>
                        <w:t xml:space="preserve"> gross domestic product at constant average prices of the previous year, seasonally unadjusted</w:t>
                      </w:r>
                      <w:r w:rsidR="000E0AD0">
                        <w:rPr>
                          <w:bCs w:val="0"/>
                          <w:lang w:val="en-US"/>
                        </w:rPr>
                        <w:t>,</w:t>
                      </w:r>
                      <w:r w:rsidR="00964019" w:rsidRPr="00D918A0">
                        <w:rPr>
                          <w:bCs w:val="0"/>
                          <w:color w:val="FF0000"/>
                          <w:lang w:val="en-US"/>
                        </w:rPr>
                        <w:t xml:space="preserve"> </w:t>
                      </w:r>
                      <w:r w:rsidR="00964019">
                        <w:rPr>
                          <w:bCs w:val="0"/>
                          <w:lang w:val="en-US"/>
                        </w:rPr>
                        <w:t>revised up by 0.</w:t>
                      </w:r>
                      <w:r w:rsidR="00D918A0">
                        <w:rPr>
                          <w:bCs w:val="0"/>
                          <w:lang w:val="en-US"/>
                        </w:rPr>
                        <w:t>1</w:t>
                      </w:r>
                      <w:r w:rsidR="00964019">
                        <w:rPr>
                          <w:bCs w:val="0"/>
                          <w:lang w:val="en-US"/>
                        </w:rPr>
                        <w:t xml:space="preserve"> percentage points.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7D5C3A">
        <w:rPr>
          <w:shd w:val="clear" w:color="auto" w:fill="FFFFFF"/>
          <w:lang w:val="en-US"/>
        </w:rPr>
        <w:br/>
      </w:r>
      <w:r w:rsidR="00C77F7E">
        <w:rPr>
          <w:rFonts w:ascii="Fira Sans" w:hAnsi="Fira Sans"/>
          <w:color w:val="auto"/>
          <w:szCs w:val="19"/>
          <w:lang w:val="en-US"/>
        </w:rPr>
        <w:t xml:space="preserve">In the </w:t>
      </w:r>
      <w:r w:rsidR="001C39A4">
        <w:rPr>
          <w:rFonts w:ascii="Fira Sans" w:hAnsi="Fira Sans"/>
          <w:color w:val="auto"/>
          <w:szCs w:val="19"/>
          <w:lang w:val="en-US"/>
        </w:rPr>
        <w:t>3r</w:t>
      </w:r>
      <w:r w:rsidR="003A15F3">
        <w:rPr>
          <w:rFonts w:ascii="Fira Sans" w:hAnsi="Fira Sans"/>
          <w:color w:val="auto"/>
          <w:szCs w:val="19"/>
          <w:lang w:val="en-US"/>
        </w:rPr>
        <w:t>d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quarter of 202</w:t>
      </w:r>
      <w:r w:rsidR="0008696B">
        <w:rPr>
          <w:rFonts w:ascii="Fira Sans" w:hAnsi="Fira Sans"/>
          <w:color w:val="auto"/>
          <w:szCs w:val="19"/>
          <w:lang w:val="en-US"/>
        </w:rPr>
        <w:t>2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seasonally adjusted GDP (constant prices, reference year 2015) was </w:t>
      </w:r>
      <w:r w:rsidR="001C39A4">
        <w:rPr>
          <w:rFonts w:ascii="Fira Sans" w:hAnsi="Fira Sans"/>
          <w:color w:val="auto"/>
          <w:szCs w:val="19"/>
          <w:lang w:val="en-US"/>
        </w:rPr>
        <w:t>higher</w:t>
      </w:r>
      <w:r w:rsidR="00C77F7E">
        <w:rPr>
          <w:rFonts w:ascii="Fira Sans" w:hAnsi="Fira Sans"/>
          <w:color w:val="auto"/>
          <w:szCs w:val="19"/>
          <w:lang w:val="en-US"/>
        </w:rPr>
        <w:t xml:space="preserve"> by </w:t>
      </w:r>
      <w:r w:rsidR="001C39A4">
        <w:rPr>
          <w:rFonts w:ascii="Fira Sans" w:hAnsi="Fira Sans"/>
          <w:color w:val="auto"/>
          <w:szCs w:val="19"/>
          <w:lang w:val="en-US"/>
        </w:rPr>
        <w:t>1.0</w:t>
      </w:r>
      <w:r w:rsidR="00C77F7E">
        <w:rPr>
          <w:rFonts w:ascii="Fira Sans" w:hAnsi="Fira Sans"/>
          <w:color w:val="auto"/>
          <w:szCs w:val="19"/>
          <w:lang w:val="en-US"/>
        </w:rPr>
        <w:t xml:space="preserve">% than in the previous quarter and </w:t>
      </w:r>
      <w:r w:rsidR="001C39A4">
        <w:rPr>
          <w:rFonts w:ascii="Fira Sans" w:hAnsi="Fira Sans"/>
          <w:color w:val="auto"/>
          <w:szCs w:val="19"/>
          <w:lang w:val="en-US"/>
        </w:rPr>
        <w:t>4.5</w:t>
      </w:r>
      <w:r w:rsidR="00C77F7E">
        <w:rPr>
          <w:rFonts w:ascii="Fira Sans" w:hAnsi="Fira Sans"/>
          <w:color w:val="auto"/>
          <w:szCs w:val="19"/>
          <w:lang w:val="en-US"/>
        </w:rPr>
        <w:t>%</w:t>
      </w:r>
      <w:r w:rsidR="003476F4">
        <w:rPr>
          <w:rFonts w:ascii="Fira Sans" w:hAnsi="Fira Sans"/>
          <w:color w:val="auto"/>
          <w:szCs w:val="19"/>
          <w:lang w:val="en-US"/>
        </w:rPr>
        <w:t xml:space="preserve"> higher than in the </w:t>
      </w:r>
      <w:r w:rsidR="001C39A4">
        <w:rPr>
          <w:rFonts w:ascii="Fira Sans" w:hAnsi="Fira Sans"/>
          <w:color w:val="auto"/>
          <w:szCs w:val="19"/>
          <w:lang w:val="en-US"/>
        </w:rPr>
        <w:t>3rd</w:t>
      </w:r>
      <w:r w:rsidR="00732941">
        <w:rPr>
          <w:rFonts w:ascii="Fira Sans" w:hAnsi="Fira Sans"/>
          <w:color w:val="auto"/>
          <w:szCs w:val="19"/>
          <w:lang w:val="en-US"/>
        </w:rPr>
        <w:t xml:space="preserve"> quarter of the previous year</w:t>
      </w:r>
      <w:r w:rsidR="00D972F6" w:rsidRPr="00FA3261">
        <w:rPr>
          <w:rFonts w:ascii="Fira Sans" w:hAnsi="Fira Sans"/>
          <w:color w:val="auto"/>
          <w:szCs w:val="19"/>
          <w:lang w:val="en-US"/>
        </w:rPr>
        <w:t xml:space="preserve">. </w:t>
      </w:r>
    </w:p>
    <w:p w:rsidR="00732941" w:rsidRDefault="00732941" w:rsidP="003F7AB1">
      <w:pPr>
        <w:spacing w:line="288" w:lineRule="auto"/>
        <w:rPr>
          <w:lang w:val="en-US" w:eastAsia="pl-PL"/>
        </w:rPr>
      </w:pPr>
      <w:r>
        <w:rPr>
          <w:lang w:val="en-US" w:eastAsia="pl-PL"/>
        </w:rPr>
        <w:t>Seasonally unadjusted GDP (constant average prices of the previous year) was higher by</w:t>
      </w:r>
      <w:r w:rsidR="004E3AD6">
        <w:rPr>
          <w:lang w:val="en-US" w:eastAsia="pl-PL"/>
        </w:rPr>
        <w:t xml:space="preserve"> </w:t>
      </w:r>
      <w:r w:rsidR="001C39A4">
        <w:rPr>
          <w:lang w:val="en-US" w:eastAsia="pl-PL"/>
        </w:rPr>
        <w:t>3.6</w:t>
      </w:r>
      <w:r>
        <w:rPr>
          <w:lang w:val="en-US" w:eastAsia="pl-PL"/>
        </w:rPr>
        <w:t>% than in the corresponding quarter of the previous year.</w:t>
      </w:r>
    </w:p>
    <w:p w:rsidR="00E95B8E" w:rsidRPr="007D5C3A" w:rsidRDefault="00E95B8E" w:rsidP="00F049AB">
      <w:pPr>
        <w:pStyle w:val="Tytutablicy"/>
        <w:rPr>
          <w:lang w:val="en-US"/>
        </w:rPr>
      </w:pPr>
      <w:r w:rsidRPr="007D5C3A">
        <w:rPr>
          <w:lang w:val="en-US"/>
        </w:rPr>
        <w:t>Tabl</w:t>
      </w:r>
      <w:r w:rsidR="00850B7B" w:rsidRPr="007D5C3A">
        <w:rPr>
          <w:lang w:val="en-US"/>
        </w:rPr>
        <w:t>e</w:t>
      </w:r>
      <w:r w:rsidRPr="007D5C3A">
        <w:rPr>
          <w:lang w:val="en-US"/>
        </w:rPr>
        <w:t xml:space="preserve"> </w:t>
      </w:r>
      <w:r w:rsidR="00D972F6" w:rsidRPr="007D5C3A">
        <w:rPr>
          <w:lang w:val="en-US"/>
        </w:rPr>
        <w:t>1</w:t>
      </w:r>
      <w:r w:rsidRPr="007D5C3A">
        <w:rPr>
          <w:lang w:val="en-US"/>
        </w:rPr>
        <w:t>.</w:t>
      </w:r>
      <w:r w:rsidR="00D972F6" w:rsidRPr="007D5C3A">
        <w:rPr>
          <w:lang w:val="en-US"/>
        </w:rPr>
        <w:t xml:space="preserve"> </w:t>
      </w:r>
      <w:r w:rsidR="00345B19">
        <w:rPr>
          <w:lang w:val="en-US"/>
        </w:rPr>
        <w:t>Seasonally adjusted GDP; constant prices, reference year 2015</w:t>
      </w:r>
    </w:p>
    <w:tbl>
      <w:tblPr>
        <w:tblStyle w:val="Tabela-Siatka"/>
        <w:tblpPr w:leftFromText="142" w:rightFromText="142" w:vertAnchor="text" w:horzAnchor="margin" w:tblpY="285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1. Seasonally adjusted GDP; constant prices, reference year 2015"/>
        <w:tblDescription w:val="The table presents real growth rates of GDP by quarters for 2020-2021 and  the 1st , 2nd and 3rd quarter of 2022, at constant prices of 2015, seasonally adjusted with  previous quarter = 100 and corresponding quarter of previous year = 100 plus comparison of news releases of November 15, 2022 and Novembert 30, 2022"/>
      </w:tblPr>
      <w:tblGrid>
        <w:gridCol w:w="1307"/>
        <w:gridCol w:w="624"/>
        <w:gridCol w:w="616"/>
        <w:gridCol w:w="620"/>
        <w:gridCol w:w="621"/>
        <w:gridCol w:w="620"/>
        <w:gridCol w:w="624"/>
        <w:gridCol w:w="631"/>
        <w:gridCol w:w="628"/>
        <w:gridCol w:w="597"/>
        <w:gridCol w:w="592"/>
        <w:gridCol w:w="587"/>
      </w:tblGrid>
      <w:tr w:rsidR="00D918A0" w:rsidRPr="00E34AA3" w:rsidTr="00D918A0">
        <w:trPr>
          <w:trHeight w:hRule="exact" w:val="397"/>
        </w:trPr>
        <w:tc>
          <w:tcPr>
            <w:tcW w:w="810" w:type="pct"/>
            <w:vMerge w:val="restart"/>
            <w:tcBorders>
              <w:left w:val="nil"/>
            </w:tcBorders>
            <w:vAlign w:val="center"/>
          </w:tcPr>
          <w:p w:rsidR="00D918A0" w:rsidRPr="00E34AA3" w:rsidRDefault="00D918A0" w:rsidP="005A7FA2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538" w:type="pct"/>
            <w:gridSpan w:val="4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551" w:type="pct"/>
            <w:gridSpan w:val="4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01" w:type="pct"/>
            <w:gridSpan w:val="3"/>
            <w:tcBorders>
              <w:right w:val="nil"/>
            </w:tcBorders>
            <w:vAlign w:val="center"/>
          </w:tcPr>
          <w:p w:rsidR="00D918A0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D918A0" w:rsidRPr="00E34AA3" w:rsidTr="00DF4D4C">
        <w:trPr>
          <w:trHeight w:hRule="exact" w:val="397"/>
        </w:trPr>
        <w:tc>
          <w:tcPr>
            <w:tcW w:w="810" w:type="pct"/>
            <w:vMerge/>
            <w:tcBorders>
              <w:left w:val="nil"/>
            </w:tcBorders>
          </w:tcPr>
          <w:p w:rsidR="00D918A0" w:rsidRPr="00E34AA3" w:rsidRDefault="00D918A0" w:rsidP="005A7FA2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87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2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84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5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84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7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91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9" w:type="pct"/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D918A0" w:rsidRPr="00E34AA3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67" w:type="pct"/>
            <w:tcBorders>
              <w:right w:val="nil"/>
            </w:tcBorders>
            <w:vAlign w:val="center"/>
          </w:tcPr>
          <w:p w:rsidR="00D918A0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64" w:type="pct"/>
            <w:tcBorders>
              <w:right w:val="nil"/>
            </w:tcBorders>
            <w:vAlign w:val="center"/>
          </w:tcPr>
          <w:p w:rsidR="00D918A0" w:rsidRDefault="00DF4D4C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</w:tr>
      <w:tr w:rsidR="00D918A0" w:rsidRPr="00E34AA3" w:rsidTr="00D918A0">
        <w:trPr>
          <w:trHeight w:hRule="exact" w:val="397"/>
        </w:trPr>
        <w:tc>
          <w:tcPr>
            <w:tcW w:w="810" w:type="pct"/>
            <w:vMerge/>
            <w:tcBorders>
              <w:left w:val="nil"/>
            </w:tcBorders>
          </w:tcPr>
          <w:p w:rsidR="00D918A0" w:rsidRPr="00E34AA3" w:rsidRDefault="00D918A0" w:rsidP="005A7FA2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90" w:type="pct"/>
            <w:gridSpan w:val="11"/>
            <w:tcBorders>
              <w:right w:val="nil"/>
            </w:tcBorders>
            <w:vAlign w:val="center"/>
          </w:tcPr>
          <w:p w:rsidR="00D918A0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quarter</w:t>
            </w:r>
            <w:r w:rsidRPr="00E34AA3">
              <w:rPr>
                <w:sz w:val="18"/>
                <w:szCs w:val="18"/>
              </w:rPr>
              <w:t xml:space="preserve"> = 100</w:t>
            </w:r>
          </w:p>
        </w:tc>
      </w:tr>
      <w:tr w:rsidR="00D918A0" w:rsidRPr="008916DC" w:rsidTr="00DF4D4C">
        <w:trPr>
          <w:trHeight w:val="397"/>
        </w:trPr>
        <w:tc>
          <w:tcPr>
            <w:tcW w:w="81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D918A0" w:rsidRPr="00F54F97" w:rsidRDefault="00D918A0" w:rsidP="00D918A0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15 November 2022</w:t>
            </w:r>
          </w:p>
        </w:tc>
        <w:tc>
          <w:tcPr>
            <w:tcW w:w="387" w:type="pct"/>
            <w:tcMar>
              <w:left w:w="28" w:type="dxa"/>
              <w:right w:w="28" w:type="dxa"/>
            </w:tcMar>
            <w:vAlign w:val="center"/>
          </w:tcPr>
          <w:p w:rsidR="00D918A0" w:rsidRPr="00345EBB" w:rsidRDefault="00D918A0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</w:t>
            </w:r>
            <w:r w:rsidR="00A004BA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82" w:type="pct"/>
            <w:vAlign w:val="center"/>
          </w:tcPr>
          <w:p w:rsidR="00D918A0" w:rsidRPr="00345EBB" w:rsidRDefault="00D918A0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</w:t>
            </w:r>
            <w:r w:rsidR="00A004BA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84" w:type="pct"/>
            <w:vAlign w:val="center"/>
          </w:tcPr>
          <w:p w:rsidR="00D918A0" w:rsidRPr="00345EBB" w:rsidRDefault="00A004BA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106.8</w:t>
            </w:r>
          </w:p>
        </w:tc>
        <w:tc>
          <w:tcPr>
            <w:tcW w:w="385" w:type="pct"/>
            <w:vAlign w:val="center"/>
          </w:tcPr>
          <w:p w:rsidR="00D918A0" w:rsidRPr="00345EBB" w:rsidRDefault="00D918A0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</w:t>
            </w:r>
            <w:r w:rsidR="00A004B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84" w:type="pct"/>
            <w:vAlign w:val="center"/>
          </w:tcPr>
          <w:p w:rsidR="00D918A0" w:rsidRPr="00345EBB" w:rsidRDefault="00A004BA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387" w:type="pct"/>
            <w:vAlign w:val="center"/>
          </w:tcPr>
          <w:p w:rsidR="00D918A0" w:rsidRPr="00345EBB" w:rsidRDefault="00D918A0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</w:t>
            </w:r>
            <w:r w:rsidR="00A004BA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1" w:type="pct"/>
            <w:vAlign w:val="center"/>
          </w:tcPr>
          <w:p w:rsidR="00D918A0" w:rsidRPr="00345EBB" w:rsidRDefault="00D918A0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</w:t>
            </w:r>
            <w:r w:rsidR="00A004B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89" w:type="pct"/>
            <w:vAlign w:val="center"/>
          </w:tcPr>
          <w:p w:rsidR="00D918A0" w:rsidRPr="00345EBB" w:rsidRDefault="00D918A0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</w:t>
            </w:r>
            <w:r w:rsidR="00A004BA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370" w:type="pct"/>
            <w:tcBorders>
              <w:bottom w:val="single" w:sz="4" w:space="0" w:color="001D77"/>
              <w:right w:val="nil"/>
            </w:tcBorders>
            <w:vAlign w:val="center"/>
          </w:tcPr>
          <w:p w:rsidR="00D918A0" w:rsidRPr="00345EBB" w:rsidRDefault="00A004BA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104.2</w:t>
            </w:r>
          </w:p>
        </w:tc>
        <w:tc>
          <w:tcPr>
            <w:tcW w:w="367" w:type="pct"/>
            <w:tcBorders>
              <w:bottom w:val="single" w:sz="4" w:space="0" w:color="001D77"/>
              <w:right w:val="nil"/>
            </w:tcBorders>
            <w:vAlign w:val="center"/>
          </w:tcPr>
          <w:p w:rsidR="00D918A0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97.7</w:t>
            </w:r>
          </w:p>
        </w:tc>
        <w:tc>
          <w:tcPr>
            <w:tcW w:w="364" w:type="pct"/>
            <w:tcBorders>
              <w:bottom w:val="single" w:sz="4" w:space="0" w:color="001D77"/>
              <w:right w:val="nil"/>
            </w:tcBorders>
            <w:vAlign w:val="center"/>
          </w:tcPr>
          <w:p w:rsidR="00D918A0" w:rsidRDefault="00A004BA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100.9</w:t>
            </w:r>
          </w:p>
        </w:tc>
      </w:tr>
      <w:tr w:rsidR="00A004BA" w:rsidRPr="00E8595F" w:rsidTr="00DF4D4C">
        <w:trPr>
          <w:trHeight w:val="397"/>
        </w:trPr>
        <w:tc>
          <w:tcPr>
            <w:tcW w:w="81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A004BA" w:rsidRPr="00F54F97" w:rsidRDefault="00A004BA" w:rsidP="00A004BA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30 November 2022</w:t>
            </w:r>
          </w:p>
        </w:tc>
        <w:tc>
          <w:tcPr>
            <w:tcW w:w="387" w:type="pct"/>
            <w:tcMar>
              <w:left w:w="28" w:type="dxa"/>
              <w:right w:w="28" w:type="dxa"/>
            </w:tcMar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100.7</w:t>
            </w:r>
          </w:p>
        </w:tc>
        <w:tc>
          <w:tcPr>
            <w:tcW w:w="382" w:type="pct"/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90.8</w:t>
            </w:r>
          </w:p>
        </w:tc>
        <w:tc>
          <w:tcPr>
            <w:tcW w:w="384" w:type="pct"/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106.8</w:t>
            </w:r>
          </w:p>
        </w:tc>
        <w:tc>
          <w:tcPr>
            <w:tcW w:w="385" w:type="pct"/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100.1</w:t>
            </w:r>
          </w:p>
        </w:tc>
        <w:tc>
          <w:tcPr>
            <w:tcW w:w="384" w:type="pct"/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102.6</w:t>
            </w:r>
          </w:p>
        </w:tc>
        <w:tc>
          <w:tcPr>
            <w:tcW w:w="387" w:type="pct"/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102.2</w:t>
            </w:r>
          </w:p>
        </w:tc>
        <w:tc>
          <w:tcPr>
            <w:tcW w:w="391" w:type="pct"/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102.1</w:t>
            </w:r>
          </w:p>
        </w:tc>
        <w:tc>
          <w:tcPr>
            <w:tcW w:w="389" w:type="pct"/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101.6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A004BA" w:rsidRPr="00345EBB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104.3</w:t>
            </w:r>
          </w:p>
        </w:tc>
        <w:tc>
          <w:tcPr>
            <w:tcW w:w="367" w:type="pct"/>
            <w:tcBorders>
              <w:right w:val="nil"/>
            </w:tcBorders>
            <w:vAlign w:val="center"/>
          </w:tcPr>
          <w:p w:rsidR="00A004BA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97.7</w:t>
            </w:r>
          </w:p>
        </w:tc>
        <w:tc>
          <w:tcPr>
            <w:tcW w:w="364" w:type="pct"/>
            <w:tcBorders>
              <w:right w:val="nil"/>
            </w:tcBorders>
            <w:vAlign w:val="center"/>
          </w:tcPr>
          <w:p w:rsidR="00A004BA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101.0</w:t>
            </w:r>
          </w:p>
        </w:tc>
      </w:tr>
      <w:tr w:rsidR="00D918A0" w:rsidRPr="00FB2D95" w:rsidTr="00DF4D4C">
        <w:trPr>
          <w:trHeight w:val="397"/>
        </w:trPr>
        <w:tc>
          <w:tcPr>
            <w:tcW w:w="81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D918A0" w:rsidRPr="00E34AA3" w:rsidRDefault="00D918A0" w:rsidP="005A7FA2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87" w:type="pct"/>
            <w:tcMar>
              <w:left w:w="28" w:type="dxa"/>
              <w:right w:w="28" w:type="dxa"/>
            </w:tcMar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2" w:type="pct"/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5" w:type="pct"/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7" w:type="pct"/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91" w:type="pct"/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9" w:type="pct"/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70" w:type="pct"/>
            <w:tcBorders>
              <w:right w:val="nil"/>
            </w:tcBorders>
            <w:vAlign w:val="center"/>
          </w:tcPr>
          <w:p w:rsidR="00D918A0" w:rsidRPr="00232C7F" w:rsidRDefault="00A004BA" w:rsidP="00A004BA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</w:t>
            </w:r>
            <w:r w:rsidR="00D918A0">
              <w:rPr>
                <w:sz w:val="18"/>
                <w:szCs w:val="18"/>
                <w:lang w:val="en-US"/>
              </w:rPr>
              <w:t>0.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67" w:type="pct"/>
            <w:tcBorders>
              <w:right w:val="nil"/>
            </w:tcBorders>
            <w:vAlign w:val="center"/>
          </w:tcPr>
          <w:p w:rsidR="00D918A0" w:rsidRDefault="00A004BA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64" w:type="pct"/>
            <w:tcBorders>
              <w:right w:val="nil"/>
            </w:tcBorders>
            <w:vAlign w:val="center"/>
          </w:tcPr>
          <w:p w:rsidR="00D918A0" w:rsidRDefault="00A004BA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</w:p>
        </w:tc>
      </w:tr>
      <w:tr w:rsidR="00D918A0" w:rsidRPr="00570CC6" w:rsidTr="00D918A0">
        <w:trPr>
          <w:trHeight w:hRule="exact" w:val="397"/>
        </w:trPr>
        <w:tc>
          <w:tcPr>
            <w:tcW w:w="810" w:type="pct"/>
            <w:tcBorders>
              <w:left w:val="nil"/>
            </w:tcBorders>
            <w:vAlign w:val="center"/>
          </w:tcPr>
          <w:p w:rsidR="00D918A0" w:rsidRPr="00FB2D95" w:rsidRDefault="00D918A0" w:rsidP="005A7FA2">
            <w:pPr>
              <w:pStyle w:val="Tablicanotka"/>
              <w:rPr>
                <w:sz w:val="18"/>
                <w:szCs w:val="18"/>
                <w:lang w:val="en-US"/>
              </w:rPr>
            </w:pPr>
          </w:p>
        </w:tc>
        <w:tc>
          <w:tcPr>
            <w:tcW w:w="4190" w:type="pct"/>
            <w:gridSpan w:val="11"/>
            <w:tcBorders>
              <w:right w:val="nil"/>
            </w:tcBorders>
            <w:vAlign w:val="center"/>
          </w:tcPr>
          <w:p w:rsidR="00D918A0" w:rsidRDefault="00D918A0" w:rsidP="005A7FA2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D918A0" w:rsidRPr="008916DC" w:rsidTr="00DF4D4C">
        <w:tc>
          <w:tcPr>
            <w:tcW w:w="810" w:type="pct"/>
            <w:tcBorders>
              <w:left w:val="nil"/>
            </w:tcBorders>
            <w:vAlign w:val="center"/>
          </w:tcPr>
          <w:p w:rsidR="00D918A0" w:rsidRPr="00F54F97" w:rsidRDefault="00D918A0" w:rsidP="005A7FA2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15 November 2022</w:t>
            </w:r>
          </w:p>
        </w:tc>
        <w:tc>
          <w:tcPr>
            <w:tcW w:w="387" w:type="pct"/>
            <w:vAlign w:val="center"/>
          </w:tcPr>
          <w:p w:rsidR="00D918A0" w:rsidRPr="00345EBB" w:rsidRDefault="00D80587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103.1</w:t>
            </w:r>
          </w:p>
        </w:tc>
        <w:tc>
          <w:tcPr>
            <w:tcW w:w="382" w:type="pct"/>
            <w:vAlign w:val="center"/>
          </w:tcPr>
          <w:p w:rsidR="00D918A0" w:rsidRPr="00345EBB" w:rsidRDefault="00D918A0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</w:t>
            </w:r>
            <w:r w:rsidR="00D8058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84" w:type="pct"/>
            <w:vAlign w:val="center"/>
          </w:tcPr>
          <w:p w:rsidR="00D918A0" w:rsidRPr="00345EBB" w:rsidRDefault="00D918A0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</w:t>
            </w:r>
            <w:r w:rsidR="00D8058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85" w:type="pct"/>
            <w:vAlign w:val="center"/>
          </w:tcPr>
          <w:p w:rsidR="00D918A0" w:rsidRPr="00345EBB" w:rsidRDefault="00D918A0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</w:t>
            </w:r>
            <w:r w:rsidR="00D8058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384" w:type="pct"/>
            <w:vAlign w:val="center"/>
          </w:tcPr>
          <w:p w:rsidR="00D918A0" w:rsidRPr="00345EBB" w:rsidRDefault="00D80587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99.5</w:t>
            </w:r>
          </w:p>
        </w:tc>
        <w:tc>
          <w:tcPr>
            <w:tcW w:w="387" w:type="pct"/>
            <w:vAlign w:val="center"/>
          </w:tcPr>
          <w:p w:rsidR="00D918A0" w:rsidRPr="00345EBB" w:rsidRDefault="00D918A0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D80587">
              <w:rPr>
                <w:sz w:val="18"/>
                <w:szCs w:val="18"/>
                <w:lang w:val="en-US"/>
              </w:rPr>
              <w:t>12</w:t>
            </w:r>
            <w:r>
              <w:rPr>
                <w:sz w:val="18"/>
                <w:szCs w:val="18"/>
                <w:lang w:val="en-US"/>
              </w:rPr>
              <w:t>.0</w:t>
            </w:r>
          </w:p>
        </w:tc>
        <w:tc>
          <w:tcPr>
            <w:tcW w:w="391" w:type="pct"/>
            <w:vAlign w:val="center"/>
          </w:tcPr>
          <w:p w:rsidR="00D918A0" w:rsidRPr="00345EBB" w:rsidRDefault="00D918A0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="00D80587">
              <w:rPr>
                <w:sz w:val="18"/>
                <w:szCs w:val="18"/>
                <w:lang w:val="en-US"/>
              </w:rPr>
              <w:t>7</w:t>
            </w:r>
            <w:r>
              <w:rPr>
                <w:sz w:val="18"/>
                <w:szCs w:val="18"/>
                <w:lang w:val="en-US"/>
              </w:rPr>
              <w:t>.1</w:t>
            </w:r>
          </w:p>
        </w:tc>
        <w:tc>
          <w:tcPr>
            <w:tcW w:w="389" w:type="pct"/>
            <w:vAlign w:val="center"/>
          </w:tcPr>
          <w:p w:rsidR="00D918A0" w:rsidRPr="00345EBB" w:rsidRDefault="00D918A0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</w:t>
            </w:r>
            <w:r w:rsidR="00D8058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70" w:type="pct"/>
            <w:tcBorders>
              <w:bottom w:val="single" w:sz="4" w:space="0" w:color="001D77"/>
              <w:right w:val="nil"/>
            </w:tcBorders>
            <w:vAlign w:val="center"/>
          </w:tcPr>
          <w:p w:rsidR="00D918A0" w:rsidRPr="00345EBB" w:rsidRDefault="00D80587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110.5</w:t>
            </w:r>
          </w:p>
        </w:tc>
        <w:tc>
          <w:tcPr>
            <w:tcW w:w="367" w:type="pct"/>
            <w:tcBorders>
              <w:bottom w:val="single" w:sz="4" w:space="0" w:color="001D77"/>
              <w:right w:val="nil"/>
            </w:tcBorders>
            <w:vAlign w:val="center"/>
          </w:tcPr>
          <w:p w:rsidR="00D918A0" w:rsidRDefault="00D80587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105.6</w:t>
            </w:r>
          </w:p>
        </w:tc>
        <w:tc>
          <w:tcPr>
            <w:tcW w:w="364" w:type="pct"/>
            <w:tcBorders>
              <w:bottom w:val="single" w:sz="4" w:space="0" w:color="001D77"/>
              <w:right w:val="nil"/>
            </w:tcBorders>
            <w:vAlign w:val="center"/>
          </w:tcPr>
          <w:p w:rsidR="00D918A0" w:rsidRDefault="00D80587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104.4</w:t>
            </w:r>
          </w:p>
        </w:tc>
      </w:tr>
      <w:tr w:rsidR="00D80587" w:rsidRPr="00E8595F" w:rsidTr="00DF4D4C">
        <w:tc>
          <w:tcPr>
            <w:tcW w:w="810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D80587" w:rsidRPr="00F54F97" w:rsidRDefault="00D80587" w:rsidP="00D80587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30 November 2022</w:t>
            </w:r>
          </w:p>
        </w:tc>
        <w:tc>
          <w:tcPr>
            <w:tcW w:w="387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103.1</w:t>
            </w:r>
          </w:p>
        </w:tc>
        <w:tc>
          <w:tcPr>
            <w:tcW w:w="382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92.7</w:t>
            </w:r>
          </w:p>
        </w:tc>
        <w:tc>
          <w:tcPr>
            <w:tcW w:w="384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98.3</w:t>
            </w:r>
          </w:p>
        </w:tc>
        <w:tc>
          <w:tcPr>
            <w:tcW w:w="385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97.8</w:t>
            </w:r>
          </w:p>
        </w:tc>
        <w:tc>
          <w:tcPr>
            <w:tcW w:w="384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99.5</w:t>
            </w:r>
          </w:p>
        </w:tc>
        <w:tc>
          <w:tcPr>
            <w:tcW w:w="387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112.0</w:t>
            </w:r>
          </w:p>
        </w:tc>
        <w:tc>
          <w:tcPr>
            <w:tcW w:w="391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107.1</w:t>
            </w:r>
          </w:p>
        </w:tc>
        <w:tc>
          <w:tcPr>
            <w:tcW w:w="389" w:type="pct"/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108.7</w:t>
            </w:r>
          </w:p>
        </w:tc>
        <w:tc>
          <w:tcPr>
            <w:tcW w:w="370" w:type="pct"/>
            <w:tcBorders>
              <w:bottom w:val="single" w:sz="4" w:space="0" w:color="001D77"/>
              <w:right w:val="nil"/>
            </w:tcBorders>
            <w:vAlign w:val="center"/>
          </w:tcPr>
          <w:p w:rsidR="00D80587" w:rsidRPr="00345EBB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110.5</w:t>
            </w:r>
          </w:p>
        </w:tc>
        <w:tc>
          <w:tcPr>
            <w:tcW w:w="367" w:type="pct"/>
            <w:tcBorders>
              <w:bottom w:val="single" w:sz="4" w:space="0" w:color="001D77"/>
              <w:right w:val="nil"/>
            </w:tcBorders>
            <w:vAlign w:val="center"/>
          </w:tcPr>
          <w:p w:rsidR="00D80587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105.6</w:t>
            </w:r>
          </w:p>
        </w:tc>
        <w:tc>
          <w:tcPr>
            <w:tcW w:w="364" w:type="pct"/>
            <w:tcBorders>
              <w:bottom w:val="single" w:sz="4" w:space="0" w:color="001D77"/>
              <w:right w:val="nil"/>
            </w:tcBorders>
            <w:vAlign w:val="center"/>
          </w:tcPr>
          <w:p w:rsidR="00D80587" w:rsidRDefault="00D80587" w:rsidP="00D80587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104.5</w:t>
            </w:r>
          </w:p>
        </w:tc>
      </w:tr>
      <w:tr w:rsidR="00D918A0" w:rsidRPr="00E34AA3" w:rsidTr="00DF4D4C">
        <w:tc>
          <w:tcPr>
            <w:tcW w:w="810" w:type="pct"/>
            <w:tcBorders>
              <w:left w:val="nil"/>
              <w:bottom w:val="nil"/>
            </w:tcBorders>
            <w:vAlign w:val="center"/>
          </w:tcPr>
          <w:p w:rsidR="00D918A0" w:rsidRPr="00E34AA3" w:rsidRDefault="00D918A0" w:rsidP="005A7FA2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87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4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7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91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89" w:type="pct"/>
            <w:tcBorders>
              <w:bottom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70" w:type="pct"/>
            <w:tcBorders>
              <w:bottom w:val="nil"/>
              <w:right w:val="nil"/>
            </w:tcBorders>
            <w:vAlign w:val="center"/>
          </w:tcPr>
          <w:p w:rsidR="00D918A0" w:rsidRPr="00232C7F" w:rsidRDefault="00D918A0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67" w:type="pct"/>
            <w:tcBorders>
              <w:bottom w:val="nil"/>
              <w:right w:val="nil"/>
            </w:tcBorders>
            <w:vAlign w:val="center"/>
          </w:tcPr>
          <w:p w:rsidR="00D918A0" w:rsidRDefault="00D80587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0.0</w:t>
            </w:r>
          </w:p>
        </w:tc>
        <w:tc>
          <w:tcPr>
            <w:tcW w:w="364" w:type="pct"/>
            <w:tcBorders>
              <w:bottom w:val="nil"/>
              <w:right w:val="nil"/>
            </w:tcBorders>
            <w:vAlign w:val="center"/>
          </w:tcPr>
          <w:p w:rsidR="00D918A0" w:rsidRDefault="00D80587" w:rsidP="005A7FA2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+0.1</w:t>
            </w:r>
          </w:p>
        </w:tc>
      </w:tr>
    </w:tbl>
    <w:p w:rsidR="00E24E58" w:rsidRDefault="00E24E58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0D017B" w:rsidRDefault="000D017B" w:rsidP="00966C9A">
      <w:pPr>
        <w:pStyle w:val="Tablicanotka"/>
        <w:rPr>
          <w:lang w:val="en-US"/>
        </w:rPr>
      </w:pPr>
    </w:p>
    <w:p w:rsidR="00E24E58" w:rsidRPr="00055A0A" w:rsidRDefault="00E24E58" w:rsidP="009D5650">
      <w:pPr>
        <w:pStyle w:val="Tablicanotka"/>
        <w:spacing w:before="360"/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</w:pPr>
      <w:r w:rsidRPr="00055A0A">
        <w:rPr>
          <w:rFonts w:eastAsia="Times New Roman" w:cs="Times New Roman"/>
          <w:b/>
          <w:bCs/>
          <w:noProof w:val="0"/>
          <w:color w:val="000000" w:themeColor="text1"/>
          <w:spacing w:val="0"/>
          <w:sz w:val="19"/>
          <w:szCs w:val="19"/>
          <w:lang w:val="en-US" w:eastAsia="pl-PL"/>
        </w:rPr>
        <w:lastRenderedPageBreak/>
        <w:t>Table 2. Seasonally unadjusted GDP; constant average prices of the previous year</w:t>
      </w:r>
    </w:p>
    <w:p w:rsidR="00E24E58" w:rsidRDefault="00E24E58" w:rsidP="00966C9A">
      <w:pPr>
        <w:pStyle w:val="Tablicanotka"/>
        <w:rPr>
          <w:lang w:val="en-US"/>
        </w:rPr>
      </w:pPr>
    </w:p>
    <w:tbl>
      <w:tblPr>
        <w:tblStyle w:val="Tabela-Siatka"/>
        <w:tblpPr w:leftFromText="142" w:rightFromText="142" w:vertAnchor="text" w:horzAnchor="margin" w:tblpY="-53"/>
        <w:tblW w:w="5000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e 2. Seasonally unadjusted GDP; constant average prices of the previous year"/>
        <w:tblDescription w:val="The table presents real growth rates of GDP by quarters for 2020-2021 and the 1st , 2nd  and 3rd quarter of 2022 at constant prices of the previous year seasonally unadjusted with corresponding quarter of previous year = 100 plus comparison of news releases of November 15, 2022 and November 30, 2022"/>
      </w:tblPr>
      <w:tblGrid>
        <w:gridCol w:w="1309"/>
        <w:gridCol w:w="623"/>
        <w:gridCol w:w="616"/>
        <w:gridCol w:w="620"/>
        <w:gridCol w:w="616"/>
        <w:gridCol w:w="616"/>
        <w:gridCol w:w="621"/>
        <w:gridCol w:w="621"/>
        <w:gridCol w:w="621"/>
        <w:gridCol w:w="603"/>
        <w:gridCol w:w="602"/>
        <w:gridCol w:w="599"/>
      </w:tblGrid>
      <w:tr w:rsidR="00095131" w:rsidRPr="00E34AA3" w:rsidTr="00095131">
        <w:trPr>
          <w:trHeight w:hRule="exact" w:val="397"/>
        </w:trPr>
        <w:tc>
          <w:tcPr>
            <w:tcW w:w="811" w:type="pct"/>
            <w:vMerge w:val="restart"/>
            <w:tcBorders>
              <w:left w:val="nil"/>
            </w:tcBorders>
            <w:vAlign w:val="center"/>
          </w:tcPr>
          <w:p w:rsidR="00095131" w:rsidRPr="00E34AA3" w:rsidRDefault="00095131" w:rsidP="00A31661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Specification</w:t>
            </w:r>
          </w:p>
        </w:tc>
        <w:tc>
          <w:tcPr>
            <w:tcW w:w="1534" w:type="pct"/>
            <w:gridSpan w:val="4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E34AA3">
              <w:rPr>
                <w:sz w:val="18"/>
                <w:szCs w:val="18"/>
              </w:rPr>
              <w:t>2020</w:t>
            </w:r>
          </w:p>
        </w:tc>
        <w:tc>
          <w:tcPr>
            <w:tcW w:w="1537" w:type="pct"/>
            <w:gridSpan w:val="4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118" w:type="pct"/>
            <w:gridSpan w:val="3"/>
            <w:tcBorders>
              <w:bottom w:val="single" w:sz="4" w:space="0" w:color="001D77"/>
              <w:right w:val="nil"/>
            </w:tcBorders>
            <w:vAlign w:val="center"/>
          </w:tcPr>
          <w:p w:rsidR="00095131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</w:tr>
      <w:tr w:rsidR="00095131" w:rsidRPr="00E34AA3" w:rsidTr="00E25B3A">
        <w:trPr>
          <w:trHeight w:hRule="exact" w:val="397"/>
        </w:trPr>
        <w:tc>
          <w:tcPr>
            <w:tcW w:w="811" w:type="pct"/>
            <w:vMerge/>
            <w:tcBorders>
              <w:left w:val="nil"/>
            </w:tcBorders>
          </w:tcPr>
          <w:p w:rsidR="00095131" w:rsidRPr="00E34AA3" w:rsidRDefault="00095131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2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84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2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82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85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85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  <w:tc>
          <w:tcPr>
            <w:tcW w:w="385" w:type="pct"/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Q4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095131" w:rsidRPr="00E34AA3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Q1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 w:rsidR="00095131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Q2</w:t>
            </w:r>
          </w:p>
        </w:tc>
        <w:tc>
          <w:tcPr>
            <w:tcW w:w="371" w:type="pct"/>
            <w:tcBorders>
              <w:right w:val="nil"/>
            </w:tcBorders>
            <w:vAlign w:val="center"/>
          </w:tcPr>
          <w:p w:rsidR="00095131" w:rsidRDefault="00E25B3A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Q3</w:t>
            </w:r>
          </w:p>
        </w:tc>
      </w:tr>
      <w:tr w:rsidR="00095131" w:rsidRPr="00570CC6" w:rsidTr="00095131">
        <w:trPr>
          <w:trHeight w:hRule="exact" w:val="397"/>
        </w:trPr>
        <w:tc>
          <w:tcPr>
            <w:tcW w:w="811" w:type="pct"/>
            <w:vMerge/>
            <w:tcBorders>
              <w:left w:val="nil"/>
            </w:tcBorders>
          </w:tcPr>
          <w:p w:rsidR="00095131" w:rsidRPr="00E34AA3" w:rsidRDefault="00095131" w:rsidP="00A31661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4189" w:type="pct"/>
            <w:gridSpan w:val="11"/>
            <w:tcBorders>
              <w:right w:val="nil"/>
            </w:tcBorders>
            <w:vAlign w:val="center"/>
          </w:tcPr>
          <w:p w:rsidR="00095131" w:rsidRDefault="00095131" w:rsidP="00A31661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</w:t>
            </w:r>
            <w:r w:rsidRPr="00F54F97">
              <w:rPr>
                <w:sz w:val="18"/>
                <w:szCs w:val="18"/>
                <w:lang w:val="en-US"/>
              </w:rPr>
              <w:t>orresponding quarter of previous year = 100</w:t>
            </w:r>
          </w:p>
        </w:tc>
      </w:tr>
      <w:tr w:rsidR="00F51EE0" w:rsidRPr="00E87FAA" w:rsidTr="00E25B3A">
        <w:trPr>
          <w:trHeight w:val="397"/>
        </w:trPr>
        <w:tc>
          <w:tcPr>
            <w:tcW w:w="81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F51EE0" w:rsidRPr="00F54F97" w:rsidRDefault="00F51EE0" w:rsidP="00F51EE0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15 November 2022</w:t>
            </w:r>
          </w:p>
        </w:tc>
        <w:tc>
          <w:tcPr>
            <w:tcW w:w="386" w:type="pct"/>
            <w:tcMar>
              <w:left w:w="28" w:type="dxa"/>
              <w:right w:w="28" w:type="dxa"/>
            </w:tcMar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102.7</w:t>
            </w:r>
          </w:p>
        </w:tc>
        <w:tc>
          <w:tcPr>
            <w:tcW w:w="382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92.2</w:t>
            </w:r>
          </w:p>
        </w:tc>
        <w:tc>
          <w:tcPr>
            <w:tcW w:w="384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99.0</w:t>
            </w:r>
          </w:p>
        </w:tc>
        <w:tc>
          <w:tcPr>
            <w:tcW w:w="382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98.2</w:t>
            </w:r>
          </w:p>
        </w:tc>
        <w:tc>
          <w:tcPr>
            <w:tcW w:w="382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100.2</w:t>
            </w:r>
          </w:p>
        </w:tc>
        <w:tc>
          <w:tcPr>
            <w:tcW w:w="385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112.2</w:t>
            </w:r>
          </w:p>
        </w:tc>
        <w:tc>
          <w:tcPr>
            <w:tcW w:w="385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106.5</w:t>
            </w:r>
          </w:p>
        </w:tc>
        <w:tc>
          <w:tcPr>
            <w:tcW w:w="385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108.5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108.6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 w:rsidR="00F51EE0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105.8</w:t>
            </w:r>
          </w:p>
        </w:tc>
        <w:tc>
          <w:tcPr>
            <w:tcW w:w="371" w:type="pct"/>
            <w:tcBorders>
              <w:right w:val="nil"/>
            </w:tcBorders>
            <w:vAlign w:val="center"/>
          </w:tcPr>
          <w:p w:rsidR="00F51EE0" w:rsidRDefault="00F51EE0" w:rsidP="00F51EE0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103.5</w:t>
            </w:r>
          </w:p>
        </w:tc>
      </w:tr>
      <w:tr w:rsidR="00F51EE0" w:rsidRPr="008916DC" w:rsidTr="00E25B3A">
        <w:trPr>
          <w:trHeight w:val="397"/>
        </w:trPr>
        <w:tc>
          <w:tcPr>
            <w:tcW w:w="811" w:type="pct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F51EE0" w:rsidRPr="00F54F97" w:rsidRDefault="00F51EE0" w:rsidP="00F51EE0">
            <w:pPr>
              <w:pStyle w:val="Tablicanotka"/>
              <w:rPr>
                <w:sz w:val="18"/>
                <w:szCs w:val="18"/>
                <w:lang w:val="en-US"/>
              </w:rPr>
            </w:pPr>
            <w:r w:rsidRPr="00F54F97">
              <w:rPr>
                <w:sz w:val="18"/>
                <w:szCs w:val="18"/>
                <w:lang w:val="en-US"/>
              </w:rPr>
              <w:t xml:space="preserve">GDP growth rate of </w:t>
            </w:r>
            <w:r>
              <w:rPr>
                <w:sz w:val="18"/>
                <w:szCs w:val="18"/>
                <w:lang w:val="en-US"/>
              </w:rPr>
              <w:t>30 November 2022</w:t>
            </w:r>
          </w:p>
        </w:tc>
        <w:tc>
          <w:tcPr>
            <w:tcW w:w="386" w:type="pct"/>
            <w:tcMar>
              <w:left w:w="28" w:type="dxa"/>
              <w:right w:w="28" w:type="dxa"/>
            </w:tcMar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102.7</w:t>
            </w:r>
          </w:p>
        </w:tc>
        <w:tc>
          <w:tcPr>
            <w:tcW w:w="382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92.2</w:t>
            </w:r>
          </w:p>
        </w:tc>
        <w:tc>
          <w:tcPr>
            <w:tcW w:w="384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99.0</w:t>
            </w:r>
          </w:p>
        </w:tc>
        <w:tc>
          <w:tcPr>
            <w:tcW w:w="382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98.2</w:t>
            </w:r>
          </w:p>
        </w:tc>
        <w:tc>
          <w:tcPr>
            <w:tcW w:w="382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100.2</w:t>
            </w:r>
          </w:p>
        </w:tc>
        <w:tc>
          <w:tcPr>
            <w:tcW w:w="385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112.2</w:t>
            </w:r>
          </w:p>
        </w:tc>
        <w:tc>
          <w:tcPr>
            <w:tcW w:w="385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106.5</w:t>
            </w:r>
          </w:p>
        </w:tc>
        <w:tc>
          <w:tcPr>
            <w:tcW w:w="385" w:type="pct"/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108.5</w:t>
            </w:r>
          </w:p>
        </w:tc>
        <w:tc>
          <w:tcPr>
            <w:tcW w:w="374" w:type="pct"/>
            <w:tcBorders>
              <w:right w:val="nil"/>
            </w:tcBorders>
            <w:vAlign w:val="center"/>
          </w:tcPr>
          <w:p w:rsidR="00F51EE0" w:rsidRPr="00E87FAA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108.6</w:t>
            </w:r>
          </w:p>
        </w:tc>
        <w:tc>
          <w:tcPr>
            <w:tcW w:w="373" w:type="pct"/>
            <w:tcBorders>
              <w:right w:val="nil"/>
            </w:tcBorders>
            <w:vAlign w:val="center"/>
          </w:tcPr>
          <w:p w:rsidR="00F51EE0" w:rsidRDefault="00F51EE0" w:rsidP="00F51EE0">
            <w:pPr>
              <w:pStyle w:val="Tablicanotka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105.8</w:t>
            </w:r>
          </w:p>
        </w:tc>
        <w:tc>
          <w:tcPr>
            <w:tcW w:w="371" w:type="pct"/>
            <w:tcBorders>
              <w:right w:val="nil"/>
            </w:tcBorders>
            <w:vAlign w:val="center"/>
          </w:tcPr>
          <w:p w:rsidR="00F51EE0" w:rsidRDefault="00F51EE0" w:rsidP="00F51EE0">
            <w:pPr>
              <w:pStyle w:val="Tablicanotka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103.6</w:t>
            </w:r>
          </w:p>
        </w:tc>
      </w:tr>
      <w:tr w:rsidR="00095131" w:rsidRPr="00E34AA3" w:rsidTr="00E25B3A">
        <w:trPr>
          <w:trHeight w:val="397"/>
        </w:trPr>
        <w:tc>
          <w:tcPr>
            <w:tcW w:w="811" w:type="pct"/>
            <w:tcBorders>
              <w:left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95131" w:rsidRPr="00E34AA3" w:rsidRDefault="00095131" w:rsidP="00A31661">
            <w:pPr>
              <w:pStyle w:val="Tablicanotk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Differences</w:t>
            </w:r>
          </w:p>
        </w:tc>
        <w:tc>
          <w:tcPr>
            <w:tcW w:w="386" w:type="pct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  <w:vAlign w:val="center"/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84" w:type="pct"/>
            <w:tcBorders>
              <w:bottom w:val="nil"/>
            </w:tcBorders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2" w:type="pct"/>
            <w:tcBorders>
              <w:bottom w:val="nil"/>
            </w:tcBorders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85" w:type="pct"/>
            <w:tcBorders>
              <w:bottom w:val="nil"/>
            </w:tcBorders>
          </w:tcPr>
          <w:p w:rsidR="00095131" w:rsidRPr="00E34AA3" w:rsidRDefault="00095131" w:rsidP="00A31661">
            <w:pPr>
              <w:pStyle w:val="Tablicanotka"/>
              <w:jc w:val="right"/>
              <w:rPr>
                <w:sz w:val="18"/>
                <w:szCs w:val="18"/>
              </w:rPr>
            </w:pPr>
            <w:r w:rsidRPr="00D14D61">
              <w:rPr>
                <w:sz w:val="18"/>
                <w:szCs w:val="18"/>
              </w:rPr>
              <w:t>0.0</w:t>
            </w:r>
          </w:p>
        </w:tc>
        <w:tc>
          <w:tcPr>
            <w:tcW w:w="374" w:type="pct"/>
            <w:tcBorders>
              <w:bottom w:val="nil"/>
              <w:right w:val="nil"/>
            </w:tcBorders>
            <w:vAlign w:val="center"/>
          </w:tcPr>
          <w:p w:rsidR="00095131" w:rsidRPr="00E34AA3" w:rsidRDefault="00095131" w:rsidP="00133A3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73" w:type="pct"/>
            <w:tcBorders>
              <w:bottom w:val="nil"/>
              <w:right w:val="nil"/>
            </w:tcBorders>
            <w:vAlign w:val="center"/>
          </w:tcPr>
          <w:p w:rsidR="00095131" w:rsidRDefault="00F51EE0" w:rsidP="00133A39">
            <w:pPr>
              <w:pStyle w:val="Tablicanotka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371" w:type="pct"/>
            <w:tcBorders>
              <w:bottom w:val="nil"/>
              <w:right w:val="nil"/>
            </w:tcBorders>
            <w:vAlign w:val="center"/>
          </w:tcPr>
          <w:p w:rsidR="00095131" w:rsidRDefault="00F51EE0" w:rsidP="00A004BA">
            <w:pPr>
              <w:pStyle w:val="Tablicanotka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+0.1</w:t>
            </w:r>
          </w:p>
        </w:tc>
      </w:tr>
    </w:tbl>
    <w:p w:rsidR="00512A66" w:rsidRDefault="00512A66" w:rsidP="00966C9A">
      <w:pPr>
        <w:pStyle w:val="Tablicanotka"/>
        <w:rPr>
          <w:lang w:val="en-US"/>
        </w:rPr>
      </w:pPr>
    </w:p>
    <w:p w:rsidR="00E24E58" w:rsidRPr="00BF0FBD" w:rsidRDefault="004E10A7" w:rsidP="004E10A7">
      <w:pPr>
        <w:pStyle w:val="Tablicanotka"/>
        <w:spacing w:line="288" w:lineRule="auto"/>
        <w:rPr>
          <w:rFonts w:cs="Arial"/>
          <w:sz w:val="19"/>
          <w:szCs w:val="19"/>
          <w:lang w:val="en-US"/>
        </w:rPr>
      </w:pPr>
      <w:r w:rsidRPr="00BF0FBD">
        <w:rPr>
          <w:sz w:val="19"/>
          <w:szCs w:val="19"/>
          <w:lang w:val="en-US" w:eastAsia="pl-PL"/>
        </w:rPr>
        <w:t xml:space="preserve">In the </w:t>
      </w:r>
      <w:r w:rsidR="005A0042" w:rsidRPr="00BF0FBD">
        <w:rPr>
          <w:sz w:val="19"/>
          <w:szCs w:val="19"/>
          <w:lang w:val="en-US"/>
        </w:rPr>
        <w:t>3r</w:t>
      </w:r>
      <w:r w:rsidR="001D7BC0" w:rsidRPr="00BF0FBD">
        <w:rPr>
          <w:sz w:val="19"/>
          <w:szCs w:val="19"/>
          <w:lang w:val="en-US"/>
        </w:rPr>
        <w:t>d</w:t>
      </w:r>
      <w:r w:rsidRPr="00BF0FBD">
        <w:rPr>
          <w:sz w:val="19"/>
          <w:szCs w:val="19"/>
          <w:vertAlign w:val="superscript"/>
          <w:lang w:val="en-US"/>
        </w:rPr>
        <w:t xml:space="preserve"> </w:t>
      </w:r>
      <w:r w:rsidRPr="00BF0FBD">
        <w:rPr>
          <w:sz w:val="19"/>
          <w:szCs w:val="19"/>
          <w:lang w:val="en-US" w:eastAsia="pl-PL"/>
        </w:rPr>
        <w:t>quarter of</w:t>
      </w:r>
      <w:r w:rsidRPr="00BF0FBD">
        <w:rPr>
          <w:rFonts w:cs="Arial"/>
          <w:sz w:val="19"/>
          <w:szCs w:val="19"/>
          <w:lang w:val="en-US"/>
        </w:rPr>
        <w:t xml:space="preserve"> 202</w:t>
      </w:r>
      <w:r w:rsidR="00D80581" w:rsidRPr="00BF0FBD">
        <w:rPr>
          <w:rFonts w:cs="Arial"/>
          <w:sz w:val="19"/>
          <w:szCs w:val="19"/>
          <w:lang w:val="en-US"/>
        </w:rPr>
        <w:t>2</w:t>
      </w:r>
      <w:r w:rsidRPr="00BF0FBD">
        <w:rPr>
          <w:rFonts w:cs="Arial"/>
          <w:sz w:val="19"/>
          <w:szCs w:val="19"/>
          <w:lang w:val="en-US"/>
        </w:rPr>
        <w:t xml:space="preserve"> there was the increase of GDP which amounted to </w:t>
      </w:r>
      <w:r w:rsidR="00297AD6" w:rsidRPr="00BF0FBD">
        <w:rPr>
          <w:rFonts w:cs="Arial"/>
          <w:sz w:val="19"/>
          <w:szCs w:val="19"/>
          <w:lang w:val="en-US"/>
        </w:rPr>
        <w:t>3.6</w:t>
      </w:r>
      <w:r w:rsidRPr="00BF0FBD">
        <w:rPr>
          <w:rFonts w:cs="Arial"/>
          <w:sz w:val="19"/>
          <w:szCs w:val="19"/>
          <w:lang w:val="en-US"/>
        </w:rPr>
        <w:t>% year-on-year comparison. This was caused by the</w:t>
      </w:r>
      <w:r w:rsidR="00C278C1" w:rsidRPr="00BF0FBD">
        <w:rPr>
          <w:rFonts w:cs="Arial"/>
          <w:sz w:val="19"/>
          <w:szCs w:val="19"/>
          <w:lang w:val="en-US"/>
        </w:rPr>
        <w:t xml:space="preserve"> </w:t>
      </w:r>
      <w:r w:rsidRPr="00BF0FBD">
        <w:rPr>
          <w:rFonts w:cs="Arial"/>
          <w:sz w:val="19"/>
          <w:szCs w:val="19"/>
          <w:lang w:val="en-US"/>
        </w:rPr>
        <w:t xml:space="preserve">improvement of growth rate of domestic uses which was up by </w:t>
      </w:r>
      <w:r w:rsidR="00297AD6" w:rsidRPr="00BF0FBD">
        <w:rPr>
          <w:rFonts w:cs="Arial"/>
          <w:sz w:val="19"/>
          <w:szCs w:val="19"/>
          <w:lang w:val="en-US"/>
        </w:rPr>
        <w:t>3.1</w:t>
      </w:r>
      <w:r w:rsidRPr="00BF0FBD">
        <w:rPr>
          <w:rFonts w:cs="Arial"/>
          <w:sz w:val="19"/>
          <w:szCs w:val="19"/>
          <w:lang w:val="en-US"/>
        </w:rPr>
        <w:t xml:space="preserve">% than a year earlier (in the </w:t>
      </w:r>
      <w:r w:rsidR="005A0042" w:rsidRPr="00BF0FBD">
        <w:rPr>
          <w:sz w:val="19"/>
          <w:szCs w:val="19"/>
          <w:lang w:val="en-US" w:eastAsia="pl-PL"/>
        </w:rPr>
        <w:t>2nd</w:t>
      </w:r>
      <w:r w:rsidRPr="00BF0FBD">
        <w:rPr>
          <w:sz w:val="19"/>
          <w:szCs w:val="19"/>
          <w:vertAlign w:val="superscript"/>
          <w:lang w:val="en-US" w:eastAsia="pl-PL"/>
        </w:rPr>
        <w:t xml:space="preserve"> </w:t>
      </w:r>
      <w:r w:rsidRPr="00BF0FBD">
        <w:rPr>
          <w:rFonts w:cs="Arial"/>
          <w:sz w:val="19"/>
          <w:szCs w:val="19"/>
          <w:lang w:val="en-US"/>
        </w:rPr>
        <w:t>quarter of 202</w:t>
      </w:r>
      <w:r w:rsidR="0073673F" w:rsidRPr="00BF0FBD">
        <w:rPr>
          <w:rFonts w:cs="Arial"/>
          <w:sz w:val="19"/>
          <w:szCs w:val="19"/>
          <w:lang w:val="en-US"/>
        </w:rPr>
        <w:t>2</w:t>
      </w:r>
      <w:r w:rsidRPr="00BF0FBD">
        <w:rPr>
          <w:rFonts w:cs="Arial"/>
          <w:sz w:val="19"/>
          <w:szCs w:val="19"/>
          <w:lang w:val="en-US"/>
        </w:rPr>
        <w:t xml:space="preserve"> the increase in domestic uses of </w:t>
      </w:r>
      <w:r w:rsidR="00297AD6" w:rsidRPr="00BF0FBD">
        <w:rPr>
          <w:rFonts w:cs="Arial"/>
          <w:sz w:val="19"/>
          <w:szCs w:val="19"/>
          <w:lang w:val="en-US"/>
        </w:rPr>
        <w:t>6.9</w:t>
      </w:r>
      <w:r w:rsidRPr="00BF0FBD">
        <w:rPr>
          <w:rFonts w:cs="Arial"/>
          <w:sz w:val="19"/>
          <w:szCs w:val="19"/>
          <w:lang w:val="en-US"/>
        </w:rPr>
        <w:t xml:space="preserve">% was recorded). It resulted mainly from the increase in gross capital formation of </w:t>
      </w:r>
      <w:r w:rsidR="00297AD6" w:rsidRPr="00BF0FBD">
        <w:rPr>
          <w:rFonts w:cs="Arial"/>
          <w:sz w:val="19"/>
          <w:szCs w:val="19"/>
          <w:lang w:val="en-US"/>
        </w:rPr>
        <w:t>11.4</w:t>
      </w:r>
      <w:r w:rsidRPr="00BF0FBD">
        <w:rPr>
          <w:rFonts w:cs="Arial"/>
          <w:sz w:val="19"/>
          <w:szCs w:val="19"/>
          <w:lang w:val="en-US"/>
        </w:rPr>
        <w:t xml:space="preserve">% (against the increase of </w:t>
      </w:r>
      <w:r w:rsidR="00297AD6" w:rsidRPr="00BF0FBD">
        <w:rPr>
          <w:rFonts w:cs="Arial"/>
          <w:sz w:val="19"/>
          <w:szCs w:val="19"/>
          <w:lang w:val="en-US"/>
        </w:rPr>
        <w:t>15.1</w:t>
      </w:r>
      <w:r w:rsidRPr="00BF0FBD">
        <w:rPr>
          <w:rFonts w:cs="Arial"/>
          <w:sz w:val="19"/>
          <w:szCs w:val="19"/>
          <w:lang w:val="en-US"/>
        </w:rPr>
        <w:t xml:space="preserve">%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="001B0003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rFonts w:cs="Arial"/>
          <w:sz w:val="19"/>
          <w:szCs w:val="19"/>
          <w:lang w:val="en-US"/>
        </w:rPr>
        <w:t>quarter of 202</w:t>
      </w:r>
      <w:r w:rsidR="0073673F" w:rsidRPr="00BF0FBD">
        <w:rPr>
          <w:rFonts w:cs="Arial"/>
          <w:sz w:val="19"/>
          <w:szCs w:val="19"/>
          <w:lang w:val="en-US"/>
        </w:rPr>
        <w:t>2</w:t>
      </w:r>
      <w:r w:rsidRPr="00BF0FBD">
        <w:rPr>
          <w:rFonts w:cs="Arial"/>
          <w:sz w:val="19"/>
          <w:szCs w:val="19"/>
          <w:lang w:val="en-US"/>
        </w:rPr>
        <w:t xml:space="preserve">) and the increase in final consumption expenditure of </w:t>
      </w:r>
      <w:r w:rsidR="00297AD6" w:rsidRPr="00BF0FBD">
        <w:rPr>
          <w:rFonts w:cs="Arial"/>
          <w:sz w:val="19"/>
          <w:szCs w:val="19"/>
          <w:lang w:val="en-US"/>
        </w:rPr>
        <w:t>0.7</w:t>
      </w:r>
      <w:r w:rsidRPr="00BF0FBD">
        <w:rPr>
          <w:rFonts w:cs="Arial"/>
          <w:sz w:val="19"/>
          <w:szCs w:val="19"/>
          <w:lang w:val="en-US"/>
        </w:rPr>
        <w:t xml:space="preserve">% (against the increase of </w:t>
      </w:r>
      <w:r w:rsidR="00297AD6" w:rsidRPr="00BF0FBD">
        <w:rPr>
          <w:rFonts w:cs="Arial"/>
          <w:sz w:val="19"/>
          <w:szCs w:val="19"/>
          <w:lang w:val="en-US"/>
        </w:rPr>
        <w:t>4.8</w:t>
      </w:r>
      <w:r w:rsidRPr="00BF0FBD">
        <w:rPr>
          <w:rFonts w:cs="Arial"/>
          <w:sz w:val="19"/>
          <w:szCs w:val="19"/>
          <w:lang w:val="en-US"/>
        </w:rPr>
        <w:t xml:space="preserve">%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Pr="00BF0FBD">
        <w:rPr>
          <w:sz w:val="19"/>
          <w:szCs w:val="19"/>
          <w:vertAlign w:val="superscript"/>
          <w:lang w:val="en-US" w:eastAsia="pl-PL"/>
        </w:rPr>
        <w:t xml:space="preserve"> </w:t>
      </w:r>
      <w:r w:rsidRPr="00BF0FBD">
        <w:rPr>
          <w:rFonts w:cs="Arial"/>
          <w:sz w:val="19"/>
          <w:szCs w:val="19"/>
          <w:lang w:val="en-US"/>
        </w:rPr>
        <w:t>quarter of 202</w:t>
      </w:r>
      <w:r w:rsidR="00D13D20" w:rsidRPr="00BF0FBD">
        <w:rPr>
          <w:rFonts w:cs="Arial"/>
          <w:sz w:val="19"/>
          <w:szCs w:val="19"/>
          <w:lang w:val="en-US"/>
        </w:rPr>
        <w:t>2</w:t>
      </w:r>
      <w:r w:rsidRPr="00BF0FBD">
        <w:rPr>
          <w:rFonts w:cs="Arial"/>
          <w:sz w:val="19"/>
          <w:szCs w:val="19"/>
          <w:lang w:val="en-US"/>
        </w:rPr>
        <w:t xml:space="preserve">). Consumption expenditure in the households sector was higher by </w:t>
      </w:r>
      <w:r w:rsidR="00297AD6" w:rsidRPr="00BF0FBD">
        <w:rPr>
          <w:rFonts w:cs="Arial"/>
          <w:sz w:val="19"/>
          <w:szCs w:val="19"/>
          <w:lang w:val="en-US"/>
        </w:rPr>
        <w:t>0.9</w:t>
      </w:r>
      <w:r w:rsidRPr="00BF0FBD">
        <w:rPr>
          <w:rFonts w:cs="Arial"/>
          <w:sz w:val="19"/>
          <w:szCs w:val="19"/>
          <w:lang w:val="en-US"/>
        </w:rPr>
        <w:t xml:space="preserve">% (against the increase of </w:t>
      </w:r>
      <w:r w:rsidR="00063801" w:rsidRPr="00BF0FBD">
        <w:rPr>
          <w:rFonts w:cs="Arial"/>
          <w:sz w:val="19"/>
          <w:szCs w:val="19"/>
          <w:lang w:val="en-US"/>
        </w:rPr>
        <w:t>6.</w:t>
      </w:r>
      <w:r w:rsidR="00297AD6" w:rsidRPr="00BF0FBD">
        <w:rPr>
          <w:rFonts w:cs="Arial"/>
          <w:sz w:val="19"/>
          <w:szCs w:val="19"/>
          <w:lang w:val="en-US"/>
        </w:rPr>
        <w:t>4</w:t>
      </w:r>
      <w:r w:rsidRPr="00BF0FBD">
        <w:rPr>
          <w:rFonts w:cs="Arial"/>
          <w:sz w:val="19"/>
          <w:szCs w:val="19"/>
          <w:lang w:val="en-US"/>
        </w:rPr>
        <w:t xml:space="preserve">%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="001B0003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rFonts w:cs="Arial"/>
          <w:sz w:val="19"/>
          <w:szCs w:val="19"/>
          <w:lang w:val="en-US"/>
        </w:rPr>
        <w:t>quarter of 202</w:t>
      </w:r>
      <w:r w:rsidR="00063801" w:rsidRPr="00BF0FBD">
        <w:rPr>
          <w:rFonts w:cs="Arial"/>
          <w:sz w:val="19"/>
          <w:szCs w:val="19"/>
          <w:lang w:val="en-US"/>
        </w:rPr>
        <w:t>2</w:t>
      </w:r>
      <w:r w:rsidRPr="00BF0FBD">
        <w:rPr>
          <w:rFonts w:cs="Arial"/>
          <w:sz w:val="19"/>
          <w:szCs w:val="19"/>
          <w:lang w:val="en-US"/>
        </w:rPr>
        <w:t xml:space="preserve">). Gross fixed capital formation went up by </w:t>
      </w:r>
      <w:r w:rsidR="00ED48F0" w:rsidRPr="00BF0FBD">
        <w:rPr>
          <w:rFonts w:cs="Arial"/>
          <w:sz w:val="19"/>
          <w:szCs w:val="19"/>
          <w:lang w:val="en-US"/>
        </w:rPr>
        <w:t>2.0</w:t>
      </w:r>
      <w:r w:rsidRPr="00BF0FBD">
        <w:rPr>
          <w:rFonts w:cs="Arial"/>
          <w:sz w:val="19"/>
          <w:szCs w:val="19"/>
          <w:lang w:val="en-US"/>
        </w:rPr>
        <w:t xml:space="preserve">% (against the increase of </w:t>
      </w:r>
      <w:r w:rsidR="00ED48F0" w:rsidRPr="00BF0FBD">
        <w:rPr>
          <w:rFonts w:cs="Arial"/>
          <w:sz w:val="19"/>
          <w:szCs w:val="19"/>
          <w:lang w:val="en-US"/>
        </w:rPr>
        <w:t>6.6</w:t>
      </w:r>
      <w:r w:rsidRPr="00BF0FBD">
        <w:rPr>
          <w:rFonts w:cs="Arial"/>
          <w:sz w:val="19"/>
          <w:szCs w:val="19"/>
          <w:lang w:val="en-US"/>
        </w:rPr>
        <w:t xml:space="preserve">%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="001B0003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rFonts w:cs="Arial"/>
          <w:sz w:val="19"/>
          <w:szCs w:val="19"/>
          <w:lang w:val="en-US"/>
        </w:rPr>
        <w:t>quarter of 202</w:t>
      </w:r>
      <w:r w:rsidR="00E40303" w:rsidRPr="00BF0FBD">
        <w:rPr>
          <w:rFonts w:cs="Arial"/>
          <w:sz w:val="19"/>
          <w:szCs w:val="19"/>
          <w:lang w:val="en-US"/>
        </w:rPr>
        <w:t>2</w:t>
      </w:r>
      <w:r w:rsidRPr="00BF0FBD">
        <w:rPr>
          <w:rFonts w:cs="Arial"/>
          <w:sz w:val="19"/>
          <w:szCs w:val="19"/>
          <w:lang w:val="en-US"/>
        </w:rPr>
        <w:t>).</w:t>
      </w:r>
    </w:p>
    <w:p w:rsidR="004E10A7" w:rsidRPr="00BF0FBD" w:rsidRDefault="004E10A7" w:rsidP="004E10A7">
      <w:pPr>
        <w:pStyle w:val="Tablicanotka"/>
        <w:spacing w:line="288" w:lineRule="auto"/>
        <w:rPr>
          <w:sz w:val="19"/>
          <w:szCs w:val="19"/>
          <w:lang w:val="en-US" w:eastAsia="pl-PL"/>
        </w:rPr>
      </w:pPr>
      <w:r w:rsidRPr="00BF0FBD">
        <w:rPr>
          <w:sz w:val="19"/>
          <w:szCs w:val="19"/>
          <w:lang w:val="en-US" w:eastAsia="pl-PL"/>
        </w:rPr>
        <w:t>As a result, the positive contribution of domestic uses to economic growth was +</w:t>
      </w:r>
      <w:r w:rsidR="00231A7D" w:rsidRPr="00BF0FBD">
        <w:rPr>
          <w:sz w:val="19"/>
          <w:szCs w:val="19"/>
          <w:lang w:val="en-US" w:eastAsia="pl-PL"/>
        </w:rPr>
        <w:t>3.0</w:t>
      </w:r>
      <w:r w:rsidR="00C278C1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 xml:space="preserve">percentage points (in the </w:t>
      </w:r>
      <w:r w:rsidR="00297AD6" w:rsidRPr="00BF0FBD">
        <w:rPr>
          <w:sz w:val="19"/>
          <w:szCs w:val="19"/>
          <w:lang w:val="en-US" w:eastAsia="pl-PL"/>
        </w:rPr>
        <w:t>2nd</w:t>
      </w:r>
      <w:r w:rsidRPr="00BF0FBD">
        <w:rPr>
          <w:sz w:val="19"/>
          <w:szCs w:val="19"/>
          <w:lang w:val="en-US" w:eastAsia="pl-PL"/>
        </w:rPr>
        <w:t xml:space="preserve"> quarter of 202</w:t>
      </w:r>
      <w:r w:rsidR="00272443" w:rsidRPr="00BF0FBD">
        <w:rPr>
          <w:sz w:val="19"/>
          <w:szCs w:val="19"/>
          <w:lang w:val="en-US" w:eastAsia="pl-PL"/>
        </w:rPr>
        <w:t>2</w:t>
      </w:r>
      <w:r w:rsidRPr="00BF0FBD">
        <w:rPr>
          <w:sz w:val="19"/>
          <w:szCs w:val="19"/>
          <w:lang w:val="en-US" w:eastAsia="pl-PL"/>
        </w:rPr>
        <w:t xml:space="preserve"> the positive influence of domestic uses of +</w:t>
      </w:r>
      <w:r w:rsidR="00231A7D" w:rsidRPr="00BF0FBD">
        <w:rPr>
          <w:sz w:val="19"/>
          <w:szCs w:val="19"/>
          <w:lang w:val="en-US" w:eastAsia="pl-PL"/>
        </w:rPr>
        <w:t>6.5</w:t>
      </w:r>
      <w:r w:rsidRPr="00BF0FBD">
        <w:rPr>
          <w:sz w:val="19"/>
          <w:szCs w:val="19"/>
          <w:lang w:val="en-US" w:eastAsia="pl-PL"/>
        </w:rPr>
        <w:t xml:space="preserve"> percentage points was recorded). It came</w:t>
      </w:r>
      <w:r w:rsidR="008E7C22" w:rsidRPr="00BF0FBD">
        <w:rPr>
          <w:sz w:val="19"/>
          <w:szCs w:val="19"/>
          <w:lang w:val="en-US" w:eastAsia="pl-PL"/>
        </w:rPr>
        <w:t xml:space="preserve"> </w:t>
      </w:r>
      <w:r w:rsidR="00993ACA" w:rsidRPr="00BF0FBD">
        <w:rPr>
          <w:sz w:val="19"/>
          <w:szCs w:val="19"/>
          <w:lang w:val="en-US" w:eastAsia="pl-PL"/>
        </w:rPr>
        <w:t xml:space="preserve">from </w:t>
      </w:r>
      <w:r w:rsidR="008E7C22" w:rsidRPr="00BF0FBD">
        <w:rPr>
          <w:sz w:val="19"/>
          <w:szCs w:val="19"/>
          <w:lang w:val="en-US" w:eastAsia="pl-PL"/>
        </w:rPr>
        <w:t>both</w:t>
      </w:r>
      <w:r w:rsidRPr="00BF0FBD">
        <w:rPr>
          <w:sz w:val="19"/>
          <w:szCs w:val="19"/>
          <w:lang w:val="en-US" w:eastAsia="pl-PL"/>
        </w:rPr>
        <w:t xml:space="preserve"> the positive influence of final consumption expenditure and gross capital formation. The impact of </w:t>
      </w:r>
      <w:r w:rsidR="009D6D2B" w:rsidRPr="00BF0FBD">
        <w:rPr>
          <w:sz w:val="19"/>
          <w:szCs w:val="19"/>
          <w:lang w:val="en-US" w:eastAsia="pl-PL"/>
        </w:rPr>
        <w:t xml:space="preserve">consumption expenditure in the households sector </w:t>
      </w:r>
      <w:r w:rsidRPr="00BF0FBD">
        <w:rPr>
          <w:sz w:val="19"/>
          <w:szCs w:val="19"/>
          <w:lang w:val="en-US" w:eastAsia="pl-PL"/>
        </w:rPr>
        <w:t>was +</w:t>
      </w:r>
      <w:r w:rsidR="00231A7D" w:rsidRPr="00BF0FBD">
        <w:rPr>
          <w:sz w:val="19"/>
          <w:szCs w:val="19"/>
          <w:lang w:val="en-US" w:eastAsia="pl-PL"/>
        </w:rPr>
        <w:t>0.5</w:t>
      </w:r>
      <w:r w:rsidR="008E7C22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>percentage points (against the impact of +</w:t>
      </w:r>
      <w:r w:rsidR="00231A7D" w:rsidRPr="00BF0FBD">
        <w:rPr>
          <w:sz w:val="19"/>
          <w:szCs w:val="19"/>
          <w:lang w:val="en-US" w:eastAsia="pl-PL"/>
        </w:rPr>
        <w:t>3.</w:t>
      </w:r>
      <w:r w:rsidR="009D6D2B">
        <w:rPr>
          <w:sz w:val="19"/>
          <w:szCs w:val="19"/>
          <w:lang w:val="en-US" w:eastAsia="pl-PL"/>
        </w:rPr>
        <w:t>6</w:t>
      </w:r>
      <w:r w:rsidR="008E7C22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 xml:space="preserve">percentage points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Pr="00BF0FBD">
        <w:rPr>
          <w:sz w:val="19"/>
          <w:szCs w:val="19"/>
          <w:lang w:val="en-US" w:eastAsia="pl-PL"/>
        </w:rPr>
        <w:t xml:space="preserve"> quarter of 202</w:t>
      </w:r>
      <w:r w:rsidR="003436C3" w:rsidRPr="00BF0FBD">
        <w:rPr>
          <w:sz w:val="19"/>
          <w:szCs w:val="19"/>
          <w:lang w:val="en-US" w:eastAsia="pl-PL"/>
        </w:rPr>
        <w:t>2</w:t>
      </w:r>
      <w:r w:rsidRPr="00BF0FBD">
        <w:rPr>
          <w:sz w:val="19"/>
          <w:szCs w:val="19"/>
          <w:lang w:val="en-US" w:eastAsia="pl-PL"/>
        </w:rPr>
        <w:t xml:space="preserve">), </w:t>
      </w:r>
      <w:r w:rsidR="007F25E3">
        <w:rPr>
          <w:sz w:val="19"/>
          <w:szCs w:val="19"/>
          <w:lang w:val="en-US" w:eastAsia="pl-PL"/>
        </w:rPr>
        <w:t xml:space="preserve">while </w:t>
      </w:r>
      <w:r w:rsidRPr="00BF0FBD">
        <w:rPr>
          <w:sz w:val="19"/>
          <w:szCs w:val="19"/>
          <w:lang w:val="en-US" w:eastAsia="pl-PL"/>
        </w:rPr>
        <w:t xml:space="preserve">the impact of public consumption expenditure </w:t>
      </w:r>
      <w:r w:rsidR="00231A7D" w:rsidRPr="00BF0FBD">
        <w:rPr>
          <w:sz w:val="19"/>
          <w:szCs w:val="19"/>
          <w:lang w:val="en-US" w:eastAsia="pl-PL"/>
        </w:rPr>
        <w:t>was neutral</w:t>
      </w:r>
      <w:r w:rsidR="008E7C22" w:rsidRPr="00BF0FBD">
        <w:rPr>
          <w:sz w:val="19"/>
          <w:szCs w:val="19"/>
          <w:lang w:val="en-US" w:eastAsia="pl-PL"/>
        </w:rPr>
        <w:t xml:space="preserve"> </w:t>
      </w:r>
      <w:r w:rsidR="00171461" w:rsidRPr="00BF0FBD">
        <w:rPr>
          <w:sz w:val="19"/>
          <w:szCs w:val="19"/>
          <w:lang w:val="en-US" w:eastAsia="pl-PL"/>
        </w:rPr>
        <w:t xml:space="preserve"> </w:t>
      </w:r>
      <w:r w:rsidR="00EC3BCF">
        <w:rPr>
          <w:sz w:val="19"/>
          <w:szCs w:val="19"/>
          <w:lang w:val="en-US" w:eastAsia="pl-PL"/>
        </w:rPr>
        <w:t>(</w:t>
      </w:r>
      <w:r w:rsidRPr="00BF0FBD">
        <w:rPr>
          <w:sz w:val="19"/>
          <w:szCs w:val="19"/>
          <w:lang w:val="en-US" w:eastAsia="pl-PL"/>
        </w:rPr>
        <w:t>+</w:t>
      </w:r>
      <w:r w:rsidR="008E7C22" w:rsidRPr="00BF0FBD">
        <w:rPr>
          <w:sz w:val="19"/>
          <w:szCs w:val="19"/>
          <w:lang w:val="en-US" w:eastAsia="pl-PL"/>
        </w:rPr>
        <w:t>0.</w:t>
      </w:r>
      <w:r w:rsidR="0045244B" w:rsidRPr="00BF0FBD">
        <w:rPr>
          <w:sz w:val="19"/>
          <w:szCs w:val="19"/>
          <w:lang w:val="en-US" w:eastAsia="pl-PL"/>
        </w:rPr>
        <w:t>1</w:t>
      </w:r>
      <w:r w:rsidR="008E7C22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 xml:space="preserve">percentage points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Pr="00BF0FBD">
        <w:rPr>
          <w:sz w:val="19"/>
          <w:szCs w:val="19"/>
          <w:lang w:val="en-US" w:eastAsia="pl-PL"/>
        </w:rPr>
        <w:t xml:space="preserve"> quarter of 202</w:t>
      </w:r>
      <w:r w:rsidR="0045244B" w:rsidRPr="00BF0FBD">
        <w:rPr>
          <w:sz w:val="19"/>
          <w:szCs w:val="19"/>
          <w:lang w:val="en-US" w:eastAsia="pl-PL"/>
        </w:rPr>
        <w:t>2</w:t>
      </w:r>
      <w:r w:rsidRPr="00BF0FBD">
        <w:rPr>
          <w:sz w:val="19"/>
          <w:szCs w:val="19"/>
          <w:lang w:val="en-US" w:eastAsia="pl-PL"/>
        </w:rPr>
        <w:t>). The impact of gross fixed capital formation amounted to +</w:t>
      </w:r>
      <w:r w:rsidR="001A37AD" w:rsidRPr="00BF0FBD">
        <w:rPr>
          <w:sz w:val="19"/>
          <w:szCs w:val="19"/>
          <w:lang w:val="en-US" w:eastAsia="pl-PL"/>
        </w:rPr>
        <w:t>0.3</w:t>
      </w:r>
      <w:r w:rsidR="00AB20FB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>percentage points (</w:t>
      </w:r>
      <w:r w:rsidR="007621FB" w:rsidRPr="00BF0FBD">
        <w:rPr>
          <w:sz w:val="19"/>
          <w:szCs w:val="19"/>
          <w:lang w:val="en-US" w:eastAsia="pl-PL"/>
        </w:rPr>
        <w:t>against +</w:t>
      </w:r>
      <w:r w:rsidR="001A37AD" w:rsidRPr="00BF0FBD">
        <w:rPr>
          <w:sz w:val="19"/>
          <w:szCs w:val="19"/>
          <w:lang w:val="en-US" w:eastAsia="pl-PL"/>
        </w:rPr>
        <w:t>1.0</w:t>
      </w:r>
      <w:r w:rsidR="007621FB" w:rsidRPr="00BF0FBD">
        <w:rPr>
          <w:sz w:val="19"/>
          <w:szCs w:val="19"/>
          <w:lang w:val="en-US" w:eastAsia="pl-PL"/>
        </w:rPr>
        <w:t xml:space="preserve"> percentage points </w:t>
      </w:r>
      <w:r w:rsidRPr="00BF0FBD">
        <w:rPr>
          <w:sz w:val="19"/>
          <w:szCs w:val="19"/>
          <w:lang w:val="en-US" w:eastAsia="pl-PL"/>
        </w:rPr>
        <w:t xml:space="preserve">in the </w:t>
      </w:r>
      <w:r w:rsidR="00297AD6" w:rsidRPr="00BF0FBD">
        <w:rPr>
          <w:sz w:val="19"/>
          <w:szCs w:val="19"/>
          <w:lang w:val="en-US" w:eastAsia="pl-PL"/>
        </w:rPr>
        <w:t>2nd</w:t>
      </w:r>
      <w:r w:rsidR="008E7C22" w:rsidRPr="00BF0FBD">
        <w:rPr>
          <w:sz w:val="19"/>
          <w:szCs w:val="19"/>
          <w:lang w:val="en-US" w:eastAsia="pl-PL"/>
        </w:rPr>
        <w:t xml:space="preserve"> quarter of 202</w:t>
      </w:r>
      <w:r w:rsidR="00450B01" w:rsidRPr="00BF0FBD">
        <w:rPr>
          <w:sz w:val="19"/>
          <w:szCs w:val="19"/>
          <w:lang w:val="en-US" w:eastAsia="pl-PL"/>
        </w:rPr>
        <w:t>2</w:t>
      </w:r>
      <w:r w:rsidR="007621FB" w:rsidRPr="00BF0FBD">
        <w:rPr>
          <w:sz w:val="19"/>
          <w:szCs w:val="19"/>
          <w:lang w:val="en-US" w:eastAsia="pl-PL"/>
        </w:rPr>
        <w:t>)</w:t>
      </w:r>
      <w:r w:rsidRPr="00BF0FBD">
        <w:rPr>
          <w:sz w:val="19"/>
          <w:szCs w:val="19"/>
          <w:lang w:val="en-US" w:eastAsia="pl-PL"/>
        </w:rPr>
        <w:t xml:space="preserve">. </w:t>
      </w:r>
      <w:r w:rsidR="00AE3994" w:rsidRPr="00BF0FBD">
        <w:rPr>
          <w:sz w:val="19"/>
          <w:szCs w:val="19"/>
          <w:lang w:val="en-US" w:eastAsia="pl-PL"/>
        </w:rPr>
        <w:t xml:space="preserve">The </w:t>
      </w:r>
      <w:r w:rsidR="008B16AD" w:rsidRPr="00BF0FBD">
        <w:rPr>
          <w:sz w:val="19"/>
          <w:szCs w:val="19"/>
          <w:lang w:val="en-US" w:eastAsia="pl-PL"/>
        </w:rPr>
        <w:t>positive</w:t>
      </w:r>
      <w:r w:rsidRPr="00BF0FBD">
        <w:rPr>
          <w:sz w:val="19"/>
          <w:szCs w:val="19"/>
          <w:lang w:val="en-US" w:eastAsia="pl-PL"/>
        </w:rPr>
        <w:t xml:space="preserve"> contribution of changes in inventories amounted to +</w:t>
      </w:r>
      <w:r w:rsidR="00AE3994" w:rsidRPr="00BF0FBD">
        <w:rPr>
          <w:sz w:val="19"/>
          <w:szCs w:val="19"/>
          <w:lang w:val="en-US" w:eastAsia="pl-PL"/>
        </w:rPr>
        <w:t>2.2</w:t>
      </w:r>
      <w:r w:rsidR="00AB20FB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>percentage points (against +</w:t>
      </w:r>
      <w:r w:rsidR="00AE3994" w:rsidRPr="00BF0FBD">
        <w:rPr>
          <w:sz w:val="19"/>
          <w:szCs w:val="19"/>
          <w:lang w:val="en-US" w:eastAsia="pl-PL"/>
        </w:rPr>
        <w:t>1.8</w:t>
      </w:r>
      <w:r w:rsidRPr="00BF0FBD">
        <w:rPr>
          <w:sz w:val="19"/>
          <w:szCs w:val="19"/>
          <w:lang w:val="en-US" w:eastAsia="pl-PL"/>
        </w:rPr>
        <w:t xml:space="preserve"> percentage points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="00A12645" w:rsidRPr="00BF0FBD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 xml:space="preserve">quarter of </w:t>
      </w:r>
      <w:r w:rsidR="008B16AD" w:rsidRPr="00BF0FBD">
        <w:rPr>
          <w:sz w:val="19"/>
          <w:szCs w:val="19"/>
          <w:lang w:val="en-US" w:eastAsia="pl-PL"/>
        </w:rPr>
        <w:t>2022)</w:t>
      </w:r>
      <w:r w:rsidRPr="00BF0FBD">
        <w:rPr>
          <w:sz w:val="19"/>
          <w:szCs w:val="19"/>
          <w:lang w:val="en-US" w:eastAsia="pl-PL"/>
        </w:rPr>
        <w:t>. As a consequence, the impact of gross capital formation on GDP growth amounted to +</w:t>
      </w:r>
      <w:r w:rsidR="00AE3994" w:rsidRPr="00BF0FBD">
        <w:rPr>
          <w:sz w:val="19"/>
          <w:szCs w:val="19"/>
          <w:lang w:val="en-US" w:eastAsia="pl-PL"/>
        </w:rPr>
        <w:t>2.5</w:t>
      </w:r>
      <w:r w:rsidRPr="00BF0FBD">
        <w:rPr>
          <w:sz w:val="19"/>
          <w:szCs w:val="19"/>
          <w:lang w:val="en-US" w:eastAsia="pl-PL"/>
        </w:rPr>
        <w:t xml:space="preserve"> percentage points (against +</w:t>
      </w:r>
      <w:r w:rsidR="00AE3994" w:rsidRPr="00BF0FBD">
        <w:rPr>
          <w:sz w:val="19"/>
          <w:szCs w:val="19"/>
          <w:lang w:val="en-US" w:eastAsia="pl-PL"/>
        </w:rPr>
        <w:t>2.8</w:t>
      </w:r>
      <w:r w:rsidRPr="00BF0FBD">
        <w:rPr>
          <w:sz w:val="19"/>
          <w:szCs w:val="19"/>
          <w:lang w:val="en-US" w:eastAsia="pl-PL"/>
        </w:rPr>
        <w:t xml:space="preserve"> percentage points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="00155337">
        <w:rPr>
          <w:sz w:val="19"/>
          <w:szCs w:val="19"/>
          <w:lang w:val="en-US" w:eastAsia="pl-PL"/>
        </w:rPr>
        <w:t xml:space="preserve"> </w:t>
      </w:r>
      <w:r w:rsidRPr="00BF0FBD">
        <w:rPr>
          <w:sz w:val="19"/>
          <w:szCs w:val="19"/>
          <w:lang w:val="en-US" w:eastAsia="pl-PL"/>
        </w:rPr>
        <w:t>quarter of 202</w:t>
      </w:r>
      <w:r w:rsidR="008B16AD" w:rsidRPr="00BF0FBD">
        <w:rPr>
          <w:sz w:val="19"/>
          <w:szCs w:val="19"/>
          <w:lang w:val="en-US" w:eastAsia="pl-PL"/>
        </w:rPr>
        <w:t>2</w:t>
      </w:r>
      <w:r w:rsidRPr="00BF0FBD">
        <w:rPr>
          <w:sz w:val="19"/>
          <w:szCs w:val="19"/>
          <w:lang w:val="en-US" w:eastAsia="pl-PL"/>
        </w:rPr>
        <w:t xml:space="preserve">). In the </w:t>
      </w:r>
      <w:r w:rsidR="00DA1B02" w:rsidRPr="00BF0FBD">
        <w:rPr>
          <w:sz w:val="19"/>
          <w:szCs w:val="19"/>
          <w:lang w:val="en-US" w:eastAsia="pl-PL"/>
        </w:rPr>
        <w:t xml:space="preserve">3rd </w:t>
      </w:r>
      <w:r w:rsidRPr="00BF0FBD">
        <w:rPr>
          <w:sz w:val="19"/>
          <w:szCs w:val="19"/>
          <w:lang w:val="en-US" w:eastAsia="pl-PL"/>
        </w:rPr>
        <w:t>quarter of 202</w:t>
      </w:r>
      <w:r w:rsidR="00A12645" w:rsidRPr="00BF0FBD">
        <w:rPr>
          <w:sz w:val="19"/>
          <w:szCs w:val="19"/>
          <w:lang w:val="en-US" w:eastAsia="pl-PL"/>
        </w:rPr>
        <w:t>2</w:t>
      </w:r>
      <w:r w:rsidRPr="00BF0FBD">
        <w:rPr>
          <w:sz w:val="19"/>
          <w:szCs w:val="19"/>
          <w:lang w:val="en-US" w:eastAsia="pl-PL"/>
        </w:rPr>
        <w:t xml:space="preserve"> a </w:t>
      </w:r>
      <w:r w:rsidR="00DA1B02" w:rsidRPr="00BF0FBD">
        <w:rPr>
          <w:sz w:val="19"/>
          <w:szCs w:val="19"/>
          <w:lang w:val="en-US" w:eastAsia="pl-PL"/>
        </w:rPr>
        <w:t>positive</w:t>
      </w:r>
      <w:r w:rsidRPr="00BF0FBD">
        <w:rPr>
          <w:sz w:val="19"/>
          <w:szCs w:val="19"/>
          <w:lang w:val="en-US" w:eastAsia="pl-PL"/>
        </w:rPr>
        <w:t xml:space="preserve"> impact of  the net exports to the economic growth was noted, which amounted to </w:t>
      </w:r>
      <w:r w:rsidR="00DA1B02" w:rsidRPr="00BF0FBD">
        <w:rPr>
          <w:sz w:val="19"/>
          <w:szCs w:val="19"/>
          <w:lang w:val="en-US" w:eastAsia="pl-PL"/>
        </w:rPr>
        <w:t>+0.6</w:t>
      </w:r>
      <w:r w:rsidRPr="00BF0FBD">
        <w:rPr>
          <w:sz w:val="19"/>
          <w:szCs w:val="19"/>
          <w:lang w:val="en-US" w:eastAsia="pl-PL"/>
        </w:rPr>
        <w:t xml:space="preserve"> percentage points (against -</w:t>
      </w:r>
      <w:r w:rsidR="00DA1B02" w:rsidRPr="00BF0FBD">
        <w:rPr>
          <w:sz w:val="19"/>
          <w:szCs w:val="19"/>
          <w:lang w:val="en-US" w:eastAsia="pl-PL"/>
        </w:rPr>
        <w:t>0.7</w:t>
      </w:r>
      <w:r w:rsidRPr="00BF0FBD">
        <w:rPr>
          <w:sz w:val="19"/>
          <w:szCs w:val="19"/>
          <w:lang w:val="en-US" w:eastAsia="pl-PL"/>
        </w:rPr>
        <w:t xml:space="preserve"> percentage points in the </w:t>
      </w:r>
      <w:r w:rsidR="00297AD6" w:rsidRPr="00BF0FBD">
        <w:rPr>
          <w:sz w:val="19"/>
          <w:szCs w:val="19"/>
          <w:lang w:val="en-US" w:eastAsia="pl-PL"/>
        </w:rPr>
        <w:t>2nd</w:t>
      </w:r>
      <w:r w:rsidRPr="00BF0FBD">
        <w:rPr>
          <w:sz w:val="19"/>
          <w:szCs w:val="19"/>
          <w:lang w:val="en-US" w:eastAsia="pl-PL"/>
        </w:rPr>
        <w:t xml:space="preserve"> quarter of 202</w:t>
      </w:r>
      <w:r w:rsidR="00844E20" w:rsidRPr="00BF0FBD">
        <w:rPr>
          <w:sz w:val="19"/>
          <w:szCs w:val="19"/>
          <w:lang w:val="en-US" w:eastAsia="pl-PL"/>
        </w:rPr>
        <w:t>2</w:t>
      </w:r>
      <w:r w:rsidRPr="00BF0FBD">
        <w:rPr>
          <w:sz w:val="19"/>
          <w:szCs w:val="19"/>
          <w:lang w:val="en-US" w:eastAsia="pl-PL"/>
        </w:rPr>
        <w:t>).</w:t>
      </w:r>
    </w:p>
    <w:p w:rsidR="004E10A7" w:rsidRPr="004E10A7" w:rsidRDefault="004E10A7" w:rsidP="00966C9A">
      <w:pPr>
        <w:pStyle w:val="Tablicanotka"/>
        <w:rPr>
          <w:sz w:val="19"/>
          <w:szCs w:val="19"/>
          <w:lang w:val="en-US" w:eastAsia="pl-PL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4E10A7" w:rsidRDefault="004E10A7" w:rsidP="00966C9A">
      <w:pPr>
        <w:pStyle w:val="Tablicanotka"/>
        <w:rPr>
          <w:lang w:val="en-US"/>
        </w:rPr>
      </w:pPr>
    </w:p>
    <w:p w:rsidR="00E24E58" w:rsidRPr="009D5650" w:rsidRDefault="00E24E58" w:rsidP="009D5650">
      <w:pPr>
        <w:pStyle w:val="Tytuwykresu0"/>
        <w:spacing w:after="0" w:line="240" w:lineRule="exact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lastRenderedPageBreak/>
        <w:t>Chart 1. Gross domestic product volume growth rate</w:t>
      </w:r>
    </w:p>
    <w:p w:rsidR="00E24E58" w:rsidRDefault="00E24E58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9D5650">
        <w:rPr>
          <w:rFonts w:ascii="Fira Sans" w:hAnsi="Fira Sans"/>
          <w:sz w:val="18"/>
          <w:szCs w:val="18"/>
          <w:lang w:val="en-US"/>
        </w:rPr>
        <w:t>(corresponding period of the previous year = 100)</w:t>
      </w:r>
    </w:p>
    <w:p w:rsidR="00335885" w:rsidRDefault="00335885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  <w:r w:rsidRPr="00335885"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184008</wp:posOffset>
            </wp:positionV>
            <wp:extent cx="5122800" cy="3175200"/>
            <wp:effectExtent l="0" t="0" r="1905" b="6350"/>
            <wp:wrapSquare wrapText="bothSides"/>
            <wp:docPr id="13" name="Obraz 13" descr="The chart presents real growth rates of GDP by quarters for 2020-2021 and the 1st ,2nd and 3rd quarter of 2022, seasonally adjusted and unadjusted with corresponding quarter of previous year = 100" title="Chart 1. Gross domestic product volume growth rate (corresponding period of the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885" w:rsidRDefault="00335885" w:rsidP="00E24E58">
      <w:pPr>
        <w:pStyle w:val="Tytuwykresu0"/>
        <w:spacing w:before="0" w:line="240" w:lineRule="exact"/>
        <w:ind w:left="680"/>
        <w:rPr>
          <w:rFonts w:ascii="Fira Sans" w:hAnsi="Fira Sans"/>
          <w:sz w:val="18"/>
          <w:szCs w:val="18"/>
          <w:lang w:val="en-US"/>
        </w:rPr>
      </w:pPr>
    </w:p>
    <w:p w:rsidR="009422BC" w:rsidRDefault="00D972F6" w:rsidP="001D6BD5">
      <w:pPr>
        <w:pStyle w:val="Tablicanotka"/>
        <w:spacing w:before="360"/>
        <w:contextualSpacing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 w:rsidRPr="000B16E4">
        <w:rPr>
          <w:rFonts w:eastAsia="Times New Roman" w:cs="Times New Roman"/>
          <w:b/>
          <w:bCs/>
          <w:spacing w:val="0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08FDD048" wp14:editId="38DE77C8">
                <wp:simplePos x="0" y="0"/>
                <wp:positionH relativeFrom="column">
                  <wp:posOffset>5271135</wp:posOffset>
                </wp:positionH>
                <wp:positionV relativeFrom="paragraph">
                  <wp:posOffset>345440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4" name="Pole tekstowe 4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2F6" w:rsidRPr="007D5C3A" w:rsidRDefault="00D972F6" w:rsidP="00D972F6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DD048" id="Pole tekstowe 4" o:spid="_x0000_s1028" type="#_x0000_t202" alt="Lorem ipsum dolor sit amet, consectetur adipiscing elit" style="position:absolute;margin-left:415.05pt;margin-top:27.2pt;width:135.85pt;height:65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" filled="f" stroked="f">
                <v:textbox>
                  <w:txbxContent>
                    <w:p w:rsidR="00D972F6" w:rsidRPr="007D5C3A" w:rsidRDefault="00D972F6" w:rsidP="00D972F6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B43F58" w:rsidRPr="000B16E4"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>Chart 2. Gross domestic product seasonally adjusted volume growth rate</w:t>
      </w:r>
    </w:p>
    <w:p w:rsidR="00B43F58" w:rsidRDefault="009422BC" w:rsidP="001D6BD5">
      <w:pPr>
        <w:pStyle w:val="Tablicanotka"/>
        <w:spacing w:before="0" w:after="0"/>
        <w:ind w:left="680"/>
        <w:outlineLvl w:val="0"/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</w:pPr>
      <w:r>
        <w:rPr>
          <w:rFonts w:eastAsia="Times New Roman" w:cs="Times New Roman"/>
          <w:b/>
          <w:bCs/>
          <w:spacing w:val="0"/>
          <w:sz w:val="18"/>
          <w:szCs w:val="18"/>
          <w:lang w:val="en-US" w:eastAsia="pl-PL"/>
        </w:rPr>
        <w:t xml:space="preserve"> (the previous quarter = 100)</w:t>
      </w:r>
    </w:p>
    <w:p w:rsidR="001D6BD5" w:rsidRPr="00141128" w:rsidRDefault="000C4083" w:rsidP="001D6BD5">
      <w:pPr>
        <w:pStyle w:val="Tablicanotka"/>
        <w:spacing w:before="0" w:after="0"/>
        <w:ind w:left="680"/>
        <w:outlineLvl w:val="0"/>
        <w:rPr>
          <w:lang w:val="en-US" w:eastAsia="pl-PL"/>
        </w:rPr>
      </w:pPr>
      <w:r w:rsidRPr="000C4083">
        <w:rPr>
          <w:lang w:eastAsia="pl-PL"/>
        </w:rPr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68</wp:posOffset>
            </wp:positionH>
            <wp:positionV relativeFrom="paragraph">
              <wp:posOffset>211758</wp:posOffset>
            </wp:positionV>
            <wp:extent cx="5122800" cy="3175200"/>
            <wp:effectExtent l="0" t="0" r="1905" b="6350"/>
            <wp:wrapSquare wrapText="bothSides"/>
            <wp:docPr id="15" name="Obraz 15" descr="The chart presents real growth rates of GDP by quarters for 2020-2021 and the 1st, 2nd and 3rd quarter of 2022, seasonally adjusted with previous quarter = 100" title="Chart 2. Gross domestic product seasonally adjusted volume growth rate (the previous quate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31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083" w:rsidRPr="00141128" w:rsidRDefault="000C4083" w:rsidP="001D6BD5">
      <w:pPr>
        <w:pStyle w:val="Tablicanotka"/>
        <w:spacing w:before="0" w:after="0"/>
        <w:ind w:left="680"/>
        <w:outlineLvl w:val="0"/>
        <w:rPr>
          <w:lang w:val="en-US" w:eastAsia="pl-PL"/>
        </w:rPr>
      </w:pPr>
    </w:p>
    <w:p w:rsidR="00B36616" w:rsidRPr="008C560A" w:rsidRDefault="00141128" w:rsidP="008C560A">
      <w:pPr>
        <w:pStyle w:val="tytuwykresu"/>
        <w:spacing w:before="480" w:line="240" w:lineRule="auto"/>
        <w:ind w:left="680" w:hanging="680"/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  <w:t>S</w:t>
      </w:r>
      <w:r w:rsidR="00B36616" w:rsidRPr="008C560A">
        <w:rPr>
          <w:rFonts w:ascii="Fira Sans SemiBold" w:eastAsia="Times New Roman" w:hAnsi="Fira Sans SemiBold" w:cs="Times New Roman"/>
          <w:bCs/>
          <w:noProof/>
          <w:color w:val="001D77"/>
          <w:sz w:val="19"/>
          <w:szCs w:val="19"/>
          <w:lang w:val="en-US" w:eastAsia="pl-PL"/>
        </w:rPr>
        <w:t>easonally adjusted GDP (previous quarter = 100, constant prices, reference year 2015)</w:t>
      </w:r>
    </w:p>
    <w:p w:rsidR="00B36616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C4456A">
        <w:rPr>
          <w:noProof/>
          <w:spacing w:val="-2"/>
          <w:szCs w:val="19"/>
          <w:lang w:val="en-US" w:eastAsia="pl-PL"/>
        </w:rPr>
        <w:t>3rd</w:t>
      </w:r>
      <w:r w:rsidRPr="003371C8">
        <w:rPr>
          <w:rFonts w:cs="Arial"/>
          <w:szCs w:val="19"/>
          <w:lang w:val="en-US"/>
        </w:rPr>
        <w:t xml:space="preserve"> quarter of 20</w:t>
      </w:r>
      <w:r>
        <w:rPr>
          <w:rFonts w:cs="Arial"/>
          <w:szCs w:val="19"/>
          <w:lang w:val="en-US"/>
        </w:rPr>
        <w:t>2</w:t>
      </w:r>
      <w:r w:rsidR="00F47A9C">
        <w:rPr>
          <w:rFonts w:cs="Arial"/>
          <w:szCs w:val="19"/>
          <w:lang w:val="en-US"/>
        </w:rPr>
        <w:t>2</w:t>
      </w:r>
      <w:r w:rsidRPr="003371C8">
        <w:rPr>
          <w:rFonts w:cs="Arial"/>
          <w:szCs w:val="19"/>
          <w:lang w:val="en-US"/>
        </w:rPr>
        <w:t xml:space="preserve"> compared </w:t>
      </w:r>
      <w:r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C4456A">
        <w:rPr>
          <w:rFonts w:cs="Arial"/>
          <w:szCs w:val="19"/>
          <w:lang w:val="en-US"/>
        </w:rPr>
        <w:t>1.0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155337">
        <w:rPr>
          <w:rFonts w:cs="Arial"/>
          <w:szCs w:val="19"/>
          <w:lang w:val="en-US"/>
        </w:rPr>
        <w:t>higher</w:t>
      </w:r>
      <w:r w:rsidRPr="003371C8">
        <w:rPr>
          <w:rFonts w:cs="Arial"/>
          <w:szCs w:val="19"/>
          <w:lang w:val="en-US"/>
        </w:rPr>
        <w:t>.</w:t>
      </w:r>
    </w:p>
    <w:p w:rsidR="00B36616" w:rsidRPr="003D0CF3" w:rsidRDefault="00B36616" w:rsidP="00232B77">
      <w:pPr>
        <w:tabs>
          <w:tab w:val="left" w:pos="284"/>
        </w:tabs>
        <w:spacing w:after="0" w:line="288" w:lineRule="auto"/>
        <w:contextualSpacing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value added in national economy in the </w:t>
      </w:r>
      <w:r w:rsidR="00C4456A">
        <w:rPr>
          <w:noProof/>
          <w:spacing w:val="-2"/>
          <w:szCs w:val="19"/>
          <w:lang w:val="en-US" w:eastAsia="pl-PL"/>
        </w:rPr>
        <w:t>3rd</w:t>
      </w:r>
      <w:r w:rsidR="008C560A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3D0CF3">
        <w:rPr>
          <w:rFonts w:cs="Arial"/>
          <w:szCs w:val="19"/>
          <w:lang w:val="en-US"/>
        </w:rPr>
        <w:t>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</w:t>
      </w:r>
      <w:r w:rsidR="00661261">
        <w:rPr>
          <w:rFonts w:cs="Arial"/>
          <w:szCs w:val="19"/>
          <w:lang w:val="en-US"/>
        </w:rPr>
        <w:t>in</w:t>
      </w:r>
      <w:r w:rsidR="00232B77">
        <w:rPr>
          <w:rFonts w:cs="Arial"/>
          <w:szCs w:val="19"/>
          <w:lang w:val="en-US"/>
        </w:rPr>
        <w:t>creased</w:t>
      </w:r>
      <w:r w:rsidRPr="003D0CF3">
        <w:rPr>
          <w:rFonts w:cs="Arial"/>
          <w:szCs w:val="19"/>
          <w:lang w:val="en-US"/>
        </w:rPr>
        <w:t xml:space="preserve"> by </w:t>
      </w:r>
      <w:r w:rsidR="00661261">
        <w:rPr>
          <w:rFonts w:cs="Arial"/>
          <w:szCs w:val="19"/>
          <w:lang w:val="en-US"/>
        </w:rPr>
        <w:t>1.1</w:t>
      </w:r>
      <w:r w:rsidRPr="003D0CF3">
        <w:rPr>
          <w:rFonts w:cs="Arial"/>
          <w:szCs w:val="19"/>
          <w:lang w:val="en-US"/>
        </w:rPr>
        <w:t>%, of which:</w:t>
      </w:r>
    </w:p>
    <w:p w:rsidR="00B36616" w:rsidRDefault="00B36616" w:rsidP="00232B77">
      <w:pPr>
        <w:pStyle w:val="Akapitzlist"/>
        <w:numPr>
          <w:ilvl w:val="0"/>
          <w:numId w:val="7"/>
        </w:numPr>
        <w:tabs>
          <w:tab w:val="left" w:pos="284"/>
        </w:tabs>
        <w:spacing w:before="0"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</w:t>
      </w:r>
      <w:r w:rsidR="003F2D61">
        <w:rPr>
          <w:rFonts w:cs="Arial"/>
          <w:szCs w:val="19"/>
          <w:lang w:val="en-US"/>
        </w:rPr>
        <w:t>industry</w:t>
      </w:r>
      <w:r w:rsidRPr="003D0CF3">
        <w:rPr>
          <w:rFonts w:cs="Arial"/>
          <w:szCs w:val="19"/>
          <w:lang w:val="en-US"/>
        </w:rPr>
        <w:t xml:space="preserve"> by </w:t>
      </w:r>
      <w:r w:rsidR="00232B77">
        <w:rPr>
          <w:rFonts w:cs="Arial"/>
          <w:szCs w:val="19"/>
          <w:lang w:val="en-US"/>
        </w:rPr>
        <w:t>1.</w:t>
      </w:r>
      <w:r w:rsidR="003F2D61">
        <w:rPr>
          <w:rFonts w:cs="Arial"/>
          <w:szCs w:val="19"/>
          <w:lang w:val="en-US"/>
        </w:rPr>
        <w:t>9</w:t>
      </w:r>
      <w:r w:rsidRPr="003D0CF3">
        <w:rPr>
          <w:rFonts w:cs="Arial"/>
          <w:szCs w:val="19"/>
          <w:lang w:val="en-US"/>
        </w:rPr>
        <w:t>%,</w:t>
      </w:r>
    </w:p>
    <w:p w:rsidR="00661261" w:rsidRDefault="003F2D61" w:rsidP="00232B77">
      <w:pPr>
        <w:pStyle w:val="Akapitzlist"/>
        <w:numPr>
          <w:ilvl w:val="0"/>
          <w:numId w:val="7"/>
        </w:numPr>
        <w:tabs>
          <w:tab w:val="left" w:pos="284"/>
        </w:tabs>
        <w:spacing w:before="0" w:line="288" w:lineRule="auto"/>
        <w:ind w:left="357" w:hanging="357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in </w:t>
      </w:r>
      <w:r>
        <w:rPr>
          <w:rFonts w:cs="Arial"/>
          <w:szCs w:val="19"/>
          <w:lang w:val="en-US"/>
        </w:rPr>
        <w:t>construction</w:t>
      </w:r>
      <w:r w:rsidRPr="003D0CF3">
        <w:rPr>
          <w:rFonts w:cs="Arial"/>
          <w:szCs w:val="19"/>
          <w:lang w:val="en-US"/>
        </w:rPr>
        <w:t xml:space="preserve"> by </w:t>
      </w:r>
      <w:r>
        <w:rPr>
          <w:rFonts w:cs="Arial"/>
          <w:szCs w:val="19"/>
          <w:lang w:val="en-US"/>
        </w:rPr>
        <w:t>0.1</w:t>
      </w:r>
      <w:r w:rsidRPr="003D0CF3">
        <w:rPr>
          <w:rFonts w:cs="Arial"/>
          <w:szCs w:val="19"/>
          <w:lang w:val="en-US"/>
        </w:rPr>
        <w:t>%</w:t>
      </w:r>
    </w:p>
    <w:p w:rsidR="00C400FB" w:rsidRPr="003D0CF3" w:rsidRDefault="003F2D61" w:rsidP="008C560A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lastRenderedPageBreak/>
        <w:t xml:space="preserve">in </w:t>
      </w:r>
      <w:r w:rsidRPr="00B865F4">
        <w:rPr>
          <w:rFonts w:cs="Arial"/>
          <w:szCs w:val="19"/>
          <w:lang w:val="en-US"/>
        </w:rPr>
        <w:t>transportation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storage</w:t>
      </w:r>
      <w:r w:rsidR="00566CD9">
        <w:rPr>
          <w:rFonts w:cs="Arial"/>
          <w:szCs w:val="19"/>
          <w:lang w:val="en-US"/>
        </w:rPr>
        <w:t xml:space="preserve"> </w:t>
      </w:r>
      <w:r w:rsidR="00B10349">
        <w:rPr>
          <w:rFonts w:cs="Arial"/>
          <w:szCs w:val="19"/>
          <w:lang w:val="en-US"/>
        </w:rPr>
        <w:t>by 1.6</w:t>
      </w:r>
      <w:r w:rsidR="00566CD9">
        <w:rPr>
          <w:rFonts w:cs="Arial"/>
          <w:szCs w:val="19"/>
          <w:lang w:val="en-US"/>
        </w:rPr>
        <w:t>%,</w:t>
      </w:r>
    </w:p>
    <w:p w:rsidR="00B36616" w:rsidRPr="003D0CF3" w:rsidRDefault="00B10349" w:rsidP="00137BE9">
      <w:pPr>
        <w:pStyle w:val="Akapitzlist"/>
        <w:numPr>
          <w:ilvl w:val="0"/>
          <w:numId w:val="7"/>
        </w:numPr>
        <w:tabs>
          <w:tab w:val="left" w:pos="284"/>
        </w:tabs>
        <w:spacing w:line="288" w:lineRule="auto"/>
        <w:ind w:left="284" w:hanging="284"/>
        <w:outlineLvl w:val="0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>in public administration and defense, compulsory social security, education, human health and social work activities altogether</w:t>
      </w:r>
      <w:r w:rsidRPr="0017292C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by 1.0</w:t>
      </w:r>
      <w:r w:rsidR="0017292C">
        <w:rPr>
          <w:rFonts w:cs="Arial"/>
          <w:szCs w:val="19"/>
          <w:lang w:val="en-US"/>
        </w:rPr>
        <w:t>%.</w:t>
      </w:r>
    </w:p>
    <w:p w:rsidR="004D1D08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value added </w:t>
      </w:r>
      <w:r w:rsidR="004D1D08">
        <w:rPr>
          <w:rFonts w:cs="Arial"/>
          <w:szCs w:val="19"/>
          <w:lang w:val="en-US"/>
        </w:rPr>
        <w:t xml:space="preserve">in </w:t>
      </w:r>
      <w:r w:rsidR="00E83363">
        <w:rPr>
          <w:rFonts w:cs="Arial"/>
          <w:szCs w:val="19"/>
          <w:lang w:val="en-US"/>
        </w:rPr>
        <w:t xml:space="preserve">trade and repair and in </w:t>
      </w:r>
      <w:r w:rsidR="0078263A" w:rsidRPr="003D0CF3">
        <w:rPr>
          <w:rFonts w:cs="Arial"/>
          <w:szCs w:val="19"/>
          <w:lang w:val="en-US"/>
        </w:rPr>
        <w:t xml:space="preserve">financial and insurance activities </w:t>
      </w:r>
      <w:r w:rsidR="0078263A">
        <w:rPr>
          <w:rFonts w:cs="Arial"/>
          <w:szCs w:val="19"/>
          <w:lang w:val="en-US"/>
        </w:rPr>
        <w:t xml:space="preserve">decreased </w:t>
      </w:r>
      <w:r w:rsidR="00B10349" w:rsidRPr="003D0CF3">
        <w:rPr>
          <w:rFonts w:cs="Arial"/>
          <w:szCs w:val="19"/>
          <w:lang w:val="en-US"/>
        </w:rPr>
        <w:t>by</w:t>
      </w:r>
      <w:r w:rsidR="0078263A">
        <w:rPr>
          <w:rFonts w:cs="Arial"/>
          <w:szCs w:val="19"/>
          <w:lang w:val="en-US"/>
        </w:rPr>
        <w:t xml:space="preserve"> 0.3% in each of these sections</w:t>
      </w:r>
      <w:r w:rsidR="00155337">
        <w:rPr>
          <w:rFonts w:cs="Arial"/>
          <w:szCs w:val="19"/>
          <w:lang w:val="en-US"/>
        </w:rPr>
        <w:t>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Domestic uses in the </w:t>
      </w:r>
      <w:r w:rsidR="00C4456A">
        <w:rPr>
          <w:noProof/>
          <w:spacing w:val="-2"/>
          <w:szCs w:val="19"/>
          <w:lang w:val="en-US" w:eastAsia="pl-PL"/>
        </w:rPr>
        <w:t>3rd</w:t>
      </w:r>
      <w:r w:rsidRPr="003D0CF3"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</w:t>
      </w:r>
      <w:r w:rsidR="00772431">
        <w:rPr>
          <w:rFonts w:cs="Arial"/>
          <w:szCs w:val="19"/>
          <w:lang w:val="en-US"/>
        </w:rPr>
        <w:t>in</w:t>
      </w:r>
      <w:r w:rsidR="006A5777">
        <w:rPr>
          <w:rFonts w:cs="Arial"/>
          <w:szCs w:val="19"/>
          <w:lang w:val="en-US"/>
        </w:rPr>
        <w:t>creased</w:t>
      </w:r>
      <w:r w:rsidRPr="003D0CF3">
        <w:rPr>
          <w:rFonts w:cs="Arial"/>
          <w:szCs w:val="19"/>
          <w:lang w:val="en-US"/>
        </w:rPr>
        <w:t xml:space="preserve"> by </w:t>
      </w:r>
      <w:r w:rsidR="00772431">
        <w:rPr>
          <w:rFonts w:cs="Arial"/>
          <w:szCs w:val="19"/>
          <w:lang w:val="en-US"/>
        </w:rPr>
        <w:t>1.0</w:t>
      </w:r>
      <w:r w:rsidRPr="003D0CF3">
        <w:rPr>
          <w:rFonts w:cs="Arial"/>
          <w:szCs w:val="19"/>
          <w:lang w:val="en-US"/>
        </w:rPr>
        <w:t>%.</w:t>
      </w:r>
    </w:p>
    <w:p w:rsidR="00BE652A" w:rsidRDefault="003D698F" w:rsidP="008C560A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C4456A">
        <w:rPr>
          <w:rFonts w:cs="Arial"/>
          <w:szCs w:val="19"/>
          <w:lang w:val="en-US"/>
        </w:rPr>
        <w:t>3rd</w:t>
      </w:r>
      <w:r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>
        <w:rPr>
          <w:rFonts w:cs="Arial"/>
          <w:szCs w:val="19"/>
          <w:lang w:val="en-US"/>
        </w:rPr>
        <w:t xml:space="preserve"> total consumption expenditure </w:t>
      </w:r>
      <w:r w:rsidR="006A5777">
        <w:rPr>
          <w:rFonts w:cs="Arial"/>
          <w:szCs w:val="19"/>
          <w:lang w:val="en-US"/>
        </w:rPr>
        <w:t>in</w:t>
      </w:r>
      <w:r>
        <w:rPr>
          <w:rFonts w:cs="Arial"/>
          <w:szCs w:val="19"/>
          <w:lang w:val="en-US"/>
        </w:rPr>
        <w:t xml:space="preserve">creased by </w:t>
      </w:r>
      <w:r w:rsidR="00600EE5">
        <w:rPr>
          <w:rFonts w:cs="Arial"/>
          <w:szCs w:val="19"/>
          <w:lang w:val="en-US"/>
        </w:rPr>
        <w:t>0.2</w:t>
      </w:r>
      <w:r>
        <w:rPr>
          <w:rFonts w:cs="Arial"/>
          <w:szCs w:val="19"/>
          <w:lang w:val="en-US"/>
        </w:rPr>
        <w:t>%,</w:t>
      </w:r>
      <w:r w:rsidR="006A5777">
        <w:rPr>
          <w:rFonts w:cs="Arial"/>
          <w:szCs w:val="19"/>
          <w:lang w:val="en-US"/>
        </w:rPr>
        <w:t xml:space="preserve"> in which</w:t>
      </w:r>
      <w:r>
        <w:rPr>
          <w:rFonts w:cs="Arial"/>
          <w:szCs w:val="19"/>
          <w:lang w:val="en-US"/>
        </w:rPr>
        <w:t xml:space="preserve"> consumption</w:t>
      </w:r>
      <w:r w:rsidR="00B36616">
        <w:rPr>
          <w:rFonts w:cs="Arial"/>
          <w:szCs w:val="19"/>
          <w:lang w:val="en-US"/>
        </w:rPr>
        <w:t xml:space="preserve"> </w:t>
      </w:r>
      <w:r w:rsidR="00B36616" w:rsidRPr="00E03DAC">
        <w:rPr>
          <w:rFonts w:cs="Arial"/>
          <w:szCs w:val="19"/>
          <w:lang w:val="en-US"/>
        </w:rPr>
        <w:t xml:space="preserve">expenditure in the households sector </w:t>
      </w:r>
      <w:r w:rsidR="00600EE5">
        <w:rPr>
          <w:rFonts w:cs="Arial"/>
          <w:szCs w:val="19"/>
          <w:lang w:val="en-US"/>
        </w:rPr>
        <w:t>went down</w:t>
      </w:r>
      <w:r w:rsidR="00B36616" w:rsidRPr="00E03DAC">
        <w:rPr>
          <w:rFonts w:cs="Arial"/>
          <w:szCs w:val="19"/>
          <w:lang w:val="en-US"/>
        </w:rPr>
        <w:t xml:space="preserve"> by </w:t>
      </w:r>
      <w:r w:rsidR="00600EE5">
        <w:rPr>
          <w:rFonts w:cs="Arial"/>
          <w:szCs w:val="19"/>
          <w:lang w:val="en-US"/>
        </w:rPr>
        <w:t>0.7</w:t>
      </w:r>
      <w:r w:rsidR="006A5777">
        <w:rPr>
          <w:rFonts w:cs="Arial"/>
          <w:szCs w:val="19"/>
          <w:lang w:val="en-US"/>
        </w:rPr>
        <w:t>% and</w:t>
      </w:r>
      <w:r w:rsidR="00B36616" w:rsidRPr="00E03DAC">
        <w:rPr>
          <w:rFonts w:cs="Arial"/>
          <w:szCs w:val="19"/>
          <w:lang w:val="en-US"/>
        </w:rPr>
        <w:t xml:space="preserve"> public consumption </w:t>
      </w:r>
      <w:r w:rsidR="00C12C41">
        <w:rPr>
          <w:rFonts w:cs="Arial"/>
          <w:szCs w:val="19"/>
          <w:lang w:val="en-US"/>
        </w:rPr>
        <w:t xml:space="preserve">expenditure </w:t>
      </w:r>
      <w:r w:rsidR="006A5777">
        <w:rPr>
          <w:rFonts w:cs="Arial"/>
          <w:szCs w:val="19"/>
          <w:lang w:val="en-US"/>
        </w:rPr>
        <w:t>grew</w:t>
      </w:r>
      <w:r>
        <w:rPr>
          <w:rFonts w:cs="Arial"/>
          <w:szCs w:val="19"/>
          <w:lang w:val="en-US"/>
        </w:rPr>
        <w:t xml:space="preserve"> b</w:t>
      </w:r>
      <w:r w:rsidR="00B36616" w:rsidRPr="00E03DAC">
        <w:rPr>
          <w:rFonts w:cs="Arial"/>
          <w:szCs w:val="19"/>
          <w:lang w:val="en-US"/>
        </w:rPr>
        <w:t xml:space="preserve">y </w:t>
      </w:r>
      <w:r w:rsidR="00A515B7">
        <w:rPr>
          <w:rFonts w:cs="Arial"/>
          <w:szCs w:val="19"/>
          <w:lang w:val="en-US"/>
        </w:rPr>
        <w:t>0.</w:t>
      </w:r>
      <w:r w:rsidR="00600EE5">
        <w:rPr>
          <w:rFonts w:cs="Arial"/>
          <w:szCs w:val="19"/>
          <w:lang w:val="en-US"/>
        </w:rPr>
        <w:t>5</w:t>
      </w:r>
      <w:r w:rsidR="00B36616" w:rsidRPr="00E03DAC">
        <w:rPr>
          <w:rFonts w:cs="Arial"/>
          <w:szCs w:val="19"/>
          <w:lang w:val="en-US"/>
        </w:rPr>
        <w:t>%.</w:t>
      </w:r>
    </w:p>
    <w:p w:rsidR="00B36616" w:rsidRPr="003D0CF3" w:rsidRDefault="00B36616" w:rsidP="008C560A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3D0CF3">
        <w:rPr>
          <w:rFonts w:cs="Arial"/>
          <w:szCs w:val="19"/>
          <w:lang w:val="en-US"/>
        </w:rPr>
        <w:t xml:space="preserve">Gross capital formation in the </w:t>
      </w:r>
      <w:r w:rsidR="00C4456A">
        <w:rPr>
          <w:noProof/>
          <w:spacing w:val="-2"/>
          <w:szCs w:val="19"/>
          <w:lang w:val="en-US" w:eastAsia="pl-PL"/>
        </w:rPr>
        <w:t>3rd</w:t>
      </w:r>
      <w:r w:rsidRPr="003D0CF3">
        <w:rPr>
          <w:rFonts w:cs="Arial"/>
          <w:szCs w:val="19"/>
          <w:lang w:val="en-US"/>
        </w:rPr>
        <w:t xml:space="preserve"> quarter of 202</w:t>
      </w:r>
      <w:r w:rsidR="00F47A9C">
        <w:rPr>
          <w:rFonts w:cs="Arial"/>
          <w:szCs w:val="19"/>
          <w:lang w:val="en-US"/>
        </w:rPr>
        <w:t>2</w:t>
      </w:r>
      <w:r w:rsidRPr="003D0CF3">
        <w:rPr>
          <w:rFonts w:cs="Arial"/>
          <w:szCs w:val="19"/>
          <w:lang w:val="en-US"/>
        </w:rPr>
        <w:t xml:space="preserve"> was </w:t>
      </w:r>
      <w:r w:rsidR="00600EE5">
        <w:rPr>
          <w:rFonts w:cs="Arial"/>
          <w:szCs w:val="19"/>
          <w:lang w:val="en-US"/>
        </w:rPr>
        <w:t>higher</w:t>
      </w:r>
      <w:r w:rsidRPr="003D0CF3">
        <w:rPr>
          <w:rFonts w:cs="Arial"/>
          <w:szCs w:val="19"/>
          <w:lang w:val="en-US"/>
        </w:rPr>
        <w:t xml:space="preserve"> by </w:t>
      </w:r>
      <w:r w:rsidR="00600EE5">
        <w:rPr>
          <w:rFonts w:cs="Arial"/>
          <w:szCs w:val="19"/>
          <w:lang w:val="en-US"/>
        </w:rPr>
        <w:t>5.4</w:t>
      </w:r>
      <w:r w:rsidRPr="003D0CF3">
        <w:rPr>
          <w:rFonts w:cs="Arial"/>
          <w:szCs w:val="19"/>
          <w:lang w:val="en-US"/>
        </w:rPr>
        <w:t xml:space="preserve">%, of which </w:t>
      </w:r>
      <w:r w:rsidRPr="003D0CF3">
        <w:rPr>
          <w:lang w:val="en-US"/>
        </w:rPr>
        <w:t xml:space="preserve">gross fixed capital formation </w:t>
      </w:r>
      <w:r w:rsidR="00600EE5">
        <w:rPr>
          <w:lang w:val="en-US"/>
        </w:rPr>
        <w:t>de</w:t>
      </w:r>
      <w:r w:rsidRPr="003D0CF3">
        <w:rPr>
          <w:lang w:val="en-US"/>
        </w:rPr>
        <w:t xml:space="preserve">creased by </w:t>
      </w:r>
      <w:r w:rsidR="00600EE5">
        <w:rPr>
          <w:lang w:val="en-US"/>
        </w:rPr>
        <w:t>0.6</w:t>
      </w:r>
      <w:r w:rsidRPr="003D0CF3">
        <w:rPr>
          <w:lang w:val="en-US"/>
        </w:rPr>
        <w:t>%.</w:t>
      </w:r>
    </w:p>
    <w:p w:rsidR="00B36616" w:rsidRDefault="00B36616" w:rsidP="008C560A">
      <w:pPr>
        <w:tabs>
          <w:tab w:val="left" w:pos="284"/>
        </w:tabs>
        <w:spacing w:line="288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2015 with previous quarter=100 and corresponding quarter of the previous year=100 for GDP time series and its selected components, seasonally unadjusted, seasonally adjusted and trend.  </w:t>
      </w:r>
    </w:p>
    <w:p w:rsidR="00BE652A" w:rsidRPr="00600517" w:rsidRDefault="00600517" w:rsidP="004E7EA5">
      <w:pPr>
        <w:spacing w:before="480" w:line="240" w:lineRule="auto"/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</w:pPr>
      <w:r w:rsidRPr="00600517">
        <w:rPr>
          <w:rFonts w:ascii="Fira Sans SemiBold" w:eastAsia="Times New Roman" w:hAnsi="Fira Sans SemiBold" w:cs="Times New Roman"/>
          <w:b/>
          <w:bCs/>
          <w:noProof/>
          <w:color w:val="001D77"/>
          <w:spacing w:val="-2"/>
          <w:szCs w:val="19"/>
          <w:lang w:val="en-US" w:eastAsia="pl-PL"/>
        </w:rPr>
        <w:t>Seasonally unadjusted GDP (constant average prices of the previous year)</w:t>
      </w:r>
    </w:p>
    <w:p w:rsidR="00600517" w:rsidRPr="00600517" w:rsidRDefault="00600517" w:rsidP="00600517">
      <w:pPr>
        <w:pStyle w:val="Nagwek1"/>
        <w:spacing w:before="120" w:line="288" w:lineRule="auto"/>
        <w:rPr>
          <w:rFonts w:ascii="Fira Sans" w:hAnsi="Fira Sans" w:cs="Arial"/>
          <w:color w:val="auto"/>
          <w:szCs w:val="19"/>
          <w:lang w:val="en-US"/>
        </w:rPr>
      </w:pPr>
      <w:r w:rsidRPr="00600517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</w:t>
      </w:r>
      <w:r w:rsidR="009F5965">
        <w:rPr>
          <w:rFonts w:ascii="Fira Sans" w:hAnsi="Fira Sans" w:cs="Arial"/>
          <w:color w:val="auto"/>
          <w:szCs w:val="19"/>
          <w:lang w:val="en-US"/>
        </w:rPr>
        <w:t xml:space="preserve">GDP 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in the </w:t>
      </w:r>
      <w:r w:rsidR="00616426" w:rsidRPr="00616426">
        <w:rPr>
          <w:rFonts w:ascii="Fira Sans" w:hAnsi="Fira Sans" w:cs="Arial"/>
          <w:color w:val="auto"/>
          <w:szCs w:val="19"/>
          <w:lang w:val="en-US"/>
        </w:rPr>
        <w:t>3rd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 quarter of 202</w:t>
      </w:r>
      <w:r w:rsidR="00180D58">
        <w:rPr>
          <w:rFonts w:ascii="Fira Sans" w:hAnsi="Fira Sans" w:cs="Arial"/>
          <w:color w:val="auto"/>
          <w:szCs w:val="19"/>
          <w:lang w:val="en-US"/>
        </w:rPr>
        <w:t>2</w:t>
      </w:r>
      <w:r w:rsidRPr="00600517">
        <w:rPr>
          <w:rFonts w:ascii="Fira Sans" w:hAnsi="Fira Sans" w:cs="Arial"/>
          <w:szCs w:val="19"/>
          <w:lang w:val="en-US"/>
        </w:rPr>
        <w:t xml:space="preserve"> 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616426">
        <w:rPr>
          <w:rFonts w:ascii="Fira Sans" w:hAnsi="Fira Sans" w:cs="Arial"/>
          <w:color w:val="auto"/>
          <w:szCs w:val="19"/>
          <w:lang w:val="en-US"/>
        </w:rPr>
        <w:t>3.6</w:t>
      </w:r>
      <w:r w:rsidRPr="00600517">
        <w:rPr>
          <w:rFonts w:ascii="Fira Sans" w:hAnsi="Fira Sans" w:cs="Arial"/>
          <w:color w:val="auto"/>
          <w:szCs w:val="19"/>
          <w:lang w:val="en-US"/>
        </w:rPr>
        <w:t xml:space="preserve">% higher than in the corresponding quarter of the previous year. </w:t>
      </w:r>
    </w:p>
    <w:p w:rsidR="00BE652A" w:rsidRDefault="00141128" w:rsidP="004E7EA5">
      <w:pPr>
        <w:spacing w:before="360"/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</w:pPr>
      <w:r w:rsidRPr="00141128">
        <w:rPr>
          <w:noProof/>
          <w:lang w:eastAsia="pl-PL"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548318</wp:posOffset>
            </wp:positionV>
            <wp:extent cx="5122800" cy="2912400"/>
            <wp:effectExtent l="0" t="0" r="1905" b="2540"/>
            <wp:wrapSquare wrapText="bothSides"/>
            <wp:docPr id="17" name="Obraz 17" descr="The chart presents real growth rates of gross domestic product, consumption expenditure of the housholds sector and gross fixed capital formation by quarters for 2020-2021 and 1st, 2nd and 3rd quater of 2022, seasonally unadjusted with corresponding period of the previous year = 100 " title="Chart 3. GDP volume growth rate (corresponding period of the previous year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91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517" w:rsidRPr="00600517"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  <w:t>Chart 3. GDP volume growth rate (corresponding period of the previous year = 100)</w:t>
      </w:r>
    </w:p>
    <w:p w:rsidR="00141128" w:rsidRDefault="00141128" w:rsidP="004E7EA5">
      <w:pPr>
        <w:spacing w:before="360"/>
        <w:rPr>
          <w:rFonts w:eastAsia="Times New Roman" w:cs="Times New Roman"/>
          <w:b/>
          <w:bCs/>
          <w:noProof/>
          <w:sz w:val="18"/>
          <w:szCs w:val="18"/>
          <w:lang w:val="en-US" w:eastAsia="pl-PL"/>
        </w:rPr>
      </w:pPr>
    </w:p>
    <w:p w:rsidR="00BE652A" w:rsidRDefault="00D56A3D" w:rsidP="00D56A3D">
      <w:pPr>
        <w:spacing w:line="288" w:lineRule="auto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G</w:t>
      </w:r>
      <w:r w:rsidRPr="00B865F4">
        <w:rPr>
          <w:rFonts w:cs="Arial"/>
          <w:szCs w:val="19"/>
          <w:lang w:val="en-US"/>
        </w:rPr>
        <w:t xml:space="preserve">ross value added in national economy in </w:t>
      </w:r>
      <w:r>
        <w:rPr>
          <w:rFonts w:cs="Arial"/>
          <w:szCs w:val="19"/>
          <w:lang w:val="en-US"/>
        </w:rPr>
        <w:t xml:space="preserve">the </w:t>
      </w:r>
      <w:r w:rsidR="00616426">
        <w:rPr>
          <w:noProof/>
          <w:spacing w:val="-2"/>
          <w:szCs w:val="19"/>
          <w:lang w:val="en-US" w:eastAsia="pl-PL"/>
        </w:rPr>
        <w:t>3rd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="005A55A4">
        <w:rPr>
          <w:rFonts w:cs="Arial"/>
          <w:szCs w:val="19"/>
          <w:lang w:val="en-US"/>
        </w:rPr>
        <w:t>3</w:t>
      </w:r>
      <w:r w:rsidR="00AE1AB2">
        <w:rPr>
          <w:rFonts w:cs="Arial"/>
          <w:szCs w:val="19"/>
          <w:lang w:val="en-US"/>
        </w:rPr>
        <w:t>.3</w:t>
      </w:r>
      <w:r w:rsidRPr="006B3B1A">
        <w:rPr>
          <w:rFonts w:cs="Arial"/>
          <w:szCs w:val="19"/>
          <w:lang w:val="en-US"/>
        </w:rPr>
        <w:t>%</w:t>
      </w:r>
      <w:r w:rsidRPr="00B865F4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high</w:t>
      </w:r>
      <w:r w:rsidRPr="007B6816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corresponding quarter of 202</w:t>
      </w:r>
      <w:r w:rsidR="00180D58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>, of which: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industry by </w:t>
      </w:r>
      <w:r w:rsidR="005A55A4">
        <w:rPr>
          <w:rFonts w:cs="Arial"/>
          <w:szCs w:val="19"/>
          <w:lang w:val="en-US"/>
        </w:rPr>
        <w:t>6.1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construction by </w:t>
      </w:r>
      <w:r w:rsidR="005A55A4">
        <w:rPr>
          <w:rFonts w:cs="Arial"/>
          <w:szCs w:val="19"/>
          <w:lang w:val="en-US"/>
        </w:rPr>
        <w:t>1.0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trade and repair by </w:t>
      </w:r>
      <w:r w:rsidR="005A55A4">
        <w:rPr>
          <w:rFonts w:cs="Arial"/>
          <w:szCs w:val="19"/>
          <w:lang w:val="en-US"/>
        </w:rPr>
        <w:t>0.1</w:t>
      </w:r>
      <w:r>
        <w:rPr>
          <w:rFonts w:cs="Arial"/>
          <w:szCs w:val="19"/>
          <w:lang w:val="en-US"/>
        </w:rPr>
        <w:t>%,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>i</w:t>
      </w:r>
      <w:r w:rsidRPr="00B865F4">
        <w:rPr>
          <w:rFonts w:cs="Arial"/>
          <w:szCs w:val="19"/>
          <w:lang w:val="en-US"/>
        </w:rPr>
        <w:t>n transportation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storage</w:t>
      </w:r>
      <w:r>
        <w:rPr>
          <w:rFonts w:cs="Arial"/>
          <w:szCs w:val="19"/>
          <w:lang w:val="en-US"/>
        </w:rPr>
        <w:t xml:space="preserve"> by </w:t>
      </w:r>
      <w:r w:rsidR="005A55A4">
        <w:rPr>
          <w:rFonts w:cs="Arial"/>
          <w:szCs w:val="19"/>
          <w:lang w:val="en-US"/>
        </w:rPr>
        <w:t>9.7</w:t>
      </w:r>
      <w:r>
        <w:rPr>
          <w:rFonts w:cs="Arial"/>
          <w:szCs w:val="19"/>
          <w:lang w:val="en-US"/>
        </w:rPr>
        <w:t>%,</w:t>
      </w:r>
    </w:p>
    <w:p w:rsidR="00B07645" w:rsidRDefault="00B07645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357" w:hanging="357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financial and insurance activities by </w:t>
      </w:r>
      <w:r w:rsidR="005A55A4">
        <w:rPr>
          <w:rFonts w:cs="Arial"/>
          <w:szCs w:val="19"/>
          <w:lang w:val="en-US"/>
        </w:rPr>
        <w:t>12.2</w:t>
      </w:r>
      <w:r>
        <w:rPr>
          <w:rFonts w:cs="Arial"/>
          <w:szCs w:val="19"/>
          <w:lang w:val="en-US"/>
        </w:rPr>
        <w:t>%</w:t>
      </w:r>
      <w:r w:rsidR="00002ACE">
        <w:rPr>
          <w:rFonts w:cs="Arial"/>
          <w:szCs w:val="19"/>
          <w:lang w:val="en-US"/>
        </w:rPr>
        <w:t>,</w:t>
      </w:r>
    </w:p>
    <w:p w:rsidR="00D56A3D" w:rsidRDefault="00D56A3D" w:rsidP="00D56A3D">
      <w:pPr>
        <w:pStyle w:val="Akapitzlist"/>
        <w:numPr>
          <w:ilvl w:val="0"/>
          <w:numId w:val="8"/>
        </w:numPr>
        <w:tabs>
          <w:tab w:val="left" w:pos="284"/>
        </w:tabs>
        <w:spacing w:line="288" w:lineRule="auto"/>
        <w:ind w:left="284" w:hanging="284"/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</w:t>
      </w:r>
      <w:r w:rsidRPr="00B865F4">
        <w:rPr>
          <w:rFonts w:cs="Arial"/>
          <w:szCs w:val="19"/>
          <w:lang w:val="en-US"/>
        </w:rPr>
        <w:t>public administration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defense, compulsory so</w:t>
      </w:r>
      <w:r>
        <w:rPr>
          <w:rFonts w:cs="Arial"/>
          <w:szCs w:val="19"/>
          <w:lang w:val="en-US"/>
        </w:rPr>
        <w:t>cial security, education, human h</w:t>
      </w:r>
      <w:r w:rsidRPr="00B865F4">
        <w:rPr>
          <w:rFonts w:cs="Arial"/>
          <w:szCs w:val="19"/>
          <w:lang w:val="en-US"/>
        </w:rPr>
        <w:t>ealth 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social work activities altogether</w:t>
      </w:r>
      <w:r>
        <w:rPr>
          <w:rFonts w:cs="Arial"/>
          <w:szCs w:val="19"/>
          <w:lang w:val="en-US"/>
        </w:rPr>
        <w:t xml:space="preserve"> by </w:t>
      </w:r>
      <w:r w:rsidR="00AE1AB2">
        <w:rPr>
          <w:rFonts w:cs="Arial"/>
          <w:szCs w:val="19"/>
          <w:lang w:val="en-US"/>
        </w:rPr>
        <w:t>2.</w:t>
      </w:r>
      <w:r w:rsidR="005A55A4">
        <w:rPr>
          <w:rFonts w:cs="Arial"/>
          <w:szCs w:val="19"/>
          <w:lang w:val="en-US"/>
        </w:rPr>
        <w:t>3</w:t>
      </w:r>
      <w:r>
        <w:rPr>
          <w:rFonts w:cs="Arial"/>
          <w:szCs w:val="19"/>
          <w:lang w:val="en-US"/>
        </w:rPr>
        <w:t>%.</w:t>
      </w:r>
    </w:p>
    <w:p w:rsidR="00986710" w:rsidRDefault="00986710" w:rsidP="00986710">
      <w:pPr>
        <w:pStyle w:val="Akapitzlist"/>
        <w:tabs>
          <w:tab w:val="left" w:pos="284"/>
        </w:tabs>
        <w:spacing w:line="288" w:lineRule="auto"/>
        <w:ind w:left="284"/>
        <w:rPr>
          <w:rFonts w:cs="Arial"/>
          <w:szCs w:val="19"/>
          <w:lang w:val="en-US"/>
        </w:rPr>
      </w:pPr>
    </w:p>
    <w:p w:rsidR="002B6263" w:rsidRPr="00B865F4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lastRenderedPageBreak/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763269">
        <w:rPr>
          <w:noProof/>
          <w:spacing w:val="-2"/>
          <w:szCs w:val="19"/>
          <w:lang w:val="en-US" w:eastAsia="pl-PL"/>
        </w:rPr>
        <w:t>3rd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6B004B">
        <w:rPr>
          <w:rFonts w:cs="Arial"/>
          <w:szCs w:val="19"/>
          <w:lang w:val="en-US"/>
        </w:rPr>
        <w:t>3.1</w:t>
      </w:r>
      <w:r>
        <w:rPr>
          <w:rFonts w:cs="Arial"/>
          <w:szCs w:val="19"/>
          <w:lang w:val="en-US"/>
        </w:rPr>
        <w:t>% high</w:t>
      </w:r>
      <w:r w:rsidRPr="00B865F4">
        <w:rPr>
          <w:rFonts w:cs="Arial"/>
          <w:szCs w:val="19"/>
          <w:lang w:val="en-US"/>
        </w:rPr>
        <w:t>er than in the correspo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763269">
        <w:rPr>
          <w:noProof/>
          <w:spacing w:val="-2"/>
          <w:szCs w:val="19"/>
          <w:lang w:val="en-US" w:eastAsia="pl-PL"/>
        </w:rPr>
        <w:t>3rd</w:t>
      </w:r>
      <w:r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Pr="00C9339F">
        <w:rPr>
          <w:rFonts w:cs="Arial"/>
          <w:szCs w:val="19"/>
          <w:lang w:val="en-US"/>
        </w:rPr>
        <w:t>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 </w:t>
      </w:r>
      <w:r w:rsidR="006B004B">
        <w:rPr>
          <w:rFonts w:cs="Arial"/>
          <w:szCs w:val="19"/>
          <w:lang w:val="en-US"/>
        </w:rPr>
        <w:t>0.7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, of which consumption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DC4777">
        <w:rPr>
          <w:rFonts w:cs="Arial"/>
          <w:szCs w:val="19"/>
          <w:lang w:val="en-US"/>
        </w:rPr>
        <w:t>increased by</w:t>
      </w:r>
      <w:r w:rsidRPr="00B865F4">
        <w:rPr>
          <w:rFonts w:cs="Arial"/>
          <w:szCs w:val="19"/>
          <w:lang w:val="en-US"/>
        </w:rPr>
        <w:t xml:space="preserve"> </w:t>
      </w:r>
      <w:r w:rsidR="006B004B">
        <w:rPr>
          <w:rFonts w:cs="Arial"/>
          <w:szCs w:val="19"/>
          <w:lang w:val="en-US"/>
        </w:rPr>
        <w:t>0.9</w:t>
      </w:r>
      <w:r w:rsidRPr="00B865F4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a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 public consumption expe</w:t>
      </w:r>
      <w:r>
        <w:rPr>
          <w:rFonts w:cs="Arial"/>
          <w:szCs w:val="19"/>
          <w:lang w:val="en-US"/>
        </w:rPr>
        <w:t>nd</w:t>
      </w:r>
      <w:r w:rsidRPr="00B865F4">
        <w:rPr>
          <w:rFonts w:cs="Arial"/>
          <w:szCs w:val="19"/>
          <w:lang w:val="en-US"/>
        </w:rPr>
        <w:t xml:space="preserve">iture </w:t>
      </w:r>
      <w:r w:rsidR="00B07645">
        <w:rPr>
          <w:rFonts w:cs="Arial"/>
          <w:szCs w:val="19"/>
          <w:lang w:val="en-US"/>
        </w:rPr>
        <w:t>in</w:t>
      </w:r>
      <w:r w:rsidR="00DC4777">
        <w:rPr>
          <w:rFonts w:cs="Arial"/>
          <w:szCs w:val="19"/>
          <w:lang w:val="en-US"/>
        </w:rPr>
        <w:t>creased</w:t>
      </w:r>
      <w:r>
        <w:rPr>
          <w:rFonts w:cs="Arial"/>
          <w:szCs w:val="19"/>
          <w:lang w:val="en-US"/>
        </w:rPr>
        <w:t xml:space="preserve"> by</w:t>
      </w:r>
      <w:r w:rsidRPr="00B865F4">
        <w:rPr>
          <w:rFonts w:cs="Arial"/>
          <w:szCs w:val="19"/>
          <w:lang w:val="en-US"/>
        </w:rPr>
        <w:t xml:space="preserve"> </w:t>
      </w:r>
      <w:r w:rsidR="00B07645">
        <w:rPr>
          <w:rFonts w:cs="Arial"/>
          <w:szCs w:val="19"/>
          <w:lang w:val="en-US"/>
        </w:rPr>
        <w:t>0.</w:t>
      </w:r>
      <w:r w:rsidR="006B004B">
        <w:rPr>
          <w:rFonts w:cs="Arial"/>
          <w:szCs w:val="19"/>
          <w:lang w:val="en-US"/>
        </w:rPr>
        <w:t>1</w:t>
      </w:r>
      <w:r w:rsidRPr="00B865F4">
        <w:rPr>
          <w:rFonts w:cs="Arial"/>
          <w:szCs w:val="19"/>
          <w:lang w:val="en-US"/>
        </w:rPr>
        <w:t xml:space="preserve">%. 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Gross capital formation in </w:t>
      </w:r>
      <w:r>
        <w:rPr>
          <w:rFonts w:cs="Arial"/>
          <w:szCs w:val="19"/>
          <w:lang w:val="en-US"/>
        </w:rPr>
        <w:t xml:space="preserve">the </w:t>
      </w:r>
      <w:r w:rsidR="00763269">
        <w:rPr>
          <w:noProof/>
          <w:spacing w:val="-2"/>
          <w:szCs w:val="19"/>
          <w:lang w:val="en-US" w:eastAsia="pl-PL"/>
        </w:rPr>
        <w:t>3rd</w:t>
      </w:r>
      <w:r w:rsidRPr="00C9339F">
        <w:rPr>
          <w:rFonts w:cs="Arial"/>
          <w:szCs w:val="19"/>
          <w:lang w:val="en-US"/>
        </w:rPr>
        <w:t xml:space="preserve"> quarter of 202</w:t>
      </w:r>
      <w:r w:rsidR="00180D58">
        <w:rPr>
          <w:rFonts w:cs="Arial"/>
          <w:szCs w:val="19"/>
          <w:lang w:val="en-US"/>
        </w:rPr>
        <w:t>2</w:t>
      </w:r>
      <w:r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</w:t>
      </w:r>
      <w:r w:rsidR="006B004B">
        <w:rPr>
          <w:rFonts w:cs="Arial"/>
          <w:szCs w:val="19"/>
          <w:lang w:val="en-US"/>
        </w:rPr>
        <w:t>11.4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compared to the corresponding quarter of 202</w:t>
      </w:r>
      <w:r w:rsidR="00B838F2">
        <w:rPr>
          <w:rFonts w:cs="Arial"/>
          <w:szCs w:val="19"/>
          <w:lang w:val="en-US"/>
        </w:rPr>
        <w:t>1</w:t>
      </w:r>
      <w:r>
        <w:rPr>
          <w:rFonts w:cs="Arial"/>
          <w:szCs w:val="19"/>
          <w:lang w:val="en-US"/>
        </w:rPr>
        <w:t xml:space="preserve">, </w:t>
      </w:r>
      <w:r w:rsidRPr="00B865F4">
        <w:rPr>
          <w:rFonts w:cs="Arial"/>
          <w:szCs w:val="19"/>
          <w:lang w:val="en-US"/>
        </w:rPr>
        <w:t xml:space="preserve">of which gross fixed capital formation </w:t>
      </w:r>
      <w:r>
        <w:rPr>
          <w:rFonts w:cs="Arial"/>
          <w:szCs w:val="19"/>
          <w:lang w:val="en-US"/>
        </w:rPr>
        <w:t>went up</w:t>
      </w:r>
      <w:r w:rsidRPr="00B865F4">
        <w:rPr>
          <w:rFonts w:cs="Arial"/>
          <w:szCs w:val="19"/>
          <w:lang w:val="en-US"/>
        </w:rPr>
        <w:t xml:space="preserve"> by</w:t>
      </w:r>
      <w:r w:rsidR="00484E14">
        <w:rPr>
          <w:rFonts w:cs="Arial"/>
          <w:szCs w:val="19"/>
          <w:lang w:val="en-US"/>
        </w:rPr>
        <w:t xml:space="preserve"> </w:t>
      </w:r>
      <w:r w:rsidR="006B004B">
        <w:rPr>
          <w:rFonts w:cs="Arial"/>
          <w:szCs w:val="19"/>
          <w:lang w:val="en-US"/>
        </w:rPr>
        <w:t>2.0</w:t>
      </w:r>
      <w:r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Pr="00C10449">
        <w:rPr>
          <w:rFonts w:cs="Arial"/>
          <w:szCs w:val="19"/>
          <w:lang w:val="en-US"/>
        </w:rPr>
        <w:t xml:space="preserve">amounted to </w:t>
      </w:r>
      <w:r w:rsidR="00FA7E33">
        <w:rPr>
          <w:rFonts w:cs="Arial"/>
          <w:szCs w:val="19"/>
          <w:lang w:val="en-US"/>
        </w:rPr>
        <w:t>1</w:t>
      </w:r>
      <w:r w:rsidR="006B004B">
        <w:rPr>
          <w:rFonts w:cs="Arial"/>
          <w:szCs w:val="19"/>
          <w:lang w:val="en-US"/>
        </w:rPr>
        <w:t>6</w:t>
      </w:r>
      <w:r w:rsidR="00FA7E33">
        <w:rPr>
          <w:rFonts w:cs="Arial"/>
          <w:szCs w:val="19"/>
          <w:lang w:val="en-US"/>
        </w:rPr>
        <w:t>.1</w:t>
      </w:r>
      <w:r w:rsidRPr="00C10449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against </w:t>
      </w:r>
      <w:r w:rsidR="006B004B">
        <w:rPr>
          <w:rFonts w:cs="Arial"/>
          <w:szCs w:val="19"/>
          <w:lang w:val="en-US"/>
        </w:rPr>
        <w:t>16.8</w:t>
      </w:r>
      <w:r>
        <w:rPr>
          <w:rFonts w:cs="Arial"/>
          <w:szCs w:val="19"/>
          <w:lang w:val="en-US"/>
        </w:rPr>
        <w:t xml:space="preserve">% </w:t>
      </w:r>
      <w:r w:rsidRPr="003220F4">
        <w:rPr>
          <w:rFonts w:cs="Arial"/>
          <w:szCs w:val="19"/>
          <w:lang w:val="en-US"/>
        </w:rPr>
        <w:t>in the previous year</w:t>
      </w:r>
      <w:r>
        <w:rPr>
          <w:rFonts w:cs="Arial"/>
          <w:szCs w:val="19"/>
          <w:lang w:val="en-US"/>
        </w:rPr>
        <w:t>.</w:t>
      </w:r>
    </w:p>
    <w:p w:rsidR="002B6263" w:rsidRPr="00C848CB" w:rsidRDefault="002B6263" w:rsidP="002B6263">
      <w:pPr>
        <w:tabs>
          <w:tab w:val="left" w:pos="284"/>
        </w:tabs>
        <w:spacing w:line="288" w:lineRule="auto"/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and its components at current prices as well as volume growth rates (corresponding quarter of the previous year = 100, constant average prices of the previous year) is presented in tables 3 and 4. Table 5 includes information on contribution to GDP volume growth rate.</w:t>
      </w:r>
    </w:p>
    <w:p w:rsidR="002B6263" w:rsidRDefault="002B6263" w:rsidP="002B6263">
      <w:pPr>
        <w:tabs>
          <w:tab w:val="left" w:pos="284"/>
        </w:tabs>
        <w:spacing w:line="288" w:lineRule="auto"/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>
        <w:rPr>
          <w:rFonts w:cs="Arial"/>
          <w:bCs/>
          <w:szCs w:val="19"/>
          <w:lang w:val="en-US"/>
        </w:rPr>
        <w:t>nd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216634" w:rsidRPr="007D5C3A" w:rsidRDefault="000B16E4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I</w:t>
      </w:r>
      <w:r w:rsidR="00672682">
        <w:rPr>
          <w:rFonts w:eastAsia="Times New Roman" w:cs="Times New Roman"/>
          <w:szCs w:val="19"/>
          <w:lang w:val="en-US" w:eastAsia="pl-PL"/>
        </w:rPr>
        <w:t xml:space="preserve">n </w:t>
      </w:r>
      <w:r w:rsidR="00C8659B">
        <w:rPr>
          <w:rFonts w:eastAsia="Times New Roman" w:cs="Times New Roman"/>
          <w:szCs w:val="19"/>
          <w:lang w:val="en-US" w:eastAsia="pl-PL"/>
        </w:rPr>
        <w:t xml:space="preserve">the </w:t>
      </w:r>
      <w:r w:rsidR="00672682">
        <w:rPr>
          <w:rFonts w:eastAsia="Times New Roman" w:cs="Times New Roman"/>
          <w:szCs w:val="19"/>
          <w:lang w:val="en-US" w:eastAsia="pl-PL"/>
        </w:rPr>
        <w:t xml:space="preserve">case of quoting data from the Statistics Poland, please provide information: “Source of </w:t>
      </w:r>
      <w:r w:rsidR="00C8659B">
        <w:rPr>
          <w:rFonts w:eastAsia="Times New Roman" w:cs="Times New Roman"/>
          <w:szCs w:val="19"/>
          <w:lang w:val="en-US" w:eastAsia="pl-PL"/>
        </w:rPr>
        <w:t>S</w:t>
      </w:r>
      <w:r w:rsidR="00672682">
        <w:rPr>
          <w:rFonts w:eastAsia="Times New Roman" w:cs="Times New Roman"/>
          <w:szCs w:val="19"/>
          <w:lang w:val="en-US" w:eastAsia="pl-PL"/>
        </w:rPr>
        <w:t>tatistics Poland data”, and in the case of publishing</w:t>
      </w:r>
      <w:r w:rsidR="00D46035">
        <w:rPr>
          <w:rFonts w:eastAsia="Times New Roman" w:cs="Times New Roman"/>
          <w:szCs w:val="19"/>
          <w:lang w:val="en-US" w:eastAsia="pl-PL"/>
        </w:rPr>
        <w:t xml:space="preserve"> calculations made using data published by the Statistics Poland, please provide information: “Own study based on Statistics Poland data”.</w:t>
      </w:r>
    </w:p>
    <w:p w:rsidR="00DA331D" w:rsidRPr="007D5C3A" w:rsidRDefault="00DA331D" w:rsidP="00E95B8E">
      <w:pPr>
        <w:rPr>
          <w:sz w:val="16"/>
          <w:lang w:val="en-US"/>
        </w:rPr>
      </w:pPr>
    </w:p>
    <w:p w:rsidR="0008544C" w:rsidRPr="007D5C3A" w:rsidRDefault="0008544C" w:rsidP="00DA331D">
      <w:pPr>
        <w:spacing w:before="360"/>
        <w:rPr>
          <w:sz w:val="18"/>
          <w:lang w:val="en-US"/>
        </w:rPr>
        <w:sectPr w:rsidR="0008544C" w:rsidRPr="007D5C3A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9E7D31">
        <w:trPr>
          <w:trHeight w:val="1626"/>
        </w:trPr>
        <w:tc>
          <w:tcPr>
            <w:tcW w:w="4926" w:type="dxa"/>
          </w:tcPr>
          <w:p w:rsidR="00DE2400" w:rsidRPr="007D5C3A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</w:p>
          <w:p w:rsidR="00DE2400" w:rsidRPr="007D5C3A" w:rsidRDefault="00B245FD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National Accounts</w:t>
            </w:r>
            <w:r w:rsidR="006C197A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7D5C3A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BA7966">
              <w:rPr>
                <w:b/>
                <w:lang w:val="fi-FI"/>
              </w:rPr>
              <w:t>Anita Perzyna</w:t>
            </w:r>
          </w:p>
          <w:p w:rsidR="00DE2400" w:rsidRPr="00AB24E4" w:rsidRDefault="006C197A" w:rsidP="00BA796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BA796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608 31 17</w:t>
            </w:r>
          </w:p>
        </w:tc>
        <w:tc>
          <w:tcPr>
            <w:tcW w:w="4927" w:type="dxa"/>
          </w:tcPr>
          <w:p w:rsidR="00DE2400" w:rsidRPr="007D5C3A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7D5C3A">
              <w:rPr>
                <w:rFonts w:cs="Arial"/>
                <w:sz w:val="20"/>
                <w:lang w:val="en-US"/>
              </w:rPr>
              <w:t>Issued by</w:t>
            </w:r>
            <w:r w:rsidR="00DE2400" w:rsidRPr="007D5C3A">
              <w:rPr>
                <w:rFonts w:cs="Arial"/>
                <w:sz w:val="20"/>
                <w:lang w:val="en-US"/>
              </w:rPr>
              <w:t>:</w:t>
            </w:r>
            <w:r w:rsidR="00DE2400" w:rsidRPr="007D5C3A">
              <w:rPr>
                <w:rFonts w:cs="Arial"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7D5C3A">
              <w:rPr>
                <w:rFonts w:cs="Arial"/>
                <w:b/>
                <w:sz w:val="20"/>
                <w:lang w:val="en-US"/>
              </w:rPr>
              <w:br/>
            </w:r>
            <w:r w:rsidRPr="007D5C3A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747B8C">
            <w:pPr>
              <w:rPr>
                <w:sz w:val="18"/>
              </w:rPr>
            </w:pPr>
          </w:p>
        </w:tc>
      </w:tr>
      <w:tr w:rsidR="00DE2400" w:rsidRPr="00570CC6" w:rsidTr="009E7D31">
        <w:trPr>
          <w:trHeight w:val="418"/>
        </w:trPr>
        <w:tc>
          <w:tcPr>
            <w:tcW w:w="4926" w:type="dxa"/>
            <w:vMerge w:val="restart"/>
          </w:tcPr>
          <w:p w:rsidR="00DE2400" w:rsidRPr="007D5C3A" w:rsidRDefault="002021A6" w:rsidP="00747B8C">
            <w:pPr>
              <w:rPr>
                <w:b/>
                <w:sz w:val="20"/>
                <w:lang w:val="en-US"/>
              </w:rPr>
            </w:pPr>
            <w:r w:rsidRPr="007D5C3A">
              <w:rPr>
                <w:b/>
                <w:sz w:val="20"/>
                <w:lang w:val="en-US"/>
              </w:rPr>
              <w:t>Press Office</w:t>
            </w:r>
            <w:r w:rsidR="00DE2400" w:rsidRPr="007D5C3A">
              <w:rPr>
                <w:b/>
                <w:sz w:val="20"/>
                <w:lang w:val="en-US"/>
              </w:rPr>
              <w:t xml:space="preserve"> </w:t>
            </w:r>
          </w:p>
          <w:p w:rsidR="00DE2400" w:rsidRPr="007D5C3A" w:rsidRDefault="002021A6" w:rsidP="00747B8C">
            <w:pPr>
              <w:rPr>
                <w:sz w:val="20"/>
                <w:lang w:val="en-US"/>
              </w:rPr>
            </w:pPr>
            <w:r w:rsidRPr="007D5C3A">
              <w:rPr>
                <w:sz w:val="20"/>
                <w:lang w:val="en-US"/>
              </w:rPr>
              <w:t>Phone</w:t>
            </w:r>
            <w:r w:rsidR="00DE2400" w:rsidRPr="007D5C3A">
              <w:rPr>
                <w:sz w:val="20"/>
                <w:lang w:val="en-US"/>
              </w:rPr>
              <w:t xml:space="preserve">: </w:t>
            </w:r>
            <w:r w:rsidR="00FA4D6D" w:rsidRPr="007D5C3A">
              <w:rPr>
                <w:sz w:val="20"/>
                <w:lang w:val="en-US"/>
              </w:rPr>
              <w:t xml:space="preserve">(+48 </w:t>
            </w:r>
            <w:r w:rsidR="00DE2400" w:rsidRPr="007D5C3A">
              <w:rPr>
                <w:sz w:val="20"/>
                <w:lang w:val="en-US"/>
              </w:rPr>
              <w:t>22</w:t>
            </w:r>
            <w:r w:rsidR="00FA4D6D" w:rsidRPr="007D5C3A">
              <w:rPr>
                <w:sz w:val="20"/>
                <w:lang w:val="en-US"/>
              </w:rPr>
              <w:t>)</w:t>
            </w:r>
            <w:r w:rsidR="00DE2400" w:rsidRPr="007D5C3A">
              <w:rPr>
                <w:sz w:val="20"/>
                <w:lang w:val="en-US"/>
              </w:rPr>
              <w:t xml:space="preserve"> 608 3</w:t>
            </w:r>
            <w:r w:rsidR="00E95036" w:rsidRPr="007D5C3A">
              <w:rPr>
                <w:sz w:val="20"/>
                <w:lang w:val="en-US"/>
              </w:rPr>
              <w:t>8 04</w:t>
            </w:r>
            <w:r w:rsidR="00DE2400" w:rsidRPr="007D5C3A">
              <w:rPr>
                <w:sz w:val="20"/>
                <w:lang w:val="en-US"/>
              </w:rPr>
              <w:t xml:space="preserve"> </w:t>
            </w:r>
          </w:p>
          <w:p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Pr="007D5C3A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D5C3A">
              <w:rPr>
                <w:sz w:val="20"/>
                <w:lang w:val="en-US"/>
              </w:rPr>
              <w:t>www.stat.gov.pl</w:t>
            </w:r>
            <w:r w:rsidR="002021A6" w:rsidRPr="007D5C3A">
              <w:rPr>
                <w:sz w:val="20"/>
                <w:lang w:val="en-US"/>
              </w:rPr>
              <w:t>/en/</w:t>
            </w:r>
            <w:r w:rsidRPr="007D5C3A">
              <w:rPr>
                <w:sz w:val="18"/>
                <w:lang w:val="en-US"/>
              </w:rPr>
              <w:t xml:space="preserve">     </w:t>
            </w:r>
          </w:p>
        </w:tc>
      </w:tr>
      <w:tr w:rsidR="00DE1D0A" w:rsidTr="009E7D31">
        <w:trPr>
          <w:trHeight w:val="418"/>
        </w:trPr>
        <w:tc>
          <w:tcPr>
            <w:tcW w:w="4926" w:type="dxa"/>
            <w:vMerge/>
          </w:tcPr>
          <w:p w:rsidR="00DE1D0A" w:rsidRPr="007D5C3A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  <w:vMerge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DE1D0A" w:rsidTr="009E7D31">
        <w:trPr>
          <w:trHeight w:val="480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DE1D0A" w:rsidTr="009E7D31">
        <w:trPr>
          <w:trHeight w:val="953"/>
        </w:trPr>
        <w:tc>
          <w:tcPr>
            <w:tcW w:w="4926" w:type="dxa"/>
          </w:tcPr>
          <w:p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570CC6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DE2400" w:rsidRDefault="00CA784C" w:rsidP="00365731">
            <w:pPr>
              <w:shd w:val="clear" w:color="auto" w:fill="D9D9D9" w:themeFill="background1" w:themeFillShade="D9"/>
              <w:spacing w:before="360" w:after="0"/>
              <w:rPr>
                <w:b/>
                <w:lang w:val="en-US"/>
              </w:rPr>
            </w:pPr>
            <w:r w:rsidRPr="007D5C3A">
              <w:rPr>
                <w:b/>
                <w:lang w:val="en-US"/>
              </w:rPr>
              <w:t>Related information</w:t>
            </w:r>
          </w:p>
          <w:p w:rsidR="00484DAB" w:rsidRDefault="0023092F" w:rsidP="00747B8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4" w:tooltip="Website address at news release &quot;Flash estimate of Gross Domestic Product in the third quarter of 2022&quot;" w:history="1">
              <w:r w:rsidR="00484DAB" w:rsidRPr="00484DA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Flash estimate of Gross Domestic Product in the third quarter of 2022</w:t>
              </w:r>
            </w:hyperlink>
          </w:p>
          <w:p w:rsidR="00484DAB" w:rsidRPr="006412B6" w:rsidRDefault="0023092F" w:rsidP="00747B8C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5" w:tooltip="Website address at news release &quot;Information of Statistics Poland on the updated quarterly GDP estimate for 2010 - 2021 and the 1st and 2nd quarter of 2022&quot;" w:history="1">
              <w:r w:rsidR="00484DAB" w:rsidRPr="00484DAB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Information of Statistics Poland on the updated quarterly GDP estimate for 2010 -2021 and the 1st and 2nd quarter of 2022</w:t>
              </w:r>
            </w:hyperlink>
          </w:p>
          <w:p w:rsidR="00DE2400" w:rsidRDefault="000F569C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7D5C3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:rsidR="0070132E" w:rsidRPr="000304BE" w:rsidRDefault="00D86958" w:rsidP="00365731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C81C36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"Website address at knowledge database-national accounts is available"</w:instrText>
            </w: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="0070132E" w:rsidRPr="000304BE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database-National Accounts</w:t>
            </w:r>
          </w:p>
          <w:p w:rsidR="00B16871" w:rsidRPr="007D5C3A" w:rsidRDefault="00D86958" w:rsidP="00365731">
            <w:pPr>
              <w:shd w:val="clear" w:color="auto" w:fill="D9D9D9" w:themeFill="background1" w:themeFillShade="D9"/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="00CA784C" w:rsidRPr="007D5C3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:rsidR="00DE2400" w:rsidRPr="00ED3ED3" w:rsidRDefault="0023092F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6" w:tooltip="Website address at terms used in official statistics to define a meaning –gross domestic product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domestic product</w:t>
              </w:r>
            </w:hyperlink>
          </w:p>
          <w:p w:rsidR="000E6C86" w:rsidRPr="00ED3ED3" w:rsidRDefault="0023092F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7" w:tooltip="Website address at terms used in official statistics to define a meaning – gross value added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value added</w:t>
              </w:r>
            </w:hyperlink>
          </w:p>
          <w:p w:rsidR="000E6C86" w:rsidRPr="00ED3ED3" w:rsidRDefault="0023092F" w:rsidP="00747B8C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Website address at terms used in official statistics to define a meaning – gross capital formation is available" w:history="1">
              <w:r w:rsidR="000E6C86" w:rsidRPr="00ED3ED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Gross capital formation</w:t>
              </w:r>
            </w:hyperlink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0470AA" w:rsidRPr="007D5C3A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570CC6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0470AA" w:rsidRPr="007D5C3A" w:rsidRDefault="000470AA" w:rsidP="000470AA">
      <w:pPr>
        <w:rPr>
          <w:sz w:val="20"/>
          <w:lang w:val="en-US"/>
        </w:rPr>
      </w:pPr>
    </w:p>
    <w:p w:rsidR="000470AA" w:rsidRPr="007D5C3A" w:rsidRDefault="000470AA" w:rsidP="000470AA">
      <w:pPr>
        <w:rPr>
          <w:sz w:val="18"/>
          <w:lang w:val="en-US"/>
        </w:rPr>
      </w:pPr>
    </w:p>
    <w:p w:rsidR="00D261A2" w:rsidRPr="007D5C3A" w:rsidRDefault="00D261A2" w:rsidP="00AD0E56">
      <w:pPr>
        <w:rPr>
          <w:sz w:val="18"/>
          <w:lang w:val="en-US"/>
        </w:rPr>
      </w:pPr>
    </w:p>
    <w:sectPr w:rsidR="00D261A2" w:rsidRPr="007D5C3A" w:rsidSect="003B18B6">
      <w:headerReference w:type="default" r:id="rId29"/>
      <w:footerReference w:type="default" r:id="rId30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92F" w:rsidRDefault="0023092F" w:rsidP="000662E2">
      <w:pPr>
        <w:spacing w:after="0" w:line="240" w:lineRule="auto"/>
      </w:pPr>
      <w:r>
        <w:separator/>
      </w:r>
    </w:p>
  </w:endnote>
  <w:endnote w:type="continuationSeparator" w:id="0">
    <w:p w:rsidR="0023092F" w:rsidRDefault="0023092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9F768517-719A-4077-BF45-A4EA849CF03F}"/>
    <w:embedBold r:id="rId2" w:fontKey="{ABB5F7C3-5284-4F33-845A-81CD28EB062C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fontKey="{9F0E6C31-4D64-45B0-9DEC-FBAC955E0BF1}"/>
    <w:embedBold r:id="rId4" w:fontKey="{7A004045-A84B-4448-B6BE-53665CDD0D35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51B7F63E-F162-4E94-A180-21A14547E60B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8A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8A4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8A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92F" w:rsidRDefault="0023092F" w:rsidP="000662E2">
      <w:pPr>
        <w:spacing w:after="0" w:line="240" w:lineRule="auto"/>
      </w:pPr>
      <w:r>
        <w:separator/>
      </w:r>
    </w:p>
  </w:footnote>
  <w:footnote w:type="continuationSeparator" w:id="0">
    <w:p w:rsidR="0023092F" w:rsidRDefault="0023092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8C60CD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F6B899" id="Prostokąt 10" o:spid="_x0000_s1026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" fillcolor="#f2f2f2" stroked="f" strokeweight="1pt">
              <w10:wrap type="tight" anchorx="page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:rsidR="00540C5C" w:rsidRDefault="00540C5C">
    <w:pPr>
      <w:pStyle w:val="Nagwek"/>
      <w:rPr>
        <w:noProof/>
        <w:lang w:eastAsia="pl-PL"/>
      </w:rPr>
    </w:pPr>
  </w:p>
  <w:p w:rsidR="00540C5C" w:rsidRDefault="00540C5C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2FFF5FF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e, 30.11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A01B40" w:rsidRDefault="0008696B" w:rsidP="00F049AB">
                          <w:pPr>
                            <w:pStyle w:val="Datainformacjisygnalnej"/>
                          </w:pPr>
                          <w:r>
                            <w:t>3</w:t>
                          </w:r>
                          <w:r w:rsidR="00A8017D">
                            <w:t>0</w:t>
                          </w:r>
                          <w:r w:rsidR="004033F3">
                            <w:t>.</w:t>
                          </w:r>
                          <w:r w:rsidR="00A8017D">
                            <w:t>11</w:t>
                          </w:r>
                          <w:r w:rsidR="004033F3">
                            <w:t>.2022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30.11.2022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" filled="f" stroked="f">
              <v:textbox>
                <w:txbxContent>
                  <w:p w:rsidR="00F37172" w:rsidRPr="00A01B40" w:rsidRDefault="0008696B" w:rsidP="00F049AB">
                    <w:pPr>
                      <w:pStyle w:val="Datainformacjisygnalnej"/>
                    </w:pPr>
                    <w:r>
                      <w:t>3</w:t>
                    </w:r>
                    <w:r w:rsidR="00A8017D">
                      <w:t>0</w:t>
                    </w:r>
                    <w:r w:rsidR="004033F3">
                      <w:t>.</w:t>
                    </w:r>
                    <w:r w:rsidR="00A8017D">
                      <w:t>11</w:t>
                    </w:r>
                    <w:r w:rsidR="004033F3">
                      <w:t>.2022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6" w15:restartNumberingAfterBreak="0">
    <w:nsid w:val="6B403211"/>
    <w:multiLevelType w:val="hybridMultilevel"/>
    <w:tmpl w:val="E3D627D0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01E0A"/>
    <w:multiLevelType w:val="hybridMultilevel"/>
    <w:tmpl w:val="5384860C"/>
    <w:lvl w:ilvl="0" w:tplc="1B5853AC">
      <w:numFmt w:val="bullet"/>
      <w:lvlText w:val="-"/>
      <w:lvlJc w:val="left"/>
      <w:pPr>
        <w:ind w:left="720" w:hanging="360"/>
      </w:pPr>
      <w:rPr>
        <w:rFonts w:ascii="Fira Sans" w:eastAsiaTheme="minorHAnsi" w:hAnsi="Fira San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03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2ACE"/>
    <w:rsid w:val="00003437"/>
    <w:rsid w:val="000069DD"/>
    <w:rsid w:val="0000709F"/>
    <w:rsid w:val="000108B8"/>
    <w:rsid w:val="00014ECD"/>
    <w:rsid w:val="000152F5"/>
    <w:rsid w:val="000213D4"/>
    <w:rsid w:val="00021CD0"/>
    <w:rsid w:val="000304BE"/>
    <w:rsid w:val="000339F5"/>
    <w:rsid w:val="000365DC"/>
    <w:rsid w:val="0004459D"/>
    <w:rsid w:val="0004582E"/>
    <w:rsid w:val="000470AA"/>
    <w:rsid w:val="00055A0A"/>
    <w:rsid w:val="00057CA1"/>
    <w:rsid w:val="00063801"/>
    <w:rsid w:val="000647A9"/>
    <w:rsid w:val="000662E2"/>
    <w:rsid w:val="00066883"/>
    <w:rsid w:val="0007008D"/>
    <w:rsid w:val="00071B39"/>
    <w:rsid w:val="00074DD8"/>
    <w:rsid w:val="00075759"/>
    <w:rsid w:val="0007728B"/>
    <w:rsid w:val="000806F7"/>
    <w:rsid w:val="0008544C"/>
    <w:rsid w:val="0008696B"/>
    <w:rsid w:val="00095131"/>
    <w:rsid w:val="00095FA0"/>
    <w:rsid w:val="00097840"/>
    <w:rsid w:val="000A042D"/>
    <w:rsid w:val="000A500D"/>
    <w:rsid w:val="000A5970"/>
    <w:rsid w:val="000B0727"/>
    <w:rsid w:val="000B16E4"/>
    <w:rsid w:val="000B70A4"/>
    <w:rsid w:val="000C135D"/>
    <w:rsid w:val="000C4083"/>
    <w:rsid w:val="000C4C68"/>
    <w:rsid w:val="000D017B"/>
    <w:rsid w:val="000D0FB1"/>
    <w:rsid w:val="000D1D43"/>
    <w:rsid w:val="000D225C"/>
    <w:rsid w:val="000D2A5C"/>
    <w:rsid w:val="000D39F0"/>
    <w:rsid w:val="000D7F7A"/>
    <w:rsid w:val="000E0918"/>
    <w:rsid w:val="000E0AD0"/>
    <w:rsid w:val="000E6C86"/>
    <w:rsid w:val="000E79A9"/>
    <w:rsid w:val="000F0B9A"/>
    <w:rsid w:val="000F1BA5"/>
    <w:rsid w:val="000F569C"/>
    <w:rsid w:val="001011C3"/>
    <w:rsid w:val="00106DA3"/>
    <w:rsid w:val="00110214"/>
    <w:rsid w:val="00110D87"/>
    <w:rsid w:val="00112399"/>
    <w:rsid w:val="00114DB9"/>
    <w:rsid w:val="00116087"/>
    <w:rsid w:val="00117711"/>
    <w:rsid w:val="00125C10"/>
    <w:rsid w:val="00130296"/>
    <w:rsid w:val="00133A39"/>
    <w:rsid w:val="00133EEA"/>
    <w:rsid w:val="00134145"/>
    <w:rsid w:val="00136736"/>
    <w:rsid w:val="00136740"/>
    <w:rsid w:val="00136D67"/>
    <w:rsid w:val="00137BE9"/>
    <w:rsid w:val="00141128"/>
    <w:rsid w:val="001423B6"/>
    <w:rsid w:val="001448A7"/>
    <w:rsid w:val="00146621"/>
    <w:rsid w:val="00155337"/>
    <w:rsid w:val="00156F04"/>
    <w:rsid w:val="00157083"/>
    <w:rsid w:val="001617E3"/>
    <w:rsid w:val="00162325"/>
    <w:rsid w:val="001677EF"/>
    <w:rsid w:val="00171461"/>
    <w:rsid w:val="0017292C"/>
    <w:rsid w:val="00177278"/>
    <w:rsid w:val="00180D58"/>
    <w:rsid w:val="00181537"/>
    <w:rsid w:val="00184215"/>
    <w:rsid w:val="001951DA"/>
    <w:rsid w:val="00197586"/>
    <w:rsid w:val="001A37AD"/>
    <w:rsid w:val="001B0003"/>
    <w:rsid w:val="001B053D"/>
    <w:rsid w:val="001B35E4"/>
    <w:rsid w:val="001B580F"/>
    <w:rsid w:val="001C2B32"/>
    <w:rsid w:val="001C3269"/>
    <w:rsid w:val="001C39A4"/>
    <w:rsid w:val="001D19B6"/>
    <w:rsid w:val="001D1DB4"/>
    <w:rsid w:val="001D23F1"/>
    <w:rsid w:val="001D25F9"/>
    <w:rsid w:val="001D61ED"/>
    <w:rsid w:val="001D6BD5"/>
    <w:rsid w:val="001D7BC0"/>
    <w:rsid w:val="001D7C39"/>
    <w:rsid w:val="001E4A2F"/>
    <w:rsid w:val="001E5B2D"/>
    <w:rsid w:val="001F2D5B"/>
    <w:rsid w:val="0020156C"/>
    <w:rsid w:val="002021A6"/>
    <w:rsid w:val="0021202B"/>
    <w:rsid w:val="00216634"/>
    <w:rsid w:val="0022018F"/>
    <w:rsid w:val="0022187F"/>
    <w:rsid w:val="00226DB4"/>
    <w:rsid w:val="0023092F"/>
    <w:rsid w:val="00231A7D"/>
    <w:rsid w:val="00232B77"/>
    <w:rsid w:val="00242D31"/>
    <w:rsid w:val="002501DB"/>
    <w:rsid w:val="0025481E"/>
    <w:rsid w:val="002574F9"/>
    <w:rsid w:val="00260F7D"/>
    <w:rsid w:val="00262B61"/>
    <w:rsid w:val="00262CC6"/>
    <w:rsid w:val="00263E08"/>
    <w:rsid w:val="00272443"/>
    <w:rsid w:val="00276301"/>
    <w:rsid w:val="00276811"/>
    <w:rsid w:val="00281CE9"/>
    <w:rsid w:val="00282699"/>
    <w:rsid w:val="002903F3"/>
    <w:rsid w:val="0029104C"/>
    <w:rsid w:val="002926DF"/>
    <w:rsid w:val="00296697"/>
    <w:rsid w:val="00297AD6"/>
    <w:rsid w:val="002B0472"/>
    <w:rsid w:val="002B6263"/>
    <w:rsid w:val="002B6B12"/>
    <w:rsid w:val="002C1E7B"/>
    <w:rsid w:val="002C21F0"/>
    <w:rsid w:val="002D01DF"/>
    <w:rsid w:val="002E2973"/>
    <w:rsid w:val="002E3EB3"/>
    <w:rsid w:val="002E6140"/>
    <w:rsid w:val="002E6985"/>
    <w:rsid w:val="002E71B6"/>
    <w:rsid w:val="002F35F6"/>
    <w:rsid w:val="002F55CC"/>
    <w:rsid w:val="002F77C8"/>
    <w:rsid w:val="00304F22"/>
    <w:rsid w:val="0030529C"/>
    <w:rsid w:val="00306C7C"/>
    <w:rsid w:val="00314F86"/>
    <w:rsid w:val="00317F4D"/>
    <w:rsid w:val="00322EDD"/>
    <w:rsid w:val="00325999"/>
    <w:rsid w:val="00325BAE"/>
    <w:rsid w:val="003309FA"/>
    <w:rsid w:val="00332320"/>
    <w:rsid w:val="00335885"/>
    <w:rsid w:val="003363DA"/>
    <w:rsid w:val="003436C3"/>
    <w:rsid w:val="003437ED"/>
    <w:rsid w:val="00345B19"/>
    <w:rsid w:val="00346049"/>
    <w:rsid w:val="003476F4"/>
    <w:rsid w:val="00347D72"/>
    <w:rsid w:val="00353F45"/>
    <w:rsid w:val="00357611"/>
    <w:rsid w:val="0036432A"/>
    <w:rsid w:val="00364AF9"/>
    <w:rsid w:val="00365731"/>
    <w:rsid w:val="00367237"/>
    <w:rsid w:val="0037077F"/>
    <w:rsid w:val="003712DB"/>
    <w:rsid w:val="00372411"/>
    <w:rsid w:val="003730CF"/>
    <w:rsid w:val="00373882"/>
    <w:rsid w:val="003843DB"/>
    <w:rsid w:val="00393761"/>
    <w:rsid w:val="003949F3"/>
    <w:rsid w:val="00394E26"/>
    <w:rsid w:val="00396691"/>
    <w:rsid w:val="00397D18"/>
    <w:rsid w:val="003A049B"/>
    <w:rsid w:val="003A15F3"/>
    <w:rsid w:val="003A1B36"/>
    <w:rsid w:val="003B1454"/>
    <w:rsid w:val="003B18B6"/>
    <w:rsid w:val="003C161B"/>
    <w:rsid w:val="003C59E0"/>
    <w:rsid w:val="003C63A6"/>
    <w:rsid w:val="003C6C8D"/>
    <w:rsid w:val="003D2656"/>
    <w:rsid w:val="003D39D0"/>
    <w:rsid w:val="003D4F95"/>
    <w:rsid w:val="003D5F42"/>
    <w:rsid w:val="003D60A9"/>
    <w:rsid w:val="003D698F"/>
    <w:rsid w:val="003F2B2F"/>
    <w:rsid w:val="003F2D61"/>
    <w:rsid w:val="003F4C97"/>
    <w:rsid w:val="003F666D"/>
    <w:rsid w:val="003F7AB1"/>
    <w:rsid w:val="003F7FE6"/>
    <w:rsid w:val="00400193"/>
    <w:rsid w:val="0040148E"/>
    <w:rsid w:val="004033F3"/>
    <w:rsid w:val="00403CAB"/>
    <w:rsid w:val="00413FE3"/>
    <w:rsid w:val="00416EAF"/>
    <w:rsid w:val="004212E7"/>
    <w:rsid w:val="00423C88"/>
    <w:rsid w:val="0042446D"/>
    <w:rsid w:val="00427BF8"/>
    <w:rsid w:val="00431C02"/>
    <w:rsid w:val="00437395"/>
    <w:rsid w:val="00445047"/>
    <w:rsid w:val="00446749"/>
    <w:rsid w:val="00450B01"/>
    <w:rsid w:val="0045244B"/>
    <w:rsid w:val="00453EB7"/>
    <w:rsid w:val="004615C4"/>
    <w:rsid w:val="00463E39"/>
    <w:rsid w:val="004657FC"/>
    <w:rsid w:val="00467CF4"/>
    <w:rsid w:val="00471ADE"/>
    <w:rsid w:val="004733F6"/>
    <w:rsid w:val="00474E69"/>
    <w:rsid w:val="00480BB7"/>
    <w:rsid w:val="00483E9F"/>
    <w:rsid w:val="00484DAB"/>
    <w:rsid w:val="00484E14"/>
    <w:rsid w:val="00485A2C"/>
    <w:rsid w:val="00493391"/>
    <w:rsid w:val="0049621B"/>
    <w:rsid w:val="004A0209"/>
    <w:rsid w:val="004A1D19"/>
    <w:rsid w:val="004C1895"/>
    <w:rsid w:val="004C6D40"/>
    <w:rsid w:val="004D1D08"/>
    <w:rsid w:val="004E10A7"/>
    <w:rsid w:val="004E3AD6"/>
    <w:rsid w:val="004E6AA8"/>
    <w:rsid w:val="004E7EA5"/>
    <w:rsid w:val="004F0C3C"/>
    <w:rsid w:val="004F2280"/>
    <w:rsid w:val="004F23BB"/>
    <w:rsid w:val="004F63FC"/>
    <w:rsid w:val="00505A92"/>
    <w:rsid w:val="00512457"/>
    <w:rsid w:val="00512A66"/>
    <w:rsid w:val="005154B9"/>
    <w:rsid w:val="005203F1"/>
    <w:rsid w:val="0052040C"/>
    <w:rsid w:val="00521BC3"/>
    <w:rsid w:val="00527C18"/>
    <w:rsid w:val="00533632"/>
    <w:rsid w:val="00534013"/>
    <w:rsid w:val="005366C5"/>
    <w:rsid w:val="00540C5C"/>
    <w:rsid w:val="00541E6E"/>
    <w:rsid w:val="0054251F"/>
    <w:rsid w:val="005430A9"/>
    <w:rsid w:val="005520D8"/>
    <w:rsid w:val="00555CFB"/>
    <w:rsid w:val="00556CF1"/>
    <w:rsid w:val="00562B54"/>
    <w:rsid w:val="005648FA"/>
    <w:rsid w:val="00566CD9"/>
    <w:rsid w:val="00570CC6"/>
    <w:rsid w:val="00570F41"/>
    <w:rsid w:val="005762A7"/>
    <w:rsid w:val="005820B9"/>
    <w:rsid w:val="00587CEE"/>
    <w:rsid w:val="005916D7"/>
    <w:rsid w:val="0059388D"/>
    <w:rsid w:val="0059427F"/>
    <w:rsid w:val="005A0042"/>
    <w:rsid w:val="005A0146"/>
    <w:rsid w:val="005A55A4"/>
    <w:rsid w:val="005A698C"/>
    <w:rsid w:val="005A7FA2"/>
    <w:rsid w:val="005B142A"/>
    <w:rsid w:val="005B5B68"/>
    <w:rsid w:val="005B798C"/>
    <w:rsid w:val="005C00C7"/>
    <w:rsid w:val="005C0CAC"/>
    <w:rsid w:val="005C3EF3"/>
    <w:rsid w:val="005D062E"/>
    <w:rsid w:val="005D58D9"/>
    <w:rsid w:val="005E0799"/>
    <w:rsid w:val="005E10F9"/>
    <w:rsid w:val="005E1200"/>
    <w:rsid w:val="005F45EE"/>
    <w:rsid w:val="005F5A80"/>
    <w:rsid w:val="00600517"/>
    <w:rsid w:val="00600EE5"/>
    <w:rsid w:val="006044FF"/>
    <w:rsid w:val="00607CC5"/>
    <w:rsid w:val="0061179B"/>
    <w:rsid w:val="006125F9"/>
    <w:rsid w:val="00616426"/>
    <w:rsid w:val="006234C6"/>
    <w:rsid w:val="00633014"/>
    <w:rsid w:val="0063437B"/>
    <w:rsid w:val="00636AD5"/>
    <w:rsid w:val="0064017E"/>
    <w:rsid w:val="006412B6"/>
    <w:rsid w:val="00647FD0"/>
    <w:rsid w:val="006519C9"/>
    <w:rsid w:val="00653DC3"/>
    <w:rsid w:val="00654BB6"/>
    <w:rsid w:val="00661261"/>
    <w:rsid w:val="006673CA"/>
    <w:rsid w:val="00672682"/>
    <w:rsid w:val="00673C26"/>
    <w:rsid w:val="00674DE5"/>
    <w:rsid w:val="00677ACA"/>
    <w:rsid w:val="00677F3B"/>
    <w:rsid w:val="006812AF"/>
    <w:rsid w:val="0068327D"/>
    <w:rsid w:val="00691278"/>
    <w:rsid w:val="00691534"/>
    <w:rsid w:val="00693880"/>
    <w:rsid w:val="00694AF0"/>
    <w:rsid w:val="006A4686"/>
    <w:rsid w:val="006A5777"/>
    <w:rsid w:val="006B004B"/>
    <w:rsid w:val="006B0E9E"/>
    <w:rsid w:val="006B1975"/>
    <w:rsid w:val="006B486D"/>
    <w:rsid w:val="006B5270"/>
    <w:rsid w:val="006B5AE4"/>
    <w:rsid w:val="006B6A42"/>
    <w:rsid w:val="006C197A"/>
    <w:rsid w:val="006C221F"/>
    <w:rsid w:val="006C437F"/>
    <w:rsid w:val="006D1507"/>
    <w:rsid w:val="006D2067"/>
    <w:rsid w:val="006D4054"/>
    <w:rsid w:val="006E02EC"/>
    <w:rsid w:val="006E3C4F"/>
    <w:rsid w:val="006E6F41"/>
    <w:rsid w:val="006E73E6"/>
    <w:rsid w:val="006F02B6"/>
    <w:rsid w:val="006F50A0"/>
    <w:rsid w:val="006F5A75"/>
    <w:rsid w:val="00701134"/>
    <w:rsid w:val="0070132E"/>
    <w:rsid w:val="00706F07"/>
    <w:rsid w:val="007211B1"/>
    <w:rsid w:val="00721FBA"/>
    <w:rsid w:val="00726580"/>
    <w:rsid w:val="007267B0"/>
    <w:rsid w:val="007277DA"/>
    <w:rsid w:val="00731D27"/>
    <w:rsid w:val="00732941"/>
    <w:rsid w:val="0073673F"/>
    <w:rsid w:val="00744B89"/>
    <w:rsid w:val="00746187"/>
    <w:rsid w:val="007621FB"/>
    <w:rsid w:val="0076254F"/>
    <w:rsid w:val="00763269"/>
    <w:rsid w:val="00765435"/>
    <w:rsid w:val="00772431"/>
    <w:rsid w:val="0077384E"/>
    <w:rsid w:val="007801F5"/>
    <w:rsid w:val="0078263A"/>
    <w:rsid w:val="00783CA4"/>
    <w:rsid w:val="007842FB"/>
    <w:rsid w:val="00784F09"/>
    <w:rsid w:val="00786124"/>
    <w:rsid w:val="00787F9D"/>
    <w:rsid w:val="00791ABA"/>
    <w:rsid w:val="0079514B"/>
    <w:rsid w:val="00795252"/>
    <w:rsid w:val="00796701"/>
    <w:rsid w:val="007A2DC1"/>
    <w:rsid w:val="007B5AC1"/>
    <w:rsid w:val="007D0869"/>
    <w:rsid w:val="007D14C4"/>
    <w:rsid w:val="007D3319"/>
    <w:rsid w:val="007D335D"/>
    <w:rsid w:val="007D5C3A"/>
    <w:rsid w:val="007D605C"/>
    <w:rsid w:val="007E1A11"/>
    <w:rsid w:val="007E3314"/>
    <w:rsid w:val="007E3514"/>
    <w:rsid w:val="007E4B03"/>
    <w:rsid w:val="007F25E3"/>
    <w:rsid w:val="007F324B"/>
    <w:rsid w:val="00803031"/>
    <w:rsid w:val="0080553C"/>
    <w:rsid w:val="00805B46"/>
    <w:rsid w:val="00805DB4"/>
    <w:rsid w:val="008060C0"/>
    <w:rsid w:val="0082201D"/>
    <w:rsid w:val="00823593"/>
    <w:rsid w:val="00825DC2"/>
    <w:rsid w:val="008269E7"/>
    <w:rsid w:val="00834AD3"/>
    <w:rsid w:val="00842308"/>
    <w:rsid w:val="00843795"/>
    <w:rsid w:val="00844E20"/>
    <w:rsid w:val="00846DF2"/>
    <w:rsid w:val="00847F0F"/>
    <w:rsid w:val="00850B7B"/>
    <w:rsid w:val="00852448"/>
    <w:rsid w:val="0085536D"/>
    <w:rsid w:val="008579E9"/>
    <w:rsid w:val="00877F6C"/>
    <w:rsid w:val="0088258A"/>
    <w:rsid w:val="00883664"/>
    <w:rsid w:val="00886332"/>
    <w:rsid w:val="008925F0"/>
    <w:rsid w:val="0089448A"/>
    <w:rsid w:val="00894C23"/>
    <w:rsid w:val="00897877"/>
    <w:rsid w:val="008A0BFB"/>
    <w:rsid w:val="008A26D9"/>
    <w:rsid w:val="008A7B5B"/>
    <w:rsid w:val="008B12D2"/>
    <w:rsid w:val="008B16AD"/>
    <w:rsid w:val="008B6A0F"/>
    <w:rsid w:val="008C0A6A"/>
    <w:rsid w:val="008C0C29"/>
    <w:rsid w:val="008C48A4"/>
    <w:rsid w:val="008C560A"/>
    <w:rsid w:val="008D02DA"/>
    <w:rsid w:val="008D437D"/>
    <w:rsid w:val="008D76BC"/>
    <w:rsid w:val="008E7C22"/>
    <w:rsid w:val="008E7DBA"/>
    <w:rsid w:val="008E7F36"/>
    <w:rsid w:val="008F0829"/>
    <w:rsid w:val="008F3638"/>
    <w:rsid w:val="008F4441"/>
    <w:rsid w:val="008F6B20"/>
    <w:rsid w:val="008F6F31"/>
    <w:rsid w:val="008F74DF"/>
    <w:rsid w:val="00902274"/>
    <w:rsid w:val="00902653"/>
    <w:rsid w:val="009127BA"/>
    <w:rsid w:val="00915B02"/>
    <w:rsid w:val="00920AAE"/>
    <w:rsid w:val="009227A6"/>
    <w:rsid w:val="00931365"/>
    <w:rsid w:val="00931CC2"/>
    <w:rsid w:val="00933EC1"/>
    <w:rsid w:val="009422BC"/>
    <w:rsid w:val="009446AD"/>
    <w:rsid w:val="009530DB"/>
    <w:rsid w:val="00953676"/>
    <w:rsid w:val="00956F30"/>
    <w:rsid w:val="00962B00"/>
    <w:rsid w:val="00964019"/>
    <w:rsid w:val="00966C9A"/>
    <w:rsid w:val="009705EE"/>
    <w:rsid w:val="00977927"/>
    <w:rsid w:val="009800AE"/>
    <w:rsid w:val="0098135C"/>
    <w:rsid w:val="0098156A"/>
    <w:rsid w:val="00986710"/>
    <w:rsid w:val="009904D7"/>
    <w:rsid w:val="00991BAC"/>
    <w:rsid w:val="00993ACA"/>
    <w:rsid w:val="009A4903"/>
    <w:rsid w:val="009A6EA0"/>
    <w:rsid w:val="009B2C29"/>
    <w:rsid w:val="009C1335"/>
    <w:rsid w:val="009C1AB2"/>
    <w:rsid w:val="009C7251"/>
    <w:rsid w:val="009D515F"/>
    <w:rsid w:val="009D5650"/>
    <w:rsid w:val="009D6D2B"/>
    <w:rsid w:val="009E1DD2"/>
    <w:rsid w:val="009E2E91"/>
    <w:rsid w:val="009E7D31"/>
    <w:rsid w:val="009F5965"/>
    <w:rsid w:val="00A004BA"/>
    <w:rsid w:val="00A01B40"/>
    <w:rsid w:val="00A12218"/>
    <w:rsid w:val="00A12645"/>
    <w:rsid w:val="00A139F5"/>
    <w:rsid w:val="00A148A2"/>
    <w:rsid w:val="00A32E16"/>
    <w:rsid w:val="00A34AF4"/>
    <w:rsid w:val="00A365F4"/>
    <w:rsid w:val="00A404EB"/>
    <w:rsid w:val="00A47D80"/>
    <w:rsid w:val="00A515B7"/>
    <w:rsid w:val="00A53132"/>
    <w:rsid w:val="00A53DB9"/>
    <w:rsid w:val="00A563F2"/>
    <w:rsid w:val="00A566E8"/>
    <w:rsid w:val="00A57158"/>
    <w:rsid w:val="00A66347"/>
    <w:rsid w:val="00A7392B"/>
    <w:rsid w:val="00A8017D"/>
    <w:rsid w:val="00A810F9"/>
    <w:rsid w:val="00A82D31"/>
    <w:rsid w:val="00A84D24"/>
    <w:rsid w:val="00A85E7E"/>
    <w:rsid w:val="00A86ECC"/>
    <w:rsid w:val="00A86FCC"/>
    <w:rsid w:val="00A90A6D"/>
    <w:rsid w:val="00A91617"/>
    <w:rsid w:val="00A925C2"/>
    <w:rsid w:val="00A962EE"/>
    <w:rsid w:val="00A971E5"/>
    <w:rsid w:val="00AA086D"/>
    <w:rsid w:val="00AA710D"/>
    <w:rsid w:val="00AB20FB"/>
    <w:rsid w:val="00AB237E"/>
    <w:rsid w:val="00AB64F3"/>
    <w:rsid w:val="00AB6D25"/>
    <w:rsid w:val="00AC539D"/>
    <w:rsid w:val="00AD0E56"/>
    <w:rsid w:val="00AE1AB2"/>
    <w:rsid w:val="00AE229B"/>
    <w:rsid w:val="00AE2D4B"/>
    <w:rsid w:val="00AE3994"/>
    <w:rsid w:val="00AE4F99"/>
    <w:rsid w:val="00AE71CC"/>
    <w:rsid w:val="00AE77F7"/>
    <w:rsid w:val="00B07645"/>
    <w:rsid w:val="00B10349"/>
    <w:rsid w:val="00B11B69"/>
    <w:rsid w:val="00B14952"/>
    <w:rsid w:val="00B16871"/>
    <w:rsid w:val="00B245FD"/>
    <w:rsid w:val="00B25B45"/>
    <w:rsid w:val="00B31E5A"/>
    <w:rsid w:val="00B36616"/>
    <w:rsid w:val="00B43F58"/>
    <w:rsid w:val="00B47359"/>
    <w:rsid w:val="00B653AB"/>
    <w:rsid w:val="00B65F9E"/>
    <w:rsid w:val="00B6683A"/>
    <w:rsid w:val="00B66B19"/>
    <w:rsid w:val="00B76959"/>
    <w:rsid w:val="00B838F2"/>
    <w:rsid w:val="00B914E9"/>
    <w:rsid w:val="00B9177E"/>
    <w:rsid w:val="00B956EE"/>
    <w:rsid w:val="00BA2BA1"/>
    <w:rsid w:val="00BA3447"/>
    <w:rsid w:val="00BA3562"/>
    <w:rsid w:val="00BA7966"/>
    <w:rsid w:val="00BB1E59"/>
    <w:rsid w:val="00BB3227"/>
    <w:rsid w:val="00BB4F09"/>
    <w:rsid w:val="00BB54B5"/>
    <w:rsid w:val="00BB619D"/>
    <w:rsid w:val="00BC4E04"/>
    <w:rsid w:val="00BD4E33"/>
    <w:rsid w:val="00BE00F8"/>
    <w:rsid w:val="00BE652A"/>
    <w:rsid w:val="00BF0FBD"/>
    <w:rsid w:val="00BF1E90"/>
    <w:rsid w:val="00C030DE"/>
    <w:rsid w:val="00C051A8"/>
    <w:rsid w:val="00C12C41"/>
    <w:rsid w:val="00C22105"/>
    <w:rsid w:val="00C2406A"/>
    <w:rsid w:val="00C244B6"/>
    <w:rsid w:val="00C278C1"/>
    <w:rsid w:val="00C27BF1"/>
    <w:rsid w:val="00C3702F"/>
    <w:rsid w:val="00C400FB"/>
    <w:rsid w:val="00C4456A"/>
    <w:rsid w:val="00C4500A"/>
    <w:rsid w:val="00C50A2B"/>
    <w:rsid w:val="00C520E4"/>
    <w:rsid w:val="00C54353"/>
    <w:rsid w:val="00C60504"/>
    <w:rsid w:val="00C62207"/>
    <w:rsid w:val="00C62238"/>
    <w:rsid w:val="00C64A37"/>
    <w:rsid w:val="00C7158E"/>
    <w:rsid w:val="00C7250B"/>
    <w:rsid w:val="00C7346B"/>
    <w:rsid w:val="00C77C0E"/>
    <w:rsid w:val="00C77F7E"/>
    <w:rsid w:val="00C81C36"/>
    <w:rsid w:val="00C8659B"/>
    <w:rsid w:val="00C91687"/>
    <w:rsid w:val="00C924A8"/>
    <w:rsid w:val="00C945FE"/>
    <w:rsid w:val="00C96FAA"/>
    <w:rsid w:val="00C97A04"/>
    <w:rsid w:val="00CA107B"/>
    <w:rsid w:val="00CA484D"/>
    <w:rsid w:val="00CA4FB6"/>
    <w:rsid w:val="00CA784C"/>
    <w:rsid w:val="00CB2F90"/>
    <w:rsid w:val="00CB6AD4"/>
    <w:rsid w:val="00CC3E53"/>
    <w:rsid w:val="00CC424D"/>
    <w:rsid w:val="00CC739E"/>
    <w:rsid w:val="00CD1EBB"/>
    <w:rsid w:val="00CD28CF"/>
    <w:rsid w:val="00CD58B7"/>
    <w:rsid w:val="00CD7967"/>
    <w:rsid w:val="00CE4660"/>
    <w:rsid w:val="00CE4E15"/>
    <w:rsid w:val="00CE5E73"/>
    <w:rsid w:val="00CF18EE"/>
    <w:rsid w:val="00CF30BD"/>
    <w:rsid w:val="00CF4099"/>
    <w:rsid w:val="00D00796"/>
    <w:rsid w:val="00D13D20"/>
    <w:rsid w:val="00D14727"/>
    <w:rsid w:val="00D22A64"/>
    <w:rsid w:val="00D261A2"/>
    <w:rsid w:val="00D33366"/>
    <w:rsid w:val="00D353D1"/>
    <w:rsid w:val="00D46035"/>
    <w:rsid w:val="00D523A8"/>
    <w:rsid w:val="00D5323D"/>
    <w:rsid w:val="00D542A6"/>
    <w:rsid w:val="00D543A6"/>
    <w:rsid w:val="00D56A3D"/>
    <w:rsid w:val="00D577F8"/>
    <w:rsid w:val="00D616D2"/>
    <w:rsid w:val="00D63B5F"/>
    <w:rsid w:val="00D6661D"/>
    <w:rsid w:val="00D67436"/>
    <w:rsid w:val="00D70EF7"/>
    <w:rsid w:val="00D724EE"/>
    <w:rsid w:val="00D80581"/>
    <w:rsid w:val="00D80587"/>
    <w:rsid w:val="00D8397C"/>
    <w:rsid w:val="00D86958"/>
    <w:rsid w:val="00D918A0"/>
    <w:rsid w:val="00D94EED"/>
    <w:rsid w:val="00D96026"/>
    <w:rsid w:val="00D965CA"/>
    <w:rsid w:val="00D972F6"/>
    <w:rsid w:val="00DA1B02"/>
    <w:rsid w:val="00DA331D"/>
    <w:rsid w:val="00DA5957"/>
    <w:rsid w:val="00DA67EA"/>
    <w:rsid w:val="00DA7C1C"/>
    <w:rsid w:val="00DB147A"/>
    <w:rsid w:val="00DB1B7A"/>
    <w:rsid w:val="00DB706E"/>
    <w:rsid w:val="00DC4777"/>
    <w:rsid w:val="00DC6708"/>
    <w:rsid w:val="00DD011A"/>
    <w:rsid w:val="00DD5936"/>
    <w:rsid w:val="00DE1D0A"/>
    <w:rsid w:val="00DE2400"/>
    <w:rsid w:val="00DE3F2F"/>
    <w:rsid w:val="00DE58F1"/>
    <w:rsid w:val="00DE6B58"/>
    <w:rsid w:val="00DF022C"/>
    <w:rsid w:val="00DF4D4C"/>
    <w:rsid w:val="00DF5E32"/>
    <w:rsid w:val="00E01436"/>
    <w:rsid w:val="00E03E79"/>
    <w:rsid w:val="00E0436F"/>
    <w:rsid w:val="00E045BD"/>
    <w:rsid w:val="00E04D6C"/>
    <w:rsid w:val="00E14D39"/>
    <w:rsid w:val="00E17B77"/>
    <w:rsid w:val="00E20E10"/>
    <w:rsid w:val="00E231AB"/>
    <w:rsid w:val="00E23337"/>
    <w:rsid w:val="00E24E58"/>
    <w:rsid w:val="00E259EA"/>
    <w:rsid w:val="00E25B3A"/>
    <w:rsid w:val="00E25D33"/>
    <w:rsid w:val="00E3130F"/>
    <w:rsid w:val="00E32061"/>
    <w:rsid w:val="00E33F48"/>
    <w:rsid w:val="00E34798"/>
    <w:rsid w:val="00E40303"/>
    <w:rsid w:val="00E42FF9"/>
    <w:rsid w:val="00E43A81"/>
    <w:rsid w:val="00E44790"/>
    <w:rsid w:val="00E4611A"/>
    <w:rsid w:val="00E4714C"/>
    <w:rsid w:val="00E5178D"/>
    <w:rsid w:val="00E51AEB"/>
    <w:rsid w:val="00E522A7"/>
    <w:rsid w:val="00E5349E"/>
    <w:rsid w:val="00E53932"/>
    <w:rsid w:val="00E54452"/>
    <w:rsid w:val="00E6187A"/>
    <w:rsid w:val="00E63B0C"/>
    <w:rsid w:val="00E664C5"/>
    <w:rsid w:val="00E671A2"/>
    <w:rsid w:val="00E73A27"/>
    <w:rsid w:val="00E76D26"/>
    <w:rsid w:val="00E76EE5"/>
    <w:rsid w:val="00E82773"/>
    <w:rsid w:val="00E83363"/>
    <w:rsid w:val="00E8595F"/>
    <w:rsid w:val="00E85AE8"/>
    <w:rsid w:val="00E95036"/>
    <w:rsid w:val="00E95B8E"/>
    <w:rsid w:val="00EA45AC"/>
    <w:rsid w:val="00EA6244"/>
    <w:rsid w:val="00EB1390"/>
    <w:rsid w:val="00EB2C71"/>
    <w:rsid w:val="00EB3333"/>
    <w:rsid w:val="00EB4340"/>
    <w:rsid w:val="00EB556D"/>
    <w:rsid w:val="00EB5A7D"/>
    <w:rsid w:val="00EC3BCF"/>
    <w:rsid w:val="00ED3ED3"/>
    <w:rsid w:val="00ED48F0"/>
    <w:rsid w:val="00ED55C0"/>
    <w:rsid w:val="00ED682B"/>
    <w:rsid w:val="00ED72A8"/>
    <w:rsid w:val="00EE41D5"/>
    <w:rsid w:val="00EF1ADF"/>
    <w:rsid w:val="00F0166F"/>
    <w:rsid w:val="00F037A4"/>
    <w:rsid w:val="00F049AB"/>
    <w:rsid w:val="00F058DF"/>
    <w:rsid w:val="00F142DB"/>
    <w:rsid w:val="00F224DB"/>
    <w:rsid w:val="00F23ABF"/>
    <w:rsid w:val="00F27C8F"/>
    <w:rsid w:val="00F32749"/>
    <w:rsid w:val="00F37172"/>
    <w:rsid w:val="00F40852"/>
    <w:rsid w:val="00F4477E"/>
    <w:rsid w:val="00F46269"/>
    <w:rsid w:val="00F47A9C"/>
    <w:rsid w:val="00F51EE0"/>
    <w:rsid w:val="00F52ECA"/>
    <w:rsid w:val="00F543FF"/>
    <w:rsid w:val="00F54F97"/>
    <w:rsid w:val="00F60BA8"/>
    <w:rsid w:val="00F67D8F"/>
    <w:rsid w:val="00F802BE"/>
    <w:rsid w:val="00F80E93"/>
    <w:rsid w:val="00F8141A"/>
    <w:rsid w:val="00F86024"/>
    <w:rsid w:val="00F8611A"/>
    <w:rsid w:val="00F878DB"/>
    <w:rsid w:val="00FA0AE1"/>
    <w:rsid w:val="00FA275F"/>
    <w:rsid w:val="00FA3261"/>
    <w:rsid w:val="00FA4D6D"/>
    <w:rsid w:val="00FA5128"/>
    <w:rsid w:val="00FA7E33"/>
    <w:rsid w:val="00FB42D4"/>
    <w:rsid w:val="00FB4517"/>
    <w:rsid w:val="00FB5906"/>
    <w:rsid w:val="00FB762F"/>
    <w:rsid w:val="00FC2AED"/>
    <w:rsid w:val="00FD28FF"/>
    <w:rsid w:val="00FD53F8"/>
    <w:rsid w:val="00FD5EA7"/>
    <w:rsid w:val="00FE36CF"/>
    <w:rsid w:val="00FE4518"/>
    <w:rsid w:val="00FE48E4"/>
    <w:rsid w:val="00FF0246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E6C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364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national-accounts/quarterly-national-accounts/information-of-statistics-poland-on-the-updated-quarterly-gdp-estimate-for-2010-2021-and-the-1st-and-2nd-quarter-of-2022,6,3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s://stat.gov.pl/en/topics/national-accounts/quarterly-national-accounts/flash-estimate-of-gross-domestic-product-in-the-third-quarter-of-2022,1,40.html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metainformation/glossary/terms-used-in-official-statistics/6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metainformation/glossary/terms-used-in-official-statistics/563,term.html" TargetMode="External"/><Relationship Id="rId30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1755B1-8F22-4391-9910-F0D63F5CA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1422</Words>
  <Characters>8534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Gross Domestic Product in the 3rd quarter of 2022. Preliminary estimate</dc:title>
  <dc:subject/>
  <dc:creator>Statistics Poland</dc:creator>
  <cp:keywords/>
  <dc:description/>
  <cp:lastModifiedBy>Putkowska Beata</cp:lastModifiedBy>
  <cp:revision>3</cp:revision>
  <cp:lastPrinted>2022-02-25T13:59:00Z</cp:lastPrinted>
  <dcterms:created xsi:type="dcterms:W3CDTF">2022-02-14T22:52:00Z</dcterms:created>
  <dcterms:modified xsi:type="dcterms:W3CDTF">2022-11-30T07:51:00Z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