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7D605C" w:rsidRDefault="00D749A0" w:rsidP="00F049AB">
      <w:pPr>
        <w:pStyle w:val="Tytuinfomacjisygnalnej"/>
      </w:pPr>
      <w:bookmarkStart w:id="0" w:name="_GoBack"/>
      <w:bookmarkEnd w:id="0"/>
      <w:r w:rsidRPr="00D749A0">
        <w:t>Registrations and bankruptcies of enterprises in the fourth quarter of 2021</w:t>
      </w:r>
      <w:r w:rsidR="00364AF9" w:rsidRPr="007D605C">
        <w:rPr>
          <w:sz w:val="32"/>
        </w:rPr>
        <w:tab/>
      </w: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6B64BB2C">
                <wp:simplePos x="0" y="0"/>
                <wp:positionH relativeFrom="margin">
                  <wp:align>left</wp:align>
                </wp:positionH>
                <wp:positionV relativeFrom="paragraph">
                  <wp:posOffset>45720</wp:posOffset>
                </wp:positionV>
                <wp:extent cx="2172970" cy="1413510"/>
                <wp:effectExtent l="0" t="0" r="0" b="0"/>
                <wp:wrapSquare wrapText="bothSides"/>
                <wp:docPr id="6" name="Pole tekstowe 2" descr="16.7% increase in the number of registrations of enterprises in the fourth quarter of 2021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13673"/>
                        </a:xfrm>
                        <a:prstGeom prst="roundRect">
                          <a:avLst/>
                        </a:prstGeom>
                        <a:solidFill>
                          <a:srgbClr val="001D77"/>
                        </a:solidFill>
                        <a:ln w="9525">
                          <a:noFill/>
                          <a:miter lim="800000"/>
                          <a:headEnd/>
                          <a:tailEnd/>
                        </a:ln>
                      </wps:spPr>
                      <wps:txbx>
                        <w:txbxContent>
                          <w:p w:rsidR="00054E00" w:rsidRPr="007D605C" w:rsidRDefault="00054E00"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Pr>
                                <w:rStyle w:val="WartowskanikaZnak"/>
                              </w:rPr>
                              <w:t>16.7%</w:t>
                            </w:r>
                          </w:p>
                          <w:p w:rsidR="00054E00" w:rsidRPr="007E510A" w:rsidRDefault="00054E00"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crease in the number of registrations of enterprises in the fourth quarter of 2021 compared to the corresponding period of previous year</w:t>
                            </w:r>
                          </w:p>
                          <w:p w:rsidR="00054E00" w:rsidRPr="007D605C" w:rsidRDefault="00054E00" w:rsidP="003C3E28">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16.7% increase in the number of registrations of enterprises in the fourth quarter of 2021 compared to the corresponding period of previous year&#10;" style="position:absolute;margin-left:0;margin-top:3.6pt;width:171.1pt;height:111.3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" fillcolor="#001d77" stroked="f">
                <v:stroke joinstyle="miter"/>
                <v:textbox>
                  <w:txbxContent>
                    <w:p w:rsidR="00054E00" w:rsidRPr="007D605C" w:rsidRDefault="00054E00"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Pr>
                          <w:rStyle w:val="WartowskanikaZnak"/>
                        </w:rPr>
                        <w:t>16.7%</w:t>
                      </w:r>
                    </w:p>
                    <w:p w:rsidR="00054E00" w:rsidRPr="007E510A" w:rsidRDefault="00054E00" w:rsidP="003C3E28">
                      <w:pPr>
                        <w:spacing w:before="0" w:after="0" w:line="240" w:lineRule="auto"/>
                        <w:rPr>
                          <w:rFonts w:eastAsia="Fira Sans Light" w:cs="Times New Roman"/>
                          <w:color w:val="FFFFFF"/>
                          <w:sz w:val="20"/>
                          <w:szCs w:val="20"/>
                          <w:lang w:val="en"/>
                        </w:rPr>
                      </w:pPr>
                      <w:r w:rsidRPr="007E510A">
                        <w:rPr>
                          <w:rFonts w:eastAsia="Fira Sans Light" w:cs="Times New Roman"/>
                          <w:color w:val="FFFFFF"/>
                          <w:sz w:val="20"/>
                          <w:szCs w:val="20"/>
                          <w:lang w:val="en-GB"/>
                        </w:rPr>
                        <w:t>In</w:t>
                      </w:r>
                      <w:r w:rsidRPr="007E510A">
                        <w:rPr>
                          <w:rFonts w:eastAsia="Fira Sans Light" w:cs="Times New Roman"/>
                          <w:color w:val="FFFFFF"/>
                          <w:sz w:val="20"/>
                          <w:szCs w:val="20"/>
                          <w:lang w:val="en"/>
                        </w:rPr>
                        <w:t>crease in the number of registrations of enterprises in the fourth quarter of 2021 compared to the corresponding period of previous year</w:t>
                      </w:r>
                    </w:p>
                    <w:p w:rsidR="00054E00" w:rsidRPr="007D605C" w:rsidRDefault="00054E00" w:rsidP="003C3E28">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4B78CB" w:rsidRPr="00CA0A81">
        <w:rPr>
          <w:lang w:val="en"/>
        </w:rPr>
        <w:t xml:space="preserve">In the </w:t>
      </w:r>
      <w:r w:rsidR="004B78CB">
        <w:rPr>
          <w:lang w:val="en"/>
        </w:rPr>
        <w:t>fourth</w:t>
      </w:r>
      <w:r w:rsidR="004B78CB" w:rsidRPr="00CA0A81">
        <w:rPr>
          <w:lang w:val="en"/>
        </w:rPr>
        <w:t xml:space="preserve"> quarter of 2021, there were </w:t>
      </w:r>
      <w:r w:rsidR="004B78CB">
        <w:rPr>
          <w:color w:val="000000" w:themeColor="text1"/>
        </w:rPr>
        <w:t>88 605</w:t>
      </w:r>
      <w:r w:rsidR="004B78CB" w:rsidRPr="0088769A">
        <w:rPr>
          <w:color w:val="000000" w:themeColor="text1"/>
        </w:rPr>
        <w:t xml:space="preserve"> </w:t>
      </w:r>
      <w:r w:rsidR="004B78CB" w:rsidRPr="00CA0A81">
        <w:rPr>
          <w:lang w:val="en"/>
        </w:rPr>
        <w:t>registrations of enterprises</w:t>
      </w:r>
      <w:r w:rsidR="004B78CB">
        <w:rPr>
          <w:lang w:val="en"/>
        </w:rPr>
        <w:t xml:space="preserve"> recorded i.e. 16.7% more</w:t>
      </w:r>
      <w:r w:rsidR="004B78CB" w:rsidRPr="00CA0A81">
        <w:rPr>
          <w:lang w:val="en"/>
        </w:rPr>
        <w:t xml:space="preserve"> than in the corresponding period of </w:t>
      </w:r>
      <w:r w:rsidR="004B78CB">
        <w:rPr>
          <w:lang w:val="en"/>
        </w:rPr>
        <w:t>previous year and 87</w:t>
      </w:r>
      <w:r w:rsidR="004B78CB" w:rsidRPr="00CA0A81">
        <w:rPr>
          <w:lang w:val="en"/>
        </w:rPr>
        <w:t xml:space="preserve"> enterprises declared </w:t>
      </w:r>
      <w:r w:rsidR="004B78CB" w:rsidRPr="00CA0A81">
        <w:rPr>
          <w:rFonts w:eastAsia="Fira Sans Light" w:cs="Times New Roman"/>
          <w:lang w:val="en"/>
        </w:rPr>
        <w:t>bankruptcy</w:t>
      </w:r>
      <w:r w:rsidR="004B78CB">
        <w:rPr>
          <w:lang w:val="en"/>
        </w:rPr>
        <w:t xml:space="preserve"> i.e. 17.9</w:t>
      </w:r>
      <w:r w:rsidR="004B78CB" w:rsidRPr="00CA0A81">
        <w:rPr>
          <w:lang w:val="en"/>
        </w:rPr>
        <w:t>% less than in the corresponding period of previous year</w:t>
      </w:r>
      <w:r w:rsidR="006E4697">
        <w:t>.</w:t>
      </w:r>
    </w:p>
    <w:p w:rsidR="0031116E" w:rsidRDefault="00CB6AD4" w:rsidP="0031116E">
      <w:pPr>
        <w:spacing w:line="288" w:lineRule="auto"/>
        <w:rPr>
          <w:rFonts w:eastAsia="Times New Roman" w:cs="Times New Roman"/>
          <w:b/>
          <w:bCs/>
          <w:color w:val="001D77"/>
          <w:szCs w:val="19"/>
          <w:lang w:eastAsia="pl-PL"/>
        </w:rPr>
      </w:pPr>
      <w:r w:rsidRPr="00E231AB">
        <w:rPr>
          <w:shd w:val="clear" w:color="auto" w:fill="FFFFFF"/>
        </w:rPr>
        <w:br/>
      </w:r>
    </w:p>
    <w:p w:rsidR="00680416" w:rsidRPr="00680416" w:rsidRDefault="00000839" w:rsidP="006E4697">
      <w:pPr>
        <w:spacing w:before="480" w:line="240" w:lineRule="auto"/>
        <w:rPr>
          <w:rFonts w:eastAsia="Fira Sans Light" w:cs="Times New Roman"/>
          <w:b/>
          <w:noProof/>
          <w:spacing w:val="-2"/>
          <w:szCs w:val="19"/>
          <w:lang w:val="en-GB" w:eastAsia="pl-PL"/>
        </w:rPr>
      </w:pPr>
      <w:r w:rsidRPr="00680416">
        <w:rPr>
          <w:rFonts w:eastAsia="Fira Sans Light" w:cs="Times New Roman"/>
          <w:b/>
          <w:noProof/>
          <w:spacing w:val="-2"/>
          <w:szCs w:val="19"/>
          <w:lang w:eastAsia="pl-PL"/>
        </w:rPr>
        <mc:AlternateContent>
          <mc:Choice Requires="wps">
            <w:drawing>
              <wp:anchor distT="45720" distB="45720" distL="114300" distR="114300" simplePos="0" relativeHeight="251759616" behindDoc="1" locked="0" layoutInCell="1" allowOverlap="1" wp14:anchorId="35138EA4" wp14:editId="6135D8D5">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The highest increase in the number of registrations (by 43.7%) was noticed in accommodation and cater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rsidR="00054E00" w:rsidRPr="006D1659" w:rsidRDefault="00054E00" w:rsidP="006D1659">
                            <w:pPr>
                              <w:pStyle w:val="tekstzboku"/>
                            </w:pPr>
                            <w:r w:rsidRPr="006D1659">
                              <w:t>The highest increase in the number of registrations (by 43.7%) was noticed in accommodation and catering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38EA4" id="_x0000_t202" coordsize="21600,21600" o:spt="202" path="m,l,21600r21600,l21600,xe">
                <v:stroke joinstyle="miter"/>
                <v:path gradientshapeok="t" o:connecttype="rect"/>
              </v:shapetype>
              <v:shape id="Pole tekstowe 28" o:spid="_x0000_s1027" type="#_x0000_t202" alt="The highest increase in the number of registrations (by 43.7%) was noticed in accommodation and catering"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" filled="f" stroked="f">
                <v:textbox>
                  <w:txbxContent>
                    <w:p w:rsidR="00054E00" w:rsidRPr="006D1659" w:rsidRDefault="00054E00" w:rsidP="006D1659">
                      <w:pPr>
                        <w:pStyle w:val="tekstzboku"/>
                      </w:pPr>
                      <w:r w:rsidRPr="006D1659">
                        <w:t xml:space="preserve">The </w:t>
                      </w:r>
                      <w:proofErr w:type="spellStart"/>
                      <w:r w:rsidRPr="006D1659">
                        <w:t>highest</w:t>
                      </w:r>
                      <w:proofErr w:type="spellEnd"/>
                      <w:r w:rsidRPr="006D1659">
                        <w:t xml:space="preserve"> </w:t>
                      </w:r>
                      <w:proofErr w:type="spellStart"/>
                      <w:r w:rsidRPr="006D1659">
                        <w:t>increase</w:t>
                      </w:r>
                      <w:proofErr w:type="spellEnd"/>
                      <w:r w:rsidRPr="006D1659">
                        <w:t xml:space="preserve"> in the </w:t>
                      </w:r>
                      <w:proofErr w:type="spellStart"/>
                      <w:r w:rsidRPr="006D1659">
                        <w:t>number</w:t>
                      </w:r>
                      <w:proofErr w:type="spellEnd"/>
                      <w:r w:rsidRPr="006D1659">
                        <w:t xml:space="preserve"> of </w:t>
                      </w:r>
                      <w:proofErr w:type="spellStart"/>
                      <w:r w:rsidRPr="006D1659">
                        <w:t>registrations</w:t>
                      </w:r>
                      <w:proofErr w:type="spellEnd"/>
                      <w:r w:rsidRPr="006D1659">
                        <w:t xml:space="preserve"> (by 43.7%) was </w:t>
                      </w:r>
                      <w:proofErr w:type="spellStart"/>
                      <w:r w:rsidRPr="006D1659">
                        <w:t>noticed</w:t>
                      </w:r>
                      <w:proofErr w:type="spellEnd"/>
                      <w:r w:rsidRPr="006D1659">
                        <w:t xml:space="preserve"> in </w:t>
                      </w:r>
                      <w:proofErr w:type="spellStart"/>
                      <w:r w:rsidRPr="006D1659">
                        <w:t>accommodation</w:t>
                      </w:r>
                      <w:proofErr w:type="spellEnd"/>
                      <w:r w:rsidRPr="006D1659">
                        <w:t xml:space="preserve"> and catering</w:t>
                      </w:r>
                    </w:p>
                  </w:txbxContent>
                </v:textbox>
                <w10:wrap type="tight"/>
              </v:shape>
            </w:pict>
          </mc:Fallback>
        </mc:AlternateContent>
      </w:r>
      <w:r w:rsidR="00680416" w:rsidRPr="0031116E">
        <w:rPr>
          <w:rFonts w:eastAsia="Times New Roman" w:cs="Times New Roman"/>
          <w:b/>
          <w:bCs/>
          <w:color w:val="001D77"/>
          <w:szCs w:val="19"/>
          <w:lang w:eastAsia="pl-PL"/>
        </w:rPr>
        <w:t>Registrations of enterprises</w:t>
      </w:r>
    </w:p>
    <w:p w:rsidR="00DE6B58" w:rsidRDefault="00680416" w:rsidP="007E510A">
      <w:pPr>
        <w:spacing w:line="288" w:lineRule="auto"/>
        <w:rPr>
          <w:rFonts w:eastAsia="Fira Sans Light" w:cs="Times New Roman"/>
          <w:color w:val="000000"/>
          <w:shd w:val="clear" w:color="auto" w:fill="FFFFFF"/>
          <w:lang w:val="en"/>
        </w:rPr>
      </w:pPr>
      <w:r w:rsidRPr="00680416">
        <w:rPr>
          <w:rFonts w:eastAsia="Times New Roman" w:cs="Times New Roman"/>
          <w:szCs w:val="19"/>
          <w:lang w:eastAsia="pl-PL"/>
        </w:rPr>
        <w:t xml:space="preserve">The number of registrations of enterprises in the fourth quarter of 2021 amounted to 88 605 compared to 75 </w:t>
      </w:r>
      <w:r w:rsidR="00054E00" w:rsidRPr="00680416">
        <w:rPr>
          <w:rFonts w:eastAsia="Times New Roman" w:cs="Times New Roman"/>
          <w:szCs w:val="19"/>
          <w:lang w:eastAsia="pl-PL"/>
        </w:rPr>
        <w:t>925 in</w:t>
      </w:r>
      <w:r w:rsidRPr="00680416">
        <w:rPr>
          <w:rFonts w:eastAsia="Times New Roman" w:cs="Times New Roman"/>
          <w:szCs w:val="19"/>
          <w:lang w:eastAsia="pl-PL"/>
        </w:rPr>
        <w:t xml:space="preserve"> the corresponding period of previous year. In the fourth quarter of 2021, an increase in the number of registrations of enterprises was observed in all presented sectors: accommodation and catering (by 43.7%), information and communication (by 24.9%), transportation and storage (by 23.6%), industry (by 18.2%), construction (by 14.7%), services (by 13.0%), and in trade; repair of motor vehicles (by 5.9%). Regarding the legal forms, the greatest increase of registrations was noticed in the case of public limited partnerships (</w:t>
      </w:r>
      <w:r w:rsidR="00E7782F">
        <w:rPr>
          <w:rFonts w:eastAsia="Times New Roman" w:cs="Times New Roman"/>
          <w:szCs w:val="19"/>
          <w:lang w:eastAsia="pl-PL"/>
        </w:rPr>
        <w:t>7-f</w:t>
      </w:r>
      <w:r w:rsidR="004F45FF">
        <w:rPr>
          <w:rFonts w:eastAsia="Times New Roman" w:cs="Times New Roman"/>
          <w:szCs w:val="19"/>
          <w:lang w:eastAsia="pl-PL"/>
        </w:rPr>
        <w:t>o</w:t>
      </w:r>
      <w:r w:rsidR="00E7782F">
        <w:rPr>
          <w:rFonts w:eastAsia="Times New Roman" w:cs="Times New Roman"/>
          <w:szCs w:val="19"/>
          <w:lang w:eastAsia="pl-PL"/>
        </w:rPr>
        <w:t>ld increase</w:t>
      </w:r>
      <w:r w:rsidRPr="00680416">
        <w:rPr>
          <w:rFonts w:eastAsia="Times New Roman" w:cs="Times New Roman"/>
          <w:szCs w:val="19"/>
          <w:lang w:eastAsia="pl-PL"/>
        </w:rPr>
        <w:t xml:space="preserve">) and the greatest decline was recorded for cooperatives (by 39.3%). In the fourth quarter of 2021, 80.5% of all registrations of enterprises concerned natural persons conducting economic activity and 17.0% </w:t>
      </w:r>
      <w:r w:rsidRPr="00680416">
        <w:rPr>
          <w:rFonts w:eastAsia="Times New Roman" w:cs="Times New Roman"/>
          <w:szCs w:val="19"/>
          <w:lang w:eastAsia="pl-PL"/>
        </w:rPr>
        <w:sym w:font="Symbol" w:char="F02D"/>
      </w:r>
      <w:r w:rsidRPr="00680416">
        <w:rPr>
          <w:rFonts w:eastAsia="Times New Roman" w:cs="Times New Roman"/>
          <w:szCs w:val="19"/>
          <w:lang w:eastAsia="pl-PL"/>
        </w:rPr>
        <w:t xml:space="preserve"> limited liability companies (in the fourth quarter of 2020 the shares were 83.4% and 13.6%, respectively). In the whole year 2021 were recorded 350 471 registrations of enterprises, which is 12.4% more than in 2020</w:t>
      </w:r>
      <w:r w:rsidRPr="00680416">
        <w:rPr>
          <w:rFonts w:eastAsia="Fira Sans Light" w:cs="Times New Roman"/>
          <w:color w:val="000000"/>
          <w:shd w:val="clear" w:color="auto" w:fill="FFFFFF"/>
          <w:lang w:val="en"/>
        </w:rPr>
        <w:t>.</w:t>
      </w:r>
    </w:p>
    <w:p w:rsidR="00D749A0" w:rsidRPr="008D24E7" w:rsidRDefault="00D749A0" w:rsidP="00A37C99">
      <w:pPr>
        <w:spacing w:before="360"/>
        <w:rPr>
          <w:rFonts w:eastAsia="Fira Sans Light" w:cs="Times New Roman"/>
          <w:b/>
          <w:spacing w:val="-2"/>
          <w:szCs w:val="19"/>
          <w:shd w:val="clear" w:color="auto" w:fill="FFFFFF"/>
          <w:lang w:val="en-GB"/>
        </w:rPr>
      </w:pPr>
      <w:r w:rsidRPr="008D24E7">
        <w:rPr>
          <w:rFonts w:eastAsia="Fira Sans Light" w:cs="Times New Roman"/>
          <w:b/>
          <w:noProof/>
          <w:spacing w:val="-2"/>
          <w:szCs w:val="19"/>
          <w:lang w:eastAsia="pl-PL"/>
        </w:rPr>
        <w:drawing>
          <wp:anchor distT="0" distB="0" distL="114300" distR="114300" simplePos="0" relativeHeight="251761664" behindDoc="0" locked="0" layoutInCell="1" allowOverlap="1" wp14:anchorId="7CF9DA32" wp14:editId="07404460">
            <wp:simplePos x="0" y="0"/>
            <wp:positionH relativeFrom="margin">
              <wp:posOffset>322580</wp:posOffset>
            </wp:positionH>
            <wp:positionV relativeFrom="margin">
              <wp:posOffset>5739255</wp:posOffset>
            </wp:positionV>
            <wp:extent cx="4465320" cy="2657475"/>
            <wp:effectExtent l="0" t="0" r="0" b="0"/>
            <wp:wrapSquare wrapText="bothSides"/>
            <wp:docPr id="29" name="Wykres 29" descr="2021 year&#10;First quarter 84223 enterprises registrated&#10;Second quarter 92445 enterprises registrated&#10;Third quarter 85198 enterprises registrated&#10;Fourth quarter 88605 enterprises registrated&#10;" title="Chart 1 Number of registrations of enterpris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8D24E7">
        <w:rPr>
          <w:rFonts w:eastAsia="Fira Sans Light" w:cs="Times New Roman"/>
          <w:b/>
          <w:spacing w:val="-2"/>
          <w:szCs w:val="19"/>
          <w:lang w:val="en-GB"/>
        </w:rPr>
        <w:t>Chart 1.</w:t>
      </w:r>
      <w:r w:rsidRPr="008D24E7">
        <w:rPr>
          <w:rFonts w:eastAsia="Fira Sans Light" w:cs="Times New Roman"/>
          <w:b/>
          <w:spacing w:val="-2"/>
          <w:szCs w:val="19"/>
          <w:shd w:val="clear" w:color="auto" w:fill="FFFFFF"/>
          <w:lang w:val="en-GB"/>
        </w:rPr>
        <w:t xml:space="preserve"> </w:t>
      </w:r>
      <w:r w:rsidRPr="008D24E7">
        <w:rPr>
          <w:rFonts w:eastAsia="Fira Sans Light" w:cs="Times New Roman"/>
          <w:b/>
          <w:spacing w:val="-2"/>
          <w:szCs w:val="19"/>
          <w:lang w:val="en"/>
        </w:rPr>
        <w:t>Number of registrations of enterprises</w:t>
      </w:r>
      <w:r w:rsidRPr="008D24E7">
        <w:rPr>
          <w:rFonts w:eastAsia="Fira Sans Light" w:cs="Times New Roman"/>
          <w:b/>
          <w:spacing w:val="-2"/>
          <w:szCs w:val="19"/>
          <w:shd w:val="clear" w:color="auto" w:fill="FFFFFF"/>
          <w:lang w:val="en-GB"/>
        </w:rPr>
        <w:t xml:space="preserve"> </w:t>
      </w:r>
    </w:p>
    <w:p w:rsidR="00D749A0" w:rsidRDefault="00D749A0" w:rsidP="00D972F6">
      <w:pPr>
        <w:spacing w:line="288" w:lineRule="auto"/>
        <w:rPr>
          <w:shd w:val="clear" w:color="auto" w:fill="FFFFFF"/>
          <w:lang w:val="en-GB"/>
        </w:rPr>
      </w:pPr>
    </w:p>
    <w:p w:rsidR="00D749A0" w:rsidRDefault="00D749A0" w:rsidP="00D972F6">
      <w:pPr>
        <w:spacing w:line="288" w:lineRule="auto"/>
        <w:rPr>
          <w:shd w:val="clear" w:color="auto" w:fill="FFFFFF"/>
          <w:lang w:val="en-GB"/>
        </w:rPr>
      </w:pPr>
    </w:p>
    <w:p w:rsidR="00D749A0" w:rsidRDefault="00D749A0" w:rsidP="00D972F6">
      <w:pPr>
        <w:spacing w:line="288" w:lineRule="auto"/>
        <w:rPr>
          <w:shd w:val="clear" w:color="auto" w:fill="FFFFFF"/>
          <w:lang w:val="en-GB"/>
        </w:rPr>
      </w:pPr>
    </w:p>
    <w:p w:rsidR="003E1FE9" w:rsidRPr="008D24E7" w:rsidRDefault="003E1FE9" w:rsidP="00D972F6">
      <w:pPr>
        <w:spacing w:line="288" w:lineRule="auto"/>
        <w:rPr>
          <w:rFonts w:ascii="Fira Sans SemiBold" w:eastAsia="Times New Roman" w:hAnsi="Fira Sans SemiBold" w:cs="Times New Roman"/>
          <w:b/>
          <w:bCs/>
          <w:noProof/>
          <w:szCs w:val="19"/>
          <w:lang w:eastAsia="pl-PL"/>
        </w:rPr>
      </w:pPr>
      <w:r w:rsidRPr="008D24E7">
        <w:rPr>
          <w:noProof/>
          <w:szCs w:val="19"/>
          <w:lang w:eastAsia="pl-PL"/>
        </w:rPr>
        <w:lastRenderedPageBreak/>
        <w:drawing>
          <wp:anchor distT="0" distB="0" distL="114300" distR="114300" simplePos="0" relativeHeight="251763712" behindDoc="0" locked="0" layoutInCell="1" allowOverlap="1" wp14:anchorId="42E3D626" wp14:editId="60014E15">
            <wp:simplePos x="0" y="0"/>
            <wp:positionH relativeFrom="margin">
              <wp:align>right</wp:align>
            </wp:positionH>
            <wp:positionV relativeFrom="paragraph">
              <wp:posOffset>256123</wp:posOffset>
            </wp:positionV>
            <wp:extent cx="5122545" cy="2974340"/>
            <wp:effectExtent l="0" t="0" r="1905" b="0"/>
            <wp:wrapSquare wrapText="bothSides"/>
            <wp:docPr id="30" name="Wykres 30" descr="Chart 2. Structure of registrations of enterprises by legal form in the fourth quarter of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8D24E7">
        <w:rPr>
          <w:rFonts w:ascii="Fira Sans SemiBold" w:eastAsia="Times New Roman" w:hAnsi="Fira Sans SemiBold" w:cs="Times New Roman"/>
          <w:b/>
          <w:bCs/>
          <w:noProof/>
          <w:szCs w:val="19"/>
          <w:lang w:eastAsia="pl-PL"/>
        </w:rPr>
        <w:t>Chart 2. Structure of registrations of enterprises by legal form in the fourth quarter of 2021</w:t>
      </w:r>
    </w:p>
    <w:p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Pr="00C63418">
        <w:rPr>
          <w:rFonts w:eastAsia="Fira Sans Light" w:cs="Times New Roman"/>
          <w:i/>
          <w:spacing w:val="-2"/>
          <w:sz w:val="14"/>
          <w:szCs w:val="14"/>
          <w:shd w:val="clear" w:color="auto" w:fill="FFFFFF"/>
          <w:lang w:val="en"/>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rsidR="0031116E" w:rsidRPr="0031116E" w:rsidRDefault="0031116E" w:rsidP="001F0BDE">
      <w:pPr>
        <w:spacing w:before="480" w:line="240" w:lineRule="auto"/>
        <w:rPr>
          <w:rFonts w:eastAsia="Times New Roman" w:cs="Times New Roman"/>
          <w:b/>
          <w:bCs/>
          <w:color w:val="001D77"/>
          <w:szCs w:val="19"/>
          <w:lang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editId="235A0F4B">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fourth quarter of 2021, the number of bankruptcies of enterprises decreased by 17.9%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rsidR="00054E00" w:rsidRPr="006D1659" w:rsidRDefault="00054E00" w:rsidP="006D1659">
                            <w:pPr>
                              <w:pStyle w:val="tekstzboku"/>
                            </w:pPr>
                            <w:r w:rsidRPr="006D1659">
                              <w:t>In the fourth quarter of 2021, the number of bankruptcies of enterprises decreased by 17.9% compared to the corresponding period of previous year</w:t>
                            </w:r>
                          </w:p>
                          <w:p w:rsidR="00054E00" w:rsidRPr="002076C1" w:rsidRDefault="00054E00" w:rsidP="0031116E">
                            <w:pPr>
                              <w:spacing w:after="0"/>
                              <w:rPr>
                                <w:rFonts w:eastAsia="Times New Roman" w:cs="Times New Roman"/>
                                <w:bCs/>
                                <w:color w:val="001D77"/>
                                <w:lang w:val="en-GB" w:eastAsia="pl-PL"/>
                              </w:rPr>
                            </w:pPr>
                          </w:p>
                          <w:p w:rsidR="00054E00" w:rsidRPr="002076C1" w:rsidRDefault="00054E00" w:rsidP="0031116E">
                            <w:pPr>
                              <w:pStyle w:val="tekstzboku"/>
                              <w:rPr>
                                <w:lang w:val="en-GB"/>
                              </w:rPr>
                            </w:pPr>
                          </w:p>
                          <w:p w:rsidR="00054E00" w:rsidRPr="002076C1" w:rsidRDefault="00054E00"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Pole tekstowe 31" o:spid="_x0000_s1028" type="#_x0000_t202" alt="In the fourth quarter of 2021, the number of bankruptcies of enterprises decreased by 17.9%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" filled="f" stroked="f">
                <v:textbox>
                  <w:txbxContent>
                    <w:p w:rsidR="00054E00" w:rsidRPr="006D1659" w:rsidRDefault="00054E00" w:rsidP="006D1659">
                      <w:pPr>
                        <w:pStyle w:val="tekstzboku"/>
                      </w:pPr>
                      <w:r w:rsidRPr="006D1659">
                        <w:t xml:space="preserve">In the </w:t>
                      </w:r>
                      <w:proofErr w:type="spellStart"/>
                      <w:r w:rsidRPr="006D1659">
                        <w:t>fourth</w:t>
                      </w:r>
                      <w:proofErr w:type="spellEnd"/>
                      <w:r w:rsidRPr="006D1659">
                        <w:t xml:space="preserve"> </w:t>
                      </w:r>
                      <w:proofErr w:type="spellStart"/>
                      <w:r w:rsidRPr="006D1659">
                        <w:t>quarter</w:t>
                      </w:r>
                      <w:proofErr w:type="spellEnd"/>
                      <w:r w:rsidRPr="006D1659">
                        <w:t xml:space="preserve"> of 2021, the </w:t>
                      </w:r>
                      <w:proofErr w:type="spellStart"/>
                      <w:r w:rsidRPr="006D1659">
                        <w:t>number</w:t>
                      </w:r>
                      <w:proofErr w:type="spellEnd"/>
                      <w:r w:rsidRPr="006D1659">
                        <w:t xml:space="preserve"> of </w:t>
                      </w:r>
                      <w:proofErr w:type="spellStart"/>
                      <w:r w:rsidRPr="006D1659">
                        <w:t>bankruptcies</w:t>
                      </w:r>
                      <w:proofErr w:type="spellEnd"/>
                      <w:r w:rsidRPr="006D1659">
                        <w:t xml:space="preserve"> of enterprises </w:t>
                      </w:r>
                      <w:proofErr w:type="spellStart"/>
                      <w:r w:rsidRPr="006D1659">
                        <w:t>decreased</w:t>
                      </w:r>
                      <w:proofErr w:type="spellEnd"/>
                      <w:r w:rsidRPr="006D1659">
                        <w:t xml:space="preserve"> by 17.9% </w:t>
                      </w:r>
                      <w:proofErr w:type="spellStart"/>
                      <w:r w:rsidRPr="006D1659">
                        <w:t>compared</w:t>
                      </w:r>
                      <w:proofErr w:type="spellEnd"/>
                      <w:r w:rsidRPr="006D1659">
                        <w:t xml:space="preserve"> to the </w:t>
                      </w:r>
                      <w:proofErr w:type="spellStart"/>
                      <w:r w:rsidRPr="006D1659">
                        <w:t>corresponding</w:t>
                      </w:r>
                      <w:proofErr w:type="spellEnd"/>
                      <w:r w:rsidRPr="006D1659">
                        <w:t xml:space="preserve"> period of </w:t>
                      </w:r>
                      <w:proofErr w:type="spellStart"/>
                      <w:r w:rsidRPr="006D1659">
                        <w:t>previous</w:t>
                      </w:r>
                      <w:proofErr w:type="spellEnd"/>
                      <w:r w:rsidRPr="006D1659">
                        <w:t xml:space="preserve"> </w:t>
                      </w:r>
                      <w:proofErr w:type="spellStart"/>
                      <w:r w:rsidRPr="006D1659">
                        <w:t>year</w:t>
                      </w:r>
                      <w:proofErr w:type="spellEnd"/>
                    </w:p>
                    <w:p w:rsidR="00054E00" w:rsidRPr="002076C1" w:rsidRDefault="00054E00" w:rsidP="0031116E">
                      <w:pPr>
                        <w:spacing w:after="0"/>
                        <w:rPr>
                          <w:rFonts w:eastAsia="Times New Roman" w:cs="Times New Roman"/>
                          <w:bCs/>
                          <w:color w:val="001D77"/>
                          <w:lang w:val="en-GB" w:eastAsia="pl-PL"/>
                        </w:rPr>
                      </w:pPr>
                    </w:p>
                    <w:p w:rsidR="00054E00" w:rsidRPr="002076C1" w:rsidRDefault="00054E00" w:rsidP="0031116E">
                      <w:pPr>
                        <w:pStyle w:val="tekstzboku"/>
                        <w:rPr>
                          <w:lang w:val="en-GB"/>
                        </w:rPr>
                      </w:pPr>
                    </w:p>
                    <w:p w:rsidR="00054E00" w:rsidRPr="002076C1" w:rsidRDefault="00054E00" w:rsidP="0031116E">
                      <w:pPr>
                        <w:pStyle w:val="tekstzboku"/>
                        <w:rPr>
                          <w:lang w:val="en-GB"/>
                        </w:rPr>
                      </w:pPr>
                    </w:p>
                  </w:txbxContent>
                </v:textbox>
                <w10:wrap type="tight" anchorx="page"/>
              </v:shape>
            </w:pict>
          </mc:Fallback>
        </mc:AlternateContent>
      </w:r>
      <w:r w:rsidRPr="0031116E">
        <w:rPr>
          <w:rFonts w:eastAsia="Times New Roman" w:cs="Times New Roman"/>
          <w:b/>
          <w:bCs/>
          <w:color w:val="001D77"/>
          <w:szCs w:val="19"/>
          <w:lang w:eastAsia="pl-PL"/>
        </w:rPr>
        <w:t>Bankruptcies of enterprises</w:t>
      </w:r>
    </w:p>
    <w:p w:rsidR="0031116E" w:rsidRPr="006D1659" w:rsidRDefault="0031116E" w:rsidP="007E510A">
      <w:pPr>
        <w:spacing w:line="288" w:lineRule="auto"/>
        <w:rPr>
          <w:rFonts w:eastAsia="Times New Roman" w:cs="Times New Roman"/>
          <w:szCs w:val="19"/>
          <w:lang w:eastAsia="pl-PL"/>
        </w:rPr>
      </w:pPr>
      <w:r w:rsidRPr="0031116E">
        <w:rPr>
          <w:rFonts w:eastAsia="Times New Roman" w:cs="Times New Roman"/>
          <w:szCs w:val="19"/>
          <w:lang w:eastAsia="pl-PL"/>
        </w:rPr>
        <w:t xml:space="preserve">In the fourth quarter of 2021, a number of enterprises that declared bankruptcy amounted to 87 and was 17.9% lower than in the corresponding period of previous year. A decline in the number of entities that declared bankruptcy was recorded in trade; repair of motor vehicles (20 vs. 34), construction (9 vs. 15), accommodation and catering (3 vs. 6), transportation and storage (6 vs. 8), </w:t>
      </w:r>
      <w:r w:rsidR="00E7782F" w:rsidRPr="0031116E">
        <w:rPr>
          <w:rFonts w:eastAsia="Times New Roman" w:cs="Times New Roman"/>
          <w:szCs w:val="19"/>
          <w:lang w:eastAsia="pl-PL"/>
        </w:rPr>
        <w:t>information and communication (1 vs 3)</w:t>
      </w:r>
      <w:r w:rsidR="00E7782F">
        <w:rPr>
          <w:rFonts w:eastAsia="Times New Roman" w:cs="Times New Roman"/>
          <w:szCs w:val="19"/>
          <w:lang w:eastAsia="pl-PL"/>
        </w:rPr>
        <w:t xml:space="preserve">, </w:t>
      </w:r>
      <w:r w:rsidRPr="0031116E">
        <w:rPr>
          <w:rFonts w:eastAsia="Times New Roman" w:cs="Times New Roman"/>
          <w:szCs w:val="19"/>
          <w:lang w:eastAsia="pl-PL"/>
        </w:rPr>
        <w:t xml:space="preserve">services (15 vs 16). An increase was noticed in industry (27 vs. 19). In distinguished legal forms smaller number of bankruptcies was recorded e.g. in limited liability companies (50 vs. 65) </w:t>
      </w:r>
      <w:r w:rsidRPr="00A32EBB">
        <w:rPr>
          <w:rFonts w:eastAsia="Times New Roman" w:cs="Times New Roman"/>
          <w:szCs w:val="19"/>
          <w:lang w:eastAsia="pl-PL"/>
        </w:rPr>
        <w:t xml:space="preserve">and </w:t>
      </w:r>
      <w:r w:rsidR="00A32EBB" w:rsidRPr="00A32EBB">
        <w:rPr>
          <w:rFonts w:eastAsia="Times New Roman" w:cs="Times New Roman"/>
          <w:szCs w:val="19"/>
          <w:lang w:eastAsia="pl-PL"/>
        </w:rPr>
        <w:t>general partnership</w:t>
      </w:r>
      <w:r w:rsidR="00A32EBB">
        <w:rPr>
          <w:rFonts w:eastAsia="Times New Roman" w:cs="Times New Roman"/>
          <w:szCs w:val="19"/>
          <w:lang w:eastAsia="pl-PL"/>
        </w:rPr>
        <w:t xml:space="preserve"> </w:t>
      </w:r>
      <w:r w:rsidRPr="0031116E">
        <w:rPr>
          <w:rFonts w:eastAsia="Times New Roman" w:cs="Times New Roman"/>
          <w:szCs w:val="19"/>
          <w:lang w:eastAsia="pl-PL"/>
        </w:rPr>
        <w:t>(</w:t>
      </w:r>
      <w:r w:rsidR="00A32EBB">
        <w:rPr>
          <w:rFonts w:eastAsia="Times New Roman" w:cs="Times New Roman"/>
          <w:szCs w:val="19"/>
          <w:lang w:eastAsia="pl-PL"/>
        </w:rPr>
        <w:t>0</w:t>
      </w:r>
      <w:r w:rsidRPr="0031116E">
        <w:rPr>
          <w:rFonts w:eastAsia="Times New Roman" w:cs="Times New Roman"/>
          <w:szCs w:val="19"/>
          <w:lang w:eastAsia="pl-PL"/>
        </w:rPr>
        <w:t xml:space="preserve"> vs. </w:t>
      </w:r>
      <w:r w:rsidR="00A32EBB">
        <w:rPr>
          <w:rFonts w:eastAsia="Times New Roman" w:cs="Times New Roman"/>
          <w:szCs w:val="19"/>
          <w:lang w:eastAsia="pl-PL"/>
        </w:rPr>
        <w:t>4</w:t>
      </w:r>
      <w:r w:rsidRPr="0031116E">
        <w:rPr>
          <w:rFonts w:eastAsia="Times New Roman" w:cs="Times New Roman"/>
          <w:szCs w:val="19"/>
          <w:lang w:eastAsia="pl-PL"/>
        </w:rPr>
        <w:t>). Among the enterprises for which bankruptcy was declared 57.5% were limited liability companies (compared to 61.3% in the fourth quarter of 2020) and 21.8% were natural persons conducting economic activity (compared to 18.9% in the fourth quarter of 2020). In the whole year 2021 were recorded 376 bankruptcies of enterprises, which is 28.8% less than in 2020.</w:t>
      </w:r>
    </w:p>
    <w:p w:rsidR="0031116E" w:rsidRPr="008D24E7" w:rsidRDefault="0031116E" w:rsidP="001F0BDE">
      <w:pPr>
        <w:spacing w:before="360"/>
        <w:rPr>
          <w:rFonts w:eastAsia="Fira Sans Light" w:cs="Times New Roman"/>
          <w:b/>
          <w:noProof/>
          <w:szCs w:val="19"/>
          <w:lang w:val="en-GB" w:eastAsia="pl-PL"/>
        </w:rPr>
      </w:pPr>
      <w:r w:rsidRPr="008D24E7">
        <w:rPr>
          <w:rFonts w:ascii="Fira Sans SemiBold" w:eastAsia="Times New Roman" w:hAnsi="Fira Sans SemiBold" w:cs="Times New Roman"/>
          <w:b/>
          <w:bCs/>
          <w:noProof/>
          <w:szCs w:val="19"/>
          <w:lang w:eastAsia="pl-PL"/>
        </w:rPr>
        <w:drawing>
          <wp:anchor distT="0" distB="0" distL="114300" distR="114300" simplePos="0" relativeHeight="251765760" behindDoc="0" locked="0" layoutInCell="1" allowOverlap="1" wp14:anchorId="31DDF6E0" wp14:editId="2B54BD71">
            <wp:simplePos x="0" y="0"/>
            <wp:positionH relativeFrom="column">
              <wp:posOffset>325120</wp:posOffset>
            </wp:positionH>
            <wp:positionV relativeFrom="paragraph">
              <wp:posOffset>523688</wp:posOffset>
            </wp:positionV>
            <wp:extent cx="4465320" cy="2657475"/>
            <wp:effectExtent l="0" t="0" r="0" b="0"/>
            <wp:wrapSquare wrapText="bothSides"/>
            <wp:docPr id="1" name="Wykres 1" descr="Chart 3. Number of enterprises that declared bankruptcy"/>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8D24E7">
        <w:rPr>
          <w:rFonts w:ascii="Fira Sans SemiBold" w:eastAsia="Times New Roman" w:hAnsi="Fira Sans SemiBold" w:cs="Times New Roman"/>
          <w:b/>
          <w:bCs/>
          <w:noProof/>
          <w:szCs w:val="19"/>
          <w:lang w:eastAsia="pl-PL"/>
        </w:rPr>
        <w:t xml:space="preserve">Chart 3. Number of enterprises that declared bankruptcy </w:t>
      </w:r>
    </w:p>
    <w:p w:rsidR="003E1FE9" w:rsidRDefault="003E1FE9" w:rsidP="00D972F6">
      <w:pPr>
        <w:spacing w:line="288" w:lineRule="auto"/>
        <w:rPr>
          <w:shd w:val="clear" w:color="auto" w:fill="FFFFFF"/>
          <w:lang w:val="en-GB"/>
        </w:rPr>
      </w:pPr>
    </w:p>
    <w:p w:rsidR="003E1FE9" w:rsidRPr="008D24E7" w:rsidRDefault="000C6F75" w:rsidP="001F0BDE">
      <w:pPr>
        <w:spacing w:before="360"/>
        <w:rPr>
          <w:rFonts w:ascii="Fira Sans SemiBold" w:eastAsia="Times New Roman" w:hAnsi="Fira Sans SemiBold" w:cs="Times New Roman"/>
          <w:b/>
          <w:bCs/>
          <w:noProof/>
          <w:szCs w:val="19"/>
          <w:lang w:eastAsia="pl-PL"/>
        </w:rPr>
      </w:pPr>
      <w:r>
        <w:rPr>
          <w:noProof/>
          <w:lang w:eastAsia="pl-PL"/>
        </w:rPr>
        <w:lastRenderedPageBreak/>
        <w:drawing>
          <wp:anchor distT="0" distB="0" distL="114300" distR="114300" simplePos="0" relativeHeight="251770880" behindDoc="0" locked="0" layoutInCell="1" allowOverlap="1" wp14:anchorId="384CED35" wp14:editId="7A34D2C8">
            <wp:simplePos x="0" y="0"/>
            <wp:positionH relativeFrom="margin">
              <wp:posOffset>-101600</wp:posOffset>
            </wp:positionH>
            <wp:positionV relativeFrom="margin">
              <wp:posOffset>495300</wp:posOffset>
            </wp:positionV>
            <wp:extent cx="5122545" cy="2890520"/>
            <wp:effectExtent l="0" t="0" r="0" b="5080"/>
            <wp:wrapSquare wrapText="bothSides"/>
            <wp:docPr id="3" name="Wykres 3" descr="Chart 4. Structure of enterprises that declared bankruptcy, by legal form, in the fourth quarter of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3C0A20" w:rsidRPr="008D24E7">
        <w:rPr>
          <w:noProof/>
          <w:szCs w:val="19"/>
          <w:lang w:eastAsia="pl-PL"/>
        </w:rPr>
        <w:drawing>
          <wp:anchor distT="0" distB="0" distL="114300" distR="114300" simplePos="0" relativeHeight="251768832" behindDoc="0" locked="0" layoutInCell="1" allowOverlap="1" wp14:anchorId="084D7983" wp14:editId="07B36E4D">
            <wp:simplePos x="0" y="0"/>
            <wp:positionH relativeFrom="column">
              <wp:posOffset>-12527</wp:posOffset>
            </wp:positionH>
            <wp:positionV relativeFrom="paragraph">
              <wp:posOffset>458165</wp:posOffset>
            </wp:positionV>
            <wp:extent cx="5122545" cy="2890520"/>
            <wp:effectExtent l="0" t="0" r="0" b="5080"/>
            <wp:wrapSquare wrapText="bothSides"/>
            <wp:docPr id="32" name="Wykres 32" descr="Chart 4. Structure of enterprises that declared bankruptcy, by legal form, in the fourth quarter of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31116E" w:rsidRPr="008D24E7">
        <w:rPr>
          <w:rFonts w:ascii="Fira Sans SemiBold" w:eastAsia="Times New Roman" w:hAnsi="Fira Sans SemiBold" w:cs="Times New Roman"/>
          <w:b/>
          <w:bCs/>
          <w:noProof/>
          <w:szCs w:val="19"/>
          <w:lang w:eastAsia="pl-PL"/>
        </w:rPr>
        <w:t>Chart 4. Structure of enterprises that declared bankruptcy, by legal form, in the fourth quarter of 2021</w:t>
      </w:r>
    </w:p>
    <w:p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bankruptcy of economic entities (</w:t>
      </w:r>
      <w:r w:rsidRPr="00687536">
        <w:rPr>
          <w:rFonts w:eastAsia="Times New Roman" w:cs="Times New Roman"/>
          <w:bCs/>
          <w:lang w:val="en" w:eastAsia="pl-PL"/>
        </w:rPr>
        <w:t xml:space="preserve">enterprises)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rsidR="00687536" w:rsidRPr="00687536" w:rsidRDefault="00687536" w:rsidP="007E510A">
      <w:pPr>
        <w:spacing w:line="288" w:lineRule="auto"/>
        <w:rPr>
          <w:rFonts w:eastAsia="Fira Sans Light" w:cs="Times New Roman"/>
          <w:bCs/>
          <w:lang w:val="en-GB"/>
        </w:rPr>
      </w:pPr>
      <w:r w:rsidRPr="00687536">
        <w:rPr>
          <w:rFonts w:eastAsia="Fira Sans Light" w:cs="Times New Roman"/>
          <w:lang w:val="en"/>
        </w:rPr>
        <w:t>By legal form, the data include the following entities: civil partnerships operating based on a contract concluded in accordance with the Civil Code, natural persons conducting  economic activity, professional partnerships, public limited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rsidR="00687536" w:rsidRPr="00687536" w:rsidRDefault="00687536" w:rsidP="007E510A">
      <w:pPr>
        <w:spacing w:line="288" w:lineRule="auto"/>
        <w:rPr>
          <w:rFonts w:eastAsia="Fira Sans Light" w:cs="Times New Roman"/>
          <w:lang w:val="en-GB"/>
        </w:rPr>
      </w:pPr>
      <w:r w:rsidRPr="00687536">
        <w:rPr>
          <w:rFonts w:eastAsia="Fira Sans Light" w:cs="Times New Roman"/>
          <w:lang w:val="en"/>
        </w:rPr>
        <w:t xml:space="preserve">In the study, there are additional forms of grouping introduced apart from the generally </w:t>
      </w:r>
      <w:r w:rsidR="004F45FF" w:rsidRPr="00687536">
        <w:rPr>
          <w:rFonts w:eastAsia="Fira Sans Light" w:cs="Times New Roman"/>
          <w:lang w:val="en"/>
        </w:rPr>
        <w:t>classification:</w:t>
      </w:r>
    </w:p>
    <w:p w:rsidR="00687536" w:rsidRPr="00687536" w:rsidRDefault="00687536" w:rsidP="007E510A">
      <w:pPr>
        <w:numPr>
          <w:ilvl w:val="0"/>
          <w:numId w:val="7"/>
        </w:numPr>
        <w:spacing w:line="288" w:lineRule="auto"/>
        <w:contextualSpacing/>
        <w:rPr>
          <w:rFonts w:eastAsia="Fira Sans Light" w:cs="Times New Roman"/>
          <w:lang w:val="en"/>
        </w:rPr>
      </w:pPr>
      <w:r w:rsidRPr="00687536">
        <w:rPr>
          <w:rFonts w:eastAsia="Fira Sans Light" w:cs="Times New Roman"/>
          <w:sz w:val="22"/>
          <w:lang w:val="en"/>
        </w:rPr>
        <w:t>"</w:t>
      </w:r>
      <w:r w:rsidRPr="00687536">
        <w:rPr>
          <w:rFonts w:eastAsia="Fira Sans Light" w:cs="Times New Roman"/>
          <w:lang w:val="en"/>
        </w:rPr>
        <w:t xml:space="preserve">industry" including sections: mining and quarrying (section B), manufacturing (section C), </w:t>
      </w:r>
      <w:r w:rsidRPr="00687536">
        <w:rPr>
          <w:rFonts w:eastAsia="Fira Sans Light" w:cs="Arial"/>
          <w:spacing w:val="-4"/>
          <w:szCs w:val="19"/>
          <w:lang w:val="en-GB"/>
        </w:rPr>
        <w:t xml:space="preserve">electricity, gas steam and air conditioning supply </w:t>
      </w:r>
      <w:r w:rsidRPr="00687536">
        <w:rPr>
          <w:rFonts w:eastAsia="Fira Sans Light" w:cs="Times New Roman"/>
          <w:lang w:val="en"/>
        </w:rPr>
        <w:t xml:space="preserve">(section D), </w:t>
      </w:r>
      <w:r w:rsidRPr="00687536">
        <w:rPr>
          <w:rFonts w:eastAsia="Fira Sans Light" w:cs="Arial"/>
          <w:spacing w:val="-4"/>
          <w:szCs w:val="19"/>
          <w:lang w:val="en-GB"/>
        </w:rPr>
        <w:t xml:space="preserve">water supply; sewerage, waste management and remediation activities </w:t>
      </w:r>
      <w:r w:rsidRPr="00687536">
        <w:rPr>
          <w:rFonts w:eastAsia="Fira Sans Light" w:cs="Times New Roman"/>
          <w:lang w:val="en"/>
        </w:rPr>
        <w:t>(section E);</w:t>
      </w:r>
    </w:p>
    <w:p w:rsidR="00687536" w:rsidRPr="00687536" w:rsidRDefault="00687536" w:rsidP="007E510A">
      <w:pPr>
        <w:numPr>
          <w:ilvl w:val="0"/>
          <w:numId w:val="7"/>
        </w:numPr>
        <w:spacing w:line="288" w:lineRule="auto"/>
        <w:contextualSpacing/>
        <w:rPr>
          <w:rFonts w:eastAsia="Fira Sans Light" w:cs="Times New Roman"/>
          <w:lang w:val="en"/>
        </w:rPr>
      </w:pPr>
      <w:r w:rsidRPr="00687536">
        <w:rPr>
          <w:rFonts w:eastAsia="Fira Sans Light" w:cs="Times New Roman"/>
          <w:lang w:val="en"/>
        </w:rPr>
        <w:t xml:space="preserve">"services" including sections: financial and insurance activities (section K), real estate services (section L), professional, scientific and technical activities (section M), </w:t>
      </w:r>
      <w:r w:rsidRPr="00687536">
        <w:rPr>
          <w:rFonts w:eastAsia="Fira Sans Light" w:cs="Arial"/>
          <w:spacing w:val="-4"/>
          <w:szCs w:val="19"/>
          <w:lang w:val="en-GB"/>
        </w:rPr>
        <w:t>administrative and support service activities</w:t>
      </w:r>
      <w:r w:rsidRPr="00687536">
        <w:rPr>
          <w:rFonts w:eastAsia="Fira Sans Light" w:cs="Times New Roman"/>
          <w:lang w:val="en"/>
        </w:rPr>
        <w:t xml:space="preserve"> (section N);</w:t>
      </w:r>
    </w:p>
    <w:p w:rsidR="00687536" w:rsidRPr="00687536" w:rsidRDefault="00687536" w:rsidP="007E510A">
      <w:pPr>
        <w:numPr>
          <w:ilvl w:val="0"/>
          <w:numId w:val="7"/>
        </w:numPr>
        <w:spacing w:line="288" w:lineRule="auto"/>
        <w:contextualSpacing/>
        <w:rPr>
          <w:rFonts w:eastAsia="Fira Sans Light" w:cs="Times New Roman"/>
          <w:sz w:val="22"/>
          <w:lang w:val="en-GB"/>
        </w:rPr>
      </w:pPr>
      <w:r w:rsidRPr="00687536">
        <w:rPr>
          <w:rFonts w:eastAsia="Fira Sans Light" w:cs="Times New Roman"/>
          <w:lang w:val="en"/>
        </w:rPr>
        <w:t xml:space="preserve">"other sections" including sections: education (section P), </w:t>
      </w:r>
      <w:r w:rsidRPr="00687536">
        <w:rPr>
          <w:rFonts w:eastAsia="Fira Sans Light" w:cs="Arial"/>
          <w:spacing w:val="-4"/>
          <w:szCs w:val="19"/>
          <w:lang w:val="en-GB"/>
        </w:rPr>
        <w:t xml:space="preserve">human health and social work activities </w:t>
      </w:r>
      <w:r w:rsidRPr="00687536">
        <w:rPr>
          <w:rFonts w:eastAsia="Fira Sans Light" w:cs="Times New Roman"/>
          <w:lang w:val="en"/>
        </w:rPr>
        <w:t xml:space="preserve">(section Q), </w:t>
      </w:r>
      <w:r w:rsidRPr="00687536">
        <w:rPr>
          <w:rFonts w:eastAsia="Fira Sans Light" w:cs="Arial"/>
          <w:spacing w:val="-4"/>
          <w:szCs w:val="19"/>
          <w:lang w:val="en-GB"/>
        </w:rPr>
        <w:t xml:space="preserve">arts, entertainment and recreation </w:t>
      </w:r>
      <w:r w:rsidRPr="00687536">
        <w:rPr>
          <w:rFonts w:eastAsia="Fira Sans Light" w:cs="Times New Roman"/>
          <w:lang w:val="en"/>
        </w:rPr>
        <w:t>(section R), other service activities (section S excluding division 94 activities of membership</w:t>
      </w:r>
      <w:r w:rsidRPr="00687536">
        <w:rPr>
          <w:rFonts w:eastAsia="Fira Sans Light" w:cs="Times New Roman"/>
          <w:sz w:val="22"/>
          <w:lang w:val="en"/>
        </w:rPr>
        <w:t xml:space="preserve"> </w:t>
      </w:r>
      <w:r w:rsidRPr="00687536">
        <w:rPr>
          <w:rFonts w:eastAsia="Fira Sans Light" w:cs="Times New Roman"/>
          <w:lang w:val="en"/>
        </w:rPr>
        <w:t>organisations).</w:t>
      </w:r>
    </w:p>
    <w:p w:rsidR="00687536" w:rsidRPr="00687536" w:rsidRDefault="00687536" w:rsidP="007E510A">
      <w:pPr>
        <w:spacing w:line="288" w:lineRule="auto"/>
        <w:rPr>
          <w:rFonts w:eastAsia="Times New Roman" w:cs="Times New Roman"/>
          <w:lang w:val="en-GB" w:eastAsia="pl-PL"/>
        </w:rPr>
      </w:pPr>
      <w:r w:rsidRPr="00687536">
        <w:rPr>
          <w:rFonts w:eastAsia="Times New Roman" w:cs="Times New Roman"/>
          <w:bCs/>
          <w:lang w:val="en" w:eastAsia="pl-PL"/>
        </w:rPr>
        <w:t>The number of bankruptcies in a given quarter applies to enterprises against which a decision on declaration of bankruptcy has been issued by a competent District Court in a given quarter.</w:t>
      </w:r>
    </w:p>
    <w:p w:rsidR="00687536" w:rsidRPr="00687536" w:rsidRDefault="00687536" w:rsidP="007E510A">
      <w:pPr>
        <w:spacing w:line="288" w:lineRule="auto"/>
        <w:rPr>
          <w:rFonts w:eastAsia="Times New Roman" w:cs="Times New Roman"/>
          <w:lang w:val="en-GB" w:eastAsia="pl-PL"/>
        </w:rPr>
      </w:pPr>
      <w:r w:rsidRPr="00687536">
        <w:rPr>
          <w:rFonts w:eastAsia="Times New Roman" w:cs="Times New Roman"/>
          <w:bCs/>
          <w:lang w:val="en" w:eastAsia="pl-PL"/>
        </w:rPr>
        <w:t>The number of registrations in a given quarter applies to enterprises that were registered in the National Official Registry of Entities of the National Economy (REGON) in a given quarter. The registrations also include natural persons that terminated than restarted</w:t>
      </w:r>
      <w:r w:rsidRPr="00687536">
        <w:rPr>
          <w:rFonts w:eastAsia="Fira Sans Light" w:cs="Times New Roman"/>
          <w:lang w:val="en-GB"/>
        </w:rPr>
        <w:t xml:space="preserve"> </w:t>
      </w:r>
      <w:r w:rsidRPr="00687536">
        <w:rPr>
          <w:rFonts w:eastAsia="Times New Roman" w:cs="Times New Roman"/>
          <w:bCs/>
          <w:lang w:val="en" w:eastAsia="pl-PL"/>
        </w:rPr>
        <w:t xml:space="preserve">economic activity. </w:t>
      </w:r>
    </w:p>
    <w:p w:rsidR="00687536" w:rsidRPr="00687536" w:rsidRDefault="00687536" w:rsidP="007E510A">
      <w:pPr>
        <w:spacing w:line="288" w:lineRule="auto"/>
        <w:rPr>
          <w:rFonts w:eastAsia="Times New Roman" w:cs="Times New Roman"/>
          <w:szCs w:val="19"/>
          <w:lang w:val="en-GB" w:eastAsia="pl-PL"/>
        </w:rPr>
      </w:pPr>
      <w:r w:rsidRPr="00687536">
        <w:rPr>
          <w:rFonts w:eastAsia="Times New Roman" w:cs="Times New Roman"/>
          <w:szCs w:val="19"/>
          <w:lang w:val="en-GB" w:eastAsia="pl-PL"/>
        </w:rPr>
        <w:lastRenderedPageBreak/>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rsidR="003E1FE9" w:rsidRDefault="003E1FE9" w:rsidP="003E1FE9">
      <w:pPr>
        <w:spacing w:line="288" w:lineRule="auto"/>
        <w:rPr>
          <w:rFonts w:eastAsia="Times New Roman" w:cs="Times New Roman"/>
          <w:szCs w:val="19"/>
          <w:lang w:eastAsia="pl-PL"/>
        </w:rPr>
      </w:pPr>
    </w:p>
    <w:p w:rsidR="003E1FE9" w:rsidRPr="003E1FE9" w:rsidRDefault="003E1FE9" w:rsidP="003E1FE9">
      <w:pPr>
        <w:spacing w:line="288" w:lineRule="auto"/>
        <w:rPr>
          <w:rFonts w:eastAsia="Times New Roman" w:cs="Times New Roman"/>
          <w:szCs w:val="19"/>
          <w:lang w:eastAsia="pl-PL"/>
        </w:rPr>
        <w:sectPr w:rsidR="003E1FE9" w:rsidRPr="003E1FE9"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rsidR="00DC7A47" w:rsidRPr="00000839" w:rsidRDefault="00DC7A47" w:rsidP="00DC7A47">
      <w:pPr>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rsidR="00DC7A47" w:rsidRPr="00000839" w:rsidRDefault="00DC7A47" w:rsidP="00DC7A47">
      <w:pPr>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XSpec="center" w:tblpY="596"/>
        <w:tblW w:w="9288"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1. Number of registrations of enterprises"/>
      </w:tblPr>
      <w:tblGrid>
        <w:gridCol w:w="1448"/>
        <w:gridCol w:w="989"/>
        <w:gridCol w:w="980"/>
        <w:gridCol w:w="985"/>
        <w:gridCol w:w="980"/>
        <w:gridCol w:w="980"/>
        <w:gridCol w:w="984"/>
        <w:gridCol w:w="980"/>
        <w:gridCol w:w="962"/>
      </w:tblGrid>
      <w:tr w:rsidR="00DC7A47" w:rsidRPr="00000839" w:rsidTr="00C5758B">
        <w:trPr>
          <w:trHeight w:val="57"/>
          <w:jc w:val="center"/>
        </w:trPr>
        <w:tc>
          <w:tcPr>
            <w:tcW w:w="1448" w:type="dxa"/>
            <w:vMerge w:val="restart"/>
            <w:vAlign w:val="center"/>
          </w:tcPr>
          <w:p w:rsidR="00DC7A47" w:rsidRPr="00000839" w:rsidRDefault="001F0BDE" w:rsidP="00000839">
            <w:pPr>
              <w:jc w:val="right"/>
              <w:rPr>
                <w:rFonts w:eastAsia="Fira Sans Light" w:cs="Times New Roman"/>
                <w:bCs/>
                <w:color w:val="000000"/>
                <w:szCs w:val="19"/>
              </w:rPr>
            </w:pPr>
            <w:r>
              <w:rPr>
                <w:rFonts w:eastAsia="Fira Sans Light" w:cs="Times New Roman"/>
                <w:bCs/>
                <w:color w:val="000000"/>
                <w:szCs w:val="19"/>
              </w:rPr>
              <w:t>SPECIFIC</w:t>
            </w:r>
            <w:r w:rsidR="00DC7A47" w:rsidRPr="00000839">
              <w:rPr>
                <w:rFonts w:eastAsia="Fira Sans Light" w:cs="Times New Roman"/>
                <w:bCs/>
                <w:color w:val="000000"/>
                <w:szCs w:val="19"/>
              </w:rPr>
              <w:t>TION</w:t>
            </w:r>
          </w:p>
        </w:tc>
        <w:tc>
          <w:tcPr>
            <w:tcW w:w="3934" w:type="dxa"/>
            <w:gridSpan w:val="4"/>
            <w:vAlign w:val="center"/>
          </w:tcPr>
          <w:p w:rsidR="00DC7A47" w:rsidRPr="00000839" w:rsidRDefault="00DC7A47" w:rsidP="00000839">
            <w:pPr>
              <w:jc w:val="center"/>
              <w:rPr>
                <w:rFonts w:eastAsia="Fira Sans Light" w:cs="Times New Roman"/>
                <w:bCs/>
                <w:color w:val="000000"/>
                <w:szCs w:val="19"/>
              </w:rPr>
            </w:pPr>
            <w:r w:rsidRPr="00000839">
              <w:rPr>
                <w:rFonts w:eastAsia="Fira Sans Light" w:cs="Times New Roman"/>
                <w:bCs/>
                <w:color w:val="000000"/>
                <w:szCs w:val="19"/>
              </w:rPr>
              <w:t>2020</w:t>
            </w:r>
          </w:p>
        </w:tc>
        <w:tc>
          <w:tcPr>
            <w:tcW w:w="3906" w:type="dxa"/>
            <w:gridSpan w:val="4"/>
          </w:tcPr>
          <w:p w:rsidR="00DC7A47" w:rsidRPr="00000839" w:rsidRDefault="00DC7A47" w:rsidP="00000839">
            <w:pPr>
              <w:jc w:val="center"/>
              <w:rPr>
                <w:rFonts w:eastAsia="Fira Sans Light" w:cs="Times New Roman"/>
                <w:bCs/>
                <w:color w:val="000000"/>
                <w:szCs w:val="19"/>
              </w:rPr>
            </w:pPr>
            <w:r w:rsidRPr="00000839">
              <w:rPr>
                <w:rFonts w:eastAsia="Fira Sans Light" w:cs="Times New Roman"/>
                <w:bCs/>
                <w:color w:val="000000"/>
                <w:szCs w:val="19"/>
              </w:rPr>
              <w:t>2021</w:t>
            </w:r>
          </w:p>
        </w:tc>
      </w:tr>
      <w:tr w:rsidR="00DC7A47" w:rsidRPr="00000839" w:rsidTr="00C5758B">
        <w:trPr>
          <w:trHeight w:val="57"/>
          <w:jc w:val="center"/>
        </w:trPr>
        <w:tc>
          <w:tcPr>
            <w:tcW w:w="1448" w:type="dxa"/>
            <w:vMerge/>
            <w:vAlign w:val="center"/>
          </w:tcPr>
          <w:p w:rsidR="00DC7A47" w:rsidRPr="00000839" w:rsidRDefault="00DC7A47" w:rsidP="00000839">
            <w:pPr>
              <w:jc w:val="right"/>
              <w:rPr>
                <w:rFonts w:eastAsia="Fira Sans Light" w:cs="Times New Roman"/>
                <w:bCs/>
                <w:color w:val="000000"/>
                <w:szCs w:val="19"/>
              </w:rPr>
            </w:pPr>
          </w:p>
        </w:tc>
        <w:tc>
          <w:tcPr>
            <w:tcW w:w="989"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Q1</w:t>
            </w:r>
          </w:p>
        </w:tc>
        <w:tc>
          <w:tcPr>
            <w:tcW w:w="980"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Q2</w:t>
            </w:r>
          </w:p>
        </w:tc>
        <w:tc>
          <w:tcPr>
            <w:tcW w:w="985"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Q3</w:t>
            </w:r>
          </w:p>
        </w:tc>
        <w:tc>
          <w:tcPr>
            <w:tcW w:w="980"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Q4</w:t>
            </w:r>
          </w:p>
        </w:tc>
        <w:tc>
          <w:tcPr>
            <w:tcW w:w="980"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Q1</w:t>
            </w:r>
          </w:p>
        </w:tc>
        <w:tc>
          <w:tcPr>
            <w:tcW w:w="984"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Q2</w:t>
            </w:r>
          </w:p>
        </w:tc>
        <w:tc>
          <w:tcPr>
            <w:tcW w:w="980"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Q3</w:t>
            </w:r>
          </w:p>
        </w:tc>
        <w:tc>
          <w:tcPr>
            <w:tcW w:w="962" w:type="dxa"/>
          </w:tcPr>
          <w:p w:rsidR="00DC7A47" w:rsidRPr="00000839" w:rsidRDefault="00DC7A47" w:rsidP="00000839">
            <w:pPr>
              <w:jc w:val="right"/>
              <w:rPr>
                <w:rFonts w:eastAsia="Fira Sans Light" w:cs="Times New Roman"/>
                <w:bCs/>
                <w:color w:val="000000"/>
                <w:szCs w:val="19"/>
              </w:rPr>
            </w:pPr>
            <w:r w:rsidRPr="00000839">
              <w:rPr>
                <w:rFonts w:eastAsia="Fira Sans Light" w:cs="Times New Roman"/>
                <w:bCs/>
                <w:color w:val="000000"/>
                <w:szCs w:val="19"/>
              </w:rPr>
              <w:t>Q4</w:t>
            </w:r>
          </w:p>
        </w:tc>
      </w:tr>
      <w:tr w:rsidR="00DC7A47" w:rsidRPr="00000839" w:rsidTr="00C5758B">
        <w:trPr>
          <w:trHeight w:val="397"/>
          <w:jc w:val="center"/>
        </w:trPr>
        <w:tc>
          <w:tcPr>
            <w:tcW w:w="1448" w:type="dxa"/>
            <w:vAlign w:val="center"/>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TOTAL</w:t>
            </w:r>
          </w:p>
        </w:tc>
        <w:tc>
          <w:tcPr>
            <w:tcW w:w="989"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84 099</w:t>
            </w:r>
          </w:p>
        </w:tc>
        <w:tc>
          <w:tcPr>
            <w:tcW w:w="980"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64 410</w:t>
            </w:r>
          </w:p>
        </w:tc>
        <w:tc>
          <w:tcPr>
            <w:tcW w:w="985"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87 360</w:t>
            </w:r>
          </w:p>
        </w:tc>
        <w:tc>
          <w:tcPr>
            <w:tcW w:w="980"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75 925</w:t>
            </w:r>
          </w:p>
        </w:tc>
        <w:tc>
          <w:tcPr>
            <w:tcW w:w="980"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984"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980"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962" w:type="dxa"/>
          </w:tcPr>
          <w:p w:rsidR="00DC7A47" w:rsidRPr="00000839" w:rsidRDefault="00DC7A47" w:rsidP="00000839">
            <w:pPr>
              <w:jc w:val="right"/>
              <w:rPr>
                <w:rFonts w:eastAsia="Fira Sans Light" w:cs="Times New Roman"/>
                <w:b/>
                <w:bCs/>
                <w:color w:val="000000"/>
                <w:szCs w:val="19"/>
              </w:rPr>
            </w:pPr>
            <w:r w:rsidRPr="00000839">
              <w:rPr>
                <w:rFonts w:eastAsia="Fira Sans Light" w:cs="Times New Roman"/>
                <w:b/>
                <w:bCs/>
                <w:color w:val="000000"/>
                <w:szCs w:val="19"/>
              </w:rPr>
              <w:t>88 605</w:t>
            </w:r>
          </w:p>
        </w:tc>
      </w:tr>
      <w:tr w:rsidR="00DC7A47" w:rsidRPr="00000839" w:rsidTr="00C5758B">
        <w:trPr>
          <w:trHeight w:val="397"/>
          <w:jc w:val="center"/>
        </w:trPr>
        <w:tc>
          <w:tcPr>
            <w:tcW w:w="1448" w:type="dxa"/>
            <w:vAlign w:val="center"/>
          </w:tcPr>
          <w:p w:rsidR="00DC7A47" w:rsidRPr="00000839" w:rsidRDefault="00DC7A47" w:rsidP="00A37C99">
            <w:pPr>
              <w:rPr>
                <w:rFonts w:eastAsia="Fira Sans Light" w:cs="Times New Roman"/>
                <w:bCs/>
                <w:color w:val="000000"/>
                <w:szCs w:val="19"/>
              </w:rPr>
            </w:pPr>
            <w:r w:rsidRPr="00000839">
              <w:rPr>
                <w:rFonts w:eastAsia="Fira Sans Light" w:cs="Times New Roman"/>
                <w:bCs/>
                <w:color w:val="000000"/>
                <w:szCs w:val="19"/>
              </w:rPr>
              <w:t>Industry (sections B,C,D,E)</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6 980</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5 429</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7 081</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6 188</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6 828</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7 513</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6 799</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7 312</w:t>
            </w:r>
          </w:p>
        </w:tc>
      </w:tr>
      <w:tr w:rsidR="00DC7A47" w:rsidRPr="00000839" w:rsidTr="00C5758B">
        <w:trPr>
          <w:trHeight w:val="397"/>
          <w:jc w:val="center"/>
        </w:trPr>
        <w:tc>
          <w:tcPr>
            <w:tcW w:w="1448" w:type="dxa"/>
            <w:vAlign w:val="center"/>
          </w:tcPr>
          <w:p w:rsidR="00DC7A47" w:rsidRPr="00000839" w:rsidRDefault="00DC7A47" w:rsidP="00A37C99">
            <w:pPr>
              <w:rPr>
                <w:rFonts w:eastAsia="Fira Sans Light" w:cs="Times New Roman"/>
                <w:bCs/>
                <w:color w:val="000000"/>
                <w:szCs w:val="19"/>
              </w:rPr>
            </w:pPr>
            <w:r w:rsidRPr="00000839">
              <w:rPr>
                <w:rFonts w:eastAsia="Fira Sans Light" w:cs="Times New Roman"/>
                <w:bCs/>
                <w:color w:val="000000"/>
                <w:szCs w:val="19"/>
              </w:rPr>
              <w:t>Construction (section F)</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19 529</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14 324</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19 930</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14 601</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16 871</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20 247</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19 029</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16 745</w:t>
            </w:r>
          </w:p>
        </w:tc>
      </w:tr>
      <w:tr w:rsidR="00DC7A47" w:rsidRPr="00000839" w:rsidTr="00C5758B">
        <w:trPr>
          <w:trHeight w:val="57"/>
          <w:jc w:val="center"/>
        </w:trPr>
        <w:tc>
          <w:tcPr>
            <w:tcW w:w="1448" w:type="dxa"/>
            <w:vAlign w:val="center"/>
          </w:tcPr>
          <w:p w:rsidR="00DC7A47" w:rsidRPr="00000839" w:rsidRDefault="00DC7A47" w:rsidP="00A37C99">
            <w:pPr>
              <w:rPr>
                <w:rFonts w:eastAsia="Fira Sans Light" w:cs="Times New Roman"/>
                <w:bCs/>
                <w:color w:val="000000"/>
                <w:szCs w:val="19"/>
              </w:rPr>
            </w:pPr>
            <w:r w:rsidRPr="00000839">
              <w:rPr>
                <w:rFonts w:eastAsia="Fira Sans Light" w:cs="Times New Roman"/>
                <w:bCs/>
                <w:color w:val="000000"/>
                <w:szCs w:val="19"/>
              </w:rPr>
              <w:t>Trade; repair of motor vehicles (section G)</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14 285</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12 661</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15 547</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14 036</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15 648</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15 288</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13 684</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14 871</w:t>
            </w:r>
          </w:p>
        </w:tc>
      </w:tr>
      <w:tr w:rsidR="00DC7A47" w:rsidRPr="00000839" w:rsidTr="00C5758B">
        <w:trPr>
          <w:trHeight w:val="397"/>
          <w:jc w:val="center"/>
        </w:trPr>
        <w:tc>
          <w:tcPr>
            <w:tcW w:w="1448" w:type="dxa"/>
            <w:vAlign w:val="center"/>
          </w:tcPr>
          <w:p w:rsidR="00DC7A47" w:rsidRPr="00000839" w:rsidRDefault="00DC7A47" w:rsidP="00A37C99">
            <w:pPr>
              <w:rPr>
                <w:rFonts w:eastAsia="Fira Sans Light" w:cs="Times New Roman"/>
                <w:bCs/>
                <w:color w:val="000000"/>
                <w:szCs w:val="19"/>
              </w:rPr>
            </w:pPr>
            <w:r w:rsidRPr="00000839">
              <w:rPr>
                <w:rFonts w:eastAsia="Fira Sans Light" w:cs="Times New Roman"/>
                <w:bCs/>
                <w:color w:val="000000"/>
                <w:szCs w:val="19"/>
              </w:rPr>
              <w:t>Transportation and storage (section H)</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5 586</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4 047</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4 920</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4 214</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4 846</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5 131</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5 134</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5 207</w:t>
            </w:r>
          </w:p>
        </w:tc>
      </w:tr>
      <w:tr w:rsidR="00DC7A47" w:rsidRPr="00000839" w:rsidTr="00C5758B">
        <w:trPr>
          <w:trHeight w:val="397"/>
          <w:jc w:val="center"/>
        </w:trPr>
        <w:tc>
          <w:tcPr>
            <w:tcW w:w="1448" w:type="dxa"/>
            <w:vAlign w:val="center"/>
          </w:tcPr>
          <w:p w:rsidR="00DC7A47" w:rsidRPr="00000839" w:rsidRDefault="00DC7A47" w:rsidP="00A37C99">
            <w:pPr>
              <w:rPr>
                <w:rFonts w:eastAsia="Fira Sans Light" w:cs="Times New Roman"/>
                <w:bCs/>
                <w:color w:val="000000"/>
                <w:szCs w:val="19"/>
              </w:rPr>
            </w:pPr>
            <w:r w:rsidRPr="00000839">
              <w:rPr>
                <w:rFonts w:eastAsia="Fira Sans Light" w:cs="Times New Roman"/>
                <w:bCs/>
                <w:color w:val="000000"/>
                <w:szCs w:val="19"/>
              </w:rPr>
              <w:t>Accommodation and catering</w:t>
            </w:r>
            <w:r w:rsidR="00A37C99">
              <w:rPr>
                <w:rFonts w:eastAsia="Fira Sans Light" w:cs="Times New Roman"/>
                <w:bCs/>
                <w:color w:val="000000"/>
                <w:szCs w:val="19"/>
              </w:rPr>
              <w:t xml:space="preserve"> </w:t>
            </w:r>
            <w:r w:rsidRPr="00000839">
              <w:rPr>
                <w:rFonts w:eastAsia="Fira Sans Light" w:cs="Times New Roman"/>
                <w:bCs/>
                <w:color w:val="000000"/>
                <w:szCs w:val="19"/>
              </w:rPr>
              <w:t>(section I)</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2 798</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3 349</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3 313</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2 002</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2 389</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4 573</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2 941</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2 877</w:t>
            </w:r>
          </w:p>
        </w:tc>
      </w:tr>
      <w:tr w:rsidR="00DC7A47" w:rsidRPr="00000839" w:rsidTr="00C5758B">
        <w:trPr>
          <w:trHeight w:val="397"/>
          <w:jc w:val="center"/>
        </w:trPr>
        <w:tc>
          <w:tcPr>
            <w:tcW w:w="1448" w:type="dxa"/>
            <w:vAlign w:val="center"/>
          </w:tcPr>
          <w:p w:rsidR="00DC7A47" w:rsidRPr="00000839" w:rsidRDefault="00DC7A47" w:rsidP="00A37C99">
            <w:pPr>
              <w:rPr>
                <w:rFonts w:eastAsia="Fira Sans Light" w:cs="Times New Roman"/>
                <w:bCs/>
                <w:color w:val="000000"/>
                <w:szCs w:val="19"/>
              </w:rPr>
            </w:pPr>
            <w:r w:rsidRPr="00000839">
              <w:rPr>
                <w:rFonts w:eastAsia="Fira Sans Light" w:cs="Times New Roman"/>
                <w:bCs/>
                <w:color w:val="000000"/>
                <w:szCs w:val="19"/>
              </w:rPr>
              <w:t>Information and communication (section J)</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5 544</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3 879</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5 622</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6 197</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7 709</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7 659</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7 214</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7 743</w:t>
            </w:r>
          </w:p>
        </w:tc>
      </w:tr>
      <w:tr w:rsidR="00DC7A47" w:rsidRPr="00000839" w:rsidTr="00C5758B">
        <w:trPr>
          <w:trHeight w:val="397"/>
          <w:jc w:val="center"/>
        </w:trPr>
        <w:tc>
          <w:tcPr>
            <w:tcW w:w="1448" w:type="dxa"/>
            <w:vAlign w:val="center"/>
          </w:tcPr>
          <w:p w:rsidR="00DC7A47" w:rsidRPr="00000839" w:rsidRDefault="00DC7A47" w:rsidP="00A37C99">
            <w:pPr>
              <w:spacing w:after="0"/>
              <w:rPr>
                <w:rFonts w:eastAsia="Fira Sans Light" w:cs="Times New Roman"/>
                <w:bCs/>
                <w:color w:val="000000"/>
                <w:szCs w:val="19"/>
              </w:rPr>
            </w:pPr>
            <w:r w:rsidRPr="00000839">
              <w:rPr>
                <w:rFonts w:eastAsia="Fira Sans Light" w:cs="Times New Roman"/>
                <w:bCs/>
                <w:color w:val="000000"/>
                <w:szCs w:val="19"/>
              </w:rPr>
              <w:t xml:space="preserve">Services </w:t>
            </w:r>
          </w:p>
          <w:p w:rsidR="00DC7A47" w:rsidRPr="00000839" w:rsidRDefault="00DC7A47" w:rsidP="00A37C99">
            <w:pPr>
              <w:spacing w:before="0"/>
              <w:rPr>
                <w:rFonts w:eastAsia="Fira Sans Light" w:cs="Times New Roman"/>
                <w:bCs/>
                <w:color w:val="000000"/>
                <w:szCs w:val="19"/>
              </w:rPr>
            </w:pPr>
            <w:r w:rsidRPr="00000839">
              <w:rPr>
                <w:rFonts w:eastAsia="Fira Sans Light" w:cs="Times New Roman"/>
                <w:bCs/>
                <w:color w:val="000000"/>
                <w:szCs w:val="19"/>
              </w:rPr>
              <w:t>(sections K,L,M,N)</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18 182</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12 904</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18 129</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17 225</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18 812</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19 542</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17 450</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19 471</w:t>
            </w:r>
          </w:p>
        </w:tc>
      </w:tr>
      <w:tr w:rsidR="00DC7A47" w:rsidRPr="00000839" w:rsidTr="00C5758B">
        <w:trPr>
          <w:trHeight w:val="57"/>
          <w:jc w:val="center"/>
        </w:trPr>
        <w:tc>
          <w:tcPr>
            <w:tcW w:w="1448" w:type="dxa"/>
            <w:vAlign w:val="center"/>
          </w:tcPr>
          <w:p w:rsidR="00DC7A47" w:rsidRPr="00000839" w:rsidRDefault="00DC7A47" w:rsidP="00A37C99">
            <w:pPr>
              <w:rPr>
                <w:rFonts w:eastAsia="Fira Sans Light" w:cs="Times New Roman"/>
                <w:bCs/>
                <w:color w:val="000000"/>
                <w:szCs w:val="19"/>
              </w:rPr>
            </w:pPr>
            <w:r w:rsidRPr="00000839">
              <w:rPr>
                <w:rFonts w:eastAsia="Fira Sans Light" w:cs="Times New Roman"/>
                <w:bCs/>
                <w:color w:val="000000"/>
                <w:szCs w:val="19"/>
              </w:rPr>
              <w:t>Other sections (P,Q,R,S excluding division 94)</w:t>
            </w:r>
          </w:p>
        </w:tc>
        <w:tc>
          <w:tcPr>
            <w:tcW w:w="989"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11 195</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7 817</w:t>
            </w:r>
          </w:p>
        </w:tc>
        <w:tc>
          <w:tcPr>
            <w:tcW w:w="985"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12 818</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11 462</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11 120</w:t>
            </w:r>
          </w:p>
        </w:tc>
        <w:tc>
          <w:tcPr>
            <w:tcW w:w="984"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12 492</w:t>
            </w:r>
          </w:p>
        </w:tc>
        <w:tc>
          <w:tcPr>
            <w:tcW w:w="980"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12 947</w:t>
            </w:r>
          </w:p>
        </w:tc>
        <w:tc>
          <w:tcPr>
            <w:tcW w:w="962" w:type="dxa"/>
          </w:tcPr>
          <w:p w:rsidR="00DC7A47" w:rsidRPr="00000839" w:rsidRDefault="00DC7A47" w:rsidP="00DC7A47">
            <w:pPr>
              <w:jc w:val="right"/>
              <w:rPr>
                <w:rFonts w:eastAsia="Fira Sans Light" w:cs="Times New Roman"/>
                <w:bCs/>
                <w:color w:val="000000"/>
                <w:szCs w:val="19"/>
              </w:rPr>
            </w:pPr>
            <w:r w:rsidRPr="00000839">
              <w:rPr>
                <w:rFonts w:eastAsia="Fira Sans Light" w:cs="Times New Roman"/>
                <w:bCs/>
                <w:color w:val="000000"/>
                <w:szCs w:val="19"/>
              </w:rPr>
              <w:t>14 379</w:t>
            </w:r>
          </w:p>
        </w:tc>
      </w:tr>
    </w:tbl>
    <w:p w:rsidR="00DC7A47" w:rsidRPr="00000839" w:rsidRDefault="00DC7A47" w:rsidP="00000839">
      <w:pPr>
        <w:jc w:val="right"/>
        <w:rPr>
          <w:rFonts w:eastAsia="Fira Sans Light" w:cs="Times New Roman"/>
          <w:bCs/>
          <w:color w:val="000000"/>
          <w:szCs w:val="19"/>
        </w:rPr>
      </w:pPr>
    </w:p>
    <w:p w:rsidR="00DC7A47" w:rsidRPr="00000839" w:rsidRDefault="00DC7A47" w:rsidP="00000839">
      <w:pPr>
        <w:jc w:val="right"/>
        <w:rPr>
          <w:rFonts w:eastAsia="Fira Sans Light" w:cs="Times New Roman"/>
          <w:bCs/>
          <w:color w:val="000000"/>
          <w:szCs w:val="19"/>
        </w:rPr>
      </w:pPr>
    </w:p>
    <w:p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9"/>
          <w:pgSz w:w="11906" w:h="16838"/>
          <w:pgMar w:top="1417" w:right="1417" w:bottom="1417" w:left="1417"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margin" w:tblpXSpec="center" w:tblpY="596"/>
        <w:tblW w:w="9288"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2. Number of registrations of enterprises by legal form"/>
      </w:tblPr>
      <w:tblGrid>
        <w:gridCol w:w="1423"/>
        <w:gridCol w:w="990"/>
        <w:gridCol w:w="983"/>
        <w:gridCol w:w="988"/>
        <w:gridCol w:w="983"/>
        <w:gridCol w:w="980"/>
        <w:gridCol w:w="988"/>
        <w:gridCol w:w="982"/>
        <w:gridCol w:w="971"/>
      </w:tblGrid>
      <w:tr w:rsidR="00B20DF1" w:rsidRPr="00000839" w:rsidTr="00C5758B">
        <w:trPr>
          <w:trHeight w:val="57"/>
          <w:jc w:val="center"/>
        </w:trPr>
        <w:tc>
          <w:tcPr>
            <w:tcW w:w="1423" w:type="dxa"/>
            <w:vMerge w:val="restart"/>
            <w:vAlign w:val="center"/>
          </w:tcPr>
          <w:p w:rsidR="00B20DF1" w:rsidRPr="00000839" w:rsidRDefault="00A32EBB" w:rsidP="00B20DF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w:t>
            </w:r>
            <w:r w:rsidR="00B20DF1" w:rsidRPr="00000839">
              <w:rPr>
                <w:rFonts w:eastAsia="Times New Roman" w:cs="Arial"/>
                <w:bCs/>
                <w:color w:val="000000"/>
                <w:szCs w:val="19"/>
                <w:lang w:eastAsia="pl-PL"/>
              </w:rPr>
              <w:t>TION</w:t>
            </w:r>
          </w:p>
        </w:tc>
        <w:tc>
          <w:tcPr>
            <w:tcW w:w="3944" w:type="dxa"/>
            <w:gridSpan w:val="4"/>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2020</w:t>
            </w:r>
          </w:p>
        </w:tc>
        <w:tc>
          <w:tcPr>
            <w:tcW w:w="3921" w:type="dxa"/>
            <w:gridSpan w:val="4"/>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2021</w:t>
            </w:r>
          </w:p>
        </w:tc>
      </w:tr>
      <w:tr w:rsidR="00B20DF1" w:rsidRPr="00000839" w:rsidTr="00C5758B">
        <w:trPr>
          <w:trHeight w:val="57"/>
          <w:jc w:val="center"/>
        </w:trPr>
        <w:tc>
          <w:tcPr>
            <w:tcW w:w="1423" w:type="dxa"/>
            <w:vMerge/>
            <w:vAlign w:val="center"/>
          </w:tcPr>
          <w:p w:rsidR="00B20DF1" w:rsidRPr="00000839" w:rsidRDefault="00B20DF1" w:rsidP="00B20DF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90"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Q1</w:t>
            </w:r>
          </w:p>
        </w:tc>
        <w:tc>
          <w:tcPr>
            <w:tcW w:w="983"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Q2</w:t>
            </w:r>
          </w:p>
        </w:tc>
        <w:tc>
          <w:tcPr>
            <w:tcW w:w="988"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Q3</w:t>
            </w:r>
          </w:p>
        </w:tc>
        <w:tc>
          <w:tcPr>
            <w:tcW w:w="983"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Q4</w:t>
            </w:r>
          </w:p>
        </w:tc>
        <w:tc>
          <w:tcPr>
            <w:tcW w:w="980"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Q1</w:t>
            </w:r>
          </w:p>
        </w:tc>
        <w:tc>
          <w:tcPr>
            <w:tcW w:w="988"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Q2</w:t>
            </w:r>
          </w:p>
        </w:tc>
        <w:tc>
          <w:tcPr>
            <w:tcW w:w="982"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Q3</w:t>
            </w:r>
          </w:p>
        </w:tc>
        <w:tc>
          <w:tcPr>
            <w:tcW w:w="971" w:type="dxa"/>
          </w:tcPr>
          <w:p w:rsidR="00B20DF1" w:rsidRPr="00000839" w:rsidRDefault="00B20DF1" w:rsidP="00B20DF1">
            <w:pPr>
              <w:jc w:val="center"/>
              <w:rPr>
                <w:rFonts w:eastAsia="Fira Sans Light" w:cs="Times New Roman"/>
                <w:szCs w:val="19"/>
              </w:rPr>
            </w:pPr>
            <w:r w:rsidRPr="00000839">
              <w:rPr>
                <w:rFonts w:eastAsia="Fira Sans Light" w:cs="Times New Roman"/>
                <w:szCs w:val="19"/>
              </w:rPr>
              <w:t>Q4</w:t>
            </w:r>
          </w:p>
        </w:tc>
      </w:tr>
      <w:tr w:rsidR="00B20DF1" w:rsidRPr="00000839" w:rsidTr="00C5758B">
        <w:trPr>
          <w:trHeight w:val="397"/>
          <w:jc w:val="center"/>
        </w:trPr>
        <w:tc>
          <w:tcPr>
            <w:tcW w:w="1423" w:type="dxa"/>
            <w:vAlign w:val="center"/>
          </w:tcPr>
          <w:p w:rsidR="00B20DF1" w:rsidRPr="00000839" w:rsidRDefault="00B20DF1" w:rsidP="00B20DF1">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90"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84 099</w:t>
            </w:r>
          </w:p>
        </w:tc>
        <w:tc>
          <w:tcPr>
            <w:tcW w:w="983"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64 410</w:t>
            </w:r>
          </w:p>
        </w:tc>
        <w:tc>
          <w:tcPr>
            <w:tcW w:w="988"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87 360</w:t>
            </w:r>
          </w:p>
        </w:tc>
        <w:tc>
          <w:tcPr>
            <w:tcW w:w="983"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75 925</w:t>
            </w:r>
          </w:p>
        </w:tc>
        <w:tc>
          <w:tcPr>
            <w:tcW w:w="980"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84 223</w:t>
            </w:r>
          </w:p>
        </w:tc>
        <w:tc>
          <w:tcPr>
            <w:tcW w:w="988"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92 445</w:t>
            </w:r>
          </w:p>
        </w:tc>
        <w:tc>
          <w:tcPr>
            <w:tcW w:w="982"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85 198</w:t>
            </w:r>
          </w:p>
        </w:tc>
        <w:tc>
          <w:tcPr>
            <w:tcW w:w="971" w:type="dxa"/>
          </w:tcPr>
          <w:p w:rsidR="00B20DF1" w:rsidRPr="00000839" w:rsidRDefault="00B20DF1" w:rsidP="00B20DF1">
            <w:pPr>
              <w:jc w:val="right"/>
              <w:rPr>
                <w:rFonts w:eastAsia="Fira Sans Light" w:cs="Times New Roman"/>
                <w:szCs w:val="19"/>
              </w:rPr>
            </w:pPr>
            <w:r w:rsidRPr="00000839">
              <w:rPr>
                <w:rFonts w:eastAsia="Fira Sans Light" w:cs="Times New Roman"/>
                <w:b/>
                <w:bCs/>
                <w:color w:val="000000"/>
                <w:szCs w:val="19"/>
              </w:rPr>
              <w:t>88 605</w:t>
            </w:r>
          </w:p>
        </w:tc>
      </w:tr>
      <w:tr w:rsidR="00B20DF1" w:rsidRPr="00000839" w:rsidTr="00C5758B">
        <w:trPr>
          <w:trHeight w:hRule="exact" w:val="680"/>
          <w:jc w:val="center"/>
        </w:trPr>
        <w:tc>
          <w:tcPr>
            <w:tcW w:w="1423" w:type="dxa"/>
            <w:shd w:val="clear" w:color="auto" w:fill="auto"/>
            <w:vAlign w:val="bottom"/>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Civil law partnership</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1 455</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918</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1 224</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1 123</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1 472</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1 311</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1 125</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1 261</w:t>
            </w:r>
          </w:p>
        </w:tc>
      </w:tr>
      <w:tr w:rsidR="00B20DF1" w:rsidRPr="00000839" w:rsidTr="00C5758B">
        <w:trPr>
          <w:trHeight w:hRule="exact" w:val="1134"/>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Natural persons conducting economic activity</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69 472</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53 530</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73 987</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63 355</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69 760</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77 651</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71 623</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71 335</w:t>
            </w:r>
          </w:p>
        </w:tc>
      </w:tr>
      <w:tr w:rsidR="00B20DF1" w:rsidRPr="00000839" w:rsidTr="00C5758B">
        <w:trPr>
          <w:trHeight w:hRule="exact" w:val="680"/>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Professional partnerships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25</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20</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26</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34</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37</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34</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31</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28</w:t>
            </w:r>
          </w:p>
        </w:tc>
      </w:tr>
      <w:tr w:rsidR="00B20DF1" w:rsidRPr="00000839" w:rsidTr="00C5758B">
        <w:trPr>
          <w:trHeight w:hRule="exact" w:val="680"/>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companies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68</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45</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63</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83</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74</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88</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53</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60</w:t>
            </w:r>
          </w:p>
        </w:tc>
      </w:tr>
      <w:tr w:rsidR="00B20DF1" w:rsidRPr="00000839" w:rsidTr="00C5758B">
        <w:trPr>
          <w:trHeight w:hRule="exact" w:val="949"/>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liability companies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11 299</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8 559</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10 657</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10 328</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12 013</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12 442</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11 821</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15 048</w:t>
            </w:r>
          </w:p>
        </w:tc>
      </w:tr>
      <w:tr w:rsidR="00B20DF1" w:rsidRPr="00000839" w:rsidTr="00C5758B">
        <w:trPr>
          <w:trHeight w:hRule="exact" w:val="680"/>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General partnerships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261</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191</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202</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410</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586</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596</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319</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322</w:t>
            </w:r>
          </w:p>
        </w:tc>
      </w:tr>
      <w:tr w:rsidR="00B20DF1" w:rsidRPr="00000839" w:rsidTr="00C5758B">
        <w:trPr>
          <w:trHeight w:hRule="exact" w:val="680"/>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Limited partnerships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1 385</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1 049</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1 089</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492</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160</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164</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131</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363</w:t>
            </w:r>
          </w:p>
        </w:tc>
      </w:tr>
      <w:tr w:rsidR="00B20DF1" w:rsidRPr="00000839" w:rsidTr="00C5758B">
        <w:trPr>
          <w:trHeight w:val="680"/>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Public limited partnerships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25</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15</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13</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8</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18</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95</w:t>
            </w:r>
          </w:p>
        </w:tc>
      </w:tr>
      <w:tr w:rsidR="00B20DF1" w:rsidRPr="00000839" w:rsidTr="00C5758B">
        <w:trPr>
          <w:trHeight w:hRule="exact" w:val="680"/>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State-owned enterprises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0</w:t>
            </w:r>
          </w:p>
        </w:tc>
      </w:tr>
      <w:tr w:rsidR="00B20DF1" w:rsidRPr="00000839" w:rsidTr="00C5758B">
        <w:trPr>
          <w:trHeight w:hRule="exact" w:val="680"/>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Cooperatives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46</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29</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29</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28</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32</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53</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17</w:t>
            </w:r>
          </w:p>
        </w:tc>
      </w:tr>
      <w:tr w:rsidR="00B20DF1" w:rsidRPr="00000839" w:rsidTr="00C5758B">
        <w:trPr>
          <w:trHeight w:hRule="exact" w:val="907"/>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Branches of foreign enterprises</w:t>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41</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40</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53</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47</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52</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66</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55</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59</w:t>
            </w:r>
          </w:p>
        </w:tc>
      </w:tr>
      <w:tr w:rsidR="00B20DF1" w:rsidRPr="00000839" w:rsidTr="00C5758B">
        <w:trPr>
          <w:trHeight w:hRule="exact" w:val="1134"/>
          <w:jc w:val="center"/>
        </w:trPr>
        <w:tc>
          <w:tcPr>
            <w:tcW w:w="1423" w:type="dxa"/>
            <w:shd w:val="clear" w:color="auto" w:fill="auto"/>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Others, including without specific legal form</w:t>
            </w:r>
            <w:r w:rsidRPr="00000839">
              <w:rPr>
                <w:rFonts w:eastAsia="Times New Roman" w:cs="Times New Roman"/>
                <w:color w:val="000000"/>
                <w:szCs w:val="19"/>
              </w:rPr>
              <w:footnoteReference w:customMarkFollows="1" w:id="1"/>
              <w:sym w:font="Symbol" w:char="F02A"/>
            </w:r>
          </w:p>
        </w:tc>
        <w:tc>
          <w:tcPr>
            <w:tcW w:w="99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22</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13</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15</w:t>
            </w:r>
          </w:p>
        </w:tc>
        <w:tc>
          <w:tcPr>
            <w:tcW w:w="98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12</w:t>
            </w:r>
          </w:p>
        </w:tc>
        <w:tc>
          <w:tcPr>
            <w:tcW w:w="98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29</w:t>
            </w:r>
          </w:p>
        </w:tc>
        <w:tc>
          <w:tcPr>
            <w:tcW w:w="988"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24</w:t>
            </w:r>
          </w:p>
        </w:tc>
        <w:tc>
          <w:tcPr>
            <w:tcW w:w="982"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w:t>
            </w:r>
          </w:p>
        </w:tc>
        <w:tc>
          <w:tcPr>
            <w:tcW w:w="971"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17</w:t>
            </w:r>
          </w:p>
        </w:tc>
      </w:tr>
    </w:tbl>
    <w:p w:rsidR="00B20DF1" w:rsidRPr="00B20DF1" w:rsidRDefault="00B20DF1" w:rsidP="00B20DF1">
      <w:pPr>
        <w:rPr>
          <w:rFonts w:eastAsia="Fira Sans Light" w:cs="Times New Roman"/>
          <w:b/>
          <w:spacing w:val="-2"/>
          <w:sz w:val="18"/>
          <w:shd w:val="clear" w:color="auto" w:fill="FFFFFF"/>
        </w:rPr>
      </w:pPr>
    </w:p>
    <w:p w:rsidR="00655E8D" w:rsidRPr="00655E8D" w:rsidRDefault="00655E8D" w:rsidP="00655E8D">
      <w:pPr>
        <w:rPr>
          <w:sz w:val="16"/>
        </w:rPr>
        <w:sectPr w:rsidR="00655E8D" w:rsidRPr="00655E8D" w:rsidSect="00B20DF1">
          <w:headerReference w:type="first" r:id="rId20"/>
          <w:pgSz w:w="11906" w:h="16838"/>
          <w:pgMar w:top="720" w:right="284" w:bottom="720" w:left="720" w:header="284" w:footer="283" w:gutter="0"/>
          <w:cols w:space="708"/>
          <w:titlePg/>
          <w:docGrid w:linePitch="360"/>
        </w:sect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margin" w:tblpY="596"/>
        <w:tblW w:w="9288"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3. Number of bankruptcies of enterprises"/>
      </w:tblPr>
      <w:tblGrid>
        <w:gridCol w:w="1456"/>
        <w:gridCol w:w="993"/>
        <w:gridCol w:w="985"/>
        <w:gridCol w:w="989"/>
        <w:gridCol w:w="999"/>
        <w:gridCol w:w="993"/>
        <w:gridCol w:w="959"/>
        <w:gridCol w:w="960"/>
        <w:gridCol w:w="954"/>
      </w:tblGrid>
      <w:tr w:rsidR="00B20DF1" w:rsidRPr="00B20DF1" w:rsidTr="00C5758B">
        <w:trPr>
          <w:trHeight w:val="57"/>
        </w:trPr>
        <w:tc>
          <w:tcPr>
            <w:tcW w:w="1456" w:type="dxa"/>
            <w:vMerge w:val="restart"/>
            <w:vAlign w:val="center"/>
          </w:tcPr>
          <w:p w:rsidR="00B20DF1" w:rsidRPr="00000839" w:rsidRDefault="00A37C99" w:rsidP="00B20DF1">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r>
              <w:rPr>
                <w:rFonts w:eastAsia="Times New Roman" w:cs="Arial"/>
                <w:bCs/>
                <w:color w:val="000000"/>
                <w:szCs w:val="19"/>
                <w:lang w:eastAsia="pl-PL"/>
              </w:rPr>
              <w:t>SPECIFIC</w:t>
            </w:r>
            <w:r w:rsidR="00B20DF1" w:rsidRPr="00000839">
              <w:rPr>
                <w:rFonts w:eastAsia="Times New Roman" w:cs="Arial"/>
                <w:bCs/>
                <w:color w:val="000000"/>
                <w:szCs w:val="19"/>
                <w:lang w:eastAsia="pl-PL"/>
              </w:rPr>
              <w:t>TION</w:t>
            </w:r>
          </w:p>
        </w:tc>
        <w:tc>
          <w:tcPr>
            <w:tcW w:w="3966" w:type="dxa"/>
            <w:gridSpan w:val="4"/>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2020</w:t>
            </w:r>
          </w:p>
        </w:tc>
        <w:tc>
          <w:tcPr>
            <w:tcW w:w="3866" w:type="dxa"/>
            <w:gridSpan w:val="4"/>
            <w:vAlign w:val="center"/>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2021</w:t>
            </w:r>
          </w:p>
        </w:tc>
      </w:tr>
      <w:tr w:rsidR="00B20DF1" w:rsidRPr="00B20DF1" w:rsidTr="00C5758B">
        <w:trPr>
          <w:trHeight w:val="57"/>
        </w:trPr>
        <w:tc>
          <w:tcPr>
            <w:tcW w:w="1456" w:type="dxa"/>
            <w:vMerge/>
            <w:vAlign w:val="center"/>
          </w:tcPr>
          <w:p w:rsidR="00B20DF1" w:rsidRPr="00000839" w:rsidRDefault="00B20DF1" w:rsidP="00B20DF1">
            <w:pPr>
              <w:keepNext/>
              <w:keepLines/>
              <w:tabs>
                <w:tab w:val="right" w:leader="dot" w:pos="4156"/>
              </w:tabs>
              <w:spacing w:before="0" w:after="0"/>
              <w:contextualSpacing/>
              <w:outlineLvl w:val="4"/>
              <w:rPr>
                <w:rFonts w:ascii="Fira Sans Medium" w:eastAsia="Times New Roman" w:hAnsi="Fira Sans Medium" w:cs="Arial"/>
                <w:b/>
                <w:color w:val="000000"/>
                <w:szCs w:val="19"/>
              </w:rPr>
            </w:pPr>
          </w:p>
        </w:tc>
        <w:tc>
          <w:tcPr>
            <w:tcW w:w="993"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Q1</w:t>
            </w:r>
          </w:p>
        </w:tc>
        <w:tc>
          <w:tcPr>
            <w:tcW w:w="985"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Q2</w:t>
            </w:r>
          </w:p>
        </w:tc>
        <w:tc>
          <w:tcPr>
            <w:tcW w:w="989"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Q3</w:t>
            </w:r>
          </w:p>
        </w:tc>
        <w:tc>
          <w:tcPr>
            <w:tcW w:w="999"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Q4</w:t>
            </w:r>
          </w:p>
        </w:tc>
        <w:tc>
          <w:tcPr>
            <w:tcW w:w="993"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Q1</w:t>
            </w:r>
          </w:p>
        </w:tc>
        <w:tc>
          <w:tcPr>
            <w:tcW w:w="959"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Q2</w:t>
            </w:r>
          </w:p>
        </w:tc>
        <w:tc>
          <w:tcPr>
            <w:tcW w:w="960"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Q3</w:t>
            </w:r>
          </w:p>
        </w:tc>
        <w:tc>
          <w:tcPr>
            <w:tcW w:w="954" w:type="dxa"/>
          </w:tcPr>
          <w:p w:rsidR="00B20DF1" w:rsidRPr="00000839" w:rsidRDefault="00B20DF1" w:rsidP="00B20DF1">
            <w:pPr>
              <w:jc w:val="center"/>
              <w:rPr>
                <w:rFonts w:eastAsia="Fira Sans Light" w:cs="Times New Roman"/>
                <w:color w:val="000000"/>
                <w:szCs w:val="19"/>
              </w:rPr>
            </w:pPr>
            <w:r w:rsidRPr="00000839">
              <w:rPr>
                <w:rFonts w:eastAsia="Fira Sans Light" w:cs="Times New Roman"/>
                <w:color w:val="000000"/>
                <w:szCs w:val="19"/>
              </w:rPr>
              <w:t>Q4</w:t>
            </w:r>
          </w:p>
        </w:tc>
      </w:tr>
      <w:tr w:rsidR="00B20DF1" w:rsidRPr="00B20DF1" w:rsidTr="00C5758B">
        <w:trPr>
          <w:trHeight w:val="397"/>
        </w:trPr>
        <w:tc>
          <w:tcPr>
            <w:tcW w:w="1456" w:type="dxa"/>
            <w:vAlign w:val="center"/>
          </w:tcPr>
          <w:p w:rsidR="00B20DF1" w:rsidRPr="00000839" w:rsidRDefault="00B20DF1" w:rsidP="00B20DF1">
            <w:pPr>
              <w:keepNext/>
              <w:keepLines/>
              <w:tabs>
                <w:tab w:val="right" w:leader="dot" w:pos="4156"/>
              </w:tabs>
              <w:spacing w:before="0" w:after="0"/>
              <w:contextualSpacing/>
              <w:outlineLvl w:val="4"/>
              <w:rPr>
                <w:rFonts w:eastAsia="Times New Roman" w:cs="Times New Roman"/>
                <w:b/>
                <w:color w:val="000000"/>
                <w:szCs w:val="19"/>
              </w:rPr>
            </w:pPr>
            <w:r w:rsidRPr="00000839">
              <w:rPr>
                <w:rFonts w:eastAsia="Times New Roman" w:cs="Times New Roman"/>
                <w:b/>
                <w:color w:val="000000"/>
                <w:szCs w:val="19"/>
              </w:rPr>
              <w:t>TOTAL</w:t>
            </w:r>
          </w:p>
        </w:tc>
        <w:tc>
          <w:tcPr>
            <w:tcW w:w="993"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142</w:t>
            </w:r>
          </w:p>
        </w:tc>
        <w:tc>
          <w:tcPr>
            <w:tcW w:w="985"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157</w:t>
            </w:r>
          </w:p>
        </w:tc>
        <w:tc>
          <w:tcPr>
            <w:tcW w:w="989"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123</w:t>
            </w:r>
          </w:p>
        </w:tc>
        <w:tc>
          <w:tcPr>
            <w:tcW w:w="999"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106</w:t>
            </w:r>
          </w:p>
        </w:tc>
        <w:tc>
          <w:tcPr>
            <w:tcW w:w="993"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126</w:t>
            </w:r>
          </w:p>
        </w:tc>
        <w:tc>
          <w:tcPr>
            <w:tcW w:w="959"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84</w:t>
            </w:r>
          </w:p>
        </w:tc>
        <w:tc>
          <w:tcPr>
            <w:tcW w:w="960" w:type="dxa"/>
          </w:tcPr>
          <w:p w:rsidR="00B20DF1" w:rsidRPr="00000839" w:rsidRDefault="00B20DF1" w:rsidP="00B20DF1">
            <w:pPr>
              <w:jc w:val="right"/>
              <w:rPr>
                <w:rFonts w:eastAsia="Fira Sans Light" w:cs="Times New Roman"/>
                <w:b/>
                <w:bCs/>
                <w:color w:val="000000"/>
                <w:szCs w:val="19"/>
              </w:rPr>
            </w:pPr>
            <w:r w:rsidRPr="00000839">
              <w:rPr>
                <w:rFonts w:eastAsia="Fira Sans Light" w:cs="Times New Roman"/>
                <w:b/>
                <w:bCs/>
                <w:color w:val="000000"/>
                <w:szCs w:val="19"/>
              </w:rPr>
              <w:t>79</w:t>
            </w:r>
          </w:p>
        </w:tc>
        <w:tc>
          <w:tcPr>
            <w:tcW w:w="954" w:type="dxa"/>
          </w:tcPr>
          <w:p w:rsidR="00B20DF1" w:rsidRPr="00000839" w:rsidRDefault="00B20DF1" w:rsidP="00B20DF1">
            <w:pPr>
              <w:jc w:val="right"/>
              <w:rPr>
                <w:rFonts w:eastAsia="Fira Sans Light" w:cs="Times New Roman"/>
                <w:szCs w:val="19"/>
              </w:rPr>
            </w:pPr>
            <w:r w:rsidRPr="00000839">
              <w:rPr>
                <w:rFonts w:eastAsia="Fira Sans Light" w:cs="Times New Roman"/>
                <w:b/>
                <w:bCs/>
                <w:color w:val="000000"/>
                <w:szCs w:val="19"/>
              </w:rPr>
              <w:t>87</w:t>
            </w:r>
          </w:p>
        </w:tc>
      </w:tr>
      <w:tr w:rsidR="00B20DF1" w:rsidRPr="00B20DF1" w:rsidTr="00C5758B">
        <w:trPr>
          <w:trHeight w:val="397"/>
        </w:trPr>
        <w:tc>
          <w:tcPr>
            <w:tcW w:w="1456" w:type="dxa"/>
            <w:vAlign w:val="center"/>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 xml:space="preserve">Industry </w:t>
            </w:r>
          </w:p>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(sections B,C,D,E)</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33</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40</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32</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19</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28</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17</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24</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27</w:t>
            </w:r>
          </w:p>
        </w:tc>
      </w:tr>
      <w:tr w:rsidR="00B20DF1" w:rsidRPr="00B20DF1" w:rsidTr="00C5758B">
        <w:trPr>
          <w:trHeight w:val="397"/>
        </w:trPr>
        <w:tc>
          <w:tcPr>
            <w:tcW w:w="1456" w:type="dxa"/>
            <w:vAlign w:val="center"/>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 xml:space="preserve">Construction </w:t>
            </w:r>
          </w:p>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rPr>
            </w:pPr>
            <w:r w:rsidRPr="00000839">
              <w:rPr>
                <w:rFonts w:eastAsia="Times New Roman" w:cs="Times New Roman"/>
                <w:color w:val="000000"/>
                <w:szCs w:val="19"/>
              </w:rPr>
              <w:t>(section F)</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20</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19</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18</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15</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8</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9</w:t>
            </w:r>
          </w:p>
        </w:tc>
      </w:tr>
      <w:tr w:rsidR="00B20DF1" w:rsidRPr="00B20DF1" w:rsidTr="00C5758B">
        <w:trPr>
          <w:trHeight w:val="397"/>
        </w:trPr>
        <w:tc>
          <w:tcPr>
            <w:tcW w:w="1456" w:type="dxa"/>
            <w:vAlign w:val="center"/>
          </w:tcPr>
          <w:p w:rsidR="00B20DF1" w:rsidRPr="00000839" w:rsidRDefault="00B20DF1" w:rsidP="00B20DF1">
            <w:pPr>
              <w:keepNext/>
              <w:keepLines/>
              <w:tabs>
                <w:tab w:val="right" w:leader="dot" w:pos="4156"/>
              </w:tabs>
              <w:spacing w:before="0" w:after="0"/>
              <w:contextualSpacing/>
              <w:outlineLvl w:val="7"/>
              <w:rPr>
                <w:rFonts w:eastAsia="Times New Roman" w:cs="Times New Roman"/>
                <w:color w:val="000000"/>
                <w:szCs w:val="19"/>
                <w:lang w:val="en-GB"/>
              </w:rPr>
            </w:pPr>
            <w:r w:rsidRPr="00000839">
              <w:rPr>
                <w:rFonts w:eastAsia="Times New Roman" w:cs="Times New Roman"/>
                <w:color w:val="000000"/>
                <w:szCs w:val="19"/>
                <w:lang w:val="en-GB"/>
              </w:rPr>
              <w:t>Trade; repair of motor vehicles (section G)</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38</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41</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34</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34</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34</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20</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18</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20</w:t>
            </w:r>
          </w:p>
        </w:tc>
      </w:tr>
      <w:tr w:rsidR="00B20DF1" w:rsidRPr="00B20DF1" w:rsidTr="00C5758B">
        <w:trPr>
          <w:trHeight w:val="397"/>
        </w:trPr>
        <w:tc>
          <w:tcPr>
            <w:tcW w:w="1456" w:type="dxa"/>
            <w:vAlign w:val="center"/>
          </w:tcPr>
          <w:p w:rsidR="00B20DF1" w:rsidRPr="00000839" w:rsidRDefault="00B20DF1" w:rsidP="00B20DF1">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 xml:space="preserve">Transportation and storage </w:t>
            </w:r>
          </w:p>
          <w:p w:rsidR="00B20DF1" w:rsidRPr="00000839" w:rsidRDefault="00B20DF1" w:rsidP="00B20DF1">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(section H)</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13</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13</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8</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7</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w:t>
            </w:r>
          </w:p>
        </w:tc>
      </w:tr>
      <w:tr w:rsidR="00B20DF1" w:rsidRPr="00B20DF1" w:rsidTr="00C5758B">
        <w:trPr>
          <w:trHeight w:val="397"/>
        </w:trPr>
        <w:tc>
          <w:tcPr>
            <w:tcW w:w="1456" w:type="dxa"/>
            <w:vAlign w:val="center"/>
          </w:tcPr>
          <w:p w:rsidR="00B20DF1" w:rsidRPr="00000839" w:rsidRDefault="00B20DF1" w:rsidP="00B20DF1">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 xml:space="preserve">Accommodation and catering  </w:t>
            </w:r>
          </w:p>
          <w:p w:rsidR="00B20DF1" w:rsidRPr="00000839" w:rsidRDefault="00B20DF1" w:rsidP="00B20DF1">
            <w:pPr>
              <w:keepNext/>
              <w:keepLines/>
              <w:tabs>
                <w:tab w:val="right" w:leader="dot" w:pos="4156"/>
              </w:tabs>
              <w:spacing w:before="0" w:after="0"/>
              <w:contextualSpacing/>
              <w:outlineLvl w:val="8"/>
              <w:rPr>
                <w:rFonts w:eastAsia="Times New Roman" w:cs="Times New Roman"/>
                <w:iCs/>
                <w:color w:val="000000"/>
                <w:szCs w:val="19"/>
                <w:lang w:val="en-GB"/>
              </w:rPr>
            </w:pPr>
            <w:r w:rsidRPr="00000839">
              <w:rPr>
                <w:rFonts w:eastAsia="Times New Roman" w:cs="Times New Roman"/>
                <w:iCs/>
                <w:color w:val="000000"/>
                <w:szCs w:val="19"/>
                <w:lang w:val="en-GB"/>
              </w:rPr>
              <w:t>(section I)</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10</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9</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9</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w:t>
            </w:r>
          </w:p>
        </w:tc>
      </w:tr>
      <w:tr w:rsidR="00B20DF1" w:rsidRPr="00B20DF1" w:rsidTr="00C5758B">
        <w:trPr>
          <w:trHeight w:val="397"/>
        </w:trPr>
        <w:tc>
          <w:tcPr>
            <w:tcW w:w="1456" w:type="dxa"/>
            <w:vAlign w:val="center"/>
          </w:tcPr>
          <w:p w:rsidR="00B20DF1" w:rsidRPr="00000839" w:rsidRDefault="00B20DF1" w:rsidP="00B20DF1">
            <w:pPr>
              <w:tabs>
                <w:tab w:val="right" w:leader="dot" w:pos="4156"/>
              </w:tabs>
              <w:contextualSpacing/>
              <w:rPr>
                <w:rFonts w:eastAsia="Fira Sans Light" w:cs="Times New Roman"/>
                <w:color w:val="000000"/>
                <w:szCs w:val="19"/>
                <w:lang w:val="en-GB"/>
              </w:rPr>
            </w:pPr>
            <w:r w:rsidRPr="00000839">
              <w:rPr>
                <w:rFonts w:eastAsia="Fira Sans Light" w:cs="Times New Roman"/>
                <w:color w:val="000000"/>
                <w:szCs w:val="19"/>
                <w:lang w:val="en-GB"/>
              </w:rPr>
              <w:t>Information and communication (section J)</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3</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4</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w:t>
            </w:r>
          </w:p>
        </w:tc>
      </w:tr>
      <w:tr w:rsidR="00B20DF1" w:rsidRPr="00B20DF1" w:rsidTr="00C5758B">
        <w:trPr>
          <w:trHeight w:val="397"/>
        </w:trPr>
        <w:tc>
          <w:tcPr>
            <w:tcW w:w="1456" w:type="dxa"/>
            <w:vAlign w:val="center"/>
          </w:tcPr>
          <w:p w:rsidR="00B20DF1" w:rsidRPr="00000839" w:rsidRDefault="00B20DF1" w:rsidP="00B20DF1">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 xml:space="preserve">Services </w:t>
            </w:r>
          </w:p>
          <w:p w:rsidR="00B20DF1" w:rsidRPr="00000839" w:rsidRDefault="00B20DF1" w:rsidP="00B20DF1">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(sections K,L,M,N)</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21</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25</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18</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16</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23</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12</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18</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15</w:t>
            </w:r>
          </w:p>
        </w:tc>
      </w:tr>
      <w:tr w:rsidR="00B20DF1" w:rsidRPr="00B20DF1" w:rsidTr="00C5758B">
        <w:trPr>
          <w:trHeight w:val="397"/>
        </w:trPr>
        <w:tc>
          <w:tcPr>
            <w:tcW w:w="1456" w:type="dxa"/>
            <w:vAlign w:val="center"/>
          </w:tcPr>
          <w:p w:rsidR="00B20DF1" w:rsidRPr="00000839" w:rsidRDefault="00B20DF1" w:rsidP="00B20DF1">
            <w:pPr>
              <w:keepNext/>
              <w:keepLines/>
              <w:tabs>
                <w:tab w:val="right" w:leader="dot" w:pos="4156"/>
              </w:tabs>
              <w:spacing w:before="0" w:after="0"/>
              <w:contextualSpacing/>
              <w:outlineLvl w:val="1"/>
              <w:rPr>
                <w:rFonts w:eastAsia="Times New Roman" w:cs="Times New Roman"/>
                <w:color w:val="000000"/>
                <w:szCs w:val="19"/>
                <w:lang w:val="en-GB"/>
              </w:rPr>
            </w:pPr>
            <w:r w:rsidRPr="00000839">
              <w:rPr>
                <w:rFonts w:eastAsia="Times New Roman" w:cs="Times New Roman"/>
                <w:color w:val="000000"/>
                <w:szCs w:val="19"/>
                <w:lang w:val="en-GB"/>
              </w:rPr>
              <w:t>Other sections (P,Q,R,S excluding division 94)</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w:t>
            </w:r>
          </w:p>
        </w:tc>
        <w:tc>
          <w:tcPr>
            <w:tcW w:w="985"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11</w:t>
            </w:r>
          </w:p>
        </w:tc>
        <w:tc>
          <w:tcPr>
            <w:tcW w:w="98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w:t>
            </w:r>
          </w:p>
        </w:tc>
        <w:tc>
          <w:tcPr>
            <w:tcW w:w="99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5</w:t>
            </w:r>
          </w:p>
        </w:tc>
        <w:tc>
          <w:tcPr>
            <w:tcW w:w="993"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8</w:t>
            </w:r>
          </w:p>
        </w:tc>
        <w:tc>
          <w:tcPr>
            <w:tcW w:w="959"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2</w:t>
            </w:r>
          </w:p>
        </w:tc>
        <w:tc>
          <w:tcPr>
            <w:tcW w:w="960"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1</w:t>
            </w:r>
          </w:p>
        </w:tc>
        <w:tc>
          <w:tcPr>
            <w:tcW w:w="954" w:type="dxa"/>
          </w:tcPr>
          <w:p w:rsidR="00B20DF1" w:rsidRPr="00000839" w:rsidRDefault="00B20DF1" w:rsidP="00B20DF1">
            <w:pPr>
              <w:jc w:val="right"/>
              <w:rPr>
                <w:rFonts w:eastAsia="Fira Sans Light" w:cs="Times New Roman"/>
                <w:bCs/>
                <w:color w:val="000000"/>
                <w:szCs w:val="19"/>
              </w:rPr>
            </w:pPr>
            <w:r w:rsidRPr="00000839">
              <w:rPr>
                <w:rFonts w:eastAsia="Fira Sans Light" w:cs="Times New Roman"/>
                <w:bCs/>
                <w:color w:val="000000"/>
                <w:szCs w:val="19"/>
              </w:rPr>
              <w:t>6</w:t>
            </w:r>
          </w:p>
        </w:tc>
      </w:tr>
    </w:tbl>
    <w:p w:rsidR="00B20DF1" w:rsidRPr="00B20DF1" w:rsidRDefault="00B20DF1" w:rsidP="00B20DF1">
      <w:pPr>
        <w:rPr>
          <w:rFonts w:eastAsia="Fira Sans Light" w:cs="Times New Roman"/>
          <w:shd w:val="clear" w:color="auto" w:fill="FFFFFF"/>
        </w:rPr>
      </w:pPr>
    </w:p>
    <w:p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rsidR="00B20DF1" w:rsidRDefault="00B20DF1" w:rsidP="00B20DF1">
      <w:pPr>
        <w:rPr>
          <w:rFonts w:eastAsia="Fira Sans Light" w:cs="Times New Roman"/>
          <w:b/>
          <w:spacing w:val="-2"/>
          <w:sz w:val="18"/>
          <w:shd w:val="clear" w:color="auto" w:fill="FFFFFF"/>
          <w:lang w:val="en-GB"/>
        </w:rPr>
      </w:pPr>
    </w:p>
    <w:p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1" w:rightFromText="141" w:vertAnchor="text" w:horzAnchor="margin" w:tblpY="596"/>
        <w:tblW w:w="9288"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Table 4. Number of bankruptcies of enterprises by legal form"/>
      </w:tblPr>
      <w:tblGrid>
        <w:gridCol w:w="1392"/>
        <w:gridCol w:w="1001"/>
        <w:gridCol w:w="994"/>
        <w:gridCol w:w="997"/>
        <w:gridCol w:w="1008"/>
        <w:gridCol w:w="1002"/>
        <w:gridCol w:w="969"/>
        <w:gridCol w:w="969"/>
        <w:gridCol w:w="956"/>
      </w:tblGrid>
      <w:tr w:rsidR="00B20DF1" w:rsidRPr="00B20DF1" w:rsidTr="00C5758B">
        <w:trPr>
          <w:trHeight w:val="57"/>
        </w:trPr>
        <w:tc>
          <w:tcPr>
            <w:tcW w:w="1392" w:type="dxa"/>
            <w:vMerge w:val="restart"/>
            <w:vAlign w:val="center"/>
          </w:tcPr>
          <w:p w:rsidR="00B20DF1" w:rsidRPr="00A37C99" w:rsidRDefault="00B20DF1" w:rsidP="00B20DF1">
            <w:pPr>
              <w:keepNext/>
              <w:tabs>
                <w:tab w:val="right" w:leader="dot" w:pos="4139"/>
              </w:tabs>
              <w:spacing w:before="240" w:line="240" w:lineRule="auto"/>
              <w:jc w:val="center"/>
              <w:outlineLvl w:val="0"/>
              <w:rPr>
                <w:rFonts w:eastAsia="Times New Roman" w:cs="Arial"/>
                <w:b/>
                <w:bCs/>
                <w:color w:val="000000"/>
                <w:szCs w:val="19"/>
                <w:lang w:eastAsia="pl-PL"/>
              </w:rPr>
            </w:pPr>
            <w:r w:rsidRPr="00A37C99">
              <w:rPr>
                <w:rFonts w:eastAsia="Times New Roman" w:cs="Arial"/>
                <w:bCs/>
                <w:color w:val="000000"/>
                <w:szCs w:val="19"/>
                <w:lang w:eastAsia="pl-PL"/>
              </w:rPr>
              <w:t>SPECIF</w:t>
            </w:r>
            <w:r w:rsidR="00A37C99">
              <w:rPr>
                <w:rFonts w:eastAsia="Times New Roman" w:cs="Arial"/>
                <w:bCs/>
                <w:color w:val="000000"/>
                <w:szCs w:val="19"/>
                <w:lang w:eastAsia="pl-PL"/>
              </w:rPr>
              <w:t>IC</w:t>
            </w:r>
            <w:r w:rsidRPr="00A37C99">
              <w:rPr>
                <w:rFonts w:eastAsia="Times New Roman" w:cs="Arial"/>
                <w:bCs/>
                <w:color w:val="000000"/>
                <w:szCs w:val="19"/>
                <w:lang w:eastAsia="pl-PL"/>
              </w:rPr>
              <w:t>TION</w:t>
            </w:r>
          </w:p>
        </w:tc>
        <w:tc>
          <w:tcPr>
            <w:tcW w:w="4000" w:type="dxa"/>
            <w:gridSpan w:val="4"/>
            <w:vAlign w:val="center"/>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2020</w:t>
            </w:r>
          </w:p>
        </w:tc>
        <w:tc>
          <w:tcPr>
            <w:tcW w:w="3896" w:type="dxa"/>
            <w:gridSpan w:val="4"/>
            <w:vAlign w:val="center"/>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2021</w:t>
            </w:r>
          </w:p>
        </w:tc>
      </w:tr>
      <w:tr w:rsidR="00B20DF1" w:rsidRPr="00B20DF1" w:rsidTr="00C5758B">
        <w:trPr>
          <w:trHeight w:val="57"/>
        </w:trPr>
        <w:tc>
          <w:tcPr>
            <w:tcW w:w="1392" w:type="dxa"/>
            <w:vMerge/>
            <w:vAlign w:val="center"/>
          </w:tcPr>
          <w:p w:rsidR="00B20DF1" w:rsidRPr="00A37C99" w:rsidRDefault="00B20DF1" w:rsidP="00B20DF1">
            <w:pPr>
              <w:keepNext/>
              <w:keepLines/>
              <w:tabs>
                <w:tab w:val="right" w:leader="dot" w:pos="4156"/>
              </w:tabs>
              <w:spacing w:before="0" w:after="0"/>
              <w:contextualSpacing/>
              <w:outlineLvl w:val="4"/>
              <w:rPr>
                <w:rFonts w:eastAsia="Times New Roman" w:cs="Arial"/>
                <w:b/>
                <w:color w:val="000000"/>
                <w:szCs w:val="19"/>
              </w:rPr>
            </w:pPr>
          </w:p>
        </w:tc>
        <w:tc>
          <w:tcPr>
            <w:tcW w:w="1001"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Q1</w:t>
            </w:r>
          </w:p>
        </w:tc>
        <w:tc>
          <w:tcPr>
            <w:tcW w:w="994"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Q2</w:t>
            </w:r>
          </w:p>
        </w:tc>
        <w:tc>
          <w:tcPr>
            <w:tcW w:w="997"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Q3</w:t>
            </w:r>
          </w:p>
        </w:tc>
        <w:tc>
          <w:tcPr>
            <w:tcW w:w="1008"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Q4</w:t>
            </w:r>
          </w:p>
        </w:tc>
        <w:tc>
          <w:tcPr>
            <w:tcW w:w="1002"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Q1</w:t>
            </w:r>
          </w:p>
        </w:tc>
        <w:tc>
          <w:tcPr>
            <w:tcW w:w="969"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Q2</w:t>
            </w:r>
          </w:p>
        </w:tc>
        <w:tc>
          <w:tcPr>
            <w:tcW w:w="969"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Q3</w:t>
            </w:r>
          </w:p>
        </w:tc>
        <w:tc>
          <w:tcPr>
            <w:tcW w:w="956" w:type="dxa"/>
          </w:tcPr>
          <w:p w:rsidR="00B20DF1" w:rsidRPr="00A37C99" w:rsidRDefault="00B20DF1" w:rsidP="00B20DF1">
            <w:pPr>
              <w:jc w:val="center"/>
              <w:rPr>
                <w:rFonts w:eastAsia="Fira Sans Light" w:cs="Times New Roman"/>
                <w:color w:val="000000"/>
                <w:szCs w:val="19"/>
              </w:rPr>
            </w:pPr>
            <w:r w:rsidRPr="00A37C99">
              <w:rPr>
                <w:rFonts w:eastAsia="Fira Sans Light" w:cs="Times New Roman"/>
                <w:color w:val="000000"/>
                <w:szCs w:val="19"/>
              </w:rPr>
              <w:t>Q4</w:t>
            </w:r>
          </w:p>
        </w:tc>
      </w:tr>
      <w:tr w:rsidR="00B20DF1" w:rsidRPr="00B20DF1" w:rsidTr="00C5758B">
        <w:trPr>
          <w:trHeight w:val="567"/>
        </w:trPr>
        <w:tc>
          <w:tcPr>
            <w:tcW w:w="1392" w:type="dxa"/>
            <w:vAlign w:val="center"/>
          </w:tcPr>
          <w:p w:rsidR="00B20DF1" w:rsidRPr="00A37C99" w:rsidRDefault="00B20DF1" w:rsidP="00B20DF1">
            <w:pPr>
              <w:keepNext/>
              <w:keepLines/>
              <w:tabs>
                <w:tab w:val="right" w:leader="dot" w:pos="4156"/>
              </w:tabs>
              <w:spacing w:before="0" w:after="0"/>
              <w:contextualSpacing/>
              <w:outlineLvl w:val="4"/>
              <w:rPr>
                <w:rFonts w:eastAsia="Times New Roman" w:cs="Times New Roman"/>
                <w:b/>
                <w:color w:val="000000"/>
                <w:szCs w:val="19"/>
              </w:rPr>
            </w:pPr>
            <w:r w:rsidRPr="00A37C99">
              <w:rPr>
                <w:rFonts w:eastAsia="Times New Roman" w:cs="Times New Roman"/>
                <w:b/>
                <w:color w:val="000000"/>
                <w:szCs w:val="19"/>
              </w:rPr>
              <w:t>TOTAL</w:t>
            </w:r>
          </w:p>
        </w:tc>
        <w:tc>
          <w:tcPr>
            <w:tcW w:w="1001" w:type="dxa"/>
          </w:tcPr>
          <w:p w:rsidR="00B20DF1" w:rsidRPr="00A37C99" w:rsidRDefault="00B20DF1" w:rsidP="00B20DF1">
            <w:pPr>
              <w:jc w:val="right"/>
              <w:rPr>
                <w:rFonts w:eastAsia="Fira Sans Light" w:cs="Times New Roman"/>
                <w:b/>
                <w:bCs/>
                <w:color w:val="000000"/>
                <w:szCs w:val="19"/>
              </w:rPr>
            </w:pPr>
            <w:r w:rsidRPr="00A37C99">
              <w:rPr>
                <w:rFonts w:eastAsia="Fira Sans Light" w:cs="Times New Roman"/>
                <w:b/>
                <w:bCs/>
                <w:color w:val="000000"/>
                <w:szCs w:val="19"/>
              </w:rPr>
              <w:t>142</w:t>
            </w:r>
          </w:p>
        </w:tc>
        <w:tc>
          <w:tcPr>
            <w:tcW w:w="994" w:type="dxa"/>
          </w:tcPr>
          <w:p w:rsidR="00B20DF1" w:rsidRPr="00A37C99" w:rsidRDefault="00B20DF1" w:rsidP="00B20DF1">
            <w:pPr>
              <w:jc w:val="right"/>
              <w:rPr>
                <w:rFonts w:eastAsia="Fira Sans Light" w:cs="Times New Roman"/>
                <w:b/>
                <w:bCs/>
                <w:color w:val="000000"/>
                <w:szCs w:val="19"/>
              </w:rPr>
            </w:pPr>
            <w:r w:rsidRPr="00A37C99">
              <w:rPr>
                <w:rFonts w:eastAsia="Fira Sans Light" w:cs="Times New Roman"/>
                <w:b/>
                <w:bCs/>
                <w:color w:val="000000"/>
                <w:szCs w:val="19"/>
              </w:rPr>
              <w:t>157</w:t>
            </w:r>
          </w:p>
        </w:tc>
        <w:tc>
          <w:tcPr>
            <w:tcW w:w="997" w:type="dxa"/>
          </w:tcPr>
          <w:p w:rsidR="00B20DF1" w:rsidRPr="00A37C99" w:rsidRDefault="00B20DF1" w:rsidP="00B20DF1">
            <w:pPr>
              <w:jc w:val="right"/>
              <w:rPr>
                <w:rFonts w:eastAsia="Fira Sans Light" w:cs="Times New Roman"/>
                <w:b/>
                <w:bCs/>
                <w:color w:val="000000"/>
                <w:szCs w:val="19"/>
              </w:rPr>
            </w:pPr>
            <w:r w:rsidRPr="00A37C99">
              <w:rPr>
                <w:rFonts w:eastAsia="Fira Sans Light" w:cs="Times New Roman"/>
                <w:b/>
                <w:bCs/>
                <w:color w:val="000000"/>
                <w:szCs w:val="19"/>
              </w:rPr>
              <w:t>123</w:t>
            </w:r>
          </w:p>
        </w:tc>
        <w:tc>
          <w:tcPr>
            <w:tcW w:w="1008" w:type="dxa"/>
          </w:tcPr>
          <w:p w:rsidR="00B20DF1" w:rsidRPr="00A37C99" w:rsidRDefault="00B20DF1" w:rsidP="00B20DF1">
            <w:pPr>
              <w:jc w:val="right"/>
              <w:rPr>
                <w:rFonts w:eastAsia="Fira Sans Light" w:cs="Times New Roman"/>
                <w:b/>
                <w:bCs/>
                <w:color w:val="000000"/>
                <w:szCs w:val="19"/>
              </w:rPr>
            </w:pPr>
            <w:r w:rsidRPr="00A37C99">
              <w:rPr>
                <w:rFonts w:eastAsia="Fira Sans Light" w:cs="Times New Roman"/>
                <w:b/>
                <w:bCs/>
                <w:color w:val="000000"/>
                <w:szCs w:val="19"/>
              </w:rPr>
              <w:t>106</w:t>
            </w:r>
          </w:p>
        </w:tc>
        <w:tc>
          <w:tcPr>
            <w:tcW w:w="1002" w:type="dxa"/>
          </w:tcPr>
          <w:p w:rsidR="00B20DF1" w:rsidRPr="00A37C99" w:rsidRDefault="00B20DF1" w:rsidP="00B20DF1">
            <w:pPr>
              <w:jc w:val="right"/>
              <w:rPr>
                <w:rFonts w:eastAsia="Fira Sans Light" w:cs="Times New Roman"/>
                <w:b/>
                <w:bCs/>
                <w:color w:val="000000"/>
                <w:szCs w:val="19"/>
              </w:rPr>
            </w:pPr>
            <w:r w:rsidRPr="00A37C99">
              <w:rPr>
                <w:rFonts w:eastAsia="Fira Sans Light" w:cs="Times New Roman"/>
                <w:b/>
                <w:bCs/>
                <w:color w:val="000000"/>
                <w:szCs w:val="19"/>
              </w:rPr>
              <w:t>126</w:t>
            </w:r>
          </w:p>
        </w:tc>
        <w:tc>
          <w:tcPr>
            <w:tcW w:w="969" w:type="dxa"/>
          </w:tcPr>
          <w:p w:rsidR="00B20DF1" w:rsidRPr="00A37C99" w:rsidRDefault="00B20DF1" w:rsidP="00B20DF1">
            <w:pPr>
              <w:jc w:val="right"/>
              <w:rPr>
                <w:rFonts w:eastAsia="Fira Sans Light" w:cs="Times New Roman"/>
                <w:b/>
                <w:bCs/>
                <w:color w:val="000000"/>
                <w:szCs w:val="19"/>
              </w:rPr>
            </w:pPr>
            <w:r w:rsidRPr="00A37C99">
              <w:rPr>
                <w:rFonts w:eastAsia="Fira Sans Light" w:cs="Times New Roman"/>
                <w:b/>
                <w:bCs/>
                <w:color w:val="000000"/>
                <w:szCs w:val="19"/>
              </w:rPr>
              <w:t>84</w:t>
            </w:r>
          </w:p>
        </w:tc>
        <w:tc>
          <w:tcPr>
            <w:tcW w:w="969" w:type="dxa"/>
          </w:tcPr>
          <w:p w:rsidR="00B20DF1" w:rsidRPr="00A37C99" w:rsidRDefault="00B20DF1" w:rsidP="00B20DF1">
            <w:pPr>
              <w:jc w:val="right"/>
              <w:rPr>
                <w:rFonts w:eastAsia="Fira Sans Light" w:cs="Times New Roman"/>
                <w:b/>
                <w:bCs/>
                <w:color w:val="000000"/>
                <w:szCs w:val="19"/>
              </w:rPr>
            </w:pPr>
            <w:r w:rsidRPr="00A37C99">
              <w:rPr>
                <w:rFonts w:eastAsia="Fira Sans Light" w:cs="Times New Roman"/>
                <w:b/>
                <w:bCs/>
                <w:color w:val="000000"/>
                <w:szCs w:val="19"/>
              </w:rPr>
              <w:t>79</w:t>
            </w:r>
          </w:p>
        </w:tc>
        <w:tc>
          <w:tcPr>
            <w:tcW w:w="956" w:type="dxa"/>
          </w:tcPr>
          <w:p w:rsidR="00B20DF1" w:rsidRPr="00A37C99" w:rsidRDefault="00B20DF1" w:rsidP="00B20DF1">
            <w:pPr>
              <w:jc w:val="right"/>
              <w:rPr>
                <w:rFonts w:eastAsia="Fira Sans Light" w:cs="Times New Roman"/>
                <w:szCs w:val="19"/>
              </w:rPr>
            </w:pPr>
            <w:r w:rsidRPr="00A37C99">
              <w:rPr>
                <w:rFonts w:eastAsia="Fira Sans Light" w:cs="Times New Roman"/>
                <w:b/>
                <w:bCs/>
                <w:color w:val="000000"/>
                <w:szCs w:val="19"/>
              </w:rPr>
              <w:t>87</w:t>
            </w:r>
          </w:p>
        </w:tc>
      </w:tr>
      <w:tr w:rsidR="00B20DF1" w:rsidRPr="00B20DF1" w:rsidTr="00C5758B">
        <w:trPr>
          <w:trHeight w:val="57"/>
        </w:trPr>
        <w:tc>
          <w:tcPr>
            <w:tcW w:w="1392" w:type="dxa"/>
            <w:vAlign w:val="center"/>
          </w:tcPr>
          <w:p w:rsidR="00B20DF1" w:rsidRPr="00A37C99" w:rsidRDefault="00B20DF1" w:rsidP="00A37C99">
            <w:pPr>
              <w:keepNext/>
              <w:keepLines/>
              <w:tabs>
                <w:tab w:val="right" w:leader="dot" w:pos="4156"/>
              </w:tabs>
              <w:contextualSpacing/>
              <w:outlineLvl w:val="7"/>
              <w:rPr>
                <w:rFonts w:eastAsia="Times New Roman" w:cs="Times New Roman"/>
                <w:color w:val="000000"/>
                <w:szCs w:val="19"/>
                <w:lang w:val="en-GB"/>
              </w:rPr>
            </w:pPr>
            <w:r w:rsidRPr="00A37C99">
              <w:rPr>
                <w:rFonts w:eastAsia="Times New Roman" w:cs="Times New Roman"/>
                <w:color w:val="000000"/>
                <w:szCs w:val="19"/>
                <w:lang w:val="en-GB"/>
              </w:rPr>
              <w:t>Natural persons conducting economic activity</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39</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35</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26</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20</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28</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15</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19</w:t>
            </w:r>
          </w:p>
        </w:tc>
      </w:tr>
      <w:tr w:rsidR="00B20DF1" w:rsidRPr="00B20DF1" w:rsidTr="00C5758B">
        <w:trPr>
          <w:trHeight w:hRule="exact" w:val="567"/>
        </w:trPr>
        <w:tc>
          <w:tcPr>
            <w:tcW w:w="1392" w:type="dxa"/>
            <w:vAlign w:val="center"/>
          </w:tcPr>
          <w:p w:rsidR="00B20DF1" w:rsidRPr="00A37C99" w:rsidRDefault="00B20DF1" w:rsidP="00A37C99">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Professional partnerships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r>
      <w:tr w:rsidR="00B20DF1" w:rsidRPr="00B20DF1" w:rsidTr="00C5758B">
        <w:trPr>
          <w:trHeight w:hRule="exact" w:val="567"/>
        </w:trPr>
        <w:tc>
          <w:tcPr>
            <w:tcW w:w="1392" w:type="dxa"/>
            <w:vAlign w:val="center"/>
          </w:tcPr>
          <w:p w:rsidR="00B20DF1" w:rsidRPr="00A37C99" w:rsidRDefault="00B20DF1" w:rsidP="00A37C99">
            <w:pPr>
              <w:keepNext/>
              <w:keepLines/>
              <w:tabs>
                <w:tab w:val="right" w:leader="dot" w:pos="4156"/>
              </w:tabs>
              <w:contextualSpacing/>
              <w:outlineLvl w:val="7"/>
              <w:rPr>
                <w:rFonts w:eastAsia="Times New Roman" w:cs="Times New Roman"/>
                <w:color w:val="000000"/>
                <w:szCs w:val="19"/>
              </w:rPr>
            </w:pPr>
            <w:r w:rsidRPr="00A37C99">
              <w:rPr>
                <w:rFonts w:eastAsia="Times New Roman" w:cs="Times New Roman"/>
                <w:color w:val="000000"/>
                <w:szCs w:val="19"/>
              </w:rPr>
              <w:t>Public limited companies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11</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13</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7</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9</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3</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8</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8</w:t>
            </w:r>
          </w:p>
        </w:tc>
      </w:tr>
      <w:tr w:rsidR="00B20DF1" w:rsidRPr="00B20DF1" w:rsidTr="00C5758B">
        <w:trPr>
          <w:trHeight w:hRule="exact" w:val="795"/>
        </w:trPr>
        <w:tc>
          <w:tcPr>
            <w:tcW w:w="1392" w:type="dxa"/>
            <w:vAlign w:val="center"/>
          </w:tcPr>
          <w:p w:rsidR="00B20DF1" w:rsidRPr="00A37C99" w:rsidRDefault="00B20DF1" w:rsidP="00A37C9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Limited liability companies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80</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84</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79</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65</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82</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50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47</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50</w:t>
            </w:r>
          </w:p>
        </w:tc>
      </w:tr>
      <w:tr w:rsidR="00B20DF1" w:rsidRPr="00B20DF1" w:rsidTr="00C5758B">
        <w:trPr>
          <w:trHeight w:hRule="exact" w:val="567"/>
        </w:trPr>
        <w:tc>
          <w:tcPr>
            <w:tcW w:w="1392" w:type="dxa"/>
            <w:vAlign w:val="center"/>
          </w:tcPr>
          <w:p w:rsidR="00B20DF1" w:rsidRPr="00A37C99" w:rsidRDefault="00B20DF1" w:rsidP="00A37C99">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General partnerships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3</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7</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5</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4</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3</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3</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r>
      <w:tr w:rsidR="00B20DF1" w:rsidRPr="00B20DF1" w:rsidTr="00C5758B">
        <w:trPr>
          <w:trHeight w:hRule="exact" w:val="567"/>
        </w:trPr>
        <w:tc>
          <w:tcPr>
            <w:tcW w:w="1392" w:type="dxa"/>
            <w:vAlign w:val="center"/>
          </w:tcPr>
          <w:p w:rsidR="00B20DF1" w:rsidRPr="00A37C99" w:rsidRDefault="00B20DF1" w:rsidP="00A37C99">
            <w:pPr>
              <w:keepNext/>
              <w:keepLines/>
              <w:tabs>
                <w:tab w:val="right" w:leader="dot" w:pos="4156"/>
              </w:tabs>
              <w:contextualSpacing/>
              <w:outlineLvl w:val="8"/>
              <w:rPr>
                <w:rFonts w:eastAsia="Times New Roman" w:cs="Times New Roman"/>
                <w:iCs/>
                <w:color w:val="000000"/>
                <w:szCs w:val="19"/>
              </w:rPr>
            </w:pPr>
            <w:r w:rsidRPr="00A37C99">
              <w:rPr>
                <w:rFonts w:eastAsia="Times New Roman" w:cs="Times New Roman"/>
                <w:iCs/>
                <w:color w:val="000000"/>
                <w:szCs w:val="19"/>
              </w:rPr>
              <w:t>Limited partnerships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7</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13</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5</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8</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7</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9</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6</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7</w:t>
            </w:r>
          </w:p>
        </w:tc>
      </w:tr>
      <w:tr w:rsidR="00B20DF1" w:rsidRPr="00B20DF1" w:rsidTr="00C5758B">
        <w:trPr>
          <w:trHeight w:hRule="exact" w:val="567"/>
        </w:trPr>
        <w:tc>
          <w:tcPr>
            <w:tcW w:w="1392" w:type="dxa"/>
            <w:vAlign w:val="center"/>
          </w:tcPr>
          <w:p w:rsidR="00B20DF1" w:rsidRPr="00A37C99" w:rsidRDefault="00B20DF1" w:rsidP="00A37C99">
            <w:pPr>
              <w:tabs>
                <w:tab w:val="right" w:leader="dot" w:pos="4156"/>
              </w:tabs>
              <w:contextualSpacing/>
              <w:rPr>
                <w:rFonts w:eastAsia="Fira Sans Light" w:cs="Times New Roman"/>
                <w:color w:val="000000"/>
                <w:szCs w:val="19"/>
              </w:rPr>
            </w:pPr>
            <w:r w:rsidRPr="00A37C99">
              <w:rPr>
                <w:rFonts w:eastAsia="Fira Sans Light" w:cs="Times New Roman"/>
                <w:color w:val="000000"/>
                <w:szCs w:val="19"/>
              </w:rPr>
              <w:t>Public limited partnerships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w:t>
            </w:r>
          </w:p>
        </w:tc>
      </w:tr>
      <w:tr w:rsidR="00B20DF1" w:rsidRPr="00B20DF1" w:rsidTr="00C5758B">
        <w:trPr>
          <w:trHeight w:hRule="exact" w:val="567"/>
        </w:trPr>
        <w:tc>
          <w:tcPr>
            <w:tcW w:w="1392" w:type="dxa"/>
            <w:vAlign w:val="center"/>
          </w:tcPr>
          <w:p w:rsidR="00B20DF1" w:rsidRPr="00A37C99" w:rsidRDefault="00B20DF1" w:rsidP="00A37C9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State-owned enterprises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r>
      <w:tr w:rsidR="00B20DF1" w:rsidRPr="00B20DF1" w:rsidTr="00C5758B">
        <w:trPr>
          <w:trHeight w:hRule="exact" w:val="567"/>
        </w:trPr>
        <w:tc>
          <w:tcPr>
            <w:tcW w:w="1392" w:type="dxa"/>
            <w:vAlign w:val="center"/>
          </w:tcPr>
          <w:p w:rsidR="00B20DF1" w:rsidRPr="00A37C99" w:rsidRDefault="00B20DF1" w:rsidP="00A37C9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Cooperatives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3</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1</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2</w:t>
            </w:r>
          </w:p>
        </w:tc>
      </w:tr>
      <w:tr w:rsidR="00B20DF1" w:rsidRPr="00B20DF1" w:rsidTr="00C5758B">
        <w:trPr>
          <w:trHeight w:hRule="exact" w:val="817"/>
        </w:trPr>
        <w:tc>
          <w:tcPr>
            <w:tcW w:w="1392" w:type="dxa"/>
            <w:vAlign w:val="center"/>
          </w:tcPr>
          <w:p w:rsidR="00B20DF1" w:rsidRPr="00A37C99" w:rsidRDefault="00B20DF1" w:rsidP="00A37C99">
            <w:pPr>
              <w:keepNext/>
              <w:keepLines/>
              <w:tabs>
                <w:tab w:val="right" w:leader="dot" w:pos="4156"/>
              </w:tabs>
              <w:contextualSpacing/>
              <w:outlineLvl w:val="1"/>
              <w:rPr>
                <w:rFonts w:eastAsia="Times New Roman" w:cs="Times New Roman"/>
                <w:color w:val="000000"/>
                <w:szCs w:val="19"/>
              </w:rPr>
            </w:pPr>
            <w:r w:rsidRPr="00A37C99">
              <w:rPr>
                <w:rFonts w:eastAsia="Times New Roman" w:cs="Times New Roman"/>
                <w:color w:val="000000"/>
                <w:szCs w:val="19"/>
              </w:rPr>
              <w:t>Branches of foreign enterprises</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r>
      <w:tr w:rsidR="00B20DF1" w:rsidRPr="00B20DF1" w:rsidTr="00C5758B">
        <w:trPr>
          <w:trHeight w:hRule="exact" w:val="1209"/>
        </w:trPr>
        <w:tc>
          <w:tcPr>
            <w:tcW w:w="1392" w:type="dxa"/>
            <w:vAlign w:val="center"/>
          </w:tcPr>
          <w:p w:rsidR="00B20DF1" w:rsidRPr="00A37C99" w:rsidRDefault="00B20DF1" w:rsidP="00A37C99">
            <w:pPr>
              <w:keepNext/>
              <w:keepLines/>
              <w:tabs>
                <w:tab w:val="right" w:leader="dot" w:pos="4156"/>
              </w:tabs>
              <w:contextualSpacing/>
              <w:outlineLvl w:val="1"/>
              <w:rPr>
                <w:rFonts w:eastAsia="Times New Roman" w:cs="Times New Roman"/>
                <w:color w:val="000000"/>
                <w:szCs w:val="19"/>
                <w:lang w:val="en-GB"/>
              </w:rPr>
            </w:pPr>
            <w:r w:rsidRPr="00A37C99">
              <w:rPr>
                <w:rFonts w:eastAsia="Times New Roman" w:cs="Times New Roman"/>
                <w:color w:val="000000"/>
                <w:szCs w:val="19"/>
                <w:lang w:val="en-GB"/>
              </w:rPr>
              <w:t xml:space="preserve">Others, including without specific legal form </w:t>
            </w:r>
            <w:r w:rsidRPr="00A37C99">
              <w:rPr>
                <w:rFonts w:eastAsia="Times New Roman" w:cs="Times New Roman"/>
                <w:color w:val="000000"/>
                <w:szCs w:val="19"/>
                <w:vertAlign w:val="superscript"/>
                <w:lang w:val="en-GB"/>
              </w:rPr>
              <w:footnoteReference w:customMarkFollows="1" w:id="2"/>
              <w:t>*</w:t>
            </w:r>
          </w:p>
        </w:tc>
        <w:tc>
          <w:tcPr>
            <w:tcW w:w="1001"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4"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97"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8"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1002"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69"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c>
          <w:tcPr>
            <w:tcW w:w="956" w:type="dxa"/>
          </w:tcPr>
          <w:p w:rsidR="00B20DF1" w:rsidRPr="00A37C99" w:rsidRDefault="00B20DF1" w:rsidP="00B20DF1">
            <w:pPr>
              <w:jc w:val="right"/>
              <w:rPr>
                <w:rFonts w:eastAsia="Fira Sans Light" w:cs="Times New Roman"/>
                <w:bCs/>
                <w:color w:val="000000"/>
                <w:szCs w:val="19"/>
              </w:rPr>
            </w:pPr>
            <w:r w:rsidRPr="00A37C99">
              <w:rPr>
                <w:rFonts w:eastAsia="Fira Sans Light" w:cs="Times New Roman"/>
                <w:bCs/>
                <w:color w:val="000000"/>
                <w:szCs w:val="19"/>
              </w:rPr>
              <w:t>0</w:t>
            </w:r>
          </w:p>
        </w:tc>
      </w:tr>
    </w:tbl>
    <w:p w:rsidR="00B20DF1" w:rsidRPr="00B20DF1" w:rsidRDefault="00B20DF1" w:rsidP="00B20DF1">
      <w:pPr>
        <w:rPr>
          <w:rFonts w:eastAsia="Fira Sans Light" w:cs="Times New Roman"/>
          <w:shd w:val="clear" w:color="auto" w:fill="FFFFFF"/>
        </w:rPr>
      </w:pPr>
    </w:p>
    <w:p w:rsidR="00B20DF1" w:rsidRPr="00B20DF1" w:rsidRDefault="00B20DF1" w:rsidP="00B20DF1">
      <w:pPr>
        <w:rPr>
          <w:rFonts w:eastAsia="Fira Sans Light" w:cs="Times New Roman"/>
        </w:rPr>
      </w:pPr>
    </w:p>
    <w:p w:rsidR="00DA331D" w:rsidRDefault="00DA331D" w:rsidP="00DA331D">
      <w:pPr>
        <w:spacing w:before="360"/>
        <w:rPr>
          <w:sz w:val="18"/>
        </w:rPr>
      </w:pPr>
    </w:p>
    <w:p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r>
              <w:rPr>
                <w:rFonts w:cs="Arial"/>
                <w:sz w:val="20"/>
              </w:rPr>
              <w:lastRenderedPageBreak/>
              <w:t>Prepared by</w:t>
            </w:r>
            <w:r w:rsidR="00DE2400" w:rsidRPr="004A1D19">
              <w:rPr>
                <w:rFonts w:cs="Arial"/>
                <w:sz w:val="20"/>
              </w:rPr>
              <w:t>:</w:t>
            </w:r>
          </w:p>
          <w:p w:rsidR="00DE2400" w:rsidRPr="008925F0" w:rsidRDefault="00A32EBB" w:rsidP="00DE2400">
            <w:pPr>
              <w:spacing w:before="0" w:line="276" w:lineRule="auto"/>
              <w:rPr>
                <w:rFonts w:cs="Arial"/>
                <w:b/>
                <w:color w:val="000000" w:themeColor="text1"/>
                <w:sz w:val="20"/>
              </w:rPr>
            </w:pPr>
            <w:r w:rsidRPr="002076C1">
              <w:rPr>
                <w:rFonts w:cs="Arial"/>
                <w:b/>
                <w:color w:val="000000" w:themeColor="text1"/>
                <w:sz w:val="20"/>
                <w:lang w:val="en-GB"/>
              </w:rPr>
              <w:t>Enterprises</w:t>
            </w:r>
            <w:r w:rsidR="006C197A">
              <w:rPr>
                <w:rFonts w:cs="Arial"/>
                <w:b/>
                <w:color w:val="000000" w:themeColor="text1"/>
                <w:sz w:val="20"/>
              </w:rPr>
              <w:t xml:space="preserve"> </w:t>
            </w:r>
            <w:r w:rsidR="00DE2400" w:rsidRPr="008925F0">
              <w:rPr>
                <w:rFonts w:cs="Arial"/>
                <w:b/>
                <w:color w:val="000000" w:themeColor="text1"/>
                <w:sz w:val="20"/>
              </w:rPr>
              <w:t>Department</w:t>
            </w:r>
          </w:p>
          <w:p w:rsidR="00DE2400" w:rsidRPr="00DE2400" w:rsidRDefault="00DE2400" w:rsidP="00B20DF1">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32EBB" w:rsidRPr="002076C1">
              <w:rPr>
                <w:rFonts w:cs="Arial"/>
                <w:b/>
                <w:color w:val="000000" w:themeColor="text1"/>
                <w:sz w:val="20"/>
                <w:lang w:val="en-GB"/>
              </w:rPr>
              <w:t>Katarzyna Walkowska</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32EBB">
              <w:rPr>
                <w:rFonts w:ascii="Fira Sans" w:hAnsi="Fira Sans" w:cs="Arial"/>
                <w:color w:val="000000" w:themeColor="text1"/>
                <w:sz w:val="20"/>
                <w:lang w:val="fi-FI"/>
              </w:rPr>
              <w:t xml:space="preserve">608 31 </w:t>
            </w:r>
            <w:r w:rsidR="00A32EBB" w:rsidRPr="003B1DCD">
              <w:rPr>
                <w:rFonts w:ascii="Fira Sans" w:hAnsi="Fira Sans" w:cs="Arial"/>
                <w:color w:val="000000" w:themeColor="text1"/>
                <w:sz w:val="20"/>
                <w:lang w:val="fi-FI"/>
              </w:rPr>
              <w:t>25</w:t>
            </w:r>
          </w:p>
        </w:tc>
        <w:tc>
          <w:tcPr>
            <w:tcW w:w="4927" w:type="dxa"/>
          </w:tcPr>
          <w:p w:rsidR="00DE2400" w:rsidRPr="004A1D19" w:rsidRDefault="006C197A" w:rsidP="00DE2400">
            <w:pPr>
              <w:spacing w:before="0" w:line="276" w:lineRule="auto"/>
              <w:rPr>
                <w:rFonts w:cs="Arial"/>
                <w:b/>
                <w:sz w:val="20"/>
              </w:rPr>
            </w:pPr>
            <w:r>
              <w:rPr>
                <w:rFonts w:cs="Arial"/>
                <w:sz w:val="20"/>
              </w:rPr>
              <w:t>Issued by</w:t>
            </w:r>
            <w:r w:rsidR="00DE2400" w:rsidRPr="004A1D19">
              <w:rPr>
                <w:rFonts w:cs="Arial"/>
                <w:sz w:val="20"/>
              </w:rPr>
              <w:t>:</w:t>
            </w:r>
            <w:r w:rsidR="00DE2400" w:rsidRPr="004A1D19">
              <w:rPr>
                <w:rFonts w:cs="Arial"/>
                <w:sz w:val="20"/>
              </w:rPr>
              <w:br/>
            </w:r>
            <w:r w:rsidRPr="006C197A">
              <w:rPr>
                <w:rFonts w:cs="Arial"/>
                <w:b/>
                <w:sz w:val="20"/>
              </w:rPr>
              <w:t>The Spokesperson for the President</w:t>
            </w:r>
            <w:r w:rsidR="00FA4D6D">
              <w:rPr>
                <w:rFonts w:cs="Arial"/>
                <w:b/>
                <w:sz w:val="20"/>
              </w:rPr>
              <w:br/>
            </w:r>
            <w:r w:rsidRPr="006C197A">
              <w:rPr>
                <w:rFonts w:cs="Arial"/>
                <w:b/>
                <w:sz w:val="20"/>
              </w:rPr>
              <w:t>of Statistics Poland</w:t>
            </w:r>
          </w:p>
          <w:p w:rsidR="00DE2400" w:rsidRPr="004A1D19" w:rsidRDefault="00DE2400" w:rsidP="00B20DF1">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B20DF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B20DF1">
            <w:pPr>
              <w:rPr>
                <w:sz w:val="18"/>
              </w:rPr>
            </w:pPr>
          </w:p>
        </w:tc>
      </w:tr>
      <w:tr w:rsidR="00DE2400" w:rsidTr="009E7D31">
        <w:trPr>
          <w:trHeight w:val="418"/>
        </w:trPr>
        <w:tc>
          <w:tcPr>
            <w:tcW w:w="4926" w:type="dxa"/>
            <w:vMerge w:val="restart"/>
          </w:tcPr>
          <w:p w:rsidR="00DE2400" w:rsidRPr="00C91687" w:rsidRDefault="002021A6" w:rsidP="00B20DF1">
            <w:pPr>
              <w:rPr>
                <w:b/>
                <w:sz w:val="20"/>
              </w:rPr>
            </w:pPr>
            <w:r>
              <w:rPr>
                <w:b/>
                <w:sz w:val="20"/>
              </w:rPr>
              <w:t>Press Office</w:t>
            </w:r>
            <w:r w:rsidR="00DE2400" w:rsidRPr="00C91687">
              <w:rPr>
                <w:b/>
                <w:sz w:val="20"/>
              </w:rPr>
              <w:t xml:space="preserve"> </w:t>
            </w:r>
          </w:p>
          <w:p w:rsidR="00DE2400" w:rsidRPr="00C91687" w:rsidRDefault="002021A6" w:rsidP="00B20DF1">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B20DF1">
            <w:pPr>
              <w:rPr>
                <w:sz w:val="18"/>
                <w:lang w:val="en-US"/>
              </w:rPr>
            </w:pPr>
            <w:r w:rsidRPr="00A82D31">
              <w:rPr>
                <w:b/>
                <w:sz w:val="20"/>
                <w:lang w:val="en-GB"/>
              </w:rPr>
              <w:t>e-mail:</w:t>
            </w:r>
            <w:r w:rsidRPr="00A82D31">
              <w:rPr>
                <w:sz w:val="20"/>
                <w:lang w:val="en-GB"/>
              </w:rPr>
              <w:t xml:space="preserve"> </w:t>
            </w:r>
            <w:hyperlink r:id="rId21"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B20DF1">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B20DF1">
            <w:pPr>
              <w:shd w:val="clear" w:color="auto" w:fill="D9D9D9" w:themeFill="background1" w:themeFillShade="D9"/>
              <w:rPr>
                <w:b/>
              </w:rPr>
            </w:pPr>
            <w:r>
              <w:rPr>
                <w:b/>
              </w:rPr>
              <w:t>Related information</w:t>
            </w:r>
          </w:p>
          <w:p w:rsidR="00A32EBB" w:rsidRDefault="00A32EBB" w:rsidP="00B20DF1">
            <w:pPr>
              <w:rPr>
                <w:rFonts w:cs="Times New Roman"/>
              </w:rPr>
            </w:pPr>
          </w:p>
          <w:p w:rsidR="00A32EBB" w:rsidRPr="00C64F0C" w:rsidRDefault="000F4409" w:rsidP="00A32EBB">
            <w:pPr>
              <w:rPr>
                <w:rStyle w:val="Hipercze"/>
                <w:sz w:val="18"/>
                <w:szCs w:val="18"/>
              </w:rPr>
            </w:pPr>
            <w:hyperlink r:id="rId28" w:tooltip="Registrations and bankruptcies of enterprises in the firdt quarter of 2021" w:history="1">
              <w:r w:rsidR="00A32EBB" w:rsidRPr="00C64F0C">
                <w:rPr>
                  <w:rStyle w:val="Hipercze"/>
                  <w:sz w:val="18"/>
                  <w:szCs w:val="18"/>
                </w:rPr>
                <w:t>Registrations and bankruptcies of enterprises in the first quarter of 2021</w:t>
              </w:r>
            </w:hyperlink>
          </w:p>
          <w:p w:rsidR="00A32EBB" w:rsidRPr="00C64F0C" w:rsidRDefault="00A32EBB" w:rsidP="00A32EBB">
            <w:pPr>
              <w:rPr>
                <w:rStyle w:val="Hipercze"/>
                <w:sz w:val="18"/>
                <w:szCs w:val="18"/>
              </w:rPr>
            </w:pPr>
            <w:r w:rsidRPr="00C64F0C">
              <w:rPr>
                <w:rStyle w:val="Hipercze"/>
                <w:sz w:val="18"/>
                <w:szCs w:val="18"/>
              </w:rPr>
              <w:fldChar w:fldCharType="begin"/>
            </w:r>
            <w:r w:rsidRPr="00C64F0C">
              <w:rPr>
                <w:rStyle w:val="Hipercze"/>
                <w:sz w:val="18"/>
                <w:szCs w:val="18"/>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C64F0C">
              <w:rPr>
                <w:rStyle w:val="Hipercze"/>
                <w:sz w:val="18"/>
                <w:szCs w:val="18"/>
              </w:rPr>
              <w:t>Registrations and bankruptcies of enterprises in the second quarter of 2021</w:t>
            </w:r>
          </w:p>
          <w:p w:rsidR="00DE2400" w:rsidRPr="00C64F0C" w:rsidRDefault="00A32EBB" w:rsidP="00A32EBB">
            <w:pPr>
              <w:rPr>
                <w:rStyle w:val="Hipercze"/>
                <w:sz w:val="18"/>
                <w:szCs w:val="18"/>
              </w:rPr>
            </w:pPr>
            <w:r w:rsidRPr="00C64F0C">
              <w:rPr>
                <w:rStyle w:val="Hipercze"/>
                <w:sz w:val="18"/>
                <w:szCs w:val="18"/>
              </w:rPr>
              <w:fldChar w:fldCharType="end"/>
            </w:r>
            <w:r w:rsidR="00CF18EE" w:rsidRPr="00C64F0C">
              <w:rPr>
                <w:rFonts w:cs="Times New Roman"/>
                <w:sz w:val="18"/>
                <w:szCs w:val="18"/>
              </w:rPr>
              <w:fldChar w:fldCharType="begin"/>
            </w:r>
            <w:r w:rsidRPr="00C64F0C">
              <w:rPr>
                <w:rFonts w:cs="Times New Roman"/>
                <w:sz w:val="18"/>
                <w:szCs w:val="18"/>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00CF18EE" w:rsidRPr="00C64F0C">
              <w:rPr>
                <w:rFonts w:cs="Times New Roman"/>
                <w:sz w:val="18"/>
                <w:szCs w:val="18"/>
              </w:rPr>
              <w:fldChar w:fldCharType="separate"/>
            </w:r>
            <w:r w:rsidRPr="00C64F0C">
              <w:rPr>
                <w:rStyle w:val="Hipercze"/>
                <w:sz w:val="18"/>
                <w:szCs w:val="18"/>
              </w:rPr>
              <w:t>Registrations and bankruptcies of enterprises in the third quarter of 2021</w:t>
            </w:r>
            <w:r w:rsidR="00B16871" w:rsidRPr="00C64F0C">
              <w:rPr>
                <w:rStyle w:val="Hipercze"/>
                <w:sz w:val="18"/>
                <w:szCs w:val="18"/>
              </w:rPr>
              <w:t xml:space="preserve"> </w:t>
            </w:r>
            <w:r w:rsidR="00DE2400" w:rsidRPr="00C64F0C">
              <w:rPr>
                <w:rStyle w:val="Hipercze"/>
                <w:sz w:val="18"/>
                <w:szCs w:val="18"/>
              </w:rPr>
              <w:t xml:space="preserve"> </w:t>
            </w:r>
          </w:p>
          <w:p w:rsidR="00A32EBB" w:rsidRPr="00A32EBB" w:rsidRDefault="00CF18EE" w:rsidP="00A32EBB">
            <w:pPr>
              <w:rPr>
                <w:rStyle w:val="Hipercze"/>
                <w:rFonts w:cstheme="minorBidi"/>
                <w:b/>
                <w:color w:val="000000" w:themeColor="text1"/>
                <w:szCs w:val="24"/>
                <w:u w:val="none"/>
              </w:rPr>
            </w:pPr>
            <w:r w:rsidRPr="00C64F0C">
              <w:rPr>
                <w:rFonts w:cs="Times New Roman"/>
                <w:sz w:val="18"/>
                <w:szCs w:val="18"/>
              </w:rPr>
              <w:fldChar w:fldCharType="end"/>
            </w:r>
          </w:p>
          <w:p w:rsidR="00A32EBB" w:rsidRPr="00A32EBB" w:rsidRDefault="00A32EBB" w:rsidP="00A32EBB">
            <w:pPr>
              <w:rPr>
                <w:rStyle w:val="Hipercze"/>
                <w:rFonts w:cstheme="minorBidi"/>
                <w:b/>
                <w:color w:val="000000" w:themeColor="text1"/>
                <w:szCs w:val="24"/>
                <w:u w:val="none"/>
              </w:rPr>
            </w:pPr>
            <w:r w:rsidRPr="00A32EBB">
              <w:rPr>
                <w:rStyle w:val="Hipercze"/>
                <w:rFonts w:cstheme="minorBidi"/>
                <w:b/>
                <w:color w:val="000000" w:themeColor="text1"/>
                <w:szCs w:val="24"/>
                <w:u w:val="none"/>
              </w:rPr>
              <w:t xml:space="preserve"> </w:t>
            </w:r>
          </w:p>
          <w:p w:rsidR="00DE2400" w:rsidRPr="00A32EBB" w:rsidRDefault="00DE2400" w:rsidP="00A32EBB">
            <w:pPr>
              <w:shd w:val="clear" w:color="auto" w:fill="D9D9D9" w:themeFill="background1" w:themeFillShade="D9"/>
              <w:spacing w:before="360"/>
              <w:rPr>
                <w:rStyle w:val="Hipercze"/>
                <w:rFonts w:cstheme="minorBidi"/>
                <w:b/>
                <w:color w:val="000000" w:themeColor="text1"/>
                <w:szCs w:val="24"/>
                <w:u w:val="none"/>
              </w:rPr>
            </w:pPr>
          </w:p>
          <w:p w:rsidR="00DE2400" w:rsidRDefault="00DE2400" w:rsidP="00B20DF1">
            <w:pPr>
              <w:rPr>
                <w:b/>
                <w:color w:val="000000" w:themeColor="text1"/>
                <w:szCs w:val="24"/>
                <w:lang w:val="en-GB"/>
              </w:rPr>
            </w:pPr>
          </w:p>
          <w:p w:rsidR="00DE2400" w:rsidRDefault="00DE2400" w:rsidP="00B20DF1">
            <w:pPr>
              <w:rPr>
                <w:b/>
                <w:color w:val="000000" w:themeColor="text1"/>
                <w:szCs w:val="24"/>
                <w:lang w:val="en-GB"/>
              </w:rPr>
            </w:pPr>
          </w:p>
          <w:p w:rsidR="00DE2400" w:rsidRPr="00876479" w:rsidRDefault="00DE2400" w:rsidP="00B20DF1">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409" w:rsidRDefault="000F4409" w:rsidP="000662E2">
      <w:pPr>
        <w:spacing w:after="0" w:line="240" w:lineRule="auto"/>
      </w:pPr>
      <w:r>
        <w:separator/>
      </w:r>
    </w:p>
  </w:endnote>
  <w:endnote w:type="continuationSeparator" w:id="0">
    <w:p w:rsidR="000F4409" w:rsidRDefault="000F440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F9167CD-5AC6-4632-85E8-E99DCB3DECDB}"/>
    <w:embedBold r:id="rId2" w:fontKey="{D8616635-B142-4856-9DC6-A3FC800DF90F}"/>
    <w:embedItalic r:id="rId3" w:fontKey="{1C95FE2C-0D89-4349-B99B-45FE0BABAF04}"/>
  </w:font>
  <w:font w:name="Fira Sans Light">
    <w:panose1 w:val="020B0403050000020004"/>
    <w:charset w:val="EE"/>
    <w:family w:val="swiss"/>
    <w:pitch w:val="variable"/>
    <w:sig w:usb0="600002FF" w:usb1="02000001" w:usb2="00000000" w:usb3="00000000" w:csb0="0000019F" w:csb1="00000000"/>
    <w:embedRegular r:id="rId4" w:fontKey="{3F997E77-E97C-4F4D-8C12-D9648BC1E83A}"/>
    <w:embedBold r:id="rId5" w:fontKey="{3E16CBE0-C5CA-4873-854C-EE9D23BCF1D5}"/>
    <w:embedItalic r:id="rId6" w:fontKey="{64E766F2-A052-4EC4-84EC-646AE099A094}"/>
  </w:font>
  <w:font w:name="Fira Sans SemiBold">
    <w:panose1 w:val="020B0603050000020004"/>
    <w:charset w:val="EE"/>
    <w:family w:val="swiss"/>
    <w:pitch w:val="variable"/>
    <w:sig w:usb0="600002FF" w:usb1="02000001" w:usb2="00000000" w:usb3="00000000" w:csb0="0000019F" w:csb1="00000000"/>
    <w:embedRegular r:id="rId7" w:fontKey="{7621DC75-E0C8-4C27-AC00-8775D8352EBD}"/>
    <w:embedBold r:id="rId8" w:fontKey="{3F26DE31-0AF5-44E5-BF28-AB3056478F89}"/>
  </w:font>
  <w:font w:name="Fira Sans Medium">
    <w:panose1 w:val="020B0603050000020004"/>
    <w:charset w:val="EE"/>
    <w:family w:val="swiss"/>
    <w:pitch w:val="variable"/>
    <w:sig w:usb0="600002FF" w:usb1="02000001" w:usb2="00000000" w:usb3="00000000" w:csb0="0000019F" w:csb1="00000000"/>
    <w:embedRegular r:id="rId9" w:fontKey="{0A9CC966-7A7B-4E53-AD0D-6BF693F99826}"/>
    <w:embedBold r:id="rId10" w:fontKey="{E6D0EE5B-5167-4BA4-9D22-28AC3173922A}"/>
    <w:embedItalic r:id="rId11" w:fontKey="{DF0634B9-031A-4023-85E9-CBB5FA2100FA}"/>
  </w:font>
  <w:font w:name="Segoe UI">
    <w:panose1 w:val="020B0502040204020203"/>
    <w:charset w:val="EE"/>
    <w:family w:val="swiss"/>
    <w:pitch w:val="variable"/>
    <w:sig w:usb0="E4002EFF" w:usb1="C000E47F" w:usb2="00000009" w:usb3="00000000" w:csb0="000001FF" w:csb1="00000000"/>
    <w:embedRegular r:id="rId12" w:fontKey="{0F5AB738-3A20-4431-81B4-0AE77636EAFF}"/>
  </w:font>
  <w:font w:name="Fira Sans Extra Condensed SemiB">
    <w:panose1 w:val="020B0603050000020004"/>
    <w:charset w:val="EE"/>
    <w:family w:val="swiss"/>
    <w:pitch w:val="variable"/>
    <w:sig w:usb0="600002FF" w:usb1="00000001" w:usb2="00000000" w:usb3="00000000" w:csb0="0000019F" w:csb1="00000000"/>
    <w:embedRegular r:id="rId13" w:fontKey="{FA0161E0-4CEF-4191-80E3-C6294C3F02CB}"/>
  </w:font>
  <w:font w:name="Calibri">
    <w:panose1 w:val="020F0502020204030204"/>
    <w:charset w:val="EE"/>
    <w:family w:val="swiss"/>
    <w:pitch w:val="variable"/>
    <w:sig w:usb0="E0002EFF" w:usb1="C000247B" w:usb2="00000009" w:usb3="00000000" w:csb0="000001FF" w:csb1="00000000"/>
    <w:embedRegular r:id="rId14" w:fontKey="{2BDC4489-1244-4618-B280-5024BFD588F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7996"/>
      <w:docPartObj>
        <w:docPartGallery w:val="Page Numbers (Bottom of Page)"/>
        <w:docPartUnique/>
      </w:docPartObj>
    </w:sdtPr>
    <w:sdtEndPr/>
    <w:sdtContent>
      <w:p w:rsidR="00054E00" w:rsidRDefault="00054E00" w:rsidP="003B18B6">
        <w:pPr>
          <w:pStyle w:val="Stopka"/>
          <w:jc w:val="center"/>
        </w:pPr>
        <w:r>
          <w:fldChar w:fldCharType="begin"/>
        </w:r>
        <w:r>
          <w:instrText>PAGE   \* MERGEFORMAT</w:instrText>
        </w:r>
        <w:r>
          <w:fldChar w:fldCharType="separate"/>
        </w:r>
        <w:r w:rsidR="005F06F0">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15404"/>
      <w:docPartObj>
        <w:docPartGallery w:val="Page Numbers (Bottom of Page)"/>
        <w:docPartUnique/>
      </w:docPartObj>
    </w:sdtPr>
    <w:sdtEndPr/>
    <w:sdtContent>
      <w:p w:rsidR="00054E00" w:rsidRDefault="00054E00" w:rsidP="003B18B6">
        <w:pPr>
          <w:pStyle w:val="Stopka"/>
          <w:jc w:val="center"/>
        </w:pPr>
        <w:r>
          <w:fldChar w:fldCharType="begin"/>
        </w:r>
        <w:r>
          <w:instrText>PAGE   \* MERGEFORMAT</w:instrText>
        </w:r>
        <w:r>
          <w:fldChar w:fldCharType="separate"/>
        </w:r>
        <w:r w:rsidR="005F06F0">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054E00" w:rsidRDefault="00054E00" w:rsidP="003B18B6">
        <w:pPr>
          <w:pStyle w:val="Stopka"/>
          <w:jc w:val="center"/>
        </w:pPr>
        <w:r>
          <w:fldChar w:fldCharType="begin"/>
        </w:r>
        <w:r>
          <w:instrText>PAGE   \* MERGEFORMAT</w:instrText>
        </w:r>
        <w:r>
          <w:fldChar w:fldCharType="separate"/>
        </w:r>
        <w:r w:rsidR="005F06F0">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409" w:rsidRDefault="000F4409" w:rsidP="000662E2">
      <w:pPr>
        <w:spacing w:after="0" w:line="240" w:lineRule="auto"/>
      </w:pPr>
      <w:r>
        <w:separator/>
      </w:r>
    </w:p>
  </w:footnote>
  <w:footnote w:type="continuationSeparator" w:id="0">
    <w:p w:rsidR="000F4409" w:rsidRDefault="000F4409" w:rsidP="000662E2">
      <w:pPr>
        <w:spacing w:after="0" w:line="240" w:lineRule="auto"/>
      </w:pPr>
      <w:r>
        <w:continuationSeparator/>
      </w:r>
    </w:p>
  </w:footnote>
  <w:footnote w:id="1">
    <w:p w:rsidR="00054E00" w:rsidRPr="00A37C99" w:rsidRDefault="00054E00" w:rsidP="00B20DF1">
      <w:pPr>
        <w:pStyle w:val="Tekstprzypisudolnego"/>
        <w:rPr>
          <w:sz w:val="19"/>
          <w:szCs w:val="19"/>
          <w:lang w:val="en-GB"/>
        </w:rPr>
      </w:pPr>
      <w:r w:rsidRPr="00A37C99">
        <w:rPr>
          <w:rStyle w:val="Odwoanieprzypisudolnego"/>
          <w:sz w:val="19"/>
          <w:szCs w:val="19"/>
        </w:rPr>
        <w:sym w:font="Symbol" w:char="F02A"/>
      </w:r>
      <w:r w:rsidRPr="00A37C99">
        <w:rPr>
          <w:sz w:val="19"/>
          <w:szCs w:val="19"/>
          <w:lang w:val="en-GB"/>
        </w:rPr>
        <w:t xml:space="preserve"> </w:t>
      </w:r>
      <w:r w:rsidRPr="00A37C99">
        <w:rPr>
          <w:color w:val="000000"/>
          <w:sz w:val="19"/>
          <w:szCs w:val="19"/>
          <w:lang w:val="en-GB"/>
        </w:rPr>
        <w:t xml:space="preserve">”Others, including without specific legal form” includes </w:t>
      </w:r>
      <w:r w:rsidRPr="00A37C99">
        <w:rPr>
          <w:sz w:val="19"/>
          <w:szCs w:val="19"/>
          <w:lang w:val="en-GB"/>
        </w:rPr>
        <w:t>the following legal forms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rsidR="00054E00" w:rsidRPr="00C64F0C" w:rsidRDefault="00054E00" w:rsidP="00B20DF1">
      <w:pPr>
        <w:pStyle w:val="Nagwek2"/>
        <w:tabs>
          <w:tab w:val="right" w:leader="dot" w:pos="4156"/>
        </w:tabs>
        <w:spacing w:before="0"/>
        <w:contextualSpacing/>
        <w:rPr>
          <w:sz w:val="19"/>
          <w:szCs w:val="19"/>
          <w:lang w:val="en-GB"/>
        </w:rPr>
      </w:pPr>
      <w:r w:rsidRPr="00C64F0C">
        <w:rPr>
          <w:rFonts w:ascii="Fira Sans" w:hAnsi="Fira Sans"/>
          <w:color w:val="000000"/>
          <w:sz w:val="19"/>
          <w:szCs w:val="19"/>
          <w:lang w:val="en-GB"/>
        </w:rPr>
        <w:t>* ”Others, including without specific legal form” includes the following legal forms: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E00" w:rsidRDefault="00054E00">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5CC55AFA" wp14:editId="4772A930">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E00" w:rsidRDefault="00054E00">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4E00" w:rsidRPr="003C6C8D" w:rsidRDefault="00054E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054E00" w:rsidRPr="003C6C8D" w:rsidRDefault="00054E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rsidR="00054E00" w:rsidRDefault="00054E00">
    <w:pPr>
      <w:pStyle w:val="Nagwek"/>
      <w:rPr>
        <w:noProof/>
        <w:lang w:eastAsia="pl-PL"/>
      </w:rPr>
    </w:pPr>
  </w:p>
  <w:p w:rsidR="00054E00" w:rsidRDefault="00054E00">
    <w:pPr>
      <w:pStyle w:val="Nagwek"/>
      <w:rPr>
        <w:noProof/>
        <w:lang w:eastAsia="pl-PL"/>
      </w:rPr>
    </w:pPr>
  </w:p>
  <w:p w:rsidR="00054E00" w:rsidRDefault="00054E00">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22C7C8C">
              <wp:simplePos x="0" y="0"/>
              <wp:positionH relativeFrom="column">
                <wp:posOffset>5287976</wp:posOffset>
              </wp:positionH>
              <wp:positionV relativeFrom="paragraph">
                <wp:posOffset>266065</wp:posOffset>
              </wp:positionV>
              <wp:extent cx="1432293" cy="336589"/>
              <wp:effectExtent l="0" t="0" r="0" b="6350"/>
              <wp:wrapNone/>
              <wp:docPr id="8" name="Pole tekstowe 2" descr="10.0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054E00" w:rsidRPr="00A01B40" w:rsidRDefault="00054E00" w:rsidP="00F049AB">
                          <w:pPr>
                            <w:pStyle w:val="Datainformacjisygnalnej"/>
                          </w:pPr>
                          <w:r>
                            <w:t>10.02.2022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0" type="#_x0000_t202" alt="10.02.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54mBx0CAAARBAAADgAAAAAAAAAAAAAAAAAuAgAAZHJzL2Uyb0RvYy54bWxQSwEC&#10;LQAUAAYACAAAACEAtMlX394AAAAKAQAADwAAAAAAAAAAAAAAAAB3BAAAZHJzL2Rvd25yZXYueG1s&#10;UEsFBgAAAAAEAAQA8wAAAIIFAAAAAA==&#10;" filled="f" stroked="f">
              <v:textbox>
                <w:txbxContent>
                  <w:p w:rsidR="00054E00" w:rsidRPr="00A01B40" w:rsidRDefault="00054E00" w:rsidP="00F049AB">
                    <w:pPr>
                      <w:pStyle w:val="Datainformacjisygnalnej"/>
                    </w:pPr>
                    <w:r>
                      <w:t>10.02.2022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E00" w:rsidRDefault="00054E00" w:rsidP="00B20DF1">
    <w:pPr>
      <w:pStyle w:val="Nagwek"/>
      <w:tabs>
        <w:tab w:val="clear" w:pos="4536"/>
        <w:tab w:val="clear" w:pos="9072"/>
        <w:tab w:val="left" w:pos="2696"/>
      </w:tabs>
      <w:rPr>
        <w:noProof/>
        <w:lang w:eastAsia="pl-PL"/>
      </w:rPr>
    </w:pPr>
    <w:r>
      <w:rPr>
        <w:noProof/>
        <w:lang w:eastAsia="pl-PL"/>
      </w:rPr>
      <w:tab/>
    </w:r>
  </w:p>
  <w:p w:rsidR="00054E00" w:rsidRDefault="00054E00">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E00" w:rsidRDefault="00054E00">
    <w:pPr>
      <w:pStyle w:val="Nagwek"/>
      <w:rPr>
        <w:noProof/>
        <w:lang w:eastAsia="pl-P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E00" w:rsidRDefault="00054E00">
    <w:pPr>
      <w:pStyle w:val="Nagwek"/>
    </w:pPr>
  </w:p>
  <w:p w:rsidR="00054E00" w:rsidRDefault="00054E0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25pt;height:125pt;visibility:visible;mso-wrap-style:square" o:bullet="t">
        <v:imagedata r:id="rId1" o:title=""/>
      </v:shape>
    </w:pict>
  </w:numPicBullet>
  <w:numPicBullet w:numPicBulletId="1">
    <w:pict>
      <v:shape id="_x0000_i1029" type="#_x0000_t75" style="width:123.85pt;height:1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839"/>
    <w:rsid w:val="00001862"/>
    <w:rsid w:val="00001C5B"/>
    <w:rsid w:val="00003437"/>
    <w:rsid w:val="0000709F"/>
    <w:rsid w:val="000108B8"/>
    <w:rsid w:val="000152F5"/>
    <w:rsid w:val="00021CD0"/>
    <w:rsid w:val="0004582E"/>
    <w:rsid w:val="000470AA"/>
    <w:rsid w:val="00054E00"/>
    <w:rsid w:val="00057CA1"/>
    <w:rsid w:val="000647A9"/>
    <w:rsid w:val="000662E2"/>
    <w:rsid w:val="00066883"/>
    <w:rsid w:val="00071B39"/>
    <w:rsid w:val="00074DD8"/>
    <w:rsid w:val="00075759"/>
    <w:rsid w:val="000806F7"/>
    <w:rsid w:val="00097840"/>
    <w:rsid w:val="000B0727"/>
    <w:rsid w:val="000C135D"/>
    <w:rsid w:val="000C6F75"/>
    <w:rsid w:val="000D1D43"/>
    <w:rsid w:val="000D225C"/>
    <w:rsid w:val="000D2A5C"/>
    <w:rsid w:val="000D39F0"/>
    <w:rsid w:val="000E0918"/>
    <w:rsid w:val="000E79A9"/>
    <w:rsid w:val="000F440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951DA"/>
    <w:rsid w:val="001B053D"/>
    <w:rsid w:val="001C3269"/>
    <w:rsid w:val="001D19B6"/>
    <w:rsid w:val="001D1DB4"/>
    <w:rsid w:val="001D23F1"/>
    <w:rsid w:val="001D25F9"/>
    <w:rsid w:val="001D61ED"/>
    <w:rsid w:val="001E5B2D"/>
    <w:rsid w:val="001F0BDE"/>
    <w:rsid w:val="0020156C"/>
    <w:rsid w:val="00202092"/>
    <w:rsid w:val="002021A6"/>
    <w:rsid w:val="00216634"/>
    <w:rsid w:val="00242D31"/>
    <w:rsid w:val="0025481E"/>
    <w:rsid w:val="002574F9"/>
    <w:rsid w:val="00260F7D"/>
    <w:rsid w:val="00262B61"/>
    <w:rsid w:val="00262CC6"/>
    <w:rsid w:val="00263E08"/>
    <w:rsid w:val="00275497"/>
    <w:rsid w:val="00276811"/>
    <w:rsid w:val="00282699"/>
    <w:rsid w:val="002926DF"/>
    <w:rsid w:val="00296697"/>
    <w:rsid w:val="002B0472"/>
    <w:rsid w:val="002B6B12"/>
    <w:rsid w:val="002C21F0"/>
    <w:rsid w:val="002D01DF"/>
    <w:rsid w:val="002E2973"/>
    <w:rsid w:val="002E3EB3"/>
    <w:rsid w:val="002E6140"/>
    <w:rsid w:val="002E6985"/>
    <w:rsid w:val="002E71B6"/>
    <w:rsid w:val="002F35F6"/>
    <w:rsid w:val="002F77C8"/>
    <w:rsid w:val="00304F22"/>
    <w:rsid w:val="00306C7C"/>
    <w:rsid w:val="0031116E"/>
    <w:rsid w:val="00314F86"/>
    <w:rsid w:val="00317F4D"/>
    <w:rsid w:val="00322729"/>
    <w:rsid w:val="00322EDD"/>
    <w:rsid w:val="003309FA"/>
    <w:rsid w:val="00332320"/>
    <w:rsid w:val="00347D72"/>
    <w:rsid w:val="00353F45"/>
    <w:rsid w:val="00357611"/>
    <w:rsid w:val="0036432A"/>
    <w:rsid w:val="00364AF9"/>
    <w:rsid w:val="00367237"/>
    <w:rsid w:val="0037077F"/>
    <w:rsid w:val="00372411"/>
    <w:rsid w:val="00373882"/>
    <w:rsid w:val="003843DB"/>
    <w:rsid w:val="00393761"/>
    <w:rsid w:val="003949F3"/>
    <w:rsid w:val="00394E26"/>
    <w:rsid w:val="00396691"/>
    <w:rsid w:val="00397D18"/>
    <w:rsid w:val="003A1B36"/>
    <w:rsid w:val="003B1454"/>
    <w:rsid w:val="003B18B6"/>
    <w:rsid w:val="003C0A20"/>
    <w:rsid w:val="003C161B"/>
    <w:rsid w:val="003C3E28"/>
    <w:rsid w:val="003C59E0"/>
    <w:rsid w:val="003C6C8D"/>
    <w:rsid w:val="003D2656"/>
    <w:rsid w:val="003D4F95"/>
    <w:rsid w:val="003D5F42"/>
    <w:rsid w:val="003D60A9"/>
    <w:rsid w:val="003E1FE9"/>
    <w:rsid w:val="003F4C97"/>
    <w:rsid w:val="003F666D"/>
    <w:rsid w:val="003F7FE6"/>
    <w:rsid w:val="00400193"/>
    <w:rsid w:val="00416EAF"/>
    <w:rsid w:val="0042098F"/>
    <w:rsid w:val="004212E7"/>
    <w:rsid w:val="00423C88"/>
    <w:rsid w:val="0042446D"/>
    <w:rsid w:val="00427BF8"/>
    <w:rsid w:val="00431C02"/>
    <w:rsid w:val="00434E2D"/>
    <w:rsid w:val="00437395"/>
    <w:rsid w:val="00445047"/>
    <w:rsid w:val="00446749"/>
    <w:rsid w:val="00453EB7"/>
    <w:rsid w:val="00463E39"/>
    <w:rsid w:val="004657FC"/>
    <w:rsid w:val="004733F6"/>
    <w:rsid w:val="00474E69"/>
    <w:rsid w:val="00483E9F"/>
    <w:rsid w:val="00485A2C"/>
    <w:rsid w:val="0049621B"/>
    <w:rsid w:val="004A1D19"/>
    <w:rsid w:val="004B78CB"/>
    <w:rsid w:val="004C1895"/>
    <w:rsid w:val="004C6D40"/>
    <w:rsid w:val="004E6AA8"/>
    <w:rsid w:val="004F0C3C"/>
    <w:rsid w:val="004F2280"/>
    <w:rsid w:val="004F23BB"/>
    <w:rsid w:val="004F45FF"/>
    <w:rsid w:val="004F63FC"/>
    <w:rsid w:val="00505A92"/>
    <w:rsid w:val="00514999"/>
    <w:rsid w:val="005203F1"/>
    <w:rsid w:val="00521BC3"/>
    <w:rsid w:val="00533632"/>
    <w:rsid w:val="00534013"/>
    <w:rsid w:val="00540C5C"/>
    <w:rsid w:val="00541E6E"/>
    <w:rsid w:val="0054251F"/>
    <w:rsid w:val="005520D8"/>
    <w:rsid w:val="00555CFB"/>
    <w:rsid w:val="00556CF1"/>
    <w:rsid w:val="005762A7"/>
    <w:rsid w:val="00587CEE"/>
    <w:rsid w:val="005916D7"/>
    <w:rsid w:val="00592B06"/>
    <w:rsid w:val="0059427F"/>
    <w:rsid w:val="005A698C"/>
    <w:rsid w:val="005B2ECF"/>
    <w:rsid w:val="005C0CAC"/>
    <w:rsid w:val="005D062E"/>
    <w:rsid w:val="005E0799"/>
    <w:rsid w:val="005E10F9"/>
    <w:rsid w:val="005E1200"/>
    <w:rsid w:val="005F06F0"/>
    <w:rsid w:val="005F45EE"/>
    <w:rsid w:val="005F5A80"/>
    <w:rsid w:val="006044FF"/>
    <w:rsid w:val="00607CC5"/>
    <w:rsid w:val="0061179B"/>
    <w:rsid w:val="006125F9"/>
    <w:rsid w:val="00633014"/>
    <w:rsid w:val="0063437B"/>
    <w:rsid w:val="0064017E"/>
    <w:rsid w:val="00653DC3"/>
    <w:rsid w:val="00654BB6"/>
    <w:rsid w:val="00655E8D"/>
    <w:rsid w:val="006673CA"/>
    <w:rsid w:val="00673C26"/>
    <w:rsid w:val="00674DE5"/>
    <w:rsid w:val="00677ACA"/>
    <w:rsid w:val="00680416"/>
    <w:rsid w:val="006812AF"/>
    <w:rsid w:val="0068327D"/>
    <w:rsid w:val="00687536"/>
    <w:rsid w:val="00691278"/>
    <w:rsid w:val="00691534"/>
    <w:rsid w:val="00693880"/>
    <w:rsid w:val="00694AF0"/>
    <w:rsid w:val="006A4686"/>
    <w:rsid w:val="006B0E9E"/>
    <w:rsid w:val="006B486D"/>
    <w:rsid w:val="006B5AE4"/>
    <w:rsid w:val="006C197A"/>
    <w:rsid w:val="006D1507"/>
    <w:rsid w:val="006D1659"/>
    <w:rsid w:val="006D4054"/>
    <w:rsid w:val="006E02EC"/>
    <w:rsid w:val="006E3C4F"/>
    <w:rsid w:val="006E4697"/>
    <w:rsid w:val="006E6F41"/>
    <w:rsid w:val="006E73E6"/>
    <w:rsid w:val="006F1D5E"/>
    <w:rsid w:val="007211B1"/>
    <w:rsid w:val="007267B0"/>
    <w:rsid w:val="007277DA"/>
    <w:rsid w:val="00731D27"/>
    <w:rsid w:val="00746187"/>
    <w:rsid w:val="0076254F"/>
    <w:rsid w:val="00767EB5"/>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E510A"/>
    <w:rsid w:val="007F324B"/>
    <w:rsid w:val="007F51A4"/>
    <w:rsid w:val="00803031"/>
    <w:rsid w:val="0080553C"/>
    <w:rsid w:val="00805B46"/>
    <w:rsid w:val="00805DB4"/>
    <w:rsid w:val="00817B6D"/>
    <w:rsid w:val="00823593"/>
    <w:rsid w:val="00825DC2"/>
    <w:rsid w:val="00834AD3"/>
    <w:rsid w:val="00843795"/>
    <w:rsid w:val="00844A68"/>
    <w:rsid w:val="00847F0F"/>
    <w:rsid w:val="00850566"/>
    <w:rsid w:val="00850B7B"/>
    <w:rsid w:val="00852448"/>
    <w:rsid w:val="00877F6C"/>
    <w:rsid w:val="0088258A"/>
    <w:rsid w:val="00886332"/>
    <w:rsid w:val="008925F0"/>
    <w:rsid w:val="0089448A"/>
    <w:rsid w:val="00894C23"/>
    <w:rsid w:val="00897877"/>
    <w:rsid w:val="008A26D9"/>
    <w:rsid w:val="008A7B5B"/>
    <w:rsid w:val="008B12D2"/>
    <w:rsid w:val="008C0C29"/>
    <w:rsid w:val="008D02DA"/>
    <w:rsid w:val="008D24E7"/>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A6EA0"/>
    <w:rsid w:val="009C1335"/>
    <w:rsid w:val="009C1AB2"/>
    <w:rsid w:val="009C7251"/>
    <w:rsid w:val="009E2E91"/>
    <w:rsid w:val="009E7D31"/>
    <w:rsid w:val="00A01B40"/>
    <w:rsid w:val="00A139F5"/>
    <w:rsid w:val="00A32E16"/>
    <w:rsid w:val="00A32EBB"/>
    <w:rsid w:val="00A365F4"/>
    <w:rsid w:val="00A37C99"/>
    <w:rsid w:val="00A47D80"/>
    <w:rsid w:val="00A53132"/>
    <w:rsid w:val="00A563F2"/>
    <w:rsid w:val="00A566E8"/>
    <w:rsid w:val="00A56FA8"/>
    <w:rsid w:val="00A66347"/>
    <w:rsid w:val="00A7392B"/>
    <w:rsid w:val="00A810F9"/>
    <w:rsid w:val="00A82D31"/>
    <w:rsid w:val="00A85E7E"/>
    <w:rsid w:val="00A862D5"/>
    <w:rsid w:val="00A86ECC"/>
    <w:rsid w:val="00A86FCC"/>
    <w:rsid w:val="00A90A6D"/>
    <w:rsid w:val="00A91617"/>
    <w:rsid w:val="00A971E5"/>
    <w:rsid w:val="00AA710D"/>
    <w:rsid w:val="00AB64F3"/>
    <w:rsid w:val="00AB6D25"/>
    <w:rsid w:val="00AD0E56"/>
    <w:rsid w:val="00AE229B"/>
    <w:rsid w:val="00AE2D4B"/>
    <w:rsid w:val="00AE4F99"/>
    <w:rsid w:val="00B11B69"/>
    <w:rsid w:val="00B14952"/>
    <w:rsid w:val="00B16871"/>
    <w:rsid w:val="00B20DF1"/>
    <w:rsid w:val="00B25B45"/>
    <w:rsid w:val="00B31E5A"/>
    <w:rsid w:val="00B47359"/>
    <w:rsid w:val="00B653AB"/>
    <w:rsid w:val="00B65F9E"/>
    <w:rsid w:val="00B66B19"/>
    <w:rsid w:val="00B81D56"/>
    <w:rsid w:val="00B914E9"/>
    <w:rsid w:val="00B956EE"/>
    <w:rsid w:val="00BA2BA1"/>
    <w:rsid w:val="00BA3447"/>
    <w:rsid w:val="00BA3562"/>
    <w:rsid w:val="00BB3B00"/>
    <w:rsid w:val="00BB4F09"/>
    <w:rsid w:val="00BB54B5"/>
    <w:rsid w:val="00BD4E33"/>
    <w:rsid w:val="00C030DE"/>
    <w:rsid w:val="00C051A8"/>
    <w:rsid w:val="00C22105"/>
    <w:rsid w:val="00C244B6"/>
    <w:rsid w:val="00C27BF1"/>
    <w:rsid w:val="00C36206"/>
    <w:rsid w:val="00C3702F"/>
    <w:rsid w:val="00C4500A"/>
    <w:rsid w:val="00C5758B"/>
    <w:rsid w:val="00C60504"/>
    <w:rsid w:val="00C62238"/>
    <w:rsid w:val="00C63418"/>
    <w:rsid w:val="00C64A37"/>
    <w:rsid w:val="00C64F0C"/>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6323"/>
    <w:rsid w:val="00CD7967"/>
    <w:rsid w:val="00CF18EE"/>
    <w:rsid w:val="00CF30BD"/>
    <w:rsid w:val="00CF4099"/>
    <w:rsid w:val="00D00796"/>
    <w:rsid w:val="00D261A2"/>
    <w:rsid w:val="00D616D2"/>
    <w:rsid w:val="00D63B5F"/>
    <w:rsid w:val="00D70EF7"/>
    <w:rsid w:val="00D749A0"/>
    <w:rsid w:val="00D8397C"/>
    <w:rsid w:val="00D94EED"/>
    <w:rsid w:val="00D96026"/>
    <w:rsid w:val="00D972F6"/>
    <w:rsid w:val="00DA331D"/>
    <w:rsid w:val="00DA7C1C"/>
    <w:rsid w:val="00DB1001"/>
    <w:rsid w:val="00DB147A"/>
    <w:rsid w:val="00DB1B7A"/>
    <w:rsid w:val="00DB706E"/>
    <w:rsid w:val="00DC6708"/>
    <w:rsid w:val="00DC7A47"/>
    <w:rsid w:val="00DD011A"/>
    <w:rsid w:val="00DE1D0A"/>
    <w:rsid w:val="00DE2400"/>
    <w:rsid w:val="00DE3F2E"/>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384B"/>
    <w:rsid w:val="00E44790"/>
    <w:rsid w:val="00E4714C"/>
    <w:rsid w:val="00E5178D"/>
    <w:rsid w:val="00E51AEB"/>
    <w:rsid w:val="00E522A7"/>
    <w:rsid w:val="00E5349E"/>
    <w:rsid w:val="00E54452"/>
    <w:rsid w:val="00E63B0C"/>
    <w:rsid w:val="00E664C5"/>
    <w:rsid w:val="00E671A2"/>
    <w:rsid w:val="00E76D26"/>
    <w:rsid w:val="00E76EE5"/>
    <w:rsid w:val="00E7782F"/>
    <w:rsid w:val="00E82AE6"/>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7172"/>
    <w:rsid w:val="00F4477E"/>
    <w:rsid w:val="00F46269"/>
    <w:rsid w:val="00F60BA8"/>
    <w:rsid w:val="00F67D8F"/>
    <w:rsid w:val="00F77E4B"/>
    <w:rsid w:val="00F802BE"/>
    <w:rsid w:val="00F80E93"/>
    <w:rsid w:val="00F86024"/>
    <w:rsid w:val="00F8611A"/>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yperlink" Target="https://stat.gov.pl/en/topics/economic-activities-finances/activity-of-enterprises-activity-of-companies/registrations-and-bankruptcies-of-enterprises-in-the-first-quarter-of-2021,21,1.html" TargetMode="External"/><Relationship Id="rId10" Type="http://schemas.openxmlformats.org/officeDocument/2006/relationships/chart" Target="charts/chart1.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Rejestracje_roczny!$G$6</c:f>
              <c:strCache>
                <c:ptCount val="1"/>
                <c:pt idx="0">
                  <c:v>2019</c:v>
                </c:pt>
              </c:strCache>
            </c:strRef>
          </c:tx>
          <c:spPr>
            <a:ln w="19050" cap="rnd">
              <a:solidFill>
                <a:schemeClr val="bg1">
                  <a:lumMod val="65000"/>
                </a:schemeClr>
              </a:solidFill>
              <a:round/>
            </a:ln>
            <a:effectLst/>
          </c:spPr>
          <c:marker>
            <c:symbol val="diamond"/>
            <c:size val="5"/>
            <c:spPr>
              <a:solidFill>
                <a:schemeClr val="bg1">
                  <a:lumMod val="65000"/>
                </a:schemeClr>
              </a:solidFill>
              <a:ln w="9525">
                <a:solidFill>
                  <a:schemeClr val="bg1">
                    <a:lumMod val="65000"/>
                  </a:schemeClr>
                </a:solidFill>
              </a:ln>
              <a:effectLst/>
            </c:spPr>
          </c:marker>
          <c:dLbls>
            <c:delete val="1"/>
          </c:dLbls>
          <c:cat>
            <c:strRef>
              <c:f>Rejestracje_roczny!$F$7:$F$10</c:f>
              <c:strCache>
                <c:ptCount val="4"/>
                <c:pt idx="0">
                  <c:v>Q1
</c:v>
                </c:pt>
                <c:pt idx="1">
                  <c:v>Q2
</c:v>
                </c:pt>
                <c:pt idx="2">
                  <c:v>Q3
</c:v>
                </c:pt>
                <c:pt idx="3">
                  <c:v>Q4
</c:v>
                </c:pt>
              </c:strCache>
            </c:strRef>
          </c:cat>
          <c:val>
            <c:numRef>
              <c:f>Rejestracje_roczny!$G$7:$G$10</c:f>
              <c:numCache>
                <c:formatCode>#,##0</c:formatCode>
                <c:ptCount val="4"/>
                <c:pt idx="0">
                  <c:v>95300</c:v>
                </c:pt>
                <c:pt idx="1">
                  <c:v>94385</c:v>
                </c:pt>
                <c:pt idx="2">
                  <c:v>87788</c:v>
                </c:pt>
                <c:pt idx="3">
                  <c:v>78308</c:v>
                </c:pt>
              </c:numCache>
            </c:numRef>
          </c:val>
          <c:smooth val="0"/>
          <c:extLst xmlns:c16r2="http://schemas.microsoft.com/office/drawing/2015/06/chart">
            <c:ext xmlns:c16="http://schemas.microsoft.com/office/drawing/2014/chart" uri="{C3380CC4-5D6E-409C-BE32-E72D297353CC}">
              <c16:uniqueId val="{00000000-431F-494C-BEFD-011D9453CD01}"/>
            </c:ext>
          </c:extLst>
        </c:ser>
        <c:ser>
          <c:idx val="1"/>
          <c:order val="1"/>
          <c:tx>
            <c:strRef>
              <c:f>Rejestracje_roczny!$H$6</c:f>
              <c:strCache>
                <c:ptCount val="1"/>
                <c:pt idx="0">
                  <c:v>2020</c:v>
                </c:pt>
              </c:strCache>
            </c:strRef>
          </c:tx>
          <c:spPr>
            <a:ln w="19050" cap="rnd">
              <a:solidFill>
                <a:schemeClr val="accent6">
                  <a:lumMod val="60000"/>
                  <a:lumOff val="40000"/>
                </a:schemeClr>
              </a:solidFill>
              <a:round/>
            </a:ln>
            <a:effectLst/>
          </c:spPr>
          <c:marker>
            <c:symbol val="triangle"/>
            <c:size val="5"/>
            <c:spPr>
              <a:solidFill>
                <a:schemeClr val="accent6">
                  <a:lumMod val="60000"/>
                  <a:lumOff val="40000"/>
                </a:schemeClr>
              </a:solidFill>
              <a:ln w="9525" cap="sq">
                <a:solidFill>
                  <a:schemeClr val="accent6">
                    <a:lumMod val="60000"/>
                    <a:lumOff val="40000"/>
                  </a:schemeClr>
                </a:solidFill>
                <a:bevel/>
              </a:ln>
              <a:effectLst/>
            </c:spPr>
          </c:marker>
          <c:dLbls>
            <c:delete val="1"/>
          </c:dLbls>
          <c:cat>
            <c:strRef>
              <c:f>Rejestracje_roczny!$F$7:$F$10</c:f>
              <c:strCache>
                <c:ptCount val="4"/>
                <c:pt idx="0">
                  <c:v>Q1
</c:v>
                </c:pt>
                <c:pt idx="1">
                  <c:v>Q2
</c:v>
                </c:pt>
                <c:pt idx="2">
                  <c:v>Q3
</c:v>
                </c:pt>
                <c:pt idx="3">
                  <c:v>Q4
</c:v>
                </c:pt>
              </c:strCache>
            </c:strRef>
          </c:cat>
          <c:val>
            <c:numRef>
              <c:f>Rejestracje_roczny!$H$7:$H$10</c:f>
              <c:numCache>
                <c:formatCode>#,##0</c:formatCode>
                <c:ptCount val="4"/>
                <c:pt idx="0">
                  <c:v>84099</c:v>
                </c:pt>
                <c:pt idx="1">
                  <c:v>64410</c:v>
                </c:pt>
                <c:pt idx="2">
                  <c:v>87360</c:v>
                </c:pt>
                <c:pt idx="3">
                  <c:v>75925</c:v>
                </c:pt>
              </c:numCache>
            </c:numRef>
          </c:val>
          <c:smooth val="0"/>
          <c:extLst xmlns:c16r2="http://schemas.microsoft.com/office/drawing/2015/06/chart">
            <c:ext xmlns:c16="http://schemas.microsoft.com/office/drawing/2014/chart" uri="{C3380CC4-5D6E-409C-BE32-E72D297353CC}">
              <c16:uniqueId val="{00000001-431F-494C-BEFD-011D9453CD01}"/>
            </c:ext>
          </c:extLst>
        </c:ser>
        <c:ser>
          <c:idx val="2"/>
          <c:order val="2"/>
          <c:tx>
            <c:strRef>
              <c:f>Rejestracje_roczny!$I$6</c:f>
              <c:strCache>
                <c:ptCount val="1"/>
                <c:pt idx="0">
                  <c:v>2021</c:v>
                </c:pt>
              </c:strCache>
            </c:strRef>
          </c:tx>
          <c:spPr>
            <a:ln w="25400" cap="rnd">
              <a:solidFill>
                <a:schemeClr val="accent6"/>
              </a:solidFill>
              <a:round/>
            </a:ln>
            <a:effectLst/>
          </c:spPr>
          <c:marker>
            <c:symbol val="circle"/>
            <c:size val="5"/>
            <c:spPr>
              <a:solidFill>
                <a:schemeClr val="accent6">
                  <a:lumMod val="50000"/>
                </a:schemeClr>
              </a:solidFill>
              <a:ln w="28575" cap="rnd">
                <a:solidFill>
                  <a:schemeClr val="accent5">
                    <a:shade val="65000"/>
                  </a:schemeClr>
                </a:solidFill>
              </a:ln>
              <a:effectLst/>
            </c:spPr>
          </c:marker>
          <c:dLbls>
            <c:dLbl>
              <c:idx val="3"/>
              <c:layout>
                <c:manualLayout>
                  <c:x val="-6.3317746544480469E-2"/>
                  <c:y val="-5.174423089586922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1F-494C-BEFD-011D9453CD0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Rejestracje_roczny!$F$7:$F$10</c:f>
              <c:strCache>
                <c:ptCount val="4"/>
                <c:pt idx="0">
                  <c:v>Q1
</c:v>
                </c:pt>
                <c:pt idx="1">
                  <c:v>Q2
</c:v>
                </c:pt>
                <c:pt idx="2">
                  <c:v>Q3
</c:v>
                </c:pt>
                <c:pt idx="3">
                  <c:v>Q4
</c:v>
                </c:pt>
              </c:strCache>
            </c:strRef>
          </c:cat>
          <c:val>
            <c:numRef>
              <c:f>Rejestracje_roczny!$I$7:$I$10</c:f>
              <c:numCache>
                <c:formatCode>#,##0</c:formatCode>
                <c:ptCount val="4"/>
                <c:pt idx="0">
                  <c:v>84223</c:v>
                </c:pt>
                <c:pt idx="1">
                  <c:v>92445</c:v>
                </c:pt>
                <c:pt idx="2">
                  <c:v>85198</c:v>
                </c:pt>
                <c:pt idx="3">
                  <c:v>88605</c:v>
                </c:pt>
              </c:numCache>
            </c:numRef>
          </c:val>
          <c:smooth val="0"/>
          <c:extLst xmlns:c16r2="http://schemas.microsoft.com/office/drawing/2015/06/chart">
            <c:ext xmlns:c16="http://schemas.microsoft.com/office/drawing/2014/chart" uri="{C3380CC4-5D6E-409C-BE32-E72D297353CC}">
              <c16:uniqueId val="{00000003-431F-494C-BEFD-011D9453CD01}"/>
            </c:ext>
          </c:extLst>
        </c:ser>
        <c:dLbls>
          <c:dLblPos val="b"/>
          <c:showLegendKey val="0"/>
          <c:showVal val="1"/>
          <c:showCatName val="0"/>
          <c:showSerName val="0"/>
          <c:showPercent val="0"/>
          <c:showBubbleSize val="0"/>
        </c:dLbls>
        <c:marker val="1"/>
        <c:smooth val="0"/>
        <c:axId val="-1761489680"/>
        <c:axId val="-1761504368"/>
      </c:lineChart>
      <c:catAx>
        <c:axId val="-176148968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61504368"/>
        <c:crosses val="autoZero"/>
        <c:auto val="1"/>
        <c:lblAlgn val="ctr"/>
        <c:lblOffset val="100"/>
        <c:noMultiLvlLbl val="0"/>
      </c:catAx>
      <c:valAx>
        <c:axId val="-176150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6148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3.9576616701268608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DA9-42DB-A54D-9F1B700E72AF}"/>
                </c:ext>
                <c:ext xmlns:c15="http://schemas.microsoft.com/office/drawing/2012/chart" uri="{CE6537A1-D6FC-4f65-9D91-7224C49458BB}"/>
              </c:extLst>
            </c:dLbl>
            <c:dLbl>
              <c:idx val="1"/>
              <c:layout>
                <c:manualLayout>
                  <c:x val="3.9154756083157882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DA9-42DB-A54D-9F1B700E72AF}"/>
                </c:ext>
                <c:ext xmlns:c15="http://schemas.microsoft.com/office/drawing/2012/chart" uri="{CE6537A1-D6FC-4f65-9D91-7224C49458BB}"/>
              </c:extLst>
            </c:dLbl>
            <c:dLbl>
              <c:idx val="2"/>
              <c:layout>
                <c:manualLayout>
                  <c:x val="4.3067459631882112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DA9-42DB-A54D-9F1B700E72AF}"/>
                </c:ext>
                <c:ext xmlns:c15="http://schemas.microsoft.com/office/drawing/2012/chart" uri="{CE6537A1-D6FC-4f65-9D91-7224C49458BB}"/>
              </c:extLst>
            </c:dLbl>
            <c:dLbl>
              <c:idx val="3"/>
              <c:layout>
                <c:manualLayout>
                  <c:x val="3.8335101909740245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DA9-42DB-A54D-9F1B700E72AF}"/>
                </c:ext>
                <c:ext xmlns:c15="http://schemas.microsoft.com/office/drawing/2012/chart" uri="{CE6537A1-D6FC-4f65-9D91-7224C49458BB}"/>
              </c:extLst>
            </c:dLbl>
            <c:dLbl>
              <c:idx val="4"/>
              <c:layout>
                <c:manualLayout>
                  <c:x val="9.5572415664479271E-2"/>
                  <c:y val="-7.8279767495938468E-1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DA9-42DB-A54D-9F1B700E72AF}"/>
                </c:ext>
                <c:ext xmlns:c15="http://schemas.microsoft.com/office/drawing/2012/chart" uri="{CE6537A1-D6FC-4f65-9D91-7224C49458BB}"/>
              </c:extLst>
            </c:dLbl>
            <c:dLbl>
              <c:idx val="5"/>
              <c:layout>
                <c:manualLayout>
                  <c:x val="4.3067459631882202E-2"/>
                  <c:y val="6.1300994506343874E-3"/>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DA9-42DB-A54D-9F1B700E72AF}"/>
                </c:ext>
                <c:ext xmlns:c15="http://schemas.microsoft.com/office/drawing/2012/chart" uri="{CE6537A1-D6FC-4f65-9D91-7224C49458BB}"/>
              </c:extLst>
            </c:dLbl>
            <c:dLbl>
              <c:idx val="6"/>
              <c:layout>
                <c:manualLayout>
                  <c:x val="4.0014484987442762E-2"/>
                  <c:y val="-3.9139883747969234E-17"/>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DA9-42DB-A54D-9F1B700E72AF}"/>
                </c:ext>
                <c:ext xmlns:c15="http://schemas.microsoft.com/office/drawing/2012/chart" uri="{CE6537A1-D6FC-4f65-9D91-7224C49458BB}"/>
              </c:extLst>
            </c:dLbl>
            <c:dLbl>
              <c:idx val="7"/>
              <c:layout>
                <c:manualLayout>
                  <c:x val="0.264797104188841"/>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DA9-42DB-A54D-9F1B700E72AF}"/>
                </c:ex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dane_rej!$A$6:$A$14</c:f>
              <c:strCache>
                <c:ptCount val="9"/>
                <c:pt idx="0">
                  <c:v>Others¹
</c:v>
                </c:pt>
                <c:pt idx="1">
                  <c:v>Public limited partnerships</c:v>
                </c:pt>
                <c:pt idx="2">
                  <c:v>Limited partnerships</c:v>
                </c:pt>
                <c:pt idx="3">
                  <c:v>General partnerships</c:v>
                </c:pt>
                <c:pt idx="4">
                  <c:v>Limited liability companies</c:v>
                </c:pt>
                <c:pt idx="5">
                  <c:v>Public limited companies</c:v>
                </c:pt>
                <c:pt idx="6">
                  <c:v>Professional partnerships</c:v>
                </c:pt>
                <c:pt idx="7">
                  <c:v>Natural persons conducting
a economic activity</c:v>
                </c:pt>
                <c:pt idx="8">
                  <c:v>Civil law partnership </c:v>
                </c:pt>
              </c:strCache>
            </c:strRef>
          </c:cat>
          <c:val>
            <c:numRef>
              <c:f>dane_rej!$B$6:$B$14</c:f>
              <c:numCache>
                <c:formatCode>0.00%</c:formatCode>
                <c:ptCount val="9"/>
                <c:pt idx="0">
                  <c:v>1.0496021669206268E-3</c:v>
                </c:pt>
                <c:pt idx="1">
                  <c:v>1.0721742565317984E-3</c:v>
                </c:pt>
                <c:pt idx="2">
                  <c:v>4.0968342644320298E-3</c:v>
                </c:pt>
                <c:pt idx="3">
                  <c:v>3.6341064274025168E-3</c:v>
                </c:pt>
                <c:pt idx="4">
                  <c:v>0.16983240223463686</c:v>
                </c:pt>
                <c:pt idx="5">
                  <c:v>6.7716268833587271E-4</c:v>
                </c:pt>
                <c:pt idx="6">
                  <c:v>3.1600925455674061E-4</c:v>
                </c:pt>
                <c:pt idx="7">
                  <c:v>0.80509000620732463</c:v>
                </c:pt>
                <c:pt idx="8">
                  <c:v>1.4231702499858924E-2</c:v>
                </c:pt>
              </c:numCache>
            </c:numRef>
          </c:val>
          <c:extLst xmlns:c16r2="http://schemas.microsoft.com/office/drawing/2015/06/chart">
            <c:ext xmlns:c16="http://schemas.microsoft.com/office/drawing/2014/chart" uri="{C3380CC4-5D6E-409C-BE32-E72D297353CC}">
              <c16:uniqueId val="{00000008-3DA9-42DB-A54D-9F1B700E72AF}"/>
            </c:ext>
          </c:extLst>
        </c:ser>
        <c:dLbls>
          <c:showLegendKey val="0"/>
          <c:showVal val="0"/>
          <c:showCatName val="0"/>
          <c:showSerName val="0"/>
          <c:showPercent val="0"/>
          <c:showBubbleSize val="0"/>
        </c:dLbls>
        <c:gapWidth val="150"/>
        <c:overlap val="100"/>
        <c:axId val="-1761503824"/>
        <c:axId val="-1761503280"/>
      </c:barChart>
      <c:catAx>
        <c:axId val="-1761503824"/>
        <c:scaling>
          <c:orientation val="minMax"/>
        </c:scaling>
        <c:delete val="0"/>
        <c:axPos val="l"/>
        <c:numFmt formatCode="0.00%" sourceLinked="0"/>
        <c:majorTickMark val="none"/>
        <c:minorTickMark val="none"/>
        <c:tickLblPos val="nextTo"/>
        <c:crossAx val="-1761503280"/>
        <c:crosses val="autoZero"/>
        <c:auto val="0"/>
        <c:lblAlgn val="ctr"/>
        <c:lblOffset val="100"/>
        <c:tickLblSkip val="1"/>
        <c:noMultiLvlLbl val="0"/>
      </c:catAx>
      <c:valAx>
        <c:axId val="-176150328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761503824"/>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205682907384018E-2"/>
          <c:y val="5.2568697729988054E-2"/>
          <c:w val="0.88550876532924849"/>
          <c:h val="0.73749329720881662"/>
        </c:manualLayout>
      </c:layout>
      <c:lineChart>
        <c:grouping val="standard"/>
        <c:varyColors val="0"/>
        <c:ser>
          <c:idx val="0"/>
          <c:order val="0"/>
          <c:tx>
            <c:strRef>
              <c:f>Bankructwa_roczny!$G$6</c:f>
              <c:strCache>
                <c:ptCount val="1"/>
                <c:pt idx="0">
                  <c:v>2019</c:v>
                </c:pt>
              </c:strCache>
            </c:strRef>
          </c:tx>
          <c:spPr>
            <a:ln w="19050" cap="rnd">
              <a:solidFill>
                <a:schemeClr val="bg1">
                  <a:lumMod val="65000"/>
                </a:schemeClr>
              </a:solidFill>
              <a:round/>
            </a:ln>
            <a:effectLst/>
          </c:spPr>
          <c:marker>
            <c:symbol val="diamond"/>
            <c:size val="5"/>
            <c:spPr>
              <a:solidFill>
                <a:schemeClr val="bg1">
                  <a:lumMod val="65000"/>
                </a:schemeClr>
              </a:solidFill>
              <a:ln w="9525">
                <a:solidFill>
                  <a:schemeClr val="bg1">
                    <a:lumMod val="65000"/>
                  </a:schemeClr>
                </a:solidFill>
              </a:ln>
              <a:effectLst/>
            </c:spPr>
          </c:marker>
          <c:dLbls>
            <c:delete val="1"/>
          </c:dLbls>
          <c:cat>
            <c:strRef>
              <c:f>Bankructwa_roczny!$F$7:$F$10</c:f>
              <c:strCache>
                <c:ptCount val="4"/>
                <c:pt idx="0">
                  <c:v>Q1
</c:v>
                </c:pt>
                <c:pt idx="1">
                  <c:v>Q2
</c:v>
                </c:pt>
                <c:pt idx="2">
                  <c:v>Q3
</c:v>
                </c:pt>
                <c:pt idx="3">
                  <c:v>Q4
</c:v>
                </c:pt>
              </c:strCache>
            </c:strRef>
          </c:cat>
          <c:val>
            <c:numRef>
              <c:f>Bankructwa_roczny!$G$7:$G$10</c:f>
              <c:numCache>
                <c:formatCode>#,##0</c:formatCode>
                <c:ptCount val="4"/>
                <c:pt idx="0">
                  <c:v>155</c:v>
                </c:pt>
                <c:pt idx="1">
                  <c:v>131</c:v>
                </c:pt>
                <c:pt idx="2">
                  <c:v>133</c:v>
                </c:pt>
                <c:pt idx="3">
                  <c:v>159</c:v>
                </c:pt>
              </c:numCache>
            </c:numRef>
          </c:val>
          <c:smooth val="0"/>
          <c:extLst xmlns:c16r2="http://schemas.microsoft.com/office/drawing/2015/06/chart">
            <c:ext xmlns:c16="http://schemas.microsoft.com/office/drawing/2014/chart" uri="{C3380CC4-5D6E-409C-BE32-E72D297353CC}">
              <c16:uniqueId val="{00000000-8463-4B38-9850-F6CE45A76EF6}"/>
            </c:ext>
          </c:extLst>
        </c:ser>
        <c:ser>
          <c:idx val="1"/>
          <c:order val="1"/>
          <c:tx>
            <c:strRef>
              <c:f>Bankructwa_roczny!$H$6</c:f>
              <c:strCache>
                <c:ptCount val="1"/>
                <c:pt idx="0">
                  <c:v>2020</c:v>
                </c:pt>
              </c:strCache>
            </c:strRef>
          </c:tx>
          <c:spPr>
            <a:ln w="19050" cap="rnd">
              <a:solidFill>
                <a:schemeClr val="accent6">
                  <a:lumMod val="60000"/>
                  <a:lumOff val="40000"/>
                </a:schemeClr>
              </a:solidFill>
              <a:round/>
            </a:ln>
            <a:effectLst/>
          </c:spPr>
          <c:marker>
            <c:symbol val="triangle"/>
            <c:size val="5"/>
            <c:spPr>
              <a:solidFill>
                <a:schemeClr val="accent6">
                  <a:lumMod val="60000"/>
                  <a:lumOff val="40000"/>
                </a:schemeClr>
              </a:solidFill>
              <a:ln w="9525" cap="sq">
                <a:solidFill>
                  <a:schemeClr val="accent6">
                    <a:lumMod val="60000"/>
                    <a:lumOff val="40000"/>
                  </a:schemeClr>
                </a:solidFill>
                <a:bevel/>
              </a:ln>
              <a:effectLst/>
            </c:spPr>
          </c:marker>
          <c:dLbls>
            <c:delete val="1"/>
          </c:dLbls>
          <c:cat>
            <c:strRef>
              <c:f>Bankructwa_roczny!$F$7:$F$10</c:f>
              <c:strCache>
                <c:ptCount val="4"/>
                <c:pt idx="0">
                  <c:v>Q1
</c:v>
                </c:pt>
                <c:pt idx="1">
                  <c:v>Q2
</c:v>
                </c:pt>
                <c:pt idx="2">
                  <c:v>Q3
</c:v>
                </c:pt>
                <c:pt idx="3">
                  <c:v>Q4
</c:v>
                </c:pt>
              </c:strCache>
            </c:strRef>
          </c:cat>
          <c:val>
            <c:numRef>
              <c:f>Bankructwa_roczny!$H$7:$H$10</c:f>
              <c:numCache>
                <c:formatCode>#,##0</c:formatCode>
                <c:ptCount val="4"/>
                <c:pt idx="0">
                  <c:v>142</c:v>
                </c:pt>
                <c:pt idx="1">
                  <c:v>157</c:v>
                </c:pt>
                <c:pt idx="2">
                  <c:v>123</c:v>
                </c:pt>
                <c:pt idx="3">
                  <c:v>106</c:v>
                </c:pt>
              </c:numCache>
            </c:numRef>
          </c:val>
          <c:smooth val="0"/>
          <c:extLst xmlns:c16r2="http://schemas.microsoft.com/office/drawing/2015/06/chart">
            <c:ext xmlns:c16="http://schemas.microsoft.com/office/drawing/2014/chart" uri="{C3380CC4-5D6E-409C-BE32-E72D297353CC}">
              <c16:uniqueId val="{00000001-8463-4B38-9850-F6CE45A76EF6}"/>
            </c:ext>
          </c:extLst>
        </c:ser>
        <c:ser>
          <c:idx val="2"/>
          <c:order val="2"/>
          <c:tx>
            <c:strRef>
              <c:f>Bankructwa_roczny!$I$6</c:f>
              <c:strCache>
                <c:ptCount val="1"/>
                <c:pt idx="0">
                  <c:v>2021</c:v>
                </c:pt>
              </c:strCache>
            </c:strRef>
          </c:tx>
          <c:spPr>
            <a:ln w="25400" cap="rnd">
              <a:solidFill>
                <a:schemeClr val="accent6"/>
              </a:solidFill>
              <a:round/>
            </a:ln>
            <a:effectLst/>
          </c:spPr>
          <c:marker>
            <c:symbol val="circle"/>
            <c:size val="5"/>
            <c:spPr>
              <a:solidFill>
                <a:schemeClr val="accent6">
                  <a:lumMod val="50000"/>
                </a:schemeClr>
              </a:solidFill>
              <a:ln w="28575" cap="rnd">
                <a:solidFill>
                  <a:schemeClr val="accent5">
                    <a:shade val="6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Bankructwa_roczny!$F$7:$F$10</c:f>
              <c:strCache>
                <c:ptCount val="4"/>
                <c:pt idx="0">
                  <c:v>Q1
</c:v>
                </c:pt>
                <c:pt idx="1">
                  <c:v>Q2
</c:v>
                </c:pt>
                <c:pt idx="2">
                  <c:v>Q3
</c:v>
                </c:pt>
                <c:pt idx="3">
                  <c:v>Q4
</c:v>
                </c:pt>
              </c:strCache>
            </c:strRef>
          </c:cat>
          <c:val>
            <c:numRef>
              <c:f>Bankructwa_roczny!$I$7:$I$10</c:f>
              <c:numCache>
                <c:formatCode>#,##0</c:formatCode>
                <c:ptCount val="4"/>
                <c:pt idx="0">
                  <c:v>126</c:v>
                </c:pt>
                <c:pt idx="1">
                  <c:v>84</c:v>
                </c:pt>
                <c:pt idx="2">
                  <c:v>79</c:v>
                </c:pt>
                <c:pt idx="3">
                  <c:v>87</c:v>
                </c:pt>
              </c:numCache>
            </c:numRef>
          </c:val>
          <c:smooth val="0"/>
          <c:extLst xmlns:c16r2="http://schemas.microsoft.com/office/drawing/2015/06/chart">
            <c:ext xmlns:c16="http://schemas.microsoft.com/office/drawing/2014/chart" uri="{C3380CC4-5D6E-409C-BE32-E72D297353CC}">
              <c16:uniqueId val="{00000002-8463-4B38-9850-F6CE45A76EF6}"/>
            </c:ext>
          </c:extLst>
        </c:ser>
        <c:dLbls>
          <c:dLblPos val="b"/>
          <c:showLegendKey val="0"/>
          <c:showVal val="1"/>
          <c:showCatName val="0"/>
          <c:showSerName val="0"/>
          <c:showPercent val="0"/>
          <c:showBubbleSize val="0"/>
        </c:dLbls>
        <c:marker val="1"/>
        <c:smooth val="0"/>
        <c:axId val="-1761498928"/>
        <c:axId val="-1892862368"/>
      </c:lineChart>
      <c:catAx>
        <c:axId val="-176149892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2862368"/>
        <c:crosses val="autoZero"/>
        <c:auto val="1"/>
        <c:lblAlgn val="ctr"/>
        <c:lblOffset val="100"/>
        <c:noMultiLvlLbl val="0"/>
      </c:catAx>
      <c:valAx>
        <c:axId val="-1892862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61498928"/>
        <c:crosses val="autoZero"/>
        <c:crossBetween val="between"/>
        <c:maj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5.2343122412785048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4.701374024044689E-2"/>
                  <c:y val="8.9686284820725097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6.2753572687013981E-2"/>
                  <c:y val="2.9894275078532584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4.36618907203353E-2"/>
                  <c:y val="1.9818579355963633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0.20407687975410668"/>
                  <c:y val="4.3936731107204821E-3"/>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6.3840998894818687E-2"/>
                  <c:y val="-5.4807525357236511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4.70137402404468E-2"/>
                  <c:y val="1.9341502567012163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0.11504476778632496"/>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dane_up!$A$6:$A$13</c:f>
              <c:strCache>
                <c:ptCount val="8"/>
                <c:pt idx="0">
                  <c:v>Others¹
</c:v>
                </c:pt>
                <c:pt idx="1">
                  <c:v>
Public limited partnerships</c:v>
                </c:pt>
                <c:pt idx="2">
                  <c:v>
Limited partnerships</c:v>
                </c:pt>
                <c:pt idx="3">
                  <c:v>
General partnerships</c:v>
                </c:pt>
                <c:pt idx="4">
                  <c:v>
Limited liability companies</c:v>
                </c:pt>
                <c:pt idx="5">
                  <c:v>
Public limited companies</c:v>
                </c:pt>
                <c:pt idx="6">
                  <c:v>
Professional partnerships</c:v>
                </c:pt>
                <c:pt idx="7">
                  <c:v>Natural persons conducting
a economic activity</c:v>
                </c:pt>
              </c:strCache>
            </c:strRef>
          </c:cat>
          <c:val>
            <c:numRef>
              <c:f>dane_up!$B$6:$B$13</c:f>
              <c:numCache>
                <c:formatCode>0.00%</c:formatCode>
                <c:ptCount val="8"/>
                <c:pt idx="0">
                  <c:v>2.2988505747126436E-2</c:v>
                </c:pt>
                <c:pt idx="1">
                  <c:v>1.1494252873563218E-2</c:v>
                </c:pt>
                <c:pt idx="2">
                  <c:v>8.0459770114942528E-2</c:v>
                </c:pt>
                <c:pt idx="3">
                  <c:v>0</c:v>
                </c:pt>
                <c:pt idx="4">
                  <c:v>0.57471264367816088</c:v>
                </c:pt>
                <c:pt idx="5">
                  <c:v>9.1954022988505746E-2</c:v>
                </c:pt>
                <c:pt idx="6">
                  <c:v>0</c:v>
                </c:pt>
                <c:pt idx="7">
                  <c:v>0.21839080459770116</c:v>
                </c:pt>
              </c:numCache>
            </c:numRef>
          </c:val>
        </c:ser>
        <c:dLbls>
          <c:showLegendKey val="0"/>
          <c:showVal val="0"/>
          <c:showCatName val="0"/>
          <c:showSerName val="0"/>
          <c:showPercent val="0"/>
          <c:showBubbleSize val="0"/>
        </c:dLbls>
        <c:gapWidth val="150"/>
        <c:overlap val="100"/>
        <c:axId val="-1892867808"/>
        <c:axId val="-1892876512"/>
      </c:barChart>
      <c:catAx>
        <c:axId val="-1892867808"/>
        <c:scaling>
          <c:orientation val="minMax"/>
        </c:scaling>
        <c:delete val="0"/>
        <c:axPos val="l"/>
        <c:numFmt formatCode="0.00%" sourceLinked="0"/>
        <c:majorTickMark val="none"/>
        <c:minorTickMark val="none"/>
        <c:tickLblPos val="nextTo"/>
        <c:crossAx val="-1892876512"/>
        <c:crosses val="autoZero"/>
        <c:auto val="0"/>
        <c:lblAlgn val="ctr"/>
        <c:lblOffset val="100"/>
        <c:tickLblSkip val="1"/>
        <c:noMultiLvlLbl val="0"/>
      </c:catAx>
      <c:valAx>
        <c:axId val="-189287651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89286780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dLbls>
          <c:showLegendKey val="0"/>
          <c:showVal val="0"/>
          <c:showCatName val="0"/>
          <c:showSerName val="0"/>
          <c:showPercent val="0"/>
          <c:showBubbleSize val="0"/>
        </c:dLbls>
        <c:gapWidth val="150"/>
        <c:overlap val="100"/>
        <c:axId val="-1892875968"/>
        <c:axId val="-1892874880"/>
      </c:barChart>
      <c:catAx>
        <c:axId val="-1892875968"/>
        <c:scaling>
          <c:orientation val="minMax"/>
        </c:scaling>
        <c:delete val="0"/>
        <c:axPos val="l"/>
        <c:numFmt formatCode="0.00%" sourceLinked="0"/>
        <c:majorTickMark val="none"/>
        <c:minorTickMark val="none"/>
        <c:tickLblPos val="nextTo"/>
        <c:crossAx val="-1892874880"/>
        <c:crosses val="autoZero"/>
        <c:auto val="0"/>
        <c:lblAlgn val="ctr"/>
        <c:lblOffset val="100"/>
        <c:tickLblSkip val="1"/>
        <c:noMultiLvlLbl val="0"/>
      </c:catAx>
      <c:valAx>
        <c:axId val="-189287488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89287596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CC71C-8447-41EE-8F45-5AC013DB5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1550</Words>
  <Characters>9304</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Registrations and bankruptcies of enterprises in the fourth quarter of 2021</dc:title>
  <dc:subject/>
  <cp:keywords/>
  <dc:description/>
  <cp:lastModifiedBy>Putkowska Beata</cp:lastModifiedBy>
  <cp:revision>3</cp:revision>
  <cp:lastPrinted>2019-02-21T09:45:00Z</cp:lastPrinted>
  <dcterms:created xsi:type="dcterms:W3CDTF">2022-02-08T13:26:00Z</dcterms:created>
  <dcterms:modified xsi:type="dcterms:W3CDTF">2022-02-10T07:35:00Z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